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1" w:rsidRPr="009A1F51" w:rsidRDefault="009A1F51" w:rsidP="009A1F51">
      <w:pPr>
        <w:spacing w:line="288" w:lineRule="auto"/>
        <w:jc w:val="both"/>
        <w:rPr>
          <w:rFonts w:ascii="Century Gothic" w:hAnsi="Century Gothic" w:cs="Times New Roman"/>
          <w:sz w:val="24"/>
          <w:szCs w:val="24"/>
        </w:rPr>
      </w:pPr>
      <w:bookmarkStart w:id="0" w:name="_GoBack"/>
      <w:r w:rsidRPr="009A1F51">
        <w:rPr>
          <w:rFonts w:ascii="Century Gothic" w:hAnsi="Century Gothic" w:cs="Times New Roman"/>
          <w:sz w:val="24"/>
          <w:szCs w:val="24"/>
        </w:rPr>
        <w:t>La Consejera de Salud del Gobierno de Navarra, en relación con la pregunta escrita (10-20/PES-00324) presentada por la Parlamentaria Foral Ilma. Sra.  Cristina Ibarrola Guillén, adscrita al Grupo Parlamentario de Navarra Suma, que solicita información sobre “</w:t>
      </w:r>
      <w:r w:rsidRPr="009A1F51">
        <w:rPr>
          <w:rFonts w:ascii="Century Gothic" w:hAnsi="Century Gothic"/>
          <w:sz w:val="24"/>
          <w:szCs w:val="24"/>
          <w:lang w:val="es-ES_tradnl"/>
        </w:rPr>
        <w:t>¿Qué criterios y umbrales utiliza el Departamento de Salud para realizar cribados y para tomar medidas restrictivas o levantarlas?</w:t>
      </w:r>
      <w:r w:rsidRPr="009A1F51">
        <w:rPr>
          <w:rFonts w:ascii="Century Gothic" w:hAnsi="Century Gothic" w:cs="Times New Roman"/>
          <w:sz w:val="24"/>
          <w:szCs w:val="24"/>
        </w:rPr>
        <w:t>, tiene el honor de remitirle la siguiente información:</w:t>
      </w:r>
    </w:p>
    <w:p w:rsidR="00167636" w:rsidRDefault="00167636" w:rsidP="00167636">
      <w:pPr>
        <w:spacing w:line="288" w:lineRule="auto"/>
        <w:ind w:firstLine="708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La amplia estrategia de cribados en Navarra desarrollada por el Departamento de Salud, una herramienta que se sitúa en el terreno mixto del sistema de detección precoz y la intervención comunitaria de la mano de agentes municipales, se ha ido actualizando en base a la experiencia, la evidencia científica y la colaboración continua con el Ministerio de Sanidad. La apuesta, clave en la contención de la pandemia y en la prioridad de anticiparnos a nuevos picos de incidencia, se ha planteado siempre combinando parámetros cuantitativos y cualitativos, determinados por los equipos técnicos correspondientes que analizan también la situación </w:t>
      </w:r>
      <w:r>
        <w:rPr>
          <w:rFonts w:ascii="Century Gothic" w:hAnsi="Century Gothic"/>
          <w:i/>
          <w:sz w:val="24"/>
          <w:szCs w:val="24"/>
          <w:lang w:val="es-ES_tradnl"/>
        </w:rPr>
        <w:t>ad hoc</w:t>
      </w:r>
      <w:r>
        <w:rPr>
          <w:rFonts w:ascii="Century Gothic" w:hAnsi="Century Gothic"/>
          <w:sz w:val="24"/>
          <w:szCs w:val="24"/>
          <w:lang w:val="es-ES_tradnl"/>
        </w:rPr>
        <w:t xml:space="preserve">, segmentando por ejemplo por edades –normalmente- en el caso de pruebas a una población general. </w:t>
      </w:r>
    </w:p>
    <w:p w:rsidR="00167636" w:rsidRDefault="00167636" w:rsidP="00167636">
      <w:pPr>
        <w:spacing w:line="288" w:lineRule="auto"/>
        <w:ind w:firstLine="708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A la hora de abordar las medidas restrictivas, el departamento de Salud, con la información suministrada por el Instituto de Salud Pública y Laboral de Navarra (ISPLN) y en contacto permanente con los Ayuntamientos, se ha basado en primer lugar en el análisis y contraste del cuadro de Incidencias semanales por municipio, un documento que recoge indicadores como la Incidencia Acumulada a 7 y 14 días en población general y mayores de 64 años, la tendencia de la citada incidencia, la positividad en las primeras pruebas diagnósticas o la trazabilidad. Asimismo, se evalúan elementos como la movilidad y relación con pueblos, ciudades y comunidades cercanas. Por ejemplo, en el caso de Peralta y su zona básica, se tuvo en cuenta a la hora de adoptar medidas la especial relación comercial con ciudades de La Rioja con las que la comarca tiene habitualmente una relación intensa. </w:t>
      </w:r>
    </w:p>
    <w:p w:rsidR="00167636" w:rsidRDefault="00167636" w:rsidP="00167636">
      <w:pPr>
        <w:spacing w:line="288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Por otra parte, se valora la hoja de ruta del territorio -´Indicadores para valoración de riesgo y determinación de nivel de alerta en la Comunidad Foral de Navarra’-, que recoge a su vez </w:t>
      </w:r>
      <w:r>
        <w:rPr>
          <w:rFonts w:ascii="Century Gothic" w:hAnsi="Century Gothic"/>
          <w:sz w:val="24"/>
          <w:szCs w:val="24"/>
        </w:rPr>
        <w:t xml:space="preserve">cinco escenarios en función del riesgo, que van desde el de ‘Normalidad’ hasta el de riesgo ‘Muy alto’. Se divide en dos bloques: el primero, el de ‘Evaluación del nivel de Transmisión’, y el segundo, ‘Nivel de utilización de los </w:t>
      </w:r>
      <w:r>
        <w:rPr>
          <w:rFonts w:ascii="Century Gothic" w:hAnsi="Century Gothic"/>
          <w:sz w:val="24"/>
          <w:szCs w:val="24"/>
        </w:rPr>
        <w:lastRenderedPageBreak/>
        <w:t>servicios asistenciales por COVID-19’. El marco es dinámico y adaptable a la situación del territorio foral con una horquilla aproximada del 20% en los parámetros para valorar el nivel de alerta.</w:t>
      </w:r>
    </w:p>
    <w:p w:rsidR="006F58A1" w:rsidRDefault="00167636" w:rsidP="00167636">
      <w:pPr>
        <w:spacing w:line="288" w:lineRule="auto"/>
        <w:ind w:firstLine="708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</w:rPr>
        <w:t xml:space="preserve">Por otro lado, a los indicadores recogidos en la citada hoja de ruta de Navarra, se suma la consulta de cualquier decisión relacionada a los distintos órganos especializados, como la Comisión para la Transición, el Comité Técnico Asesor y la Comisión de Seguimiento del COVID-19 del Departamento de Salud. </w:t>
      </w:r>
    </w:p>
    <w:p w:rsidR="006F58A1" w:rsidRDefault="009A1F51" w:rsidP="009A1F51">
      <w:pPr>
        <w:tabs>
          <w:tab w:val="left" w:pos="72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9A1F51">
        <w:rPr>
          <w:rFonts w:ascii="Century Gothic" w:eastAsia="Times New Roman" w:hAnsi="Century Gothic" w:cs="Times New Roman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6F58A1" w:rsidRDefault="009A1F51" w:rsidP="009A1F51">
      <w:pPr>
        <w:tabs>
          <w:tab w:val="left" w:pos="3780"/>
        </w:tabs>
        <w:spacing w:after="0" w:line="288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9A1F51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Pamplona, 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18 </w:t>
      </w:r>
      <w:r w:rsidRPr="009A1F51">
        <w:rPr>
          <w:rFonts w:ascii="Century Gothic" w:eastAsia="Times New Roman" w:hAnsi="Century Gothic" w:cs="Times New Roman"/>
          <w:sz w:val="24"/>
          <w:szCs w:val="24"/>
          <w:lang w:eastAsia="es-ES"/>
        </w:rPr>
        <w:t>de enero de 2021</w:t>
      </w:r>
    </w:p>
    <w:p w:rsidR="006F58A1" w:rsidRDefault="006F58A1" w:rsidP="009A1F51">
      <w:pPr>
        <w:spacing w:after="0" w:line="288" w:lineRule="auto"/>
        <w:ind w:left="567" w:right="567"/>
        <w:jc w:val="center"/>
        <w:rPr>
          <w:rFonts w:ascii="Century Gothic" w:eastAsia="Times New Roman" w:hAnsi="Century Gothic" w:cs="Times New Roman"/>
          <w:sz w:val="24"/>
          <w:szCs w:val="24"/>
          <w:lang w:val="pt-BR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La Consejera de Salud: </w:t>
      </w:r>
      <w:r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Santos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Indurá</w:t>
      </w:r>
      <w:r w:rsidR="009A1F51" w:rsidRPr="009A1F51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</w:t>
      </w:r>
      <w:proofErr w:type="spellEnd"/>
      <w:r w:rsidR="009A1F51" w:rsidRPr="009A1F51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 </w:t>
      </w:r>
      <w:proofErr w:type="spellStart"/>
      <w:r w:rsidR="009A1F51" w:rsidRPr="009A1F51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Orduna</w:t>
      </w:r>
      <w:proofErr w:type="spellEnd"/>
    </w:p>
    <w:bookmarkEnd w:id="0"/>
    <w:p w:rsidR="00086862" w:rsidRPr="009A1F51" w:rsidRDefault="00086862" w:rsidP="009A1F51">
      <w:pPr>
        <w:spacing w:line="288" w:lineRule="auto"/>
        <w:jc w:val="both"/>
        <w:rPr>
          <w:rFonts w:ascii="Century Gothic" w:hAnsi="Century Gothic"/>
        </w:rPr>
      </w:pPr>
    </w:p>
    <w:sectPr w:rsidR="00086862" w:rsidRPr="009A1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5F"/>
    <w:rsid w:val="00086862"/>
    <w:rsid w:val="000927FD"/>
    <w:rsid w:val="00167636"/>
    <w:rsid w:val="001F244F"/>
    <w:rsid w:val="004E3B5F"/>
    <w:rsid w:val="006F58A1"/>
    <w:rsid w:val="009A1F51"/>
    <w:rsid w:val="00D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5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3B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F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5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3B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5</cp:revision>
  <cp:lastPrinted>2021-01-18T17:24:00Z</cp:lastPrinted>
  <dcterms:created xsi:type="dcterms:W3CDTF">2021-01-18T17:26:00Z</dcterms:created>
  <dcterms:modified xsi:type="dcterms:W3CDTF">2021-02-17T12:27:00Z</dcterms:modified>
</cp:coreProperties>
</file>