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desarrollo y potenciación del aeropuerto de Pamplona-Noáin,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al Consejero de Cohesión Territorial para su contestación en Comisión: </w:t>
      </w:r>
    </w:p>
    <w:p>
      <w:pPr>
        <w:pStyle w:val="0"/>
        <w:suppressAutoHyphens w:val="false"/>
        <w:rPr>
          <w:rStyle w:val="1"/>
        </w:rPr>
      </w:pPr>
      <w:r>
        <w:rPr>
          <w:rStyle w:val="1"/>
        </w:rPr>
        <w:t xml:space="preserve">¿Qué actuaciones está llevando a cabo el Gobierno o tiene pensado realizar a corto plazo dirigidas al desarrollo y potenciación del aeropuerto de Pamplona-Noáin y en qué situación se encuentran a fecha de hoy? </w:t>
      </w:r>
    </w:p>
    <w:p>
      <w:pPr>
        <w:pStyle w:val="0"/>
        <w:suppressAutoHyphens w:val="false"/>
        <w:rPr>
          <w:rStyle w:val="1"/>
        </w:rPr>
      </w:pPr>
      <w:r>
        <w:rPr>
          <w:rStyle w:val="1"/>
        </w:rPr>
        <w:t xml:space="preserve">Pamplona, 17 de febrero de 2021 </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