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04" w:rsidRDefault="00CD4DF7" w:rsidP="00CA544A">
      <w:pPr>
        <w:spacing w:after="120"/>
        <w:rPr>
          <w:rFonts w:cs="Arial"/>
          <w:sz w:val="22"/>
        </w:rPr>
      </w:pPr>
      <w:r w:rsidRPr="0020791F">
        <w:rPr>
          <w:rFonts w:cs="Arial"/>
          <w:sz w:val="22"/>
        </w:rPr>
        <w:t>La</w:t>
      </w:r>
      <w:r w:rsidR="0006150C" w:rsidRPr="0020791F">
        <w:rPr>
          <w:rFonts w:cs="Arial"/>
          <w:sz w:val="22"/>
        </w:rPr>
        <w:t xml:space="preserve"> </w:t>
      </w:r>
      <w:r w:rsidRPr="0020791F">
        <w:rPr>
          <w:rFonts w:cs="Arial"/>
          <w:sz w:val="22"/>
        </w:rPr>
        <w:t>Consejera</w:t>
      </w:r>
      <w:r w:rsidR="0006150C" w:rsidRPr="0020791F">
        <w:rPr>
          <w:rFonts w:cs="Arial"/>
          <w:sz w:val="22"/>
        </w:rPr>
        <w:t xml:space="preserve"> de Derechos Sociales </w:t>
      </w:r>
      <w:r w:rsidR="00865890" w:rsidRPr="0020791F">
        <w:rPr>
          <w:rFonts w:cs="Arial"/>
          <w:sz w:val="22"/>
        </w:rPr>
        <w:t>del Gobierno de Navarra</w:t>
      </w:r>
      <w:r w:rsidR="0006150C" w:rsidRPr="0020791F">
        <w:rPr>
          <w:rFonts w:cs="Arial"/>
          <w:sz w:val="22"/>
        </w:rPr>
        <w:t xml:space="preserve">, en relación </w:t>
      </w:r>
      <w:r w:rsidR="00B67C4B" w:rsidRPr="0020791F">
        <w:rPr>
          <w:rFonts w:cs="Arial"/>
          <w:sz w:val="22"/>
        </w:rPr>
        <w:t>con</w:t>
      </w:r>
      <w:r w:rsidR="0006150C" w:rsidRPr="0020791F">
        <w:rPr>
          <w:rFonts w:cs="Arial"/>
          <w:sz w:val="22"/>
        </w:rPr>
        <w:t xml:space="preserve"> la </w:t>
      </w:r>
      <w:r w:rsidR="00CB3E16" w:rsidRPr="0020791F">
        <w:rPr>
          <w:rFonts w:cs="Arial"/>
          <w:sz w:val="22"/>
        </w:rPr>
        <w:t>p</w:t>
      </w:r>
      <w:r w:rsidR="00127F44" w:rsidRPr="0020791F">
        <w:rPr>
          <w:rFonts w:cs="Arial"/>
          <w:sz w:val="22"/>
        </w:rPr>
        <w:t>regunta</w:t>
      </w:r>
      <w:r w:rsidR="0006150C" w:rsidRPr="0020791F">
        <w:rPr>
          <w:rFonts w:cs="Arial"/>
          <w:sz w:val="22"/>
        </w:rPr>
        <w:t xml:space="preserve"> </w:t>
      </w:r>
      <w:r w:rsidR="00865890" w:rsidRPr="0020791F">
        <w:rPr>
          <w:rFonts w:cs="Arial"/>
          <w:sz w:val="22"/>
        </w:rPr>
        <w:t>formulada</w:t>
      </w:r>
      <w:r w:rsidR="0006150C" w:rsidRPr="0020791F">
        <w:rPr>
          <w:rFonts w:cs="Arial"/>
          <w:sz w:val="22"/>
        </w:rPr>
        <w:t xml:space="preserve"> por </w:t>
      </w:r>
      <w:r w:rsidR="00EA2D5B" w:rsidRPr="0020791F">
        <w:rPr>
          <w:rFonts w:cs="Arial"/>
          <w:sz w:val="22"/>
        </w:rPr>
        <w:t>la</w:t>
      </w:r>
      <w:r w:rsidR="003860DD" w:rsidRPr="0020791F">
        <w:rPr>
          <w:rFonts w:cs="Arial"/>
          <w:sz w:val="22"/>
        </w:rPr>
        <w:t xml:space="preserve"> parlamentari</w:t>
      </w:r>
      <w:r w:rsidR="00EA2D5B" w:rsidRPr="0020791F">
        <w:rPr>
          <w:rFonts w:cs="Arial"/>
          <w:sz w:val="22"/>
        </w:rPr>
        <w:t>a</w:t>
      </w:r>
      <w:r w:rsidR="00B67C4B" w:rsidRPr="0020791F">
        <w:rPr>
          <w:rFonts w:cs="Arial"/>
          <w:sz w:val="22"/>
        </w:rPr>
        <w:t xml:space="preserve"> d</w:t>
      </w:r>
      <w:r w:rsidR="00EC31C9" w:rsidRPr="0020791F">
        <w:rPr>
          <w:rFonts w:cs="Arial"/>
          <w:sz w:val="22"/>
        </w:rPr>
        <w:t>o</w:t>
      </w:r>
      <w:r w:rsidR="00EA2D5B" w:rsidRPr="0020791F">
        <w:rPr>
          <w:rFonts w:cs="Arial"/>
          <w:sz w:val="22"/>
        </w:rPr>
        <w:t>ña</w:t>
      </w:r>
      <w:r w:rsidR="0006150C" w:rsidRPr="0020791F">
        <w:rPr>
          <w:rFonts w:cs="Arial"/>
          <w:sz w:val="22"/>
        </w:rPr>
        <w:t xml:space="preserve"> </w:t>
      </w:r>
      <w:r w:rsidR="001A1B4A" w:rsidRPr="0020791F">
        <w:rPr>
          <w:rFonts w:cs="Arial"/>
          <w:sz w:val="22"/>
        </w:rPr>
        <w:t>Marta Álvarez Alonso</w:t>
      </w:r>
      <w:r w:rsidR="0006150C" w:rsidRPr="0020791F">
        <w:rPr>
          <w:rFonts w:cs="Arial"/>
          <w:sz w:val="22"/>
        </w:rPr>
        <w:t>, adscrit</w:t>
      </w:r>
      <w:r w:rsidR="00EA2D5B" w:rsidRPr="0020791F">
        <w:rPr>
          <w:rFonts w:cs="Arial"/>
          <w:sz w:val="22"/>
        </w:rPr>
        <w:t>a</w:t>
      </w:r>
      <w:r w:rsidR="0006150C" w:rsidRPr="0020791F">
        <w:rPr>
          <w:rFonts w:cs="Arial"/>
          <w:sz w:val="22"/>
        </w:rPr>
        <w:t xml:space="preserve"> al Grupo </w:t>
      </w:r>
      <w:r w:rsidR="00B67C4B" w:rsidRPr="0020791F">
        <w:rPr>
          <w:rFonts w:cs="Arial"/>
          <w:sz w:val="22"/>
        </w:rPr>
        <w:t>P</w:t>
      </w:r>
      <w:r w:rsidR="0006150C" w:rsidRPr="0020791F">
        <w:rPr>
          <w:rFonts w:cs="Arial"/>
          <w:sz w:val="22"/>
        </w:rPr>
        <w:t xml:space="preserve">arlamentario </w:t>
      </w:r>
      <w:r w:rsidR="001A1B4A" w:rsidRPr="0020791F">
        <w:rPr>
          <w:rFonts w:cs="Arial"/>
          <w:sz w:val="22"/>
        </w:rPr>
        <w:t>Navarra Suma</w:t>
      </w:r>
      <w:r w:rsidR="0006150C" w:rsidRPr="0020791F">
        <w:rPr>
          <w:rFonts w:cs="Arial"/>
          <w:sz w:val="22"/>
        </w:rPr>
        <w:t xml:space="preserve">, </w:t>
      </w:r>
      <w:r w:rsidR="0068120C" w:rsidRPr="0020791F">
        <w:rPr>
          <w:rFonts w:cs="Arial"/>
          <w:sz w:val="22"/>
        </w:rPr>
        <w:t xml:space="preserve">sobre </w:t>
      </w:r>
      <w:r w:rsidR="00413BDE" w:rsidRPr="0020791F">
        <w:rPr>
          <w:rFonts w:cs="Arial"/>
          <w:sz w:val="22"/>
        </w:rPr>
        <w:t>los Menores Extranjeros No Acompañados que han pasado al servicio de apoyo a jóvenes en procesos de autonomía</w:t>
      </w:r>
      <w:r w:rsidR="00C70D9F" w:rsidRPr="0020791F">
        <w:rPr>
          <w:rFonts w:cs="Arial"/>
          <w:sz w:val="22"/>
        </w:rPr>
        <w:t xml:space="preserve"> </w:t>
      </w:r>
      <w:r w:rsidR="006566C9" w:rsidRPr="0020791F">
        <w:rPr>
          <w:rFonts w:cs="Arial"/>
          <w:sz w:val="22"/>
        </w:rPr>
        <w:t>(10</w:t>
      </w:r>
      <w:r w:rsidR="00560F7E" w:rsidRPr="0020791F">
        <w:rPr>
          <w:rFonts w:cs="Arial"/>
          <w:sz w:val="22"/>
        </w:rPr>
        <w:t>-2</w:t>
      </w:r>
      <w:r w:rsidR="005C5315" w:rsidRPr="0020791F">
        <w:rPr>
          <w:rFonts w:cs="Arial"/>
          <w:sz w:val="22"/>
        </w:rPr>
        <w:t>1</w:t>
      </w:r>
      <w:r w:rsidR="00BF65B2" w:rsidRPr="0020791F">
        <w:rPr>
          <w:rFonts w:cs="Arial"/>
          <w:sz w:val="22"/>
        </w:rPr>
        <w:t>/PE</w:t>
      </w:r>
      <w:r w:rsidR="00127F44" w:rsidRPr="0020791F">
        <w:rPr>
          <w:rFonts w:cs="Arial"/>
          <w:sz w:val="22"/>
        </w:rPr>
        <w:t>S</w:t>
      </w:r>
      <w:r w:rsidR="00BF65B2" w:rsidRPr="0020791F">
        <w:rPr>
          <w:rFonts w:cs="Arial"/>
          <w:sz w:val="22"/>
        </w:rPr>
        <w:t>-00</w:t>
      </w:r>
      <w:r w:rsidR="00127F44" w:rsidRPr="0020791F">
        <w:rPr>
          <w:rFonts w:cs="Arial"/>
          <w:sz w:val="22"/>
        </w:rPr>
        <w:t>01</w:t>
      </w:r>
      <w:r w:rsidR="00413BDE" w:rsidRPr="0020791F">
        <w:rPr>
          <w:rFonts w:cs="Arial"/>
          <w:sz w:val="22"/>
        </w:rPr>
        <w:t>5</w:t>
      </w:r>
      <w:r w:rsidR="00865890" w:rsidRPr="0020791F">
        <w:rPr>
          <w:rFonts w:cs="Arial"/>
          <w:sz w:val="22"/>
        </w:rPr>
        <w:t>)</w:t>
      </w:r>
      <w:r w:rsidR="0006150C" w:rsidRPr="0020791F">
        <w:rPr>
          <w:rFonts w:cs="Arial"/>
          <w:sz w:val="22"/>
        </w:rPr>
        <w:t xml:space="preserve">, </w:t>
      </w:r>
      <w:r w:rsidR="00CB3E16" w:rsidRPr="0020791F">
        <w:rPr>
          <w:rFonts w:cs="Arial"/>
          <w:sz w:val="22"/>
        </w:rPr>
        <w:t>tiene el honor de informarle lo siguiente</w:t>
      </w:r>
      <w:r w:rsidR="00EC3319" w:rsidRPr="0020791F">
        <w:rPr>
          <w:rFonts w:cs="Arial"/>
          <w:sz w:val="22"/>
        </w:rPr>
        <w:t>:</w:t>
      </w:r>
    </w:p>
    <w:p w:rsidR="00413BDE" w:rsidRPr="0020791F" w:rsidRDefault="00413BDE" w:rsidP="00413BDE">
      <w:pPr>
        <w:rPr>
          <w:rFonts w:cs="Arial"/>
          <w:i/>
          <w:sz w:val="22"/>
          <w:lang w:val="es-ES_tradnl"/>
        </w:rPr>
      </w:pPr>
      <w:r w:rsidRPr="0020791F">
        <w:rPr>
          <w:rFonts w:cs="Arial"/>
          <w:i/>
          <w:sz w:val="22"/>
          <w:lang w:val="es-ES_tradnl"/>
        </w:rPr>
        <w:t>¿Cuántos menores extranjeros no acompañados han pasado en 2018, 2019 y 2020 al servicio de apoyo a jóvenes en procesos de autonomía?</w:t>
      </w:r>
    </w:p>
    <w:p w:rsidR="00413BDE" w:rsidRPr="0020791F" w:rsidRDefault="00413BDE" w:rsidP="00413BDE">
      <w:pPr>
        <w:rPr>
          <w:rFonts w:cs="Arial"/>
          <w:sz w:val="22"/>
          <w:lang w:val="es-ES_tradnl"/>
        </w:rPr>
      </w:pPr>
      <w:r w:rsidRPr="0020791F">
        <w:rPr>
          <w:rFonts w:cs="Arial"/>
          <w:sz w:val="22"/>
          <w:lang w:val="es-ES_tradnl"/>
        </w:rPr>
        <w:t>Los datos corresponden a jóvenes atendidos (</w:t>
      </w:r>
      <w:proofErr w:type="spellStart"/>
      <w:r w:rsidRPr="0020791F">
        <w:rPr>
          <w:rFonts w:cs="Arial"/>
          <w:sz w:val="22"/>
          <w:lang w:val="es-ES_tradnl"/>
        </w:rPr>
        <w:t>JENAs</w:t>
      </w:r>
      <w:proofErr w:type="spellEnd"/>
      <w:r w:rsidRPr="0020791F">
        <w:rPr>
          <w:rFonts w:cs="Arial"/>
          <w:sz w:val="22"/>
          <w:lang w:val="es-ES_tradnl"/>
        </w:rPr>
        <w:t xml:space="preserve">), ya que acceden al Programa </w:t>
      </w:r>
      <w:r w:rsidRPr="0020791F">
        <w:rPr>
          <w:rFonts w:cs="Arial"/>
          <w:sz w:val="22"/>
        </w:rPr>
        <w:t xml:space="preserve">de Apoyo a Jóvenes Proceso de Autonomía siendo </w:t>
      </w:r>
      <w:r w:rsidRPr="0020791F">
        <w:rPr>
          <w:rFonts w:cs="Arial"/>
          <w:sz w:val="22"/>
          <w:lang w:val="es-ES_tradnl"/>
        </w:rPr>
        <w:t xml:space="preserve">mayores de edad. </w:t>
      </w:r>
    </w:p>
    <w:tbl>
      <w:tblPr>
        <w:tblW w:w="0" w:type="auto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</w:tblGrid>
      <w:tr w:rsidR="00895935" w:rsidRPr="00FE3F99" w:rsidTr="00FE3F99">
        <w:trPr>
          <w:trHeight w:val="488"/>
          <w:jc w:val="center"/>
        </w:trPr>
        <w:tc>
          <w:tcPr>
            <w:tcW w:w="7797" w:type="dxa"/>
            <w:gridSpan w:val="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895935" w:rsidRPr="00FE3F99" w:rsidRDefault="00895935" w:rsidP="00FE3F99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color w:val="FFFFFF"/>
                <w:sz w:val="22"/>
                <w:lang w:val="es-ES_tradnl"/>
              </w:rPr>
              <w:t>Altas en Programa</w:t>
            </w:r>
          </w:p>
        </w:tc>
      </w:tr>
      <w:tr w:rsidR="00895935" w:rsidRPr="00FE3F99" w:rsidTr="00FE3F99">
        <w:trPr>
          <w:trHeight w:val="488"/>
          <w:jc w:val="center"/>
        </w:trPr>
        <w:tc>
          <w:tcPr>
            <w:tcW w:w="2599" w:type="dxa"/>
            <w:shd w:val="clear" w:color="auto" w:fill="FBE4D5"/>
            <w:vAlign w:val="center"/>
          </w:tcPr>
          <w:p w:rsidR="00895935" w:rsidRPr="00FE3F99" w:rsidRDefault="00895935" w:rsidP="00FE3F9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sz w:val="22"/>
                <w:lang w:val="es-ES_tradnl"/>
              </w:rPr>
              <w:t>2018</w:t>
            </w:r>
          </w:p>
        </w:tc>
        <w:tc>
          <w:tcPr>
            <w:tcW w:w="2599" w:type="dxa"/>
            <w:shd w:val="clear" w:color="auto" w:fill="FBE4D5"/>
            <w:vAlign w:val="center"/>
          </w:tcPr>
          <w:p w:rsidR="00895935" w:rsidRPr="00FE3F99" w:rsidRDefault="00895935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2019</w:t>
            </w:r>
          </w:p>
        </w:tc>
        <w:tc>
          <w:tcPr>
            <w:tcW w:w="2599" w:type="dxa"/>
            <w:shd w:val="clear" w:color="auto" w:fill="FBE4D5"/>
            <w:vAlign w:val="center"/>
          </w:tcPr>
          <w:p w:rsidR="00895935" w:rsidRPr="00FE3F99" w:rsidRDefault="00895935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2020</w:t>
            </w:r>
          </w:p>
        </w:tc>
      </w:tr>
      <w:tr w:rsidR="00895935" w:rsidRPr="00FE3F99" w:rsidTr="00FE3F99">
        <w:trPr>
          <w:trHeight w:val="488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895935" w:rsidRPr="00FE3F99" w:rsidRDefault="00895935" w:rsidP="00FE3F9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sz w:val="22"/>
                <w:lang w:val="es-ES_tradnl"/>
              </w:rPr>
              <w:t>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895935" w:rsidRPr="00FE3F99" w:rsidRDefault="00895935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24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895935" w:rsidRPr="00FE3F99" w:rsidRDefault="00895935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62</w:t>
            </w:r>
          </w:p>
        </w:tc>
      </w:tr>
    </w:tbl>
    <w:p w:rsidR="00280D04" w:rsidRDefault="00280D04" w:rsidP="00413BDE">
      <w:pPr>
        <w:rPr>
          <w:rFonts w:cs="Arial"/>
          <w:sz w:val="22"/>
          <w:lang w:val="es-ES_tradnl"/>
        </w:rPr>
      </w:pPr>
    </w:p>
    <w:p w:rsidR="00413BDE" w:rsidRPr="0020791F" w:rsidRDefault="00413BDE" w:rsidP="00895935">
      <w:pPr>
        <w:rPr>
          <w:rFonts w:cs="Arial"/>
          <w:i/>
          <w:sz w:val="22"/>
          <w:lang w:val="es-ES_tradnl"/>
        </w:rPr>
      </w:pPr>
      <w:r w:rsidRPr="0020791F">
        <w:rPr>
          <w:rFonts w:cs="Arial"/>
          <w:i/>
          <w:sz w:val="22"/>
          <w:lang w:val="es-ES_tradnl"/>
        </w:rPr>
        <w:t>Indicar, para cada uno de esos años, el porcentaje de Menores Extranjeros No Acompañados que han pasado a dicho servicio en relación con el total de jóvenes que han estado en el mismo.</w:t>
      </w:r>
    </w:p>
    <w:tbl>
      <w:tblPr>
        <w:tblW w:w="0" w:type="auto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3828"/>
        <w:gridCol w:w="1594"/>
        <w:gridCol w:w="1595"/>
        <w:gridCol w:w="1595"/>
      </w:tblGrid>
      <w:tr w:rsidR="00413BDE" w:rsidRPr="00FE3F99" w:rsidTr="00FE3F99">
        <w:trPr>
          <w:trHeight w:val="463"/>
        </w:trPr>
        <w:tc>
          <w:tcPr>
            <w:tcW w:w="382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FE3F99" w:rsidRDefault="00413BDE" w:rsidP="00FE3F99">
            <w:pPr>
              <w:spacing w:line="240" w:lineRule="auto"/>
              <w:jc w:val="left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</w:p>
        </w:tc>
        <w:tc>
          <w:tcPr>
            <w:tcW w:w="159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color w:val="FFFFFF"/>
                <w:sz w:val="22"/>
                <w:lang w:val="es-ES_tradnl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color w:val="FFFFFF"/>
                <w:sz w:val="22"/>
                <w:lang w:val="es-ES_tradnl"/>
              </w:rPr>
              <w:t>2019</w:t>
            </w:r>
          </w:p>
        </w:tc>
        <w:tc>
          <w:tcPr>
            <w:tcW w:w="1595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color w:val="FFFFFF"/>
                <w:sz w:val="22"/>
                <w:lang w:val="es-ES_tradnl"/>
              </w:rPr>
              <w:t>2020</w:t>
            </w:r>
          </w:p>
        </w:tc>
      </w:tr>
      <w:tr w:rsidR="00413BDE" w:rsidRPr="00FE3F99" w:rsidTr="00FE3F99">
        <w:trPr>
          <w:trHeight w:val="463"/>
        </w:trPr>
        <w:tc>
          <w:tcPr>
            <w:tcW w:w="3828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sz w:val="22"/>
                <w:lang w:val="es-ES_tradnl"/>
              </w:rPr>
              <w:t>Altas totales Programa</w:t>
            </w:r>
          </w:p>
        </w:tc>
        <w:tc>
          <w:tcPr>
            <w:tcW w:w="1594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42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56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96</w:t>
            </w:r>
          </w:p>
        </w:tc>
      </w:tr>
      <w:tr w:rsidR="00413BDE" w:rsidRPr="00FE3F99" w:rsidTr="00FE3F99">
        <w:trPr>
          <w:trHeight w:val="463"/>
        </w:trPr>
        <w:tc>
          <w:tcPr>
            <w:tcW w:w="3828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sz w:val="22"/>
                <w:lang w:val="es-ES_tradnl"/>
              </w:rPr>
              <w:t xml:space="preserve">Altas </w:t>
            </w:r>
            <w:proofErr w:type="spellStart"/>
            <w:r w:rsidRPr="00FE3F99">
              <w:rPr>
                <w:rFonts w:cs="Arial"/>
                <w:b/>
                <w:bCs/>
                <w:sz w:val="22"/>
                <w:lang w:val="es-ES_tradnl"/>
              </w:rPr>
              <w:t>JENAs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62</w:t>
            </w:r>
          </w:p>
        </w:tc>
      </w:tr>
      <w:tr w:rsidR="00413BDE" w:rsidRPr="00FE3F99" w:rsidTr="00FE3F99">
        <w:trPr>
          <w:trHeight w:val="463"/>
        </w:trPr>
        <w:tc>
          <w:tcPr>
            <w:tcW w:w="3828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sz w:val="22"/>
                <w:lang w:val="es-ES_tradnl"/>
              </w:rPr>
              <w:t xml:space="preserve">% </w:t>
            </w:r>
            <w:proofErr w:type="spellStart"/>
            <w:r w:rsidRPr="00FE3F99">
              <w:rPr>
                <w:rFonts w:cs="Arial"/>
                <w:b/>
                <w:bCs/>
                <w:sz w:val="22"/>
                <w:lang w:val="es-ES_tradnl"/>
              </w:rPr>
              <w:t>JENAs</w:t>
            </w:r>
            <w:proofErr w:type="spellEnd"/>
            <w:r w:rsidRPr="00FE3F99">
              <w:rPr>
                <w:rFonts w:cs="Arial"/>
                <w:b/>
                <w:bCs/>
                <w:sz w:val="22"/>
                <w:lang w:val="es-ES_tradnl"/>
              </w:rPr>
              <w:t xml:space="preserve"> sobre total altas</w:t>
            </w:r>
          </w:p>
        </w:tc>
        <w:tc>
          <w:tcPr>
            <w:tcW w:w="1594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35,71%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42,86%</w:t>
            </w:r>
          </w:p>
        </w:tc>
        <w:tc>
          <w:tcPr>
            <w:tcW w:w="1595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64,58%</w:t>
            </w:r>
          </w:p>
        </w:tc>
      </w:tr>
    </w:tbl>
    <w:p w:rsidR="00413BDE" w:rsidRPr="0020791F" w:rsidRDefault="00413BDE" w:rsidP="00413BDE">
      <w:pPr>
        <w:rPr>
          <w:rFonts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4644"/>
        <w:gridCol w:w="1521"/>
        <w:gridCol w:w="1031"/>
        <w:gridCol w:w="1524"/>
      </w:tblGrid>
      <w:tr w:rsidR="00413BDE" w:rsidRPr="00FE3F99" w:rsidTr="00FE3F99">
        <w:trPr>
          <w:trHeight w:val="552"/>
        </w:trPr>
        <w:tc>
          <w:tcPr>
            <w:tcW w:w="464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:rsidR="00413BDE" w:rsidRPr="00FE3F99" w:rsidRDefault="00413BDE" w:rsidP="00FE3F99">
            <w:pPr>
              <w:spacing w:line="240" w:lineRule="auto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</w:p>
        </w:tc>
        <w:tc>
          <w:tcPr>
            <w:tcW w:w="152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color w:val="FFFFFF"/>
                <w:sz w:val="22"/>
                <w:lang w:val="es-ES_tradnl"/>
              </w:rPr>
              <w:t>2018</w:t>
            </w:r>
          </w:p>
        </w:tc>
        <w:tc>
          <w:tcPr>
            <w:tcW w:w="103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color w:val="FFFFFF"/>
                <w:sz w:val="22"/>
                <w:lang w:val="es-ES_tradnl"/>
              </w:rPr>
              <w:t>2019</w:t>
            </w:r>
          </w:p>
        </w:tc>
        <w:tc>
          <w:tcPr>
            <w:tcW w:w="1524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color w:val="FFFFFF"/>
                <w:sz w:val="22"/>
                <w:lang w:val="es-ES_tradnl"/>
              </w:rPr>
              <w:t>2020</w:t>
            </w:r>
          </w:p>
        </w:tc>
      </w:tr>
      <w:tr w:rsidR="00413BDE" w:rsidRPr="00FE3F99" w:rsidTr="00FE3F99">
        <w:trPr>
          <w:trHeight w:val="706"/>
        </w:trPr>
        <w:tc>
          <w:tcPr>
            <w:tcW w:w="4644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sz w:val="22"/>
                <w:lang w:val="es-ES_tradnl"/>
              </w:rPr>
              <w:t xml:space="preserve">Total de Jóvenes atendidos durante el año en programa </w:t>
            </w:r>
          </w:p>
        </w:tc>
        <w:tc>
          <w:tcPr>
            <w:tcW w:w="1521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51</w:t>
            </w:r>
          </w:p>
        </w:tc>
        <w:tc>
          <w:tcPr>
            <w:tcW w:w="1031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82</w:t>
            </w:r>
          </w:p>
        </w:tc>
        <w:tc>
          <w:tcPr>
            <w:tcW w:w="1524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147</w:t>
            </w:r>
          </w:p>
        </w:tc>
      </w:tr>
      <w:tr w:rsidR="00413BDE" w:rsidRPr="00FE3F99" w:rsidTr="00FE3F99">
        <w:trPr>
          <w:trHeight w:val="706"/>
        </w:trPr>
        <w:tc>
          <w:tcPr>
            <w:tcW w:w="4644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lang w:val="es-ES_tradnl"/>
              </w:rPr>
            </w:pPr>
            <w:proofErr w:type="spellStart"/>
            <w:r w:rsidRPr="00FE3F99">
              <w:rPr>
                <w:rFonts w:cs="Arial"/>
                <w:b/>
                <w:bCs/>
                <w:sz w:val="22"/>
                <w:lang w:val="es-ES_tradnl"/>
              </w:rPr>
              <w:t>JENAs</w:t>
            </w:r>
            <w:proofErr w:type="spellEnd"/>
            <w:r w:rsidRPr="00FE3F99">
              <w:rPr>
                <w:rFonts w:cs="Arial"/>
                <w:b/>
                <w:bCs/>
                <w:sz w:val="22"/>
                <w:lang w:val="es-ES_tradnl"/>
              </w:rPr>
              <w:t xml:space="preserve"> atendidos durante el año en programa de autonomía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16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34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88</w:t>
            </w:r>
          </w:p>
        </w:tc>
      </w:tr>
      <w:tr w:rsidR="00413BDE" w:rsidRPr="00FE3F99" w:rsidTr="00FE3F99">
        <w:trPr>
          <w:trHeight w:val="706"/>
        </w:trPr>
        <w:tc>
          <w:tcPr>
            <w:tcW w:w="4644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lang w:val="es-ES_tradnl"/>
              </w:rPr>
            </w:pPr>
            <w:r w:rsidRPr="00FE3F99">
              <w:rPr>
                <w:rFonts w:cs="Arial"/>
                <w:b/>
                <w:bCs/>
                <w:sz w:val="22"/>
                <w:lang w:val="es-ES_tradnl"/>
              </w:rPr>
              <w:t xml:space="preserve">% </w:t>
            </w:r>
            <w:proofErr w:type="spellStart"/>
            <w:r w:rsidRPr="00FE3F99">
              <w:rPr>
                <w:rFonts w:cs="Arial"/>
                <w:b/>
                <w:bCs/>
                <w:sz w:val="22"/>
                <w:lang w:val="es-ES_tradnl"/>
              </w:rPr>
              <w:t>JENAs</w:t>
            </w:r>
            <w:proofErr w:type="spellEnd"/>
            <w:r w:rsidRPr="00FE3F99">
              <w:rPr>
                <w:rFonts w:cs="Arial"/>
                <w:b/>
                <w:bCs/>
                <w:sz w:val="22"/>
                <w:lang w:val="es-ES_tradnl"/>
              </w:rPr>
              <w:t xml:space="preserve"> sobre total jóvenes atendidos</w:t>
            </w:r>
          </w:p>
        </w:tc>
        <w:tc>
          <w:tcPr>
            <w:tcW w:w="1521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31,37%</w:t>
            </w:r>
          </w:p>
        </w:tc>
        <w:tc>
          <w:tcPr>
            <w:tcW w:w="1031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41,46%</w:t>
            </w:r>
          </w:p>
        </w:tc>
        <w:tc>
          <w:tcPr>
            <w:tcW w:w="1524" w:type="dxa"/>
            <w:shd w:val="clear" w:color="auto" w:fill="FBE4D5"/>
            <w:vAlign w:val="center"/>
          </w:tcPr>
          <w:p w:rsidR="00413BDE" w:rsidRPr="00FE3F99" w:rsidRDefault="00413BDE" w:rsidP="00FE3F99">
            <w:pPr>
              <w:spacing w:line="240" w:lineRule="auto"/>
              <w:jc w:val="center"/>
              <w:rPr>
                <w:rFonts w:cs="Arial"/>
                <w:sz w:val="22"/>
                <w:lang w:val="es-ES_tradnl"/>
              </w:rPr>
            </w:pPr>
            <w:r w:rsidRPr="00FE3F99">
              <w:rPr>
                <w:rFonts w:cs="Arial"/>
                <w:sz w:val="22"/>
                <w:lang w:val="es-ES_tradnl"/>
              </w:rPr>
              <w:t>59,86%</w:t>
            </w:r>
          </w:p>
        </w:tc>
      </w:tr>
    </w:tbl>
    <w:p w:rsidR="00280D04" w:rsidRDefault="00280D04" w:rsidP="00413BDE">
      <w:pPr>
        <w:rPr>
          <w:rFonts w:cs="Arial"/>
          <w:sz w:val="22"/>
          <w:lang w:val="es-ES_tradnl"/>
        </w:rPr>
      </w:pPr>
    </w:p>
    <w:p w:rsidR="00413BDE" w:rsidRPr="0020791F" w:rsidRDefault="00413BDE" w:rsidP="00895935">
      <w:pPr>
        <w:rPr>
          <w:rFonts w:cs="Arial"/>
          <w:i/>
          <w:sz w:val="22"/>
          <w:lang w:val="es-ES_tradnl"/>
        </w:rPr>
      </w:pPr>
      <w:bookmarkStart w:id="0" w:name="_GoBack"/>
      <w:r w:rsidRPr="0020791F">
        <w:rPr>
          <w:rFonts w:cs="Arial"/>
          <w:i/>
          <w:sz w:val="22"/>
        </w:rPr>
        <w:t>¿</w:t>
      </w:r>
      <w:r w:rsidRPr="0020791F">
        <w:rPr>
          <w:rFonts w:cs="Arial"/>
          <w:i/>
          <w:sz w:val="22"/>
          <w:lang w:val="es-ES_tradnl"/>
        </w:rPr>
        <w:t>Cuántos Menores Extranjeros No Acompañados no han podido acceder a dicho servicio siendo el motivo haber cumplido la mayoría de edad sin haberse llegado a asumir la tutela por parte del Gobierno de Navarra habiendo ingresado previamente en un COA y por tanto incumplir el requisito marcado por la Cartera para poder acceder?</w:t>
      </w:r>
    </w:p>
    <w:p w:rsidR="00413BDE" w:rsidRPr="0020791F" w:rsidRDefault="00413BDE" w:rsidP="00413BDE">
      <w:pPr>
        <w:rPr>
          <w:rFonts w:cs="Arial"/>
          <w:sz w:val="22"/>
          <w:lang w:val="es-ES_tradnl"/>
        </w:rPr>
      </w:pPr>
      <w:r w:rsidRPr="0020791F">
        <w:rPr>
          <w:rFonts w:cs="Arial"/>
          <w:sz w:val="22"/>
          <w:lang w:val="es-ES_tradnl"/>
        </w:rPr>
        <w:lastRenderedPageBreak/>
        <w:t>La Cartera de Servicios Sociales de Ámbito General, aprobada por el Decreto Foral 69/2008, de 17 de junio, modificada por el Decreto Foral 30/2019, desarrolla la ficha “Servicio de apoyo a jóvenes en proceso de autonomía”, que establece como requisito</w:t>
      </w:r>
      <w:r w:rsidR="00895935" w:rsidRPr="0020791F">
        <w:rPr>
          <w:rFonts w:cs="Arial"/>
          <w:sz w:val="22"/>
          <w:lang w:val="es-ES_tradnl"/>
        </w:rPr>
        <w:t>s y criterios para su acceso:</w:t>
      </w:r>
    </w:p>
    <w:p w:rsidR="00413BDE" w:rsidRPr="0020791F" w:rsidRDefault="00413BDE" w:rsidP="00895935">
      <w:pPr>
        <w:numPr>
          <w:ilvl w:val="0"/>
          <w:numId w:val="12"/>
        </w:numPr>
        <w:rPr>
          <w:rFonts w:cs="Arial"/>
          <w:sz w:val="22"/>
          <w:lang w:val="es-ES_tradnl"/>
        </w:rPr>
      </w:pPr>
      <w:r w:rsidRPr="0020791F">
        <w:rPr>
          <w:rFonts w:cs="Arial"/>
          <w:sz w:val="22"/>
          <w:lang w:val="es-ES_tradnl"/>
        </w:rPr>
        <w:t>Jóvenes e</w:t>
      </w:r>
      <w:r w:rsidR="00895935" w:rsidRPr="0020791F">
        <w:rPr>
          <w:rFonts w:cs="Arial"/>
          <w:sz w:val="22"/>
          <w:lang w:val="es-ES_tradnl"/>
        </w:rPr>
        <w:t>n quienes finaliza la medida de</w:t>
      </w:r>
      <w:r w:rsidRPr="0020791F">
        <w:rPr>
          <w:rFonts w:cs="Arial"/>
          <w:sz w:val="22"/>
          <w:lang w:val="es-ES_tradnl"/>
        </w:rPr>
        <w:t xml:space="preserve"> protección sin posibilidad de retornar a la familia de origen o se encuentran en situación de especial vulnerabilidad.</w:t>
      </w:r>
    </w:p>
    <w:p w:rsidR="00413BDE" w:rsidRPr="0020791F" w:rsidRDefault="00413BDE" w:rsidP="00895935">
      <w:pPr>
        <w:numPr>
          <w:ilvl w:val="0"/>
          <w:numId w:val="12"/>
        </w:numPr>
        <w:rPr>
          <w:rFonts w:cs="Arial"/>
          <w:sz w:val="22"/>
          <w:lang w:val="es-ES_tradnl"/>
        </w:rPr>
      </w:pPr>
      <w:r w:rsidRPr="0020791F">
        <w:rPr>
          <w:rFonts w:cs="Arial"/>
          <w:sz w:val="22"/>
          <w:lang w:val="es-ES_tradnl"/>
        </w:rPr>
        <w:t>Participar activamente y con aprovechamiento de los servicios implementados según los compromisos adquiridos.</w:t>
      </w:r>
    </w:p>
    <w:p w:rsidR="00280D04" w:rsidRDefault="00413BDE" w:rsidP="00895935">
      <w:pPr>
        <w:numPr>
          <w:ilvl w:val="0"/>
          <w:numId w:val="12"/>
        </w:numPr>
        <w:rPr>
          <w:rFonts w:cs="Arial"/>
          <w:sz w:val="22"/>
          <w:lang w:val="es-ES_tradnl"/>
        </w:rPr>
      </w:pPr>
      <w:r w:rsidRPr="0020791F">
        <w:rPr>
          <w:rFonts w:cs="Arial"/>
          <w:sz w:val="22"/>
          <w:lang w:val="es-ES_tradnl"/>
        </w:rPr>
        <w:t>Informe previo de la unidad administrativa competente.</w:t>
      </w:r>
    </w:p>
    <w:p w:rsidR="00280D04" w:rsidRDefault="00413BDE" w:rsidP="00413BDE">
      <w:pPr>
        <w:rPr>
          <w:rFonts w:cs="Arial"/>
          <w:sz w:val="22"/>
          <w:lang w:val="es-ES_tradnl"/>
        </w:rPr>
      </w:pPr>
      <w:r w:rsidRPr="0020791F">
        <w:rPr>
          <w:rFonts w:cs="Arial"/>
          <w:sz w:val="22"/>
          <w:lang w:val="es-ES_tradnl"/>
        </w:rPr>
        <w:t>En base a estos requisitos, el hecho de no encontrarse tutelado no es motivo para denegar el acceso a dicho servicio. Por lo tanto, no se le ha denegado a ningún joven extranjero no acompañado el acceso a este servicio por este motivo.</w:t>
      </w:r>
    </w:p>
    <w:p w:rsidR="00280D04" w:rsidRDefault="0006150C" w:rsidP="00CA544A">
      <w:pPr>
        <w:spacing w:after="120"/>
        <w:rPr>
          <w:rFonts w:cs="Arial"/>
          <w:sz w:val="22"/>
        </w:rPr>
      </w:pPr>
      <w:r w:rsidRPr="0020791F">
        <w:rPr>
          <w:rFonts w:cs="Arial"/>
          <w:sz w:val="22"/>
        </w:rPr>
        <w:t>Es cuanto tengo el honor de informar en cumplimiento del artículo 1</w:t>
      </w:r>
      <w:r w:rsidR="00280D04">
        <w:rPr>
          <w:rFonts w:cs="Arial"/>
          <w:sz w:val="22"/>
        </w:rPr>
        <w:t>9</w:t>
      </w:r>
      <w:r w:rsidRPr="0020791F">
        <w:rPr>
          <w:rFonts w:cs="Arial"/>
          <w:sz w:val="22"/>
        </w:rPr>
        <w:t>4 del Reglamento del Parlamento de Navarra.</w:t>
      </w:r>
    </w:p>
    <w:p w:rsidR="0006150C" w:rsidRPr="0020791F" w:rsidRDefault="0006150C" w:rsidP="00CA544A">
      <w:pPr>
        <w:spacing w:after="120"/>
        <w:jc w:val="center"/>
        <w:outlineLvl w:val="0"/>
        <w:rPr>
          <w:rFonts w:cs="Arial"/>
          <w:sz w:val="22"/>
        </w:rPr>
      </w:pPr>
      <w:r w:rsidRPr="0020791F">
        <w:rPr>
          <w:rFonts w:cs="Arial"/>
          <w:sz w:val="22"/>
        </w:rPr>
        <w:t>Pamplona</w:t>
      </w:r>
      <w:r w:rsidR="00CD748E" w:rsidRPr="0020791F">
        <w:rPr>
          <w:rFonts w:cs="Arial"/>
          <w:sz w:val="22"/>
        </w:rPr>
        <w:t>-Iruña</w:t>
      </w:r>
      <w:r w:rsidRPr="0020791F">
        <w:rPr>
          <w:rFonts w:cs="Arial"/>
          <w:sz w:val="22"/>
        </w:rPr>
        <w:t xml:space="preserve">, </w:t>
      </w:r>
      <w:r w:rsidR="004D26E0" w:rsidRPr="0020791F">
        <w:rPr>
          <w:rFonts w:cs="Arial"/>
          <w:sz w:val="22"/>
        </w:rPr>
        <w:t>12 de febrero</w:t>
      </w:r>
      <w:r w:rsidR="00AA6EA2" w:rsidRPr="0020791F">
        <w:rPr>
          <w:rFonts w:cs="Arial"/>
          <w:sz w:val="22"/>
        </w:rPr>
        <w:t xml:space="preserve"> de 20</w:t>
      </w:r>
      <w:r w:rsidR="003960F4" w:rsidRPr="0020791F">
        <w:rPr>
          <w:rFonts w:cs="Arial"/>
          <w:sz w:val="22"/>
        </w:rPr>
        <w:t>2</w:t>
      </w:r>
      <w:r w:rsidR="005C5315" w:rsidRPr="0020791F">
        <w:rPr>
          <w:rFonts w:cs="Arial"/>
          <w:sz w:val="22"/>
        </w:rPr>
        <w:t>1</w:t>
      </w:r>
      <w:r w:rsidRPr="0020791F">
        <w:rPr>
          <w:rFonts w:cs="Arial"/>
          <w:sz w:val="22"/>
        </w:rPr>
        <w:t>.</w:t>
      </w:r>
    </w:p>
    <w:p w:rsidR="00280D04" w:rsidRPr="00280D04" w:rsidRDefault="00CD4DF7" w:rsidP="00280D04">
      <w:pPr>
        <w:spacing w:after="120"/>
        <w:jc w:val="center"/>
        <w:rPr>
          <w:rFonts w:cs="Arial"/>
          <w:sz w:val="22"/>
        </w:rPr>
      </w:pPr>
      <w:r w:rsidRPr="0020791F">
        <w:rPr>
          <w:rFonts w:cs="Arial"/>
          <w:sz w:val="22"/>
        </w:rPr>
        <w:t>La</w:t>
      </w:r>
      <w:r w:rsidR="00D45F8B" w:rsidRPr="0020791F">
        <w:rPr>
          <w:rFonts w:cs="Arial"/>
          <w:sz w:val="22"/>
        </w:rPr>
        <w:t xml:space="preserve"> </w:t>
      </w:r>
      <w:r w:rsidR="00F15BE5" w:rsidRPr="0020791F">
        <w:rPr>
          <w:rFonts w:cs="Arial"/>
          <w:sz w:val="22"/>
        </w:rPr>
        <w:t>Consejer</w:t>
      </w:r>
      <w:r w:rsidRPr="0020791F">
        <w:rPr>
          <w:rFonts w:cs="Arial"/>
          <w:sz w:val="22"/>
        </w:rPr>
        <w:t>a</w:t>
      </w:r>
      <w:r w:rsidR="00D45F8B" w:rsidRPr="0020791F">
        <w:rPr>
          <w:rFonts w:cs="Arial"/>
          <w:sz w:val="22"/>
        </w:rPr>
        <w:t xml:space="preserve"> de Derechos Sociales</w:t>
      </w:r>
      <w:r w:rsidR="00280D04">
        <w:rPr>
          <w:rFonts w:cs="Arial"/>
          <w:sz w:val="22"/>
        </w:rPr>
        <w:t xml:space="preserve">: </w:t>
      </w:r>
      <w:r w:rsidRPr="0020791F">
        <w:rPr>
          <w:rFonts w:cs="Arial"/>
          <w:sz w:val="22"/>
        </w:rPr>
        <w:t>María Carmen Maeztu Villafranca</w:t>
      </w:r>
      <w:bookmarkEnd w:id="0"/>
    </w:p>
    <w:sectPr w:rsidR="00280D04" w:rsidRPr="00280D04" w:rsidSect="00801B66">
      <w:headerReference w:type="default" r:id="rId8"/>
      <w:footerReference w:type="even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4E" w:rsidRDefault="005E104E">
      <w:r>
        <w:separator/>
      </w:r>
    </w:p>
  </w:endnote>
  <w:endnote w:type="continuationSeparator" w:id="0">
    <w:p w:rsidR="005E104E" w:rsidRDefault="005E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4E" w:rsidRDefault="005E104E">
      <w:r>
        <w:separator/>
      </w:r>
    </w:p>
  </w:footnote>
  <w:footnote w:type="continuationSeparator" w:id="0">
    <w:p w:rsidR="005E104E" w:rsidRDefault="005E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5C3B"/>
    <w:multiLevelType w:val="hybridMultilevel"/>
    <w:tmpl w:val="DD8CCB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063CB"/>
    <w:multiLevelType w:val="hybridMultilevel"/>
    <w:tmpl w:val="5B6A65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600B7"/>
    <w:multiLevelType w:val="hybridMultilevel"/>
    <w:tmpl w:val="44FC09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1068E7"/>
    <w:rsid w:val="001207D5"/>
    <w:rsid w:val="00127F44"/>
    <w:rsid w:val="0015056C"/>
    <w:rsid w:val="00194A38"/>
    <w:rsid w:val="0019679B"/>
    <w:rsid w:val="001A1B4A"/>
    <w:rsid w:val="001D2F3E"/>
    <w:rsid w:val="001D6EBA"/>
    <w:rsid w:val="0020791F"/>
    <w:rsid w:val="00225C7D"/>
    <w:rsid w:val="00241092"/>
    <w:rsid w:val="00252442"/>
    <w:rsid w:val="00280D04"/>
    <w:rsid w:val="00332E76"/>
    <w:rsid w:val="003575FF"/>
    <w:rsid w:val="00360CD5"/>
    <w:rsid w:val="003770D5"/>
    <w:rsid w:val="003817E7"/>
    <w:rsid w:val="003860DD"/>
    <w:rsid w:val="003926A4"/>
    <w:rsid w:val="00394EE0"/>
    <w:rsid w:val="003960F4"/>
    <w:rsid w:val="003B62F5"/>
    <w:rsid w:val="003E7CAB"/>
    <w:rsid w:val="00403A3C"/>
    <w:rsid w:val="00413BDE"/>
    <w:rsid w:val="004376AA"/>
    <w:rsid w:val="00462A9A"/>
    <w:rsid w:val="00493BB2"/>
    <w:rsid w:val="004D26E0"/>
    <w:rsid w:val="004D3ACF"/>
    <w:rsid w:val="004D5259"/>
    <w:rsid w:val="004E53CE"/>
    <w:rsid w:val="0055627E"/>
    <w:rsid w:val="0056046D"/>
    <w:rsid w:val="00560F7E"/>
    <w:rsid w:val="0058384E"/>
    <w:rsid w:val="005C5315"/>
    <w:rsid w:val="005D4333"/>
    <w:rsid w:val="005E104E"/>
    <w:rsid w:val="005E5A1A"/>
    <w:rsid w:val="005F73CD"/>
    <w:rsid w:val="00625CDC"/>
    <w:rsid w:val="00630D27"/>
    <w:rsid w:val="006345F0"/>
    <w:rsid w:val="00641778"/>
    <w:rsid w:val="006511C3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95935"/>
    <w:rsid w:val="008A7332"/>
    <w:rsid w:val="008B7359"/>
    <w:rsid w:val="008F0A77"/>
    <w:rsid w:val="009708F7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DD4A48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3F99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concuadrcula">
    <w:name w:val="Table Grid"/>
    <w:basedOn w:val="Tablanormal"/>
    <w:rsid w:val="0041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D5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concuadrcula">
    <w:name w:val="Table Grid"/>
    <w:basedOn w:val="Tablanormal"/>
    <w:rsid w:val="0041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D5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2015-09-24T14:01:00Z</cp:lastPrinted>
  <dcterms:created xsi:type="dcterms:W3CDTF">2021-02-18T12:53:00Z</dcterms:created>
  <dcterms:modified xsi:type="dcterms:W3CDTF">2021-03-09T12:33:00Z</dcterms:modified>
</cp:coreProperties>
</file>