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gaurkotasun handiko galdera, haurrak eta nerabeak indarkeriaren aurrean babesteko legeari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apirilaren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gaurkotasun handiko honako galdera hau aurkezten du, Nafarroako Gobernuko Eskubide Sozialetako kontseilariak apirilaren 22ko Osoko Bilkuran ahoz erantzun dezan:</w:t>
      </w:r>
    </w:p>
    <w:p>
      <w:pPr>
        <w:pStyle w:val="0"/>
        <w:suppressAutoHyphens w:val="false"/>
        <w:rPr>
          <w:rStyle w:val="1"/>
        </w:rPr>
      </w:pPr>
      <w:r>
        <w:rPr>
          <w:rStyle w:val="1"/>
        </w:rPr>
        <w:t xml:space="preserve">Haurrak eta nerabeak indarkeriaren aurrean babesteko lege onetsi berriak zer eragin izanen du Nafarroan?</w:t>
      </w:r>
    </w:p>
    <w:p>
      <w:pPr>
        <w:pStyle w:val="0"/>
        <w:suppressAutoHyphens w:val="false"/>
        <w:rPr>
          <w:rStyle w:val="1"/>
        </w:rPr>
      </w:pPr>
      <w:r>
        <w:rPr>
          <w:rStyle w:val="1"/>
        </w:rPr>
        <w:t xml:space="preserve">Iruñean, 2021eko apirilaren 15ean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