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style1.xml" ContentType="application/vnd.ms-office.chartstyle+xml"/>
  <Override PartName="/word/charts/colors1.xml" ContentType="application/vnd.ms-office.chartcolor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DAC" w:rsidRPr="006C4DAC" w:rsidRDefault="00FA495F" w:rsidP="000170C1">
      <w:pPr>
        <w:pStyle w:val="EstiloPortada"/>
        <w:ind w:right="-58"/>
        <w:jc w:val="right"/>
        <w:rPr>
          <w:sz w:val="40"/>
          <w:szCs w:val="40"/>
        </w:rPr>
      </w:pPr>
      <w:r w:rsidRPr="00A8137F">
        <w:rPr>
          <w:rFonts w:ascii="Arial" w:hAnsi="Arial" w:cs="Arial"/>
          <w:noProof/>
          <w:color w:val="808080"/>
          <w:sz w:val="40"/>
          <w:lang w:val="es-ES" w:eastAsia="es-ES"/>
        </w:rPr>
        <mc:AlternateContent>
          <mc:Choice Requires="wps">
            <w:drawing>
              <wp:anchor distT="0" distB="0" distL="114300" distR="114300" simplePos="0" relativeHeight="251657728" behindDoc="0" locked="0" layoutInCell="1" allowOverlap="1" wp14:anchorId="44865297" wp14:editId="701B31BC">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392C6B" w:rsidRPr="003A7956" w:rsidRDefault="00392C6B" w:rsidP="004C3423">
                            <w:pPr>
                              <w:spacing w:after="0"/>
                              <w:ind w:firstLine="0"/>
                              <w:jc w:val="center"/>
                              <w:rPr>
                                <w:sz w:val="18"/>
                                <w:szCs w:val="18"/>
                                <w:lang w:val="es-ES"/>
                              </w:rPr>
                            </w:pPr>
                            <w:r w:rsidRPr="003A7956">
                              <w:rPr>
                                <w:sz w:val="18"/>
                                <w:szCs w:val="18"/>
                                <w:lang w:val="es-ES"/>
                              </w:rPr>
                              <w:t>CAMARA DE</w:t>
                            </w:r>
                          </w:p>
                          <w:p w:rsidR="00392C6B" w:rsidRPr="003A7956" w:rsidRDefault="00392C6B" w:rsidP="004C3423">
                            <w:pPr>
                              <w:spacing w:after="0"/>
                              <w:ind w:firstLine="0"/>
                              <w:jc w:val="center"/>
                              <w:rPr>
                                <w:sz w:val="18"/>
                                <w:szCs w:val="18"/>
                                <w:lang w:val="es-ES"/>
                              </w:rPr>
                            </w:pPr>
                            <w:r w:rsidRPr="003A7956">
                              <w:rPr>
                                <w:sz w:val="18"/>
                                <w:szCs w:val="18"/>
                                <w:lang w:val="es-ES"/>
                              </w:rPr>
                              <w:t>COMPTOS</w:t>
                            </w:r>
                          </w:p>
                          <w:p w:rsidR="00392C6B" w:rsidRPr="003A7956" w:rsidRDefault="00392C6B" w:rsidP="004C3423">
                            <w:pPr>
                              <w:spacing w:after="0"/>
                              <w:ind w:firstLine="0"/>
                              <w:jc w:val="center"/>
                              <w:rPr>
                                <w:sz w:val="18"/>
                                <w:szCs w:val="18"/>
                                <w:lang w:val="es-ES"/>
                              </w:rPr>
                            </w:pPr>
                            <w:r w:rsidRPr="003A7956">
                              <w:rPr>
                                <w:sz w:val="18"/>
                                <w:szCs w:val="18"/>
                                <w:lang w:val="es-ES"/>
                              </w:rPr>
                              <w:t>DE NAVARRA</w:t>
                            </w:r>
                          </w:p>
                          <w:p w:rsidR="00392C6B" w:rsidRPr="003A7956" w:rsidRDefault="00392C6B" w:rsidP="004C3423">
                            <w:pPr>
                              <w:spacing w:after="0"/>
                              <w:ind w:firstLine="0"/>
                              <w:jc w:val="center"/>
                              <w:rPr>
                                <w:color w:val="808080"/>
                                <w:sz w:val="18"/>
                                <w:szCs w:val="18"/>
                                <w:lang w:val="es-ES"/>
                              </w:rPr>
                            </w:pPr>
                            <w:r w:rsidRPr="003A7956">
                              <w:rPr>
                                <w:color w:val="808080"/>
                                <w:sz w:val="18"/>
                                <w:szCs w:val="18"/>
                                <w:lang w:val="es-ES"/>
                              </w:rPr>
                              <w:t>NAFARROAKO</w:t>
                            </w:r>
                          </w:p>
                          <w:p w:rsidR="00392C6B" w:rsidRPr="003A7956" w:rsidRDefault="00392C6B" w:rsidP="004C3423">
                            <w:pPr>
                              <w:spacing w:after="0"/>
                              <w:ind w:firstLine="0"/>
                              <w:jc w:val="center"/>
                              <w:rPr>
                                <w:color w:val="808080"/>
                                <w:sz w:val="18"/>
                                <w:szCs w:val="18"/>
                                <w:lang w:val="es-ES"/>
                              </w:rPr>
                            </w:pPr>
                            <w:r w:rsidRPr="003A7956">
                              <w:rPr>
                                <w:color w:val="808080"/>
                                <w:sz w:val="18"/>
                                <w:szCs w:val="18"/>
                                <w:lang w:val="es-ES"/>
                              </w:rPr>
                              <w:t>KONTUEN</w:t>
                            </w:r>
                          </w:p>
                          <w:p w:rsidR="00392C6B" w:rsidRPr="003A7956" w:rsidRDefault="00392C6B" w:rsidP="004C3423">
                            <w:pPr>
                              <w:spacing w:after="0"/>
                              <w:ind w:firstLine="0"/>
                              <w:jc w:val="center"/>
                              <w:rPr>
                                <w:color w:val="808080"/>
                                <w:sz w:val="18"/>
                                <w:szCs w:val="18"/>
                                <w:lang w:val="es-ES"/>
                              </w:rPr>
                            </w:pPr>
                            <w:r w:rsidRPr="003A7956">
                              <w:rPr>
                                <w:color w:val="808080"/>
                                <w:sz w:val="18"/>
                                <w:szCs w:val="18"/>
                                <w:lang w:val="es-ES"/>
                              </w:rPr>
                              <w:t>GANBERA</w:t>
                            </w:r>
                          </w:p>
                          <w:p w:rsidR="00392C6B" w:rsidRPr="002C7026" w:rsidRDefault="00392C6B"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4865297"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392C6B" w:rsidRPr="003A7956" w:rsidRDefault="00392C6B" w:rsidP="004C3423">
                      <w:pPr>
                        <w:spacing w:after="0"/>
                        <w:ind w:firstLine="0"/>
                        <w:jc w:val="center"/>
                        <w:rPr>
                          <w:sz w:val="18"/>
                          <w:szCs w:val="18"/>
                          <w:lang w:val="es-ES"/>
                        </w:rPr>
                      </w:pPr>
                      <w:r w:rsidRPr="003A7956">
                        <w:rPr>
                          <w:sz w:val="18"/>
                          <w:szCs w:val="18"/>
                          <w:lang w:val="es-ES"/>
                        </w:rPr>
                        <w:t>CAMARA DE</w:t>
                      </w:r>
                    </w:p>
                    <w:p w:rsidR="00392C6B" w:rsidRPr="003A7956" w:rsidRDefault="00392C6B" w:rsidP="004C3423">
                      <w:pPr>
                        <w:spacing w:after="0"/>
                        <w:ind w:firstLine="0"/>
                        <w:jc w:val="center"/>
                        <w:rPr>
                          <w:sz w:val="18"/>
                          <w:szCs w:val="18"/>
                          <w:lang w:val="es-ES"/>
                        </w:rPr>
                      </w:pPr>
                      <w:r w:rsidRPr="003A7956">
                        <w:rPr>
                          <w:sz w:val="18"/>
                          <w:szCs w:val="18"/>
                          <w:lang w:val="es-ES"/>
                        </w:rPr>
                        <w:t>COMPTOS</w:t>
                      </w:r>
                    </w:p>
                    <w:p w:rsidR="00392C6B" w:rsidRPr="003A7956" w:rsidRDefault="00392C6B" w:rsidP="004C3423">
                      <w:pPr>
                        <w:spacing w:after="0"/>
                        <w:ind w:firstLine="0"/>
                        <w:jc w:val="center"/>
                        <w:rPr>
                          <w:sz w:val="18"/>
                          <w:szCs w:val="18"/>
                          <w:lang w:val="es-ES"/>
                        </w:rPr>
                      </w:pPr>
                      <w:r w:rsidRPr="003A7956">
                        <w:rPr>
                          <w:sz w:val="18"/>
                          <w:szCs w:val="18"/>
                          <w:lang w:val="es-ES"/>
                        </w:rPr>
                        <w:t>DE NAVARRA</w:t>
                      </w:r>
                    </w:p>
                    <w:p w:rsidR="00392C6B" w:rsidRPr="003A7956" w:rsidRDefault="00392C6B" w:rsidP="004C3423">
                      <w:pPr>
                        <w:spacing w:after="0"/>
                        <w:ind w:firstLine="0"/>
                        <w:jc w:val="center"/>
                        <w:rPr>
                          <w:color w:val="808080"/>
                          <w:sz w:val="18"/>
                          <w:szCs w:val="18"/>
                          <w:lang w:val="es-ES"/>
                        </w:rPr>
                      </w:pPr>
                      <w:r w:rsidRPr="003A7956">
                        <w:rPr>
                          <w:color w:val="808080"/>
                          <w:sz w:val="18"/>
                          <w:szCs w:val="18"/>
                          <w:lang w:val="es-ES"/>
                        </w:rPr>
                        <w:t>NAFARROAKO</w:t>
                      </w:r>
                    </w:p>
                    <w:p w:rsidR="00392C6B" w:rsidRPr="003A7956" w:rsidRDefault="00392C6B" w:rsidP="004C3423">
                      <w:pPr>
                        <w:spacing w:after="0"/>
                        <w:ind w:firstLine="0"/>
                        <w:jc w:val="center"/>
                        <w:rPr>
                          <w:color w:val="808080"/>
                          <w:sz w:val="18"/>
                          <w:szCs w:val="18"/>
                          <w:lang w:val="es-ES"/>
                        </w:rPr>
                      </w:pPr>
                      <w:r w:rsidRPr="003A7956">
                        <w:rPr>
                          <w:color w:val="808080"/>
                          <w:sz w:val="18"/>
                          <w:szCs w:val="18"/>
                          <w:lang w:val="es-ES"/>
                        </w:rPr>
                        <w:t>KONTUEN</w:t>
                      </w:r>
                    </w:p>
                    <w:p w:rsidR="00392C6B" w:rsidRPr="003A7956" w:rsidRDefault="00392C6B" w:rsidP="004C3423">
                      <w:pPr>
                        <w:spacing w:after="0"/>
                        <w:ind w:firstLine="0"/>
                        <w:jc w:val="center"/>
                        <w:rPr>
                          <w:color w:val="808080"/>
                          <w:sz w:val="18"/>
                          <w:szCs w:val="18"/>
                          <w:lang w:val="es-ES"/>
                        </w:rPr>
                      </w:pPr>
                      <w:r w:rsidRPr="003A7956">
                        <w:rPr>
                          <w:color w:val="808080"/>
                          <w:sz w:val="18"/>
                          <w:szCs w:val="18"/>
                          <w:lang w:val="es-ES"/>
                        </w:rPr>
                        <w:t>GANBERA</w:t>
                      </w:r>
                    </w:p>
                    <w:p w:rsidR="00392C6B" w:rsidRPr="002C7026" w:rsidRDefault="00392C6B" w:rsidP="002C7026">
                      <w:pPr>
                        <w:spacing w:after="0"/>
                        <w:ind w:firstLine="0"/>
                        <w:jc w:val="center"/>
                        <w:rPr>
                          <w:rFonts w:ascii="Trajan" w:hAnsi="Trajan"/>
                          <w:color w:val="808080"/>
                          <w:sz w:val="18"/>
                          <w:szCs w:val="18"/>
                          <w:lang w:val="es-ES"/>
                        </w:rPr>
                      </w:pPr>
                    </w:p>
                  </w:txbxContent>
                </v:textbox>
              </v:shape>
            </w:pict>
          </mc:Fallback>
        </mc:AlternateContent>
      </w:r>
      <w:r w:rsidR="006C4DAC" w:rsidRPr="006C4DAC">
        <w:rPr>
          <w:sz w:val="40"/>
          <w:szCs w:val="40"/>
        </w:rPr>
        <w:t>Gestión de la COVID-19</w:t>
      </w:r>
    </w:p>
    <w:p w:rsidR="006C4DAC" w:rsidRDefault="006C4DAC" w:rsidP="006C4DAC">
      <w:pPr>
        <w:pStyle w:val="EstiloPortada"/>
        <w:ind w:left="1560" w:right="0"/>
        <w:jc w:val="right"/>
        <w:rPr>
          <w:sz w:val="40"/>
          <w:szCs w:val="40"/>
        </w:rPr>
      </w:pPr>
      <w:r w:rsidRPr="006C4DAC">
        <w:rPr>
          <w:sz w:val="40"/>
          <w:szCs w:val="40"/>
        </w:rPr>
        <w:t>por la Administración de la</w:t>
      </w:r>
    </w:p>
    <w:p w:rsidR="006C4DAC" w:rsidRDefault="006C4DAC" w:rsidP="006C4DAC">
      <w:pPr>
        <w:pStyle w:val="EstiloPortada"/>
        <w:ind w:left="1560" w:right="0"/>
        <w:jc w:val="right"/>
        <w:rPr>
          <w:sz w:val="40"/>
          <w:szCs w:val="40"/>
        </w:rPr>
      </w:pPr>
      <w:r w:rsidRPr="006C4DAC">
        <w:rPr>
          <w:sz w:val="40"/>
          <w:szCs w:val="40"/>
        </w:rPr>
        <w:t>Comunidad Foral de Navarra</w:t>
      </w:r>
    </w:p>
    <w:p w:rsidR="006C4DAC" w:rsidRPr="006C4DAC" w:rsidRDefault="006C4DAC" w:rsidP="006C4DAC">
      <w:pPr>
        <w:pStyle w:val="EstiloPortada"/>
        <w:ind w:left="1560" w:right="0"/>
        <w:jc w:val="right"/>
        <w:rPr>
          <w:sz w:val="40"/>
          <w:szCs w:val="40"/>
        </w:rPr>
      </w:pPr>
      <w:r w:rsidRPr="006C4DAC">
        <w:rPr>
          <w:sz w:val="40"/>
          <w:szCs w:val="40"/>
        </w:rPr>
        <w:t>(marzo-diciembre 2020)</w:t>
      </w:r>
    </w:p>
    <w:p w:rsidR="001C3A32" w:rsidRPr="006C4DAC" w:rsidRDefault="001C3A32" w:rsidP="00891D73">
      <w:pPr>
        <w:pStyle w:val="texto"/>
        <w:rPr>
          <w:sz w:val="44"/>
          <w:szCs w:val="44"/>
        </w:rPr>
      </w:pPr>
    </w:p>
    <w:p w:rsidR="001C3A32" w:rsidRPr="00204979" w:rsidRDefault="001C3A32"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Default="001C3A32" w:rsidP="00891D73">
      <w:pPr>
        <w:pStyle w:val="texto"/>
      </w:pPr>
    </w:p>
    <w:p w:rsidR="006C4DAC" w:rsidRPr="00204979" w:rsidRDefault="006C4DAC" w:rsidP="00891D73">
      <w:pPr>
        <w:pStyle w:val="texto"/>
      </w:pPr>
    </w:p>
    <w:p w:rsidR="001C3A32" w:rsidRPr="00204979" w:rsidRDefault="001C3A32" w:rsidP="00891D73">
      <w:pPr>
        <w:pStyle w:val="texto"/>
      </w:pPr>
    </w:p>
    <w:p w:rsidR="00844F74" w:rsidRPr="00204979" w:rsidRDefault="00844F74" w:rsidP="00891D73">
      <w:pPr>
        <w:pStyle w:val="texto"/>
      </w:pPr>
    </w:p>
    <w:p w:rsidR="00844F74" w:rsidRPr="00204979" w:rsidRDefault="00844F74" w:rsidP="00891D73">
      <w:pPr>
        <w:pStyle w:val="texto"/>
      </w:pPr>
    </w:p>
    <w:p w:rsidR="00716463" w:rsidRPr="001D4F09" w:rsidRDefault="000170C1" w:rsidP="009936FC">
      <w:pPr>
        <w:pStyle w:val="Fechaportada"/>
      </w:pPr>
      <w:r>
        <w:t>Abril</w:t>
      </w:r>
      <w:r w:rsidR="00253E78" w:rsidRPr="001D4F09">
        <w:t xml:space="preserve"> de 20</w:t>
      </w:r>
      <w:r w:rsidR="006C4DAC">
        <w:t>21</w:t>
      </w:r>
    </w:p>
    <w:p w:rsidR="008E3FFE" w:rsidRPr="001D4F09" w:rsidRDefault="008E3FFE" w:rsidP="00891D73">
      <w:pPr>
        <w:pStyle w:val="ndice"/>
        <w:rPr>
          <w:rFonts w:ascii="Times New Roman" w:hAnsi="Times New Roman"/>
        </w:rPr>
        <w:sectPr w:rsidR="008E3FFE" w:rsidRPr="001D4F09"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1C3A32" w:rsidRDefault="00891D73" w:rsidP="00891D73">
      <w:pPr>
        <w:pStyle w:val="ndice"/>
      </w:pPr>
      <w:r w:rsidRPr="00891D73">
        <w:lastRenderedPageBreak/>
        <w:t>Índice</w:t>
      </w:r>
    </w:p>
    <w:p w:rsidR="00CC15C0" w:rsidRPr="004740FB" w:rsidRDefault="00CC15C0" w:rsidP="00CC15C0">
      <w:pPr>
        <w:pStyle w:val="ndice"/>
        <w:jc w:val="right"/>
        <w:rPr>
          <w:b w:val="0"/>
          <w:i/>
          <w:sz w:val="16"/>
          <w:szCs w:val="16"/>
        </w:rPr>
      </w:pPr>
      <w:r w:rsidRPr="004740FB">
        <w:rPr>
          <w:b w:val="0"/>
          <w:i/>
          <w:sz w:val="16"/>
          <w:szCs w:val="16"/>
        </w:rPr>
        <w:t>P</w:t>
      </w:r>
      <w:r>
        <w:rPr>
          <w:b w:val="0"/>
          <w:i/>
          <w:sz w:val="16"/>
          <w:szCs w:val="16"/>
        </w:rPr>
        <w:t>á</w:t>
      </w:r>
      <w:r w:rsidRPr="004740FB">
        <w:rPr>
          <w:b w:val="0"/>
          <w:i/>
          <w:sz w:val="16"/>
          <w:szCs w:val="16"/>
        </w:rPr>
        <w:t>gina</w:t>
      </w:r>
    </w:p>
    <w:p w:rsidR="00C05E95" w:rsidRDefault="0014728F">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69373182" w:history="1">
        <w:r w:rsidR="00C05E95" w:rsidRPr="00436DAC">
          <w:rPr>
            <w:rStyle w:val="Hipervnculo"/>
            <w:noProof/>
          </w:rPr>
          <w:t>I. Introducción</w:t>
        </w:r>
        <w:r w:rsidR="00C05E95">
          <w:rPr>
            <w:noProof/>
            <w:webHidden/>
          </w:rPr>
          <w:tab/>
        </w:r>
        <w:r w:rsidR="00C05E95">
          <w:rPr>
            <w:noProof/>
            <w:webHidden/>
          </w:rPr>
          <w:fldChar w:fldCharType="begin"/>
        </w:r>
        <w:r w:rsidR="00C05E95">
          <w:rPr>
            <w:noProof/>
            <w:webHidden/>
          </w:rPr>
          <w:instrText xml:space="preserve"> PAGEREF _Toc69373182 \h </w:instrText>
        </w:r>
        <w:r w:rsidR="00C05E95">
          <w:rPr>
            <w:noProof/>
            <w:webHidden/>
          </w:rPr>
        </w:r>
        <w:r w:rsidR="00C05E95">
          <w:rPr>
            <w:noProof/>
            <w:webHidden/>
          </w:rPr>
          <w:fldChar w:fldCharType="separate"/>
        </w:r>
        <w:r w:rsidR="00AF2B3F">
          <w:rPr>
            <w:noProof/>
            <w:webHidden/>
          </w:rPr>
          <w:t>3</w:t>
        </w:r>
        <w:r w:rsidR="00C05E95">
          <w:rPr>
            <w:noProof/>
            <w:webHidden/>
          </w:rPr>
          <w:fldChar w:fldCharType="end"/>
        </w:r>
      </w:hyperlink>
    </w:p>
    <w:p w:rsidR="00C05E95" w:rsidRDefault="00717C03">
      <w:pPr>
        <w:pStyle w:val="TDC1"/>
        <w:rPr>
          <w:rFonts w:asciiTheme="minorHAnsi" w:eastAsiaTheme="minorEastAsia" w:hAnsiTheme="minorHAnsi" w:cstheme="minorBidi"/>
          <w:smallCaps w:val="0"/>
          <w:noProof/>
          <w:szCs w:val="22"/>
          <w:lang w:val="es-ES" w:eastAsia="es-ES"/>
        </w:rPr>
      </w:pPr>
      <w:hyperlink w:anchor="_Toc69373183" w:history="1">
        <w:r w:rsidR="00C05E95" w:rsidRPr="00436DAC">
          <w:rPr>
            <w:rStyle w:val="Hipervnculo"/>
            <w:noProof/>
          </w:rPr>
          <w:t>II. Gestión de la COVID-19 por la Administración de la Comunidad Foral de Navarra</w:t>
        </w:r>
        <w:r w:rsidR="00C05E95">
          <w:rPr>
            <w:noProof/>
            <w:webHidden/>
          </w:rPr>
          <w:tab/>
        </w:r>
        <w:r w:rsidR="00C05E95">
          <w:rPr>
            <w:noProof/>
            <w:webHidden/>
          </w:rPr>
          <w:fldChar w:fldCharType="begin"/>
        </w:r>
        <w:r w:rsidR="00C05E95">
          <w:rPr>
            <w:noProof/>
            <w:webHidden/>
          </w:rPr>
          <w:instrText xml:space="preserve"> PAGEREF _Toc69373183 \h </w:instrText>
        </w:r>
        <w:r w:rsidR="00C05E95">
          <w:rPr>
            <w:noProof/>
            <w:webHidden/>
          </w:rPr>
        </w:r>
        <w:r w:rsidR="00C05E95">
          <w:rPr>
            <w:noProof/>
            <w:webHidden/>
          </w:rPr>
          <w:fldChar w:fldCharType="separate"/>
        </w:r>
        <w:r w:rsidR="00AF2B3F">
          <w:rPr>
            <w:noProof/>
            <w:webHidden/>
          </w:rPr>
          <w:t>5</w:t>
        </w:r>
        <w:r w:rsidR="00C05E95">
          <w:rPr>
            <w:noProof/>
            <w:webHidden/>
          </w:rPr>
          <w:fldChar w:fldCharType="end"/>
        </w:r>
      </w:hyperlink>
    </w:p>
    <w:p w:rsidR="00C05E95" w:rsidRDefault="00717C03">
      <w:pPr>
        <w:pStyle w:val="TDC2"/>
        <w:rPr>
          <w:rFonts w:asciiTheme="minorHAnsi" w:eastAsiaTheme="minorEastAsia" w:hAnsiTheme="minorHAnsi" w:cstheme="minorBidi"/>
          <w:noProof/>
          <w:szCs w:val="22"/>
          <w:lang w:val="es-ES" w:eastAsia="es-ES"/>
        </w:rPr>
      </w:pPr>
      <w:hyperlink w:anchor="_Toc69373184" w:history="1">
        <w:r w:rsidR="00C05E95" w:rsidRPr="00436DAC">
          <w:rPr>
            <w:rStyle w:val="Hipervnculo"/>
            <w:noProof/>
          </w:rPr>
          <w:t>II.1. Marco normativo aplicable a la gestión de la COVID-19</w:t>
        </w:r>
        <w:r w:rsidR="00C05E95">
          <w:rPr>
            <w:noProof/>
            <w:webHidden/>
          </w:rPr>
          <w:tab/>
        </w:r>
        <w:r w:rsidR="00C05E95">
          <w:rPr>
            <w:noProof/>
            <w:webHidden/>
          </w:rPr>
          <w:fldChar w:fldCharType="begin"/>
        </w:r>
        <w:r w:rsidR="00C05E95">
          <w:rPr>
            <w:noProof/>
            <w:webHidden/>
          </w:rPr>
          <w:instrText xml:space="preserve"> PAGEREF _Toc69373184 \h </w:instrText>
        </w:r>
        <w:r w:rsidR="00C05E95">
          <w:rPr>
            <w:noProof/>
            <w:webHidden/>
          </w:rPr>
        </w:r>
        <w:r w:rsidR="00C05E95">
          <w:rPr>
            <w:noProof/>
            <w:webHidden/>
          </w:rPr>
          <w:fldChar w:fldCharType="separate"/>
        </w:r>
        <w:r w:rsidR="00AF2B3F">
          <w:rPr>
            <w:noProof/>
            <w:webHidden/>
          </w:rPr>
          <w:t>5</w:t>
        </w:r>
        <w:r w:rsidR="00C05E95">
          <w:rPr>
            <w:noProof/>
            <w:webHidden/>
          </w:rPr>
          <w:fldChar w:fldCharType="end"/>
        </w:r>
      </w:hyperlink>
    </w:p>
    <w:p w:rsidR="00C05E95" w:rsidRDefault="00717C03">
      <w:pPr>
        <w:pStyle w:val="TDC2"/>
        <w:rPr>
          <w:rFonts w:asciiTheme="minorHAnsi" w:eastAsiaTheme="minorEastAsia" w:hAnsiTheme="minorHAnsi" w:cstheme="minorBidi"/>
          <w:noProof/>
          <w:szCs w:val="22"/>
          <w:lang w:val="es-ES" w:eastAsia="es-ES"/>
        </w:rPr>
      </w:pPr>
      <w:hyperlink w:anchor="_Toc69373185" w:history="1">
        <w:r w:rsidR="00C05E95" w:rsidRPr="00436DAC">
          <w:rPr>
            <w:rStyle w:val="Hipervnculo"/>
            <w:noProof/>
          </w:rPr>
          <w:t>II.2. Procedimientos de gestión aplicados a la COVID-19</w:t>
        </w:r>
        <w:r w:rsidR="00C05E95">
          <w:rPr>
            <w:noProof/>
            <w:webHidden/>
          </w:rPr>
          <w:tab/>
        </w:r>
        <w:r w:rsidR="00C05E95">
          <w:rPr>
            <w:noProof/>
            <w:webHidden/>
          </w:rPr>
          <w:fldChar w:fldCharType="begin"/>
        </w:r>
        <w:r w:rsidR="00C05E95">
          <w:rPr>
            <w:noProof/>
            <w:webHidden/>
          </w:rPr>
          <w:instrText xml:space="preserve"> PAGEREF _Toc69373185 \h </w:instrText>
        </w:r>
        <w:r w:rsidR="00C05E95">
          <w:rPr>
            <w:noProof/>
            <w:webHidden/>
          </w:rPr>
        </w:r>
        <w:r w:rsidR="00C05E95">
          <w:rPr>
            <w:noProof/>
            <w:webHidden/>
          </w:rPr>
          <w:fldChar w:fldCharType="separate"/>
        </w:r>
        <w:r w:rsidR="00AF2B3F">
          <w:rPr>
            <w:noProof/>
            <w:webHidden/>
          </w:rPr>
          <w:t>6</w:t>
        </w:r>
        <w:r w:rsidR="00C05E95">
          <w:rPr>
            <w:noProof/>
            <w:webHidden/>
          </w:rPr>
          <w:fldChar w:fldCharType="end"/>
        </w:r>
      </w:hyperlink>
    </w:p>
    <w:p w:rsidR="00C05E95" w:rsidRDefault="00717C03">
      <w:pPr>
        <w:pStyle w:val="TDC1"/>
        <w:rPr>
          <w:rFonts w:asciiTheme="minorHAnsi" w:eastAsiaTheme="minorEastAsia" w:hAnsiTheme="minorHAnsi" w:cstheme="minorBidi"/>
          <w:smallCaps w:val="0"/>
          <w:noProof/>
          <w:szCs w:val="22"/>
          <w:lang w:val="es-ES" w:eastAsia="es-ES"/>
        </w:rPr>
      </w:pPr>
      <w:hyperlink w:anchor="_Toc69373186" w:history="1">
        <w:r w:rsidR="00C05E95" w:rsidRPr="00436DAC">
          <w:rPr>
            <w:rStyle w:val="Hipervnculo"/>
            <w:noProof/>
          </w:rPr>
          <w:t>III. Objetivos, alcance y limitaciones</w:t>
        </w:r>
        <w:r w:rsidR="00C05E95">
          <w:rPr>
            <w:noProof/>
            <w:webHidden/>
          </w:rPr>
          <w:tab/>
        </w:r>
        <w:r w:rsidR="00C05E95">
          <w:rPr>
            <w:noProof/>
            <w:webHidden/>
          </w:rPr>
          <w:fldChar w:fldCharType="begin"/>
        </w:r>
        <w:r w:rsidR="00C05E95">
          <w:rPr>
            <w:noProof/>
            <w:webHidden/>
          </w:rPr>
          <w:instrText xml:space="preserve"> PAGEREF _Toc69373186 \h </w:instrText>
        </w:r>
        <w:r w:rsidR="00C05E95">
          <w:rPr>
            <w:noProof/>
            <w:webHidden/>
          </w:rPr>
        </w:r>
        <w:r w:rsidR="00C05E95">
          <w:rPr>
            <w:noProof/>
            <w:webHidden/>
          </w:rPr>
          <w:fldChar w:fldCharType="separate"/>
        </w:r>
        <w:r w:rsidR="00AF2B3F">
          <w:rPr>
            <w:noProof/>
            <w:webHidden/>
          </w:rPr>
          <w:t>11</w:t>
        </w:r>
        <w:r w:rsidR="00C05E95">
          <w:rPr>
            <w:noProof/>
            <w:webHidden/>
          </w:rPr>
          <w:fldChar w:fldCharType="end"/>
        </w:r>
      </w:hyperlink>
    </w:p>
    <w:p w:rsidR="00C05E95" w:rsidRDefault="00717C03">
      <w:pPr>
        <w:pStyle w:val="TDC1"/>
        <w:rPr>
          <w:rFonts w:asciiTheme="minorHAnsi" w:eastAsiaTheme="minorEastAsia" w:hAnsiTheme="minorHAnsi" w:cstheme="minorBidi"/>
          <w:smallCaps w:val="0"/>
          <w:noProof/>
          <w:szCs w:val="22"/>
          <w:lang w:val="es-ES" w:eastAsia="es-ES"/>
        </w:rPr>
      </w:pPr>
      <w:hyperlink w:anchor="_Toc69373187" w:history="1">
        <w:r w:rsidR="00C05E95" w:rsidRPr="00436DAC">
          <w:rPr>
            <w:rStyle w:val="Hipervnculo"/>
            <w:noProof/>
          </w:rPr>
          <w:t>IV. Conclusiones y recomendaciones</w:t>
        </w:r>
        <w:r w:rsidR="00C05E95">
          <w:rPr>
            <w:noProof/>
            <w:webHidden/>
          </w:rPr>
          <w:tab/>
        </w:r>
        <w:r w:rsidR="00C05E95">
          <w:rPr>
            <w:noProof/>
            <w:webHidden/>
          </w:rPr>
          <w:fldChar w:fldCharType="begin"/>
        </w:r>
        <w:r w:rsidR="00C05E95">
          <w:rPr>
            <w:noProof/>
            <w:webHidden/>
          </w:rPr>
          <w:instrText xml:space="preserve"> PAGEREF _Toc69373187 \h </w:instrText>
        </w:r>
        <w:r w:rsidR="00C05E95">
          <w:rPr>
            <w:noProof/>
            <w:webHidden/>
          </w:rPr>
        </w:r>
        <w:r w:rsidR="00C05E95">
          <w:rPr>
            <w:noProof/>
            <w:webHidden/>
          </w:rPr>
          <w:fldChar w:fldCharType="separate"/>
        </w:r>
        <w:r w:rsidR="00AF2B3F">
          <w:rPr>
            <w:noProof/>
            <w:webHidden/>
          </w:rPr>
          <w:t>14</w:t>
        </w:r>
        <w:r w:rsidR="00C05E95">
          <w:rPr>
            <w:noProof/>
            <w:webHidden/>
          </w:rPr>
          <w:fldChar w:fldCharType="end"/>
        </w:r>
      </w:hyperlink>
    </w:p>
    <w:p w:rsidR="00C05E95" w:rsidRDefault="00717C03">
      <w:pPr>
        <w:pStyle w:val="TDC2"/>
        <w:rPr>
          <w:rFonts w:asciiTheme="minorHAnsi" w:eastAsiaTheme="minorEastAsia" w:hAnsiTheme="minorHAnsi" w:cstheme="minorBidi"/>
          <w:noProof/>
          <w:szCs w:val="22"/>
          <w:lang w:val="es-ES" w:eastAsia="es-ES"/>
        </w:rPr>
      </w:pPr>
      <w:hyperlink w:anchor="_Toc69373188" w:history="1">
        <w:r w:rsidR="00C05E95" w:rsidRPr="00436DAC">
          <w:rPr>
            <w:rStyle w:val="Hipervnculo"/>
            <w:noProof/>
          </w:rPr>
          <w:t>IV.1. Cuantificación de los gastos e ingresos referidos a la gestión de la COVID-19</w:t>
        </w:r>
        <w:r w:rsidR="00C05E95">
          <w:rPr>
            <w:noProof/>
            <w:webHidden/>
          </w:rPr>
          <w:tab/>
        </w:r>
        <w:r w:rsidR="00C05E95">
          <w:rPr>
            <w:noProof/>
            <w:webHidden/>
          </w:rPr>
          <w:fldChar w:fldCharType="begin"/>
        </w:r>
        <w:r w:rsidR="00C05E95">
          <w:rPr>
            <w:noProof/>
            <w:webHidden/>
          </w:rPr>
          <w:instrText xml:space="preserve"> PAGEREF _Toc69373188 \h </w:instrText>
        </w:r>
        <w:r w:rsidR="00C05E95">
          <w:rPr>
            <w:noProof/>
            <w:webHidden/>
          </w:rPr>
        </w:r>
        <w:r w:rsidR="00C05E95">
          <w:rPr>
            <w:noProof/>
            <w:webHidden/>
          </w:rPr>
          <w:fldChar w:fldCharType="separate"/>
        </w:r>
        <w:r w:rsidR="00AF2B3F">
          <w:rPr>
            <w:noProof/>
            <w:webHidden/>
          </w:rPr>
          <w:t>15</w:t>
        </w:r>
        <w:r w:rsidR="00C05E95">
          <w:rPr>
            <w:noProof/>
            <w:webHidden/>
          </w:rPr>
          <w:fldChar w:fldCharType="end"/>
        </w:r>
      </w:hyperlink>
    </w:p>
    <w:p w:rsidR="00C05E95" w:rsidRDefault="00717C03">
      <w:pPr>
        <w:pStyle w:val="TDC2"/>
        <w:rPr>
          <w:rFonts w:asciiTheme="minorHAnsi" w:eastAsiaTheme="minorEastAsia" w:hAnsiTheme="minorHAnsi" w:cstheme="minorBidi"/>
          <w:noProof/>
          <w:szCs w:val="22"/>
          <w:lang w:val="es-ES" w:eastAsia="es-ES"/>
        </w:rPr>
      </w:pPr>
      <w:hyperlink w:anchor="_Toc69373189" w:history="1">
        <w:r w:rsidR="00C05E95" w:rsidRPr="00436DAC">
          <w:rPr>
            <w:rStyle w:val="Hipervnculo"/>
            <w:noProof/>
          </w:rPr>
          <w:t>IV.2. Auditoría de legalidad</w:t>
        </w:r>
        <w:r w:rsidR="00C05E95">
          <w:rPr>
            <w:noProof/>
            <w:webHidden/>
          </w:rPr>
          <w:tab/>
        </w:r>
        <w:r w:rsidR="00C05E95">
          <w:rPr>
            <w:noProof/>
            <w:webHidden/>
          </w:rPr>
          <w:fldChar w:fldCharType="begin"/>
        </w:r>
        <w:r w:rsidR="00C05E95">
          <w:rPr>
            <w:noProof/>
            <w:webHidden/>
          </w:rPr>
          <w:instrText xml:space="preserve"> PAGEREF _Toc69373189 \h </w:instrText>
        </w:r>
        <w:r w:rsidR="00C05E95">
          <w:rPr>
            <w:noProof/>
            <w:webHidden/>
          </w:rPr>
        </w:r>
        <w:r w:rsidR="00C05E95">
          <w:rPr>
            <w:noProof/>
            <w:webHidden/>
          </w:rPr>
          <w:fldChar w:fldCharType="separate"/>
        </w:r>
        <w:r w:rsidR="00AF2B3F">
          <w:rPr>
            <w:noProof/>
            <w:webHidden/>
          </w:rPr>
          <w:t>24</w:t>
        </w:r>
        <w:r w:rsidR="00C05E95">
          <w:rPr>
            <w:noProof/>
            <w:webHidden/>
          </w:rPr>
          <w:fldChar w:fldCharType="end"/>
        </w:r>
      </w:hyperlink>
    </w:p>
    <w:p w:rsidR="00C05E95" w:rsidRDefault="00717C03">
      <w:pPr>
        <w:pStyle w:val="TDC2"/>
        <w:rPr>
          <w:rFonts w:asciiTheme="minorHAnsi" w:eastAsiaTheme="minorEastAsia" w:hAnsiTheme="minorHAnsi" w:cstheme="minorBidi"/>
          <w:noProof/>
          <w:szCs w:val="22"/>
          <w:lang w:val="es-ES" w:eastAsia="es-ES"/>
        </w:rPr>
      </w:pPr>
      <w:hyperlink w:anchor="_Toc69373190" w:history="1">
        <w:r w:rsidR="00C05E95" w:rsidRPr="00436DAC">
          <w:rPr>
            <w:rStyle w:val="Hipervnculo"/>
            <w:noProof/>
          </w:rPr>
          <w:t>IV.3. Auditoría de eficacia y eficiencia</w:t>
        </w:r>
        <w:r w:rsidR="00C05E95">
          <w:rPr>
            <w:noProof/>
            <w:webHidden/>
          </w:rPr>
          <w:tab/>
        </w:r>
        <w:r w:rsidR="00C05E95">
          <w:rPr>
            <w:noProof/>
            <w:webHidden/>
          </w:rPr>
          <w:fldChar w:fldCharType="begin"/>
        </w:r>
        <w:r w:rsidR="00C05E95">
          <w:rPr>
            <w:noProof/>
            <w:webHidden/>
          </w:rPr>
          <w:instrText xml:space="preserve"> PAGEREF _Toc69373190 \h </w:instrText>
        </w:r>
        <w:r w:rsidR="00C05E95">
          <w:rPr>
            <w:noProof/>
            <w:webHidden/>
          </w:rPr>
        </w:r>
        <w:r w:rsidR="00C05E95">
          <w:rPr>
            <w:noProof/>
            <w:webHidden/>
          </w:rPr>
          <w:fldChar w:fldCharType="separate"/>
        </w:r>
        <w:r w:rsidR="00AF2B3F">
          <w:rPr>
            <w:noProof/>
            <w:webHidden/>
          </w:rPr>
          <w:t>28</w:t>
        </w:r>
        <w:r w:rsidR="00C05E95">
          <w:rPr>
            <w:noProof/>
            <w:webHidden/>
          </w:rPr>
          <w:fldChar w:fldCharType="end"/>
        </w:r>
      </w:hyperlink>
    </w:p>
    <w:p w:rsidR="00C05E95" w:rsidRDefault="00717C03">
      <w:pPr>
        <w:pStyle w:val="TDC2"/>
        <w:rPr>
          <w:rFonts w:asciiTheme="minorHAnsi" w:eastAsiaTheme="minorEastAsia" w:hAnsiTheme="minorHAnsi" w:cstheme="minorBidi"/>
          <w:noProof/>
          <w:szCs w:val="22"/>
          <w:lang w:val="es-ES" w:eastAsia="es-ES"/>
        </w:rPr>
      </w:pPr>
      <w:hyperlink w:anchor="_Toc69373191" w:history="1">
        <w:r w:rsidR="00C05E95" w:rsidRPr="00436DAC">
          <w:rPr>
            <w:rStyle w:val="Hipervnculo"/>
            <w:noProof/>
          </w:rPr>
          <w:t>IV.4. Hechos posteriores al 31 de diciembre de 2020</w:t>
        </w:r>
        <w:r w:rsidR="00C05E95">
          <w:rPr>
            <w:noProof/>
            <w:webHidden/>
          </w:rPr>
          <w:tab/>
        </w:r>
        <w:r w:rsidR="00C05E95">
          <w:rPr>
            <w:noProof/>
            <w:webHidden/>
          </w:rPr>
          <w:fldChar w:fldCharType="begin"/>
        </w:r>
        <w:r w:rsidR="00C05E95">
          <w:rPr>
            <w:noProof/>
            <w:webHidden/>
          </w:rPr>
          <w:instrText xml:space="preserve"> PAGEREF _Toc69373191 \h </w:instrText>
        </w:r>
        <w:r w:rsidR="00C05E95">
          <w:rPr>
            <w:noProof/>
            <w:webHidden/>
          </w:rPr>
        </w:r>
        <w:r w:rsidR="00C05E95">
          <w:rPr>
            <w:noProof/>
            <w:webHidden/>
          </w:rPr>
          <w:fldChar w:fldCharType="separate"/>
        </w:r>
        <w:r w:rsidR="00AF2B3F">
          <w:rPr>
            <w:noProof/>
            <w:webHidden/>
          </w:rPr>
          <w:t>29</w:t>
        </w:r>
        <w:r w:rsidR="00C05E95">
          <w:rPr>
            <w:noProof/>
            <w:webHidden/>
          </w:rPr>
          <w:fldChar w:fldCharType="end"/>
        </w:r>
      </w:hyperlink>
    </w:p>
    <w:p w:rsidR="00C05E95" w:rsidRDefault="00717C03">
      <w:pPr>
        <w:pStyle w:val="TDC2"/>
        <w:rPr>
          <w:rFonts w:asciiTheme="minorHAnsi" w:eastAsiaTheme="minorEastAsia" w:hAnsiTheme="minorHAnsi" w:cstheme="minorBidi"/>
          <w:noProof/>
          <w:szCs w:val="22"/>
          <w:lang w:val="es-ES" w:eastAsia="es-ES"/>
        </w:rPr>
      </w:pPr>
      <w:hyperlink w:anchor="_Toc69373192" w:history="1">
        <w:r w:rsidR="00C05E95" w:rsidRPr="00436DAC">
          <w:rPr>
            <w:rStyle w:val="Hipervnculo"/>
            <w:noProof/>
          </w:rPr>
          <w:t>IV.5. Conclusión final y recomendaciones</w:t>
        </w:r>
        <w:r w:rsidR="00C05E95">
          <w:rPr>
            <w:noProof/>
            <w:webHidden/>
          </w:rPr>
          <w:tab/>
        </w:r>
        <w:r w:rsidR="00C05E95">
          <w:rPr>
            <w:noProof/>
            <w:webHidden/>
          </w:rPr>
          <w:fldChar w:fldCharType="begin"/>
        </w:r>
        <w:r w:rsidR="00C05E95">
          <w:rPr>
            <w:noProof/>
            <w:webHidden/>
          </w:rPr>
          <w:instrText xml:space="preserve"> PAGEREF _Toc69373192 \h </w:instrText>
        </w:r>
        <w:r w:rsidR="00C05E95">
          <w:rPr>
            <w:noProof/>
            <w:webHidden/>
          </w:rPr>
        </w:r>
        <w:r w:rsidR="00C05E95">
          <w:rPr>
            <w:noProof/>
            <w:webHidden/>
          </w:rPr>
          <w:fldChar w:fldCharType="separate"/>
        </w:r>
        <w:r w:rsidR="00AF2B3F">
          <w:rPr>
            <w:noProof/>
            <w:webHidden/>
          </w:rPr>
          <w:t>29</w:t>
        </w:r>
        <w:r w:rsidR="00C05E95">
          <w:rPr>
            <w:noProof/>
            <w:webHidden/>
          </w:rPr>
          <w:fldChar w:fldCharType="end"/>
        </w:r>
      </w:hyperlink>
    </w:p>
    <w:p w:rsidR="00C05E95" w:rsidRDefault="00717C03">
      <w:pPr>
        <w:pStyle w:val="TDC1"/>
        <w:rPr>
          <w:rFonts w:asciiTheme="minorHAnsi" w:eastAsiaTheme="minorEastAsia" w:hAnsiTheme="minorHAnsi" w:cstheme="minorBidi"/>
          <w:smallCaps w:val="0"/>
          <w:noProof/>
          <w:szCs w:val="22"/>
          <w:lang w:val="es-ES" w:eastAsia="es-ES"/>
        </w:rPr>
      </w:pPr>
      <w:hyperlink w:anchor="_Toc69373193" w:history="1">
        <w:r w:rsidR="00C05E95" w:rsidRPr="00436DAC">
          <w:rPr>
            <w:rStyle w:val="Hipervnculo"/>
            <w:noProof/>
          </w:rPr>
          <w:t>Anexo 1. Marco normativo básico aplicable a la gestión de la COVID-19 en Navarra</w:t>
        </w:r>
        <w:r w:rsidR="00C05E95">
          <w:rPr>
            <w:noProof/>
            <w:webHidden/>
          </w:rPr>
          <w:tab/>
        </w:r>
        <w:r w:rsidR="00C05E95">
          <w:rPr>
            <w:noProof/>
            <w:webHidden/>
          </w:rPr>
          <w:fldChar w:fldCharType="begin"/>
        </w:r>
        <w:r w:rsidR="00C05E95">
          <w:rPr>
            <w:noProof/>
            <w:webHidden/>
          </w:rPr>
          <w:instrText xml:space="preserve"> PAGEREF _Toc69373193 \h </w:instrText>
        </w:r>
        <w:r w:rsidR="00C05E95">
          <w:rPr>
            <w:noProof/>
            <w:webHidden/>
          </w:rPr>
        </w:r>
        <w:r w:rsidR="00C05E95">
          <w:rPr>
            <w:noProof/>
            <w:webHidden/>
          </w:rPr>
          <w:fldChar w:fldCharType="separate"/>
        </w:r>
        <w:r w:rsidR="00AF2B3F">
          <w:rPr>
            <w:noProof/>
            <w:webHidden/>
          </w:rPr>
          <w:t>31</w:t>
        </w:r>
        <w:r w:rsidR="00C05E95">
          <w:rPr>
            <w:noProof/>
            <w:webHidden/>
          </w:rPr>
          <w:fldChar w:fldCharType="end"/>
        </w:r>
      </w:hyperlink>
    </w:p>
    <w:p w:rsidR="00891D73" w:rsidRDefault="0014728F" w:rsidP="003C6E1D">
      <w:pPr>
        <w:pStyle w:val="texto"/>
      </w:pPr>
      <w:r>
        <w:fldChar w:fldCharType="end"/>
      </w:r>
    </w:p>
    <w:p w:rsidR="00891D73" w:rsidRDefault="00891D73" w:rsidP="00891D73">
      <w:pPr>
        <w:pStyle w:val="texto"/>
      </w:pPr>
    </w:p>
    <w:p w:rsidR="00891D73" w:rsidRPr="00E703B6" w:rsidRDefault="00891D73" w:rsidP="00E703B6"/>
    <w:p w:rsidR="008E3FFE" w:rsidRDefault="008E3FFE" w:rsidP="00891D73">
      <w:pPr>
        <w:pStyle w:val="texto"/>
        <w:sectPr w:rsidR="008E3FFE" w:rsidSect="00160F66">
          <w:type w:val="oddPage"/>
          <w:pgSz w:w="11907" w:h="16840" w:code="9"/>
          <w:pgMar w:top="2109" w:right="1559" w:bottom="1644" w:left="1559" w:header="369" w:footer="402" w:gutter="0"/>
          <w:pgNumType w:start="3"/>
          <w:cols w:space="720"/>
          <w:docGrid w:linePitch="360"/>
        </w:sectPr>
      </w:pPr>
    </w:p>
    <w:p w:rsidR="006C4DAC" w:rsidRPr="00AA7CB8" w:rsidRDefault="006C4DAC" w:rsidP="006C4DAC">
      <w:pPr>
        <w:pStyle w:val="atitulo1"/>
      </w:pPr>
      <w:bookmarkStart w:id="0" w:name="_Toc291067874"/>
      <w:bookmarkStart w:id="1" w:name="_Toc121293081"/>
      <w:bookmarkStart w:id="2" w:name="_Toc121292758"/>
      <w:bookmarkStart w:id="3" w:name="_Toc432757078"/>
      <w:bookmarkStart w:id="4" w:name="_Toc447195010"/>
      <w:bookmarkStart w:id="5" w:name="_Toc499802362"/>
      <w:bookmarkStart w:id="6" w:name="_Toc511907525"/>
      <w:bookmarkStart w:id="7" w:name="_Toc67394574"/>
      <w:bookmarkStart w:id="8" w:name="_Toc69373182"/>
      <w:r w:rsidRPr="00AA7CB8">
        <w:lastRenderedPageBreak/>
        <w:t>I. Introducción</w:t>
      </w:r>
      <w:bookmarkEnd w:id="0"/>
      <w:bookmarkEnd w:id="1"/>
      <w:bookmarkEnd w:id="2"/>
      <w:bookmarkEnd w:id="3"/>
      <w:bookmarkEnd w:id="4"/>
      <w:bookmarkEnd w:id="5"/>
      <w:bookmarkEnd w:id="6"/>
      <w:bookmarkEnd w:id="7"/>
      <w:bookmarkEnd w:id="8"/>
    </w:p>
    <w:p w:rsidR="006C4DAC" w:rsidRDefault="006C4DAC" w:rsidP="006C4DAC">
      <w:pPr>
        <w:pStyle w:val="texto"/>
        <w:tabs>
          <w:tab w:val="clear" w:pos="2835"/>
          <w:tab w:val="clear" w:pos="3969"/>
          <w:tab w:val="clear" w:pos="5103"/>
          <w:tab w:val="clear" w:pos="6237"/>
          <w:tab w:val="clear" w:pos="7371"/>
        </w:tabs>
        <w:rPr>
          <w:szCs w:val="26"/>
        </w:rPr>
      </w:pPr>
      <w:r w:rsidRPr="003A6595">
        <w:rPr>
          <w:szCs w:val="26"/>
        </w:rPr>
        <w:t>La Organización Mundial de la Salud elevó el 11 de marzo de 2020</w:t>
      </w:r>
      <w:r>
        <w:rPr>
          <w:szCs w:val="26"/>
        </w:rPr>
        <w:t xml:space="preserve"> </w:t>
      </w:r>
      <w:r w:rsidRPr="003A6595">
        <w:rPr>
          <w:szCs w:val="26"/>
        </w:rPr>
        <w:t>a</w:t>
      </w:r>
      <w:r>
        <w:rPr>
          <w:szCs w:val="26"/>
        </w:rPr>
        <w:t xml:space="preserve"> </w:t>
      </w:r>
      <w:r w:rsidRPr="003A6595">
        <w:rPr>
          <w:szCs w:val="26"/>
        </w:rPr>
        <w:t>pa</w:t>
      </w:r>
      <w:r w:rsidRPr="003A6595">
        <w:rPr>
          <w:szCs w:val="26"/>
        </w:rPr>
        <w:t>n</w:t>
      </w:r>
      <w:r w:rsidRPr="003A6595">
        <w:rPr>
          <w:szCs w:val="26"/>
        </w:rPr>
        <w:t>demia internacional la situación de emergencia d</w:t>
      </w:r>
      <w:r>
        <w:rPr>
          <w:szCs w:val="26"/>
        </w:rPr>
        <w:t xml:space="preserve">e salud pública, declarada el 31 de enero de 2020, ocasionada por </w:t>
      </w:r>
      <w:r w:rsidRPr="003A6595">
        <w:rPr>
          <w:szCs w:val="26"/>
        </w:rPr>
        <w:t>l</w:t>
      </w:r>
      <w:r>
        <w:rPr>
          <w:szCs w:val="26"/>
        </w:rPr>
        <w:t>a</w:t>
      </w:r>
      <w:r w:rsidRPr="003A6595">
        <w:rPr>
          <w:szCs w:val="26"/>
        </w:rPr>
        <w:t xml:space="preserve"> COVID-19, ya que su propagación </w:t>
      </w:r>
      <w:r>
        <w:rPr>
          <w:szCs w:val="26"/>
        </w:rPr>
        <w:t>s</w:t>
      </w:r>
      <w:r>
        <w:rPr>
          <w:szCs w:val="26"/>
        </w:rPr>
        <w:t>u</w:t>
      </w:r>
      <w:r>
        <w:rPr>
          <w:szCs w:val="26"/>
        </w:rPr>
        <w:t>ponía</w:t>
      </w:r>
      <w:r w:rsidRPr="003A6595">
        <w:rPr>
          <w:szCs w:val="26"/>
        </w:rPr>
        <w:t xml:space="preserve"> un riesgo para la salud pública de los países y exig</w:t>
      </w:r>
      <w:r>
        <w:rPr>
          <w:szCs w:val="26"/>
        </w:rPr>
        <w:t>ía</w:t>
      </w:r>
      <w:r w:rsidRPr="003A6595">
        <w:rPr>
          <w:szCs w:val="26"/>
        </w:rPr>
        <w:t xml:space="preserve"> u</w:t>
      </w:r>
      <w:r>
        <w:rPr>
          <w:szCs w:val="26"/>
        </w:rPr>
        <w:t>na respuesta inte</w:t>
      </w:r>
      <w:r>
        <w:rPr>
          <w:szCs w:val="26"/>
        </w:rPr>
        <w:t>r</w:t>
      </w:r>
      <w:r>
        <w:rPr>
          <w:szCs w:val="26"/>
        </w:rPr>
        <w:t>nacional coor</w:t>
      </w:r>
      <w:r w:rsidRPr="003A6595">
        <w:rPr>
          <w:szCs w:val="26"/>
        </w:rPr>
        <w:t>dinada. En dicho contexto, mediante el Real Decreto 463/2020, de 14 de marzo, se declar</w:t>
      </w:r>
      <w:r>
        <w:rPr>
          <w:szCs w:val="26"/>
        </w:rPr>
        <w:t>ó</w:t>
      </w:r>
      <w:r w:rsidRPr="003A6595">
        <w:rPr>
          <w:szCs w:val="26"/>
        </w:rPr>
        <w:t xml:space="preserve"> el estado de alarma para la gestión de la situación de crisis </w:t>
      </w:r>
      <w:r>
        <w:rPr>
          <w:szCs w:val="26"/>
        </w:rPr>
        <w:t xml:space="preserve">sanitaria ocasionada por </w:t>
      </w:r>
      <w:r w:rsidRPr="003A6595">
        <w:rPr>
          <w:szCs w:val="26"/>
        </w:rPr>
        <w:t>l</w:t>
      </w:r>
      <w:r>
        <w:rPr>
          <w:szCs w:val="26"/>
        </w:rPr>
        <w:t>a</w:t>
      </w:r>
      <w:r w:rsidRPr="003A6595">
        <w:rPr>
          <w:szCs w:val="26"/>
        </w:rPr>
        <w:t xml:space="preserve"> COVID-19. </w:t>
      </w:r>
    </w:p>
    <w:p w:rsidR="006C4DAC" w:rsidRPr="003A6595" w:rsidRDefault="006C4DAC" w:rsidP="006C4DAC">
      <w:pPr>
        <w:pStyle w:val="texto"/>
        <w:tabs>
          <w:tab w:val="clear" w:pos="2835"/>
          <w:tab w:val="clear" w:pos="3969"/>
          <w:tab w:val="clear" w:pos="5103"/>
          <w:tab w:val="clear" w:pos="6237"/>
          <w:tab w:val="clear" w:pos="7371"/>
        </w:tabs>
        <w:rPr>
          <w:szCs w:val="26"/>
        </w:rPr>
      </w:pPr>
      <w:r>
        <w:rPr>
          <w:szCs w:val="26"/>
        </w:rPr>
        <w:t>Esta</w:t>
      </w:r>
      <w:r w:rsidRPr="003A6595">
        <w:rPr>
          <w:szCs w:val="26"/>
        </w:rPr>
        <w:t xml:space="preserve"> situación extraordinaria </w:t>
      </w:r>
      <w:r>
        <w:rPr>
          <w:szCs w:val="26"/>
        </w:rPr>
        <w:t>supuso</w:t>
      </w:r>
      <w:r w:rsidRPr="003A6595">
        <w:rPr>
          <w:szCs w:val="26"/>
        </w:rPr>
        <w:t xml:space="preserve"> la adopción de diversas medidas de c</w:t>
      </w:r>
      <w:r w:rsidRPr="003A6595">
        <w:rPr>
          <w:szCs w:val="26"/>
        </w:rPr>
        <w:t>a</w:t>
      </w:r>
      <w:r w:rsidRPr="003A6595">
        <w:rPr>
          <w:szCs w:val="26"/>
        </w:rPr>
        <w:t>rácter extraordinario y urgent</w:t>
      </w:r>
      <w:r>
        <w:rPr>
          <w:szCs w:val="26"/>
        </w:rPr>
        <w:t xml:space="preserve">e por motivos de salud pública que conllevaron y siguen actualmente suponiendo un gasto significativo para las administraciones públicas. </w:t>
      </w:r>
    </w:p>
    <w:p w:rsidR="006C4DAC" w:rsidRDefault="006C4DAC" w:rsidP="006C4DAC">
      <w:pPr>
        <w:pStyle w:val="texto"/>
        <w:tabs>
          <w:tab w:val="clear" w:pos="2835"/>
          <w:tab w:val="clear" w:pos="3969"/>
          <w:tab w:val="clear" w:pos="5103"/>
          <w:tab w:val="clear" w:pos="6237"/>
          <w:tab w:val="clear" w:pos="7371"/>
        </w:tabs>
        <w:rPr>
          <w:szCs w:val="26"/>
        </w:rPr>
      </w:pPr>
      <w:r>
        <w:rPr>
          <w:szCs w:val="26"/>
        </w:rPr>
        <w:t>En este contexto, l</w:t>
      </w:r>
      <w:r w:rsidRPr="003A6595">
        <w:rPr>
          <w:szCs w:val="26"/>
        </w:rPr>
        <w:t>a Junta de Portavoces del Parlamento de Navarra, en su sesión de 8 de junio</w:t>
      </w:r>
      <w:r>
        <w:rPr>
          <w:szCs w:val="26"/>
        </w:rPr>
        <w:t xml:space="preserve"> de 2020,</w:t>
      </w:r>
      <w:r w:rsidRPr="003A6595">
        <w:rPr>
          <w:szCs w:val="26"/>
        </w:rPr>
        <w:t xml:space="preserve"> acordó </w:t>
      </w:r>
      <w:r w:rsidR="000170C1">
        <w:rPr>
          <w:szCs w:val="26"/>
        </w:rPr>
        <w:t xml:space="preserve">a instancia del grupo EH Bildu Nafarroa </w:t>
      </w:r>
      <w:r w:rsidRPr="003A6595">
        <w:rPr>
          <w:szCs w:val="26"/>
        </w:rPr>
        <w:t>solicitar a la Cámara un informe de fiscalización sobre “</w:t>
      </w:r>
      <w:r w:rsidRPr="003A6595">
        <w:rPr>
          <w:i/>
          <w:szCs w:val="26"/>
        </w:rPr>
        <w:t>la eficacia, eficiencia y la legalidad de todos los procedimientos públicos de contratación de obras, suministros y servicios, así como de la contratación de personal, y de las su</w:t>
      </w:r>
      <w:r w:rsidRPr="003A6595">
        <w:rPr>
          <w:i/>
          <w:szCs w:val="26"/>
        </w:rPr>
        <w:t>b</w:t>
      </w:r>
      <w:r w:rsidRPr="003A6595">
        <w:rPr>
          <w:i/>
          <w:szCs w:val="26"/>
        </w:rPr>
        <w:t>venciones vinculadas a la crisis del Covid-19 realizados por el Gobierno de Navarra entre el 1 de marzo y el 30 de junio de 2020</w:t>
      </w:r>
      <w:r w:rsidRPr="003A6595">
        <w:rPr>
          <w:szCs w:val="26"/>
        </w:rPr>
        <w:t>”.</w:t>
      </w:r>
    </w:p>
    <w:p w:rsidR="006C4DAC" w:rsidRPr="00902A4B" w:rsidRDefault="006C4DAC" w:rsidP="006C4DAC">
      <w:pPr>
        <w:pStyle w:val="texto"/>
        <w:tabs>
          <w:tab w:val="clear" w:pos="2835"/>
          <w:tab w:val="clear" w:pos="3969"/>
          <w:tab w:val="clear" w:pos="5103"/>
          <w:tab w:val="clear" w:pos="6237"/>
          <w:tab w:val="clear" w:pos="7371"/>
        </w:tabs>
        <w:rPr>
          <w:szCs w:val="26"/>
        </w:rPr>
      </w:pPr>
      <w:r w:rsidRPr="00490649">
        <w:rPr>
          <w:szCs w:val="26"/>
        </w:rPr>
        <w:t xml:space="preserve">Este trabajo se incorporó </w:t>
      </w:r>
      <w:r>
        <w:rPr>
          <w:szCs w:val="26"/>
        </w:rPr>
        <w:t>a</w:t>
      </w:r>
      <w:r w:rsidRPr="00490649">
        <w:rPr>
          <w:szCs w:val="26"/>
        </w:rPr>
        <w:t xml:space="preserve">l programa anual de fiscalización que la Cámara de Comptos aprobó para el año </w:t>
      </w:r>
      <w:r>
        <w:rPr>
          <w:szCs w:val="26"/>
        </w:rPr>
        <w:t>2020 y ha sido realizado por un equipo integr</w:t>
      </w:r>
      <w:r>
        <w:rPr>
          <w:szCs w:val="26"/>
        </w:rPr>
        <w:t>a</w:t>
      </w:r>
      <w:r>
        <w:rPr>
          <w:szCs w:val="26"/>
        </w:rPr>
        <w:t xml:space="preserve">do por tres técnicas de auditoría y una auditora con la </w:t>
      </w:r>
      <w:r w:rsidRPr="00902A4B">
        <w:rPr>
          <w:szCs w:val="26"/>
        </w:rPr>
        <w:t>colaboración de los se</w:t>
      </w:r>
      <w:r w:rsidRPr="00902A4B">
        <w:rPr>
          <w:szCs w:val="26"/>
        </w:rPr>
        <w:t>r</w:t>
      </w:r>
      <w:r w:rsidRPr="00902A4B">
        <w:rPr>
          <w:szCs w:val="26"/>
        </w:rPr>
        <w:t xml:space="preserve">vicios jurídicos, informáticos y administrativos de la Cámara de Comptos, entre el mes de noviembre de </w:t>
      </w:r>
      <w:r>
        <w:rPr>
          <w:szCs w:val="26"/>
        </w:rPr>
        <w:t>2020</w:t>
      </w:r>
      <w:r w:rsidRPr="00902A4B">
        <w:rPr>
          <w:szCs w:val="26"/>
        </w:rPr>
        <w:t xml:space="preserve"> y </w:t>
      </w:r>
      <w:r>
        <w:rPr>
          <w:szCs w:val="26"/>
        </w:rPr>
        <w:t>febrero de 2021</w:t>
      </w:r>
      <w:r w:rsidRPr="00902A4B">
        <w:rPr>
          <w:szCs w:val="26"/>
        </w:rPr>
        <w:t>.</w:t>
      </w:r>
    </w:p>
    <w:p w:rsidR="006C4DAC" w:rsidRPr="00902A4B" w:rsidRDefault="006C4DAC" w:rsidP="006C4DAC">
      <w:pPr>
        <w:pStyle w:val="texto"/>
        <w:tabs>
          <w:tab w:val="clear" w:pos="2835"/>
          <w:tab w:val="clear" w:pos="3969"/>
          <w:tab w:val="clear" w:pos="5103"/>
          <w:tab w:val="clear" w:pos="6237"/>
          <w:tab w:val="clear" w:pos="7371"/>
        </w:tabs>
        <w:rPr>
          <w:szCs w:val="26"/>
        </w:rPr>
      </w:pPr>
      <w:r w:rsidRPr="00902A4B">
        <w:rPr>
          <w:szCs w:val="26"/>
        </w:rPr>
        <w:t xml:space="preserve">El informe se estructura en cuatro epígrafes incluida esta introducción; en el segundo se describen aspectos generales de la </w:t>
      </w:r>
      <w:r>
        <w:rPr>
          <w:szCs w:val="26"/>
        </w:rPr>
        <w:t>gestión de la COVID-19 por la Administración de la Comunidad Foral de Navarra (ACFN en adelante)</w:t>
      </w:r>
      <w:r w:rsidRPr="00902A4B">
        <w:rPr>
          <w:szCs w:val="26"/>
        </w:rPr>
        <w:t>; el te</w:t>
      </w:r>
      <w:r w:rsidRPr="00902A4B">
        <w:rPr>
          <w:szCs w:val="26"/>
        </w:rPr>
        <w:t>r</w:t>
      </w:r>
      <w:r w:rsidRPr="00902A4B">
        <w:rPr>
          <w:szCs w:val="26"/>
        </w:rPr>
        <w:t>cero contiene los objetivos, alcance y limitaciones del trabajo, y el cuarto, e</w:t>
      </w:r>
      <w:r w:rsidRPr="00902A4B">
        <w:rPr>
          <w:szCs w:val="26"/>
        </w:rPr>
        <w:t>x</w:t>
      </w:r>
      <w:r w:rsidRPr="00902A4B">
        <w:rPr>
          <w:szCs w:val="26"/>
        </w:rPr>
        <w:t>pone las conclusione</w:t>
      </w:r>
      <w:r>
        <w:rPr>
          <w:szCs w:val="26"/>
        </w:rPr>
        <w:t>s y recomendaciones alcanzadas. El informe contiene además un anexo con la normativa más relevante aprobada para hacer frente a la gestión de esta crisis sanitaria.</w:t>
      </w:r>
    </w:p>
    <w:p w:rsidR="00B72BF4" w:rsidRDefault="00B72BF4" w:rsidP="00B72BF4">
      <w:pPr>
        <w:pStyle w:val="texto"/>
        <w:tabs>
          <w:tab w:val="clear" w:pos="2835"/>
          <w:tab w:val="clear" w:pos="3969"/>
          <w:tab w:val="clear" w:pos="5103"/>
          <w:tab w:val="clear" w:pos="6237"/>
          <w:tab w:val="clear" w:pos="7371"/>
        </w:tabs>
      </w:pPr>
      <w:r w:rsidRPr="00DA0F23">
        <w:t>De conformidad con lo previsto en el artículo 11</w:t>
      </w:r>
      <w:r>
        <w:t>.2</w:t>
      </w:r>
      <w:r w:rsidRPr="00DA0F23">
        <w:t xml:space="preserve"> de la Ley Foral 19/1984,</w:t>
      </w:r>
      <w:r>
        <w:t xml:space="preserve"> </w:t>
      </w:r>
      <w:r w:rsidRPr="00DA0F23">
        <w:t>reguladora de la Cámara de Comptos de Navarra, los resultados de este trabajo</w:t>
      </w:r>
      <w:r>
        <w:t xml:space="preserve"> </w:t>
      </w:r>
      <w:r w:rsidRPr="00DA0F23">
        <w:t>se pusieron de manifiesto</w:t>
      </w:r>
      <w:r>
        <w:t>, con el fin de que formularan alegaciones, a las pe</w:t>
      </w:r>
      <w:r>
        <w:t>r</w:t>
      </w:r>
      <w:r>
        <w:t>sonas que ocupaban los siguientes cargos:</w:t>
      </w:r>
    </w:p>
    <w:p w:rsidR="00B72BF4" w:rsidRDefault="00B72BF4" w:rsidP="00B72BF4">
      <w:pPr>
        <w:pStyle w:val="texto"/>
        <w:numPr>
          <w:ilvl w:val="0"/>
          <w:numId w:val="28"/>
        </w:numPr>
        <w:tabs>
          <w:tab w:val="clear" w:pos="2835"/>
          <w:tab w:val="clear" w:pos="3969"/>
          <w:tab w:val="clear" w:pos="5103"/>
          <w:tab w:val="clear" w:pos="6237"/>
          <w:tab w:val="clear" w:pos="7371"/>
          <w:tab w:val="left" w:pos="480"/>
          <w:tab w:val="num" w:pos="600"/>
          <w:tab w:val="num" w:pos="720"/>
        </w:tabs>
        <w:ind w:left="0" w:firstLine="290"/>
        <w:rPr>
          <w:rFonts w:cs="Arial"/>
        </w:rPr>
      </w:pPr>
      <w:r>
        <w:rPr>
          <w:rFonts w:cs="Arial"/>
        </w:rPr>
        <w:t>Consejero del Departamento de Desarrollo Económico y Empresarial.</w:t>
      </w:r>
    </w:p>
    <w:p w:rsidR="00B72BF4" w:rsidRPr="004B6A83" w:rsidRDefault="00B72BF4" w:rsidP="00B72BF4">
      <w:pPr>
        <w:pStyle w:val="texto"/>
        <w:numPr>
          <w:ilvl w:val="0"/>
          <w:numId w:val="28"/>
        </w:numPr>
        <w:tabs>
          <w:tab w:val="clear" w:pos="2835"/>
          <w:tab w:val="clear" w:pos="3969"/>
          <w:tab w:val="clear" w:pos="5103"/>
          <w:tab w:val="clear" w:pos="6237"/>
          <w:tab w:val="clear" w:pos="7371"/>
          <w:tab w:val="left" w:pos="480"/>
          <w:tab w:val="num" w:pos="600"/>
          <w:tab w:val="num" w:pos="720"/>
        </w:tabs>
        <w:ind w:left="0" w:firstLine="290"/>
        <w:rPr>
          <w:rFonts w:cs="Arial"/>
        </w:rPr>
      </w:pPr>
      <w:r>
        <w:rPr>
          <w:rFonts w:cs="Arial"/>
        </w:rPr>
        <w:t>Consejero del Departamento de Educación.</w:t>
      </w:r>
    </w:p>
    <w:p w:rsidR="00B72BF4" w:rsidRPr="004B6A83" w:rsidRDefault="00B72BF4" w:rsidP="00B72BF4">
      <w:pPr>
        <w:pStyle w:val="texto"/>
        <w:numPr>
          <w:ilvl w:val="0"/>
          <w:numId w:val="28"/>
        </w:numPr>
        <w:tabs>
          <w:tab w:val="clear" w:pos="2835"/>
          <w:tab w:val="clear" w:pos="3969"/>
          <w:tab w:val="clear" w:pos="5103"/>
          <w:tab w:val="clear" w:pos="6237"/>
          <w:tab w:val="clear" w:pos="7371"/>
          <w:tab w:val="left" w:pos="480"/>
          <w:tab w:val="num" w:pos="600"/>
          <w:tab w:val="num" w:pos="720"/>
        </w:tabs>
        <w:ind w:left="0" w:firstLine="290"/>
      </w:pPr>
      <w:r>
        <w:rPr>
          <w:rFonts w:cs="Arial"/>
        </w:rPr>
        <w:t>Consejera del Departamento de Derechos Sociales</w:t>
      </w:r>
      <w:r>
        <w:rPr>
          <w:lang w:val="es-ES"/>
        </w:rPr>
        <w:t>.</w:t>
      </w:r>
    </w:p>
    <w:p w:rsidR="00B72BF4" w:rsidRDefault="00B72BF4" w:rsidP="00B72BF4">
      <w:pPr>
        <w:pStyle w:val="texto"/>
        <w:numPr>
          <w:ilvl w:val="0"/>
          <w:numId w:val="28"/>
        </w:numPr>
        <w:tabs>
          <w:tab w:val="clear" w:pos="2835"/>
          <w:tab w:val="clear" w:pos="3969"/>
          <w:tab w:val="clear" w:pos="5103"/>
          <w:tab w:val="clear" w:pos="6237"/>
          <w:tab w:val="clear" w:pos="7371"/>
          <w:tab w:val="left" w:pos="480"/>
          <w:tab w:val="num" w:pos="600"/>
          <w:tab w:val="num" w:pos="720"/>
        </w:tabs>
        <w:ind w:left="0" w:firstLine="290"/>
      </w:pPr>
      <w:r>
        <w:lastRenderedPageBreak/>
        <w:t>Consejera del Departamento de Salud.</w:t>
      </w:r>
    </w:p>
    <w:p w:rsidR="00B72BF4" w:rsidRPr="004B6A83" w:rsidRDefault="00B72BF4" w:rsidP="00B72BF4">
      <w:pPr>
        <w:pStyle w:val="texto"/>
        <w:numPr>
          <w:ilvl w:val="0"/>
          <w:numId w:val="28"/>
        </w:numPr>
        <w:tabs>
          <w:tab w:val="clear" w:pos="2835"/>
          <w:tab w:val="clear" w:pos="3969"/>
          <w:tab w:val="clear" w:pos="5103"/>
          <w:tab w:val="clear" w:pos="6237"/>
          <w:tab w:val="clear" w:pos="7371"/>
          <w:tab w:val="left" w:pos="480"/>
          <w:tab w:val="num" w:pos="600"/>
          <w:tab w:val="num" w:pos="720"/>
        </w:tabs>
        <w:ind w:left="0" w:firstLine="290"/>
      </w:pPr>
      <w:r>
        <w:t>Consejera del Departamento de Economía y Hacienda</w:t>
      </w:r>
      <w:r>
        <w:rPr>
          <w:lang w:val="es-ES"/>
        </w:rPr>
        <w:t>.</w:t>
      </w:r>
    </w:p>
    <w:p w:rsidR="00B72BF4" w:rsidRDefault="00B72BF4" w:rsidP="00B72BF4">
      <w:pPr>
        <w:pStyle w:val="texto"/>
        <w:numPr>
          <w:ilvl w:val="0"/>
          <w:numId w:val="28"/>
        </w:numPr>
        <w:tabs>
          <w:tab w:val="clear" w:pos="2835"/>
          <w:tab w:val="clear" w:pos="3969"/>
          <w:tab w:val="clear" w:pos="5103"/>
          <w:tab w:val="clear" w:pos="6237"/>
          <w:tab w:val="clear" w:pos="7371"/>
          <w:tab w:val="left" w:pos="480"/>
          <w:tab w:val="num" w:pos="600"/>
          <w:tab w:val="num" w:pos="720"/>
        </w:tabs>
        <w:ind w:left="0" w:firstLine="290"/>
      </w:pPr>
      <w:r>
        <w:t>Gerente de la ANADP.</w:t>
      </w:r>
    </w:p>
    <w:p w:rsidR="00B72BF4" w:rsidRPr="004B6A83" w:rsidRDefault="00B72BF4" w:rsidP="00B72BF4">
      <w:pPr>
        <w:pStyle w:val="texto"/>
        <w:numPr>
          <w:ilvl w:val="0"/>
          <w:numId w:val="28"/>
        </w:numPr>
        <w:tabs>
          <w:tab w:val="clear" w:pos="2835"/>
          <w:tab w:val="clear" w:pos="3969"/>
          <w:tab w:val="clear" w:pos="5103"/>
          <w:tab w:val="clear" w:pos="6237"/>
          <w:tab w:val="clear" w:pos="7371"/>
          <w:tab w:val="left" w:pos="480"/>
          <w:tab w:val="num" w:pos="600"/>
          <w:tab w:val="num" w:pos="720"/>
        </w:tabs>
        <w:ind w:left="0" w:firstLine="290"/>
      </w:pPr>
      <w:r>
        <w:t>Gerente del SNS-O.</w:t>
      </w:r>
    </w:p>
    <w:p w:rsidR="00B72BF4" w:rsidRDefault="00B72BF4" w:rsidP="00B72BF4">
      <w:pPr>
        <w:pStyle w:val="texto"/>
        <w:tabs>
          <w:tab w:val="clear" w:pos="2835"/>
          <w:tab w:val="clear" w:pos="3969"/>
          <w:tab w:val="clear" w:pos="5103"/>
          <w:tab w:val="clear" w:pos="6237"/>
          <w:tab w:val="clear" w:pos="7371"/>
        </w:tabs>
      </w:pPr>
      <w:r>
        <w:t>Transcurrido el plazo fijado, no se han presentado alegaciones al informe.</w:t>
      </w:r>
      <w:bookmarkStart w:id="9" w:name="_Toc121292759"/>
      <w:bookmarkStart w:id="10" w:name="_Toc121293082"/>
      <w:bookmarkStart w:id="11" w:name="_Toc291067875"/>
      <w:bookmarkStart w:id="12" w:name="_Toc432757079"/>
      <w:bookmarkStart w:id="13" w:name="_Toc447195011"/>
      <w:bookmarkStart w:id="14" w:name="_Toc499802363"/>
      <w:bookmarkStart w:id="15" w:name="_Toc511907526"/>
    </w:p>
    <w:p w:rsidR="00B47D7C" w:rsidRDefault="00B47D7C" w:rsidP="00B47D7C">
      <w:pPr>
        <w:pStyle w:val="texto"/>
        <w:tabs>
          <w:tab w:val="clear" w:pos="2835"/>
          <w:tab w:val="clear" w:pos="3969"/>
          <w:tab w:val="clear" w:pos="5103"/>
          <w:tab w:val="clear" w:pos="6237"/>
          <w:tab w:val="clear" w:pos="7371"/>
        </w:tabs>
        <w:rPr>
          <w:szCs w:val="26"/>
        </w:rPr>
      </w:pPr>
      <w:r w:rsidRPr="00902A4B">
        <w:rPr>
          <w:szCs w:val="26"/>
        </w:rPr>
        <w:t xml:space="preserve">Agradecemos al personal </w:t>
      </w:r>
      <w:r>
        <w:rPr>
          <w:szCs w:val="26"/>
        </w:rPr>
        <w:t xml:space="preserve">de la ACFN </w:t>
      </w:r>
      <w:r w:rsidRPr="00902A4B">
        <w:rPr>
          <w:szCs w:val="26"/>
        </w:rPr>
        <w:t>la colaboración prestada en la realiz</w:t>
      </w:r>
      <w:r w:rsidRPr="00902A4B">
        <w:rPr>
          <w:szCs w:val="26"/>
        </w:rPr>
        <w:t>a</w:t>
      </w:r>
      <w:r w:rsidRPr="00902A4B">
        <w:rPr>
          <w:szCs w:val="26"/>
        </w:rPr>
        <w:t>ción del presente trabajo.</w:t>
      </w:r>
    </w:p>
    <w:p w:rsidR="00B72BF4" w:rsidRDefault="00B72BF4">
      <w:pPr>
        <w:spacing w:after="0"/>
        <w:ind w:firstLine="0"/>
        <w:jc w:val="left"/>
        <w:rPr>
          <w:spacing w:val="6"/>
          <w:sz w:val="26"/>
          <w:szCs w:val="24"/>
        </w:rPr>
      </w:pPr>
      <w:r>
        <w:br w:type="page"/>
      </w:r>
    </w:p>
    <w:p w:rsidR="006C4DAC" w:rsidRDefault="006C4DAC" w:rsidP="006C4DAC">
      <w:pPr>
        <w:pStyle w:val="atitulo1"/>
      </w:pPr>
      <w:bookmarkStart w:id="16" w:name="_Toc67394575"/>
      <w:bookmarkStart w:id="17" w:name="_Toc69373183"/>
      <w:r w:rsidRPr="00341874">
        <w:lastRenderedPageBreak/>
        <w:t xml:space="preserve">II. </w:t>
      </w:r>
      <w:bookmarkEnd w:id="9"/>
      <w:bookmarkEnd w:id="10"/>
      <w:bookmarkEnd w:id="11"/>
      <w:bookmarkEnd w:id="12"/>
      <w:bookmarkEnd w:id="13"/>
      <w:bookmarkEnd w:id="14"/>
      <w:bookmarkEnd w:id="15"/>
      <w:r>
        <w:t>Gestión de la COVID-19 por la Administración de la Comunidad Foral de Navarra</w:t>
      </w:r>
      <w:bookmarkEnd w:id="16"/>
      <w:bookmarkEnd w:id="17"/>
      <w:r>
        <w:t xml:space="preserve"> </w:t>
      </w:r>
    </w:p>
    <w:p w:rsidR="006C4DAC" w:rsidRPr="00C6043C" w:rsidRDefault="006C4DAC" w:rsidP="006C4DAC">
      <w:pPr>
        <w:pStyle w:val="atitulo2"/>
      </w:pPr>
      <w:bookmarkStart w:id="18" w:name="_Toc59453073"/>
      <w:bookmarkStart w:id="19" w:name="_Toc67394576"/>
      <w:bookmarkStart w:id="20" w:name="_Toc69373184"/>
      <w:r w:rsidRPr="00C6043C">
        <w:t>II.1</w:t>
      </w:r>
      <w:r w:rsidR="00E70168">
        <w:t>.</w:t>
      </w:r>
      <w:r w:rsidRPr="00C6043C">
        <w:t xml:space="preserve"> Marco normativo aplicable a la gestión de la COVID-19</w:t>
      </w:r>
      <w:bookmarkEnd w:id="18"/>
      <w:bookmarkEnd w:id="19"/>
      <w:bookmarkEnd w:id="20"/>
    </w:p>
    <w:p w:rsidR="006C4DAC" w:rsidRPr="008C3B05" w:rsidRDefault="006C4DAC" w:rsidP="006C4DAC">
      <w:pPr>
        <w:pStyle w:val="texto"/>
        <w:rPr>
          <w:szCs w:val="26"/>
        </w:rPr>
      </w:pPr>
      <w:r>
        <w:rPr>
          <w:szCs w:val="26"/>
        </w:rPr>
        <w:t>En el contexto de emergencia de salud pública</w:t>
      </w:r>
      <w:r w:rsidRPr="008C3B05">
        <w:rPr>
          <w:szCs w:val="26"/>
        </w:rPr>
        <w:t xml:space="preserve">, el Real Decreto 463/2020, de 14 de marzo, </w:t>
      </w:r>
      <w:r>
        <w:rPr>
          <w:szCs w:val="26"/>
        </w:rPr>
        <w:t>declaró</w:t>
      </w:r>
      <w:r w:rsidRPr="008C3B05">
        <w:rPr>
          <w:szCs w:val="26"/>
        </w:rPr>
        <w:t xml:space="preserve"> el estado de alarma para la gestión de la situación de cr</w:t>
      </w:r>
      <w:r w:rsidRPr="008C3B05">
        <w:rPr>
          <w:szCs w:val="26"/>
        </w:rPr>
        <w:t>i</w:t>
      </w:r>
      <w:r w:rsidRPr="008C3B05">
        <w:rPr>
          <w:szCs w:val="26"/>
        </w:rPr>
        <w:t xml:space="preserve">sis sanitaria ocasionada por </w:t>
      </w:r>
      <w:r>
        <w:rPr>
          <w:szCs w:val="26"/>
        </w:rPr>
        <w:t xml:space="preserve">la </w:t>
      </w:r>
      <w:r w:rsidRPr="008C3B05">
        <w:rPr>
          <w:szCs w:val="26"/>
        </w:rPr>
        <w:t xml:space="preserve">COVID-19. </w:t>
      </w:r>
    </w:p>
    <w:p w:rsidR="006C4DAC" w:rsidRDefault="006C4DAC" w:rsidP="006C4DAC">
      <w:pPr>
        <w:pStyle w:val="texto"/>
        <w:rPr>
          <w:szCs w:val="26"/>
        </w:rPr>
      </w:pPr>
      <w:r>
        <w:rPr>
          <w:szCs w:val="26"/>
        </w:rPr>
        <w:t xml:space="preserve">Este real decreto establecía </w:t>
      </w:r>
      <w:r w:rsidRPr="008C3B05">
        <w:rPr>
          <w:szCs w:val="26"/>
        </w:rPr>
        <w:t xml:space="preserve">que la autoridad competente a efectos del estado de alarma </w:t>
      </w:r>
      <w:r>
        <w:rPr>
          <w:szCs w:val="26"/>
        </w:rPr>
        <w:t>era el Estado</w:t>
      </w:r>
      <w:r w:rsidRPr="008C3B05">
        <w:rPr>
          <w:szCs w:val="26"/>
        </w:rPr>
        <w:t xml:space="preserve">, </w:t>
      </w:r>
      <w:r>
        <w:rPr>
          <w:szCs w:val="26"/>
        </w:rPr>
        <w:t>si bien c</w:t>
      </w:r>
      <w:r w:rsidRPr="008C3B05">
        <w:rPr>
          <w:szCs w:val="26"/>
        </w:rPr>
        <w:t xml:space="preserve">ada </w:t>
      </w:r>
      <w:r>
        <w:rPr>
          <w:szCs w:val="26"/>
        </w:rPr>
        <w:t>a</w:t>
      </w:r>
      <w:r w:rsidRPr="008C3B05">
        <w:rPr>
          <w:szCs w:val="26"/>
        </w:rPr>
        <w:t>dministración conserva</w:t>
      </w:r>
      <w:r>
        <w:rPr>
          <w:szCs w:val="26"/>
        </w:rPr>
        <w:t>ba</w:t>
      </w:r>
      <w:r w:rsidRPr="008C3B05">
        <w:rPr>
          <w:szCs w:val="26"/>
        </w:rPr>
        <w:t xml:space="preserve"> las compete</w:t>
      </w:r>
      <w:r w:rsidRPr="008C3B05">
        <w:rPr>
          <w:szCs w:val="26"/>
        </w:rPr>
        <w:t>n</w:t>
      </w:r>
      <w:r w:rsidRPr="008C3B05">
        <w:rPr>
          <w:szCs w:val="26"/>
        </w:rPr>
        <w:t>cias que le otorga</w:t>
      </w:r>
      <w:r>
        <w:rPr>
          <w:szCs w:val="26"/>
        </w:rPr>
        <w:t>ba</w:t>
      </w:r>
      <w:r w:rsidRPr="008C3B05">
        <w:rPr>
          <w:szCs w:val="26"/>
        </w:rPr>
        <w:t xml:space="preserve"> la legislación vigente en la gestión ordinaria de sus serv</w:t>
      </w:r>
      <w:r w:rsidRPr="008C3B05">
        <w:rPr>
          <w:szCs w:val="26"/>
        </w:rPr>
        <w:t>i</w:t>
      </w:r>
      <w:r w:rsidRPr="008C3B05">
        <w:rPr>
          <w:szCs w:val="26"/>
        </w:rPr>
        <w:t>cios par</w:t>
      </w:r>
      <w:r>
        <w:rPr>
          <w:szCs w:val="26"/>
        </w:rPr>
        <w:t>a adoptar las medidas que estimara</w:t>
      </w:r>
      <w:r w:rsidRPr="008C3B05">
        <w:rPr>
          <w:szCs w:val="26"/>
        </w:rPr>
        <w:t xml:space="preserve"> necesarias. </w:t>
      </w:r>
    </w:p>
    <w:p w:rsidR="006C4DAC" w:rsidRDefault="006C4DAC" w:rsidP="006C4DAC">
      <w:pPr>
        <w:pStyle w:val="texto"/>
        <w:rPr>
          <w:szCs w:val="26"/>
        </w:rPr>
      </w:pPr>
      <w:r w:rsidRPr="008C3B05">
        <w:rPr>
          <w:szCs w:val="26"/>
        </w:rPr>
        <w:t xml:space="preserve">En </w:t>
      </w:r>
      <w:r>
        <w:rPr>
          <w:szCs w:val="26"/>
        </w:rPr>
        <w:t>virtud de esta competencia, la ACFN ha aprobado desde la declaración del estado de alarma hasta la actualidad diversa normativa que se relaciona en el Anexo 1 que acompaña a este informe.</w:t>
      </w:r>
    </w:p>
    <w:p w:rsidR="006C4DAC" w:rsidRDefault="006C4DAC" w:rsidP="006C4DAC">
      <w:pPr>
        <w:pStyle w:val="texto"/>
        <w:spacing w:after="240"/>
        <w:rPr>
          <w:szCs w:val="26"/>
        </w:rPr>
      </w:pPr>
      <w:r>
        <w:rPr>
          <w:szCs w:val="26"/>
        </w:rPr>
        <w:t>Como se puede observar en el anexo, se fueron adoptando medidas urgentes para responder al impacto generado por la crisis sanitaria de la COVID-19 que afectaron, entre otros, a los siguientes aspectos:</w:t>
      </w:r>
    </w:p>
    <w:tbl>
      <w:tblPr>
        <w:tblStyle w:val="Tablaconcuadrcula"/>
        <w:tblW w:w="8789" w:type="dxa"/>
        <w:tblBorders>
          <w:left w:val="none" w:sz="0" w:space="0" w:color="auto"/>
          <w:right w:val="none" w:sz="0" w:space="0" w:color="auto"/>
          <w:insideV w:val="none" w:sz="0" w:space="0" w:color="auto"/>
        </w:tblBorders>
        <w:tblLook w:val="04A0" w:firstRow="1" w:lastRow="0" w:firstColumn="1" w:lastColumn="0" w:noHBand="0" w:noVBand="1"/>
      </w:tblPr>
      <w:tblGrid>
        <w:gridCol w:w="3544"/>
        <w:gridCol w:w="5245"/>
      </w:tblGrid>
      <w:tr w:rsidR="006C4DAC" w:rsidRPr="0011162B" w:rsidTr="00E70168">
        <w:trPr>
          <w:trHeight w:val="255"/>
        </w:trPr>
        <w:tc>
          <w:tcPr>
            <w:tcW w:w="3544" w:type="dxa"/>
            <w:shd w:val="clear" w:color="auto" w:fill="8DB3E2" w:themeFill="text2" w:themeFillTint="66"/>
            <w:vAlign w:val="center"/>
          </w:tcPr>
          <w:p w:rsidR="006C4DAC" w:rsidRPr="0011162B" w:rsidRDefault="006C4DAC" w:rsidP="003A3C8E">
            <w:pPr>
              <w:pStyle w:val="cuadroCabe"/>
            </w:pPr>
            <w:r w:rsidRPr="0011162B">
              <w:t>Unidad organizativa</w:t>
            </w:r>
          </w:p>
        </w:tc>
        <w:tc>
          <w:tcPr>
            <w:tcW w:w="5245" w:type="dxa"/>
            <w:shd w:val="clear" w:color="auto" w:fill="8DB3E2" w:themeFill="text2" w:themeFillTint="66"/>
            <w:vAlign w:val="center"/>
          </w:tcPr>
          <w:p w:rsidR="006C4DAC" w:rsidRPr="0011162B" w:rsidRDefault="006C4DAC" w:rsidP="002D68BD">
            <w:pPr>
              <w:pStyle w:val="cuadroCabe"/>
              <w:jc w:val="right"/>
            </w:pPr>
            <w:r w:rsidRPr="0011162B">
              <w:t>Aspectos</w:t>
            </w:r>
          </w:p>
        </w:tc>
      </w:tr>
      <w:tr w:rsidR="006C4DAC" w:rsidTr="00E70168">
        <w:trPr>
          <w:trHeight w:val="1267"/>
        </w:trPr>
        <w:tc>
          <w:tcPr>
            <w:tcW w:w="3544" w:type="dxa"/>
            <w:tcBorders>
              <w:bottom w:val="single" w:sz="4" w:space="0" w:color="auto"/>
            </w:tcBorders>
            <w:vAlign w:val="center"/>
          </w:tcPr>
          <w:p w:rsidR="006C4DAC" w:rsidRPr="00650CE2" w:rsidRDefault="006C4DAC" w:rsidP="008217D1">
            <w:pPr>
              <w:pStyle w:val="texto"/>
              <w:spacing w:after="0"/>
              <w:ind w:firstLine="0"/>
              <w:jc w:val="left"/>
              <w:rPr>
                <w:rFonts w:ascii="Arial Narrow" w:hAnsi="Arial Narrow"/>
                <w:sz w:val="20"/>
              </w:rPr>
            </w:pPr>
            <w:r w:rsidRPr="00650CE2">
              <w:rPr>
                <w:rFonts w:ascii="Arial Narrow" w:hAnsi="Arial Narrow"/>
                <w:sz w:val="20"/>
              </w:rPr>
              <w:t>SNS-O</w:t>
            </w:r>
          </w:p>
        </w:tc>
        <w:tc>
          <w:tcPr>
            <w:tcW w:w="5245" w:type="dxa"/>
            <w:tcBorders>
              <w:bottom w:val="single" w:sz="4" w:space="0" w:color="auto"/>
            </w:tcBorders>
            <w:vAlign w:val="center"/>
          </w:tcPr>
          <w:p w:rsidR="006C4DAC" w:rsidRDefault="006C4DAC" w:rsidP="00255A30">
            <w:pPr>
              <w:pStyle w:val="texto"/>
              <w:spacing w:after="0"/>
              <w:ind w:firstLine="0"/>
              <w:jc w:val="right"/>
              <w:rPr>
                <w:rFonts w:ascii="Arial Narrow" w:hAnsi="Arial Narrow"/>
                <w:sz w:val="20"/>
              </w:rPr>
            </w:pPr>
            <w:r w:rsidRPr="00650CE2">
              <w:rPr>
                <w:rFonts w:ascii="Arial Narrow" w:hAnsi="Arial Narrow"/>
                <w:sz w:val="20"/>
              </w:rPr>
              <w:t>Contratación personal</w:t>
            </w:r>
          </w:p>
          <w:p w:rsidR="006C4DAC" w:rsidRDefault="006C4DAC" w:rsidP="00255A30">
            <w:pPr>
              <w:pStyle w:val="texto"/>
              <w:spacing w:after="0"/>
              <w:ind w:firstLine="0"/>
              <w:jc w:val="right"/>
              <w:rPr>
                <w:rFonts w:ascii="Arial Narrow" w:hAnsi="Arial Narrow"/>
                <w:sz w:val="20"/>
              </w:rPr>
            </w:pPr>
            <w:r>
              <w:rPr>
                <w:rFonts w:ascii="Arial Narrow" w:hAnsi="Arial Narrow"/>
                <w:sz w:val="20"/>
              </w:rPr>
              <w:t>Uso infraestructuras y personal centros privados</w:t>
            </w:r>
          </w:p>
          <w:p w:rsidR="006C4DAC" w:rsidRDefault="006C4DAC" w:rsidP="00255A30">
            <w:pPr>
              <w:pStyle w:val="texto"/>
              <w:spacing w:after="0"/>
              <w:ind w:firstLine="0"/>
              <w:jc w:val="right"/>
              <w:rPr>
                <w:rFonts w:ascii="Arial Narrow" w:hAnsi="Arial Narrow"/>
                <w:sz w:val="20"/>
              </w:rPr>
            </w:pPr>
            <w:r>
              <w:rPr>
                <w:rFonts w:ascii="Arial Narrow" w:hAnsi="Arial Narrow"/>
                <w:sz w:val="20"/>
              </w:rPr>
              <w:t>Reincorporación personal (sindical y jubilado)</w:t>
            </w:r>
          </w:p>
          <w:p w:rsidR="006C4DAC" w:rsidRPr="00650CE2" w:rsidRDefault="006C4DAC" w:rsidP="00255A30">
            <w:pPr>
              <w:pStyle w:val="texto"/>
              <w:spacing w:after="0"/>
              <w:ind w:firstLine="0"/>
              <w:jc w:val="right"/>
              <w:rPr>
                <w:rFonts w:ascii="Arial Narrow" w:hAnsi="Arial Narrow"/>
                <w:sz w:val="20"/>
              </w:rPr>
            </w:pPr>
            <w:r>
              <w:rPr>
                <w:rFonts w:ascii="Arial Narrow" w:hAnsi="Arial Narrow"/>
                <w:sz w:val="20"/>
              </w:rPr>
              <w:t>Retribuciones personal (complemento productividad COVID, horas extraordinarias)</w:t>
            </w:r>
          </w:p>
        </w:tc>
      </w:tr>
      <w:tr w:rsidR="006C4DAC" w:rsidTr="00E70168">
        <w:trPr>
          <w:trHeight w:val="1115"/>
        </w:trPr>
        <w:tc>
          <w:tcPr>
            <w:tcW w:w="3544" w:type="dxa"/>
            <w:tcBorders>
              <w:top w:val="single" w:sz="4" w:space="0" w:color="auto"/>
              <w:bottom w:val="single" w:sz="2" w:space="0" w:color="auto"/>
            </w:tcBorders>
            <w:vAlign w:val="center"/>
          </w:tcPr>
          <w:p w:rsidR="006C4DAC" w:rsidRPr="00650CE2" w:rsidRDefault="006C4DAC" w:rsidP="008217D1">
            <w:pPr>
              <w:pStyle w:val="texto"/>
              <w:spacing w:after="0"/>
              <w:ind w:firstLine="0"/>
              <w:jc w:val="left"/>
              <w:rPr>
                <w:rFonts w:ascii="Arial Narrow" w:hAnsi="Arial Narrow"/>
                <w:sz w:val="20"/>
              </w:rPr>
            </w:pPr>
            <w:r w:rsidRPr="00650CE2">
              <w:rPr>
                <w:rFonts w:ascii="Arial Narrow" w:hAnsi="Arial Narrow"/>
                <w:sz w:val="20"/>
              </w:rPr>
              <w:t>Departamento Derechos Sociales</w:t>
            </w:r>
          </w:p>
        </w:tc>
        <w:tc>
          <w:tcPr>
            <w:tcW w:w="5245" w:type="dxa"/>
            <w:tcBorders>
              <w:top w:val="single" w:sz="4" w:space="0" w:color="auto"/>
              <w:bottom w:val="single" w:sz="2" w:space="0" w:color="auto"/>
            </w:tcBorders>
            <w:vAlign w:val="center"/>
          </w:tcPr>
          <w:p w:rsidR="006C4DAC" w:rsidRDefault="006C4DAC" w:rsidP="00255A30">
            <w:pPr>
              <w:pStyle w:val="texto"/>
              <w:spacing w:after="0"/>
              <w:ind w:firstLine="0"/>
              <w:jc w:val="right"/>
              <w:rPr>
                <w:rFonts w:ascii="Arial Narrow" w:hAnsi="Arial Narrow"/>
                <w:sz w:val="20"/>
              </w:rPr>
            </w:pPr>
            <w:r>
              <w:rPr>
                <w:rFonts w:ascii="Arial Narrow" w:hAnsi="Arial Narrow"/>
                <w:sz w:val="20"/>
              </w:rPr>
              <w:t xml:space="preserve">Personal centros y servicios </w:t>
            </w:r>
            <w:proofErr w:type="spellStart"/>
            <w:r w:rsidR="00E417F4">
              <w:rPr>
                <w:rFonts w:ascii="Arial Narrow" w:hAnsi="Arial Narrow"/>
                <w:sz w:val="20"/>
              </w:rPr>
              <w:t>socio</w:t>
            </w:r>
            <w:r w:rsidR="00255A30">
              <w:rPr>
                <w:rFonts w:ascii="Arial Narrow" w:hAnsi="Arial Narrow"/>
                <w:sz w:val="20"/>
              </w:rPr>
              <w:t>sanitarios</w:t>
            </w:r>
            <w:proofErr w:type="spellEnd"/>
          </w:p>
          <w:p w:rsidR="006C4DAC" w:rsidRDefault="006C4DAC" w:rsidP="00255A30">
            <w:pPr>
              <w:pStyle w:val="texto"/>
              <w:spacing w:after="0"/>
              <w:ind w:firstLine="0"/>
              <w:jc w:val="right"/>
              <w:rPr>
                <w:rFonts w:ascii="Arial Narrow" w:hAnsi="Arial Narrow"/>
                <w:sz w:val="20"/>
              </w:rPr>
            </w:pPr>
            <w:r>
              <w:rPr>
                <w:rFonts w:ascii="Arial Narrow" w:hAnsi="Arial Narrow"/>
                <w:sz w:val="20"/>
              </w:rPr>
              <w:t>Contratación personal</w:t>
            </w:r>
          </w:p>
          <w:p w:rsidR="006C4DAC" w:rsidRDefault="006C4DAC" w:rsidP="00255A30">
            <w:pPr>
              <w:pStyle w:val="texto"/>
              <w:spacing w:after="0"/>
              <w:ind w:firstLine="0"/>
              <w:jc w:val="right"/>
              <w:rPr>
                <w:rFonts w:ascii="Arial Narrow" w:hAnsi="Arial Narrow"/>
                <w:sz w:val="20"/>
              </w:rPr>
            </w:pPr>
            <w:r>
              <w:rPr>
                <w:rFonts w:ascii="Arial Narrow" w:hAnsi="Arial Narrow"/>
                <w:sz w:val="20"/>
              </w:rPr>
              <w:t>Conciertos sociales</w:t>
            </w:r>
          </w:p>
          <w:p w:rsidR="006C4DAC" w:rsidRPr="00650CE2" w:rsidRDefault="006C4DAC" w:rsidP="00255A30">
            <w:pPr>
              <w:pStyle w:val="texto"/>
              <w:spacing w:after="0"/>
              <w:ind w:firstLine="0"/>
              <w:jc w:val="right"/>
              <w:rPr>
                <w:rFonts w:ascii="Arial Narrow" w:hAnsi="Arial Narrow"/>
                <w:sz w:val="20"/>
              </w:rPr>
            </w:pPr>
            <w:r>
              <w:rPr>
                <w:rFonts w:ascii="Arial Narrow" w:hAnsi="Arial Narrow"/>
                <w:sz w:val="20"/>
              </w:rPr>
              <w:t>Suspensión renta garantizada en determinados supuestos</w:t>
            </w:r>
          </w:p>
        </w:tc>
      </w:tr>
      <w:tr w:rsidR="006C4DAC" w:rsidTr="00E70168">
        <w:trPr>
          <w:trHeight w:val="550"/>
        </w:trPr>
        <w:tc>
          <w:tcPr>
            <w:tcW w:w="3544" w:type="dxa"/>
            <w:tcBorders>
              <w:top w:val="single" w:sz="2" w:space="0" w:color="auto"/>
              <w:bottom w:val="single" w:sz="2" w:space="0" w:color="auto"/>
            </w:tcBorders>
            <w:vAlign w:val="center"/>
          </w:tcPr>
          <w:p w:rsidR="006C4DAC" w:rsidRPr="00650CE2" w:rsidRDefault="006C4DAC" w:rsidP="008217D1">
            <w:pPr>
              <w:pStyle w:val="texto"/>
              <w:spacing w:after="0"/>
              <w:ind w:firstLine="0"/>
              <w:jc w:val="left"/>
              <w:rPr>
                <w:rFonts w:ascii="Arial Narrow" w:hAnsi="Arial Narrow"/>
                <w:sz w:val="20"/>
              </w:rPr>
            </w:pPr>
            <w:r>
              <w:rPr>
                <w:rFonts w:ascii="Arial Narrow" w:hAnsi="Arial Narrow"/>
                <w:sz w:val="20"/>
              </w:rPr>
              <w:t>Hacienda Tributaria de Navarra</w:t>
            </w:r>
          </w:p>
        </w:tc>
        <w:tc>
          <w:tcPr>
            <w:tcW w:w="5245" w:type="dxa"/>
            <w:tcBorders>
              <w:top w:val="single" w:sz="2" w:space="0" w:color="auto"/>
              <w:bottom w:val="single" w:sz="2" w:space="0" w:color="auto"/>
            </w:tcBorders>
            <w:vAlign w:val="center"/>
          </w:tcPr>
          <w:p w:rsidR="006C4DAC" w:rsidRDefault="006C4DAC" w:rsidP="00255A30">
            <w:pPr>
              <w:pStyle w:val="texto"/>
              <w:spacing w:after="0"/>
              <w:ind w:firstLine="0"/>
              <w:jc w:val="right"/>
              <w:rPr>
                <w:rFonts w:ascii="Arial Narrow" w:hAnsi="Arial Narrow"/>
                <w:sz w:val="20"/>
              </w:rPr>
            </w:pPr>
            <w:r>
              <w:rPr>
                <w:rFonts w:ascii="Arial Narrow" w:hAnsi="Arial Narrow"/>
                <w:sz w:val="20"/>
              </w:rPr>
              <w:t>Suspensión plazos periodo tributario</w:t>
            </w:r>
          </w:p>
          <w:p w:rsidR="006C4DAC" w:rsidRPr="00650CE2" w:rsidRDefault="006C4DAC" w:rsidP="00255A30">
            <w:pPr>
              <w:pStyle w:val="texto"/>
              <w:spacing w:after="0"/>
              <w:ind w:firstLine="0"/>
              <w:jc w:val="right"/>
              <w:rPr>
                <w:rFonts w:ascii="Arial Narrow" w:hAnsi="Arial Narrow"/>
                <w:sz w:val="20"/>
              </w:rPr>
            </w:pPr>
            <w:r>
              <w:rPr>
                <w:rFonts w:ascii="Arial Narrow" w:hAnsi="Arial Narrow"/>
                <w:sz w:val="20"/>
              </w:rPr>
              <w:t>Aplazamiento excepcional deudas tributarias</w:t>
            </w:r>
          </w:p>
        </w:tc>
      </w:tr>
      <w:tr w:rsidR="006C4DAC" w:rsidTr="00E70168">
        <w:trPr>
          <w:trHeight w:val="997"/>
        </w:trPr>
        <w:tc>
          <w:tcPr>
            <w:tcW w:w="3544" w:type="dxa"/>
            <w:tcBorders>
              <w:top w:val="single" w:sz="2" w:space="0" w:color="auto"/>
              <w:bottom w:val="single" w:sz="2" w:space="0" w:color="auto"/>
            </w:tcBorders>
            <w:vAlign w:val="center"/>
          </w:tcPr>
          <w:p w:rsidR="006C4DAC" w:rsidRPr="00650CE2" w:rsidRDefault="006C4DAC" w:rsidP="008217D1">
            <w:pPr>
              <w:pStyle w:val="texto"/>
              <w:spacing w:after="0"/>
              <w:ind w:firstLine="0"/>
              <w:jc w:val="left"/>
              <w:rPr>
                <w:rFonts w:ascii="Arial Narrow" w:hAnsi="Arial Narrow"/>
                <w:sz w:val="20"/>
              </w:rPr>
            </w:pPr>
            <w:r>
              <w:rPr>
                <w:rFonts w:ascii="Arial Narrow" w:hAnsi="Arial Narrow"/>
                <w:sz w:val="20"/>
              </w:rPr>
              <w:t>Aplicación a todos los departamentos</w:t>
            </w:r>
          </w:p>
        </w:tc>
        <w:tc>
          <w:tcPr>
            <w:tcW w:w="5245" w:type="dxa"/>
            <w:tcBorders>
              <w:top w:val="single" w:sz="2" w:space="0" w:color="auto"/>
              <w:bottom w:val="single" w:sz="2" w:space="0" w:color="auto"/>
            </w:tcBorders>
            <w:vAlign w:val="center"/>
          </w:tcPr>
          <w:p w:rsidR="006C4DAC" w:rsidRDefault="006C4DAC" w:rsidP="00255A30">
            <w:pPr>
              <w:pStyle w:val="texto"/>
              <w:spacing w:after="0"/>
              <w:ind w:firstLine="0"/>
              <w:jc w:val="right"/>
              <w:rPr>
                <w:rFonts w:ascii="Arial Narrow" w:hAnsi="Arial Narrow"/>
                <w:sz w:val="20"/>
              </w:rPr>
            </w:pPr>
            <w:r>
              <w:rPr>
                <w:rFonts w:ascii="Arial Narrow" w:hAnsi="Arial Narrow"/>
                <w:sz w:val="20"/>
              </w:rPr>
              <w:t>Procedimientos contratación y encargos</w:t>
            </w:r>
          </w:p>
          <w:p w:rsidR="006C4DAC" w:rsidRDefault="006C4DAC" w:rsidP="00255A30">
            <w:pPr>
              <w:pStyle w:val="texto"/>
              <w:spacing w:after="0"/>
              <w:ind w:firstLine="0"/>
              <w:jc w:val="right"/>
              <w:rPr>
                <w:rFonts w:ascii="Arial Narrow" w:hAnsi="Arial Narrow"/>
                <w:sz w:val="20"/>
              </w:rPr>
            </w:pPr>
            <w:r>
              <w:rPr>
                <w:rFonts w:ascii="Arial Narrow" w:hAnsi="Arial Narrow"/>
                <w:sz w:val="20"/>
              </w:rPr>
              <w:t>Contabilización y gestión presupuestaria</w:t>
            </w:r>
          </w:p>
          <w:p w:rsidR="006C4DAC" w:rsidRDefault="006C4DAC" w:rsidP="00255A30">
            <w:pPr>
              <w:pStyle w:val="texto"/>
              <w:spacing w:after="0"/>
              <w:ind w:firstLine="0"/>
              <w:jc w:val="right"/>
              <w:rPr>
                <w:rFonts w:ascii="Arial Narrow" w:hAnsi="Arial Narrow"/>
                <w:sz w:val="20"/>
              </w:rPr>
            </w:pPr>
            <w:r>
              <w:rPr>
                <w:rFonts w:ascii="Arial Narrow" w:hAnsi="Arial Narrow"/>
                <w:sz w:val="20"/>
              </w:rPr>
              <w:t>Subvenciones</w:t>
            </w:r>
          </w:p>
          <w:p w:rsidR="006C4DAC" w:rsidRPr="00650CE2" w:rsidRDefault="006C4DAC" w:rsidP="00255A30">
            <w:pPr>
              <w:pStyle w:val="texto"/>
              <w:spacing w:after="0"/>
              <w:ind w:firstLine="0"/>
              <w:jc w:val="right"/>
              <w:rPr>
                <w:rFonts w:ascii="Arial Narrow" w:hAnsi="Arial Narrow"/>
                <w:sz w:val="20"/>
              </w:rPr>
            </w:pPr>
            <w:r>
              <w:rPr>
                <w:rFonts w:ascii="Arial Narrow" w:hAnsi="Arial Narrow"/>
                <w:sz w:val="20"/>
              </w:rPr>
              <w:t>Creación Fondo 100 millones</w:t>
            </w:r>
          </w:p>
        </w:tc>
      </w:tr>
      <w:tr w:rsidR="006C4DAC" w:rsidTr="00E70168">
        <w:trPr>
          <w:trHeight w:val="416"/>
        </w:trPr>
        <w:tc>
          <w:tcPr>
            <w:tcW w:w="3544" w:type="dxa"/>
            <w:tcBorders>
              <w:top w:val="single" w:sz="2" w:space="0" w:color="auto"/>
              <w:bottom w:val="single" w:sz="2" w:space="0" w:color="auto"/>
            </w:tcBorders>
            <w:vAlign w:val="center"/>
          </w:tcPr>
          <w:p w:rsidR="006C4DAC" w:rsidRDefault="006C4DAC" w:rsidP="008217D1">
            <w:pPr>
              <w:pStyle w:val="texto"/>
              <w:spacing w:after="0"/>
              <w:ind w:firstLine="0"/>
              <w:jc w:val="left"/>
              <w:rPr>
                <w:rFonts w:ascii="Arial Narrow" w:hAnsi="Arial Narrow"/>
                <w:sz w:val="20"/>
              </w:rPr>
            </w:pPr>
            <w:r>
              <w:rPr>
                <w:rFonts w:ascii="Arial Narrow" w:hAnsi="Arial Narrow"/>
                <w:sz w:val="20"/>
              </w:rPr>
              <w:t>Departamento de Cohesión Territorial</w:t>
            </w:r>
          </w:p>
        </w:tc>
        <w:tc>
          <w:tcPr>
            <w:tcW w:w="5245" w:type="dxa"/>
            <w:tcBorders>
              <w:top w:val="single" w:sz="2" w:space="0" w:color="auto"/>
              <w:bottom w:val="single" w:sz="2" w:space="0" w:color="auto"/>
            </w:tcBorders>
            <w:vAlign w:val="center"/>
          </w:tcPr>
          <w:p w:rsidR="006C4DAC" w:rsidRDefault="006C4DAC" w:rsidP="00255A30">
            <w:pPr>
              <w:pStyle w:val="texto"/>
              <w:spacing w:after="0"/>
              <w:ind w:firstLine="0"/>
              <w:jc w:val="right"/>
              <w:rPr>
                <w:rFonts w:ascii="Arial Narrow" w:hAnsi="Arial Narrow"/>
                <w:sz w:val="20"/>
              </w:rPr>
            </w:pPr>
            <w:r>
              <w:rPr>
                <w:rFonts w:ascii="Arial Narrow" w:hAnsi="Arial Narrow"/>
                <w:sz w:val="20"/>
              </w:rPr>
              <w:t>Fondo extraordinario 25 millones</w:t>
            </w:r>
          </w:p>
        </w:tc>
      </w:tr>
      <w:tr w:rsidR="006C4DAC" w:rsidTr="00E70168">
        <w:trPr>
          <w:trHeight w:val="564"/>
        </w:trPr>
        <w:tc>
          <w:tcPr>
            <w:tcW w:w="3544" w:type="dxa"/>
            <w:tcBorders>
              <w:top w:val="single" w:sz="2" w:space="0" w:color="auto"/>
              <w:bottom w:val="single" w:sz="4" w:space="0" w:color="auto"/>
            </w:tcBorders>
            <w:vAlign w:val="center"/>
          </w:tcPr>
          <w:p w:rsidR="006C4DAC" w:rsidRDefault="006C4DAC" w:rsidP="008217D1">
            <w:pPr>
              <w:pStyle w:val="texto"/>
              <w:spacing w:after="0"/>
              <w:ind w:firstLine="0"/>
              <w:jc w:val="left"/>
              <w:rPr>
                <w:rFonts w:ascii="Arial Narrow" w:hAnsi="Arial Narrow"/>
                <w:sz w:val="20"/>
              </w:rPr>
            </w:pPr>
            <w:r>
              <w:rPr>
                <w:rFonts w:ascii="Arial Narrow" w:hAnsi="Arial Narrow"/>
                <w:sz w:val="20"/>
              </w:rPr>
              <w:t xml:space="preserve">Departamento Desarrollo Económico y </w:t>
            </w:r>
          </w:p>
          <w:p w:rsidR="006C4DAC" w:rsidRDefault="006C4DAC" w:rsidP="008217D1">
            <w:pPr>
              <w:pStyle w:val="texto"/>
              <w:spacing w:after="0"/>
              <w:ind w:firstLine="0"/>
              <w:jc w:val="left"/>
              <w:rPr>
                <w:rFonts w:ascii="Arial Narrow" w:hAnsi="Arial Narrow"/>
                <w:sz w:val="20"/>
              </w:rPr>
            </w:pPr>
            <w:r>
              <w:rPr>
                <w:rFonts w:ascii="Arial Narrow" w:hAnsi="Arial Narrow"/>
                <w:sz w:val="20"/>
              </w:rPr>
              <w:t>Empresarial</w:t>
            </w:r>
          </w:p>
        </w:tc>
        <w:tc>
          <w:tcPr>
            <w:tcW w:w="5245" w:type="dxa"/>
            <w:tcBorders>
              <w:top w:val="single" w:sz="2" w:space="0" w:color="auto"/>
              <w:bottom w:val="single" w:sz="4" w:space="0" w:color="auto"/>
            </w:tcBorders>
            <w:vAlign w:val="center"/>
          </w:tcPr>
          <w:p w:rsidR="006C4DAC" w:rsidRDefault="006C4DAC" w:rsidP="00255A30">
            <w:pPr>
              <w:pStyle w:val="texto"/>
              <w:spacing w:after="0"/>
              <w:ind w:firstLine="0"/>
              <w:jc w:val="right"/>
              <w:rPr>
                <w:rFonts w:ascii="Arial Narrow" w:hAnsi="Arial Narrow"/>
                <w:sz w:val="20"/>
              </w:rPr>
            </w:pPr>
            <w:r>
              <w:rPr>
                <w:rFonts w:ascii="Arial Narrow" w:hAnsi="Arial Narrow"/>
                <w:sz w:val="20"/>
              </w:rPr>
              <w:t>Ayudas a personas autónomas</w:t>
            </w:r>
          </w:p>
          <w:p w:rsidR="006C4DAC" w:rsidRDefault="006C4DAC" w:rsidP="00255A30">
            <w:pPr>
              <w:pStyle w:val="texto"/>
              <w:spacing w:after="0"/>
              <w:ind w:firstLine="0"/>
              <w:jc w:val="right"/>
              <w:rPr>
                <w:rFonts w:ascii="Arial Narrow" w:hAnsi="Arial Narrow"/>
                <w:sz w:val="20"/>
              </w:rPr>
            </w:pPr>
            <w:r>
              <w:rPr>
                <w:rFonts w:ascii="Arial Narrow" w:hAnsi="Arial Narrow"/>
                <w:sz w:val="20"/>
              </w:rPr>
              <w:t>Ayudas al sector del turismo y hostelería</w:t>
            </w:r>
          </w:p>
        </w:tc>
      </w:tr>
    </w:tbl>
    <w:p w:rsidR="006C4DAC" w:rsidRDefault="006C4DAC" w:rsidP="006C4DAC">
      <w:pPr>
        <w:pStyle w:val="texto"/>
        <w:spacing w:before="240" w:after="240"/>
        <w:rPr>
          <w:rFonts w:ascii="Arial" w:hAnsi="Arial"/>
          <w:bCs/>
          <w:iCs/>
          <w:color w:val="000000"/>
          <w:spacing w:val="10"/>
          <w:kern w:val="28"/>
          <w:sz w:val="25"/>
          <w:szCs w:val="26"/>
        </w:rPr>
      </w:pPr>
      <w:r>
        <w:rPr>
          <w:szCs w:val="26"/>
        </w:rPr>
        <w:t>El marco normativo citado recoge los aspectos más básicos que han afectado a Navarra, ya que hay que tener en cuenta que la labor legislativa ha sido muy intensa y compleja desde el inicio de la declaración del estado de alarma; las normas aprobadas han afectado a muchos sectores de actividad de forma sign</w:t>
      </w:r>
      <w:r>
        <w:rPr>
          <w:szCs w:val="26"/>
        </w:rPr>
        <w:t>i</w:t>
      </w:r>
      <w:r>
        <w:rPr>
          <w:szCs w:val="26"/>
        </w:rPr>
        <w:t>ficativa, si bien hay que tener en cuenta que su vigencia temporal está suped</w:t>
      </w:r>
      <w:r>
        <w:rPr>
          <w:szCs w:val="26"/>
        </w:rPr>
        <w:t>i</w:t>
      </w:r>
      <w:r>
        <w:rPr>
          <w:szCs w:val="26"/>
        </w:rPr>
        <w:lastRenderedPageBreak/>
        <w:t>tada a la finalización del estado de alarma y de los efectos que pueda causar la crisis sanitaria.</w:t>
      </w:r>
    </w:p>
    <w:p w:rsidR="006C4DAC" w:rsidRPr="00C6043C" w:rsidRDefault="006C4DAC" w:rsidP="006C4DAC">
      <w:pPr>
        <w:pStyle w:val="atitulo2"/>
      </w:pPr>
      <w:bookmarkStart w:id="21" w:name="_Toc67394577"/>
      <w:bookmarkStart w:id="22" w:name="_Toc69373185"/>
      <w:r>
        <w:t>II.2</w:t>
      </w:r>
      <w:r w:rsidR="00E70168">
        <w:t>.</w:t>
      </w:r>
      <w:r w:rsidRPr="00C6043C">
        <w:t xml:space="preserve"> </w:t>
      </w:r>
      <w:r>
        <w:t>Procedimientos de gestión aplicados a la COVID-19</w:t>
      </w:r>
      <w:bookmarkEnd w:id="21"/>
      <w:bookmarkEnd w:id="22"/>
    </w:p>
    <w:p w:rsidR="006C4DAC" w:rsidRPr="006538A3" w:rsidRDefault="006C4DAC" w:rsidP="006538A3">
      <w:pPr>
        <w:pStyle w:val="atitulo4"/>
      </w:pPr>
      <w:r w:rsidRPr="006538A3">
        <w:t>Imputación presupuestaria</w:t>
      </w:r>
    </w:p>
    <w:p w:rsidR="006C4DAC" w:rsidRPr="007D0E99" w:rsidRDefault="006C4DAC" w:rsidP="006C4DAC">
      <w:pPr>
        <w:pStyle w:val="texto"/>
        <w:rPr>
          <w:szCs w:val="26"/>
        </w:rPr>
      </w:pPr>
      <w:r w:rsidRPr="007D0E99">
        <w:rPr>
          <w:szCs w:val="26"/>
        </w:rPr>
        <w:t>El artículo 5 de la Ley Foral 5/2020, de 4 de marzo, de Presupuestos Gener</w:t>
      </w:r>
      <w:r w:rsidRPr="007D0E99">
        <w:rPr>
          <w:szCs w:val="26"/>
        </w:rPr>
        <w:t>a</w:t>
      </w:r>
      <w:r w:rsidRPr="007D0E99">
        <w:rPr>
          <w:szCs w:val="26"/>
        </w:rPr>
        <w:t>les de Navarra para el año 2020, establece que las medidas extraordinarias de lucha contra el coronavirus se financiarán con cargo a las partidas específicas creadas al efecto que tendrán carácter ampliable y la denominación COVID-19.</w:t>
      </w:r>
    </w:p>
    <w:p w:rsidR="006C4DAC" w:rsidRDefault="006C4DAC" w:rsidP="006C4DAC">
      <w:pPr>
        <w:pStyle w:val="texto"/>
        <w:rPr>
          <w:szCs w:val="26"/>
        </w:rPr>
      </w:pPr>
      <w:r w:rsidRPr="007D0E99">
        <w:rPr>
          <w:szCs w:val="26"/>
        </w:rPr>
        <w:t>La determinación de la partida presupuestaria a la que se va a imputar el ga</w:t>
      </w:r>
      <w:r w:rsidRPr="007D0E99">
        <w:rPr>
          <w:szCs w:val="26"/>
        </w:rPr>
        <w:t>s</w:t>
      </w:r>
      <w:r w:rsidRPr="007D0E99">
        <w:rPr>
          <w:szCs w:val="26"/>
        </w:rPr>
        <w:t xml:space="preserve">to se realiza al inicio de la actuación administrativa concreta que conduce, a través de las sucesivas fases de ejecución presupuestaria, al reconocimiento de la obligación. </w:t>
      </w:r>
    </w:p>
    <w:p w:rsidR="006C4DAC" w:rsidRPr="007D0E99" w:rsidRDefault="006C4DAC" w:rsidP="006C4DAC">
      <w:pPr>
        <w:pStyle w:val="texto"/>
        <w:rPr>
          <w:szCs w:val="26"/>
        </w:rPr>
      </w:pPr>
      <w:r w:rsidRPr="007D0E99">
        <w:rPr>
          <w:szCs w:val="26"/>
        </w:rPr>
        <w:t>Sin embargo, es posible que existan situaciones en las que el carácter extr</w:t>
      </w:r>
      <w:r w:rsidRPr="007D0E99">
        <w:rPr>
          <w:szCs w:val="26"/>
        </w:rPr>
        <w:t>a</w:t>
      </w:r>
      <w:r w:rsidRPr="007D0E99">
        <w:rPr>
          <w:szCs w:val="26"/>
        </w:rPr>
        <w:t xml:space="preserve">ordinario del gasto no nazca de una actuación iniciada específicamente como respuesta a la crisis sanitaria, sino que se realice en el marco de un instrumento de gestión </w:t>
      </w:r>
      <w:r>
        <w:rPr>
          <w:szCs w:val="26"/>
        </w:rPr>
        <w:t>ya existente</w:t>
      </w:r>
      <w:r w:rsidRPr="007D0E99">
        <w:rPr>
          <w:szCs w:val="26"/>
        </w:rPr>
        <w:t xml:space="preserve">. </w:t>
      </w:r>
      <w:r>
        <w:rPr>
          <w:szCs w:val="26"/>
        </w:rPr>
        <w:t xml:space="preserve">Esto supone </w:t>
      </w:r>
      <w:r w:rsidRPr="007D0E99">
        <w:rPr>
          <w:szCs w:val="26"/>
        </w:rPr>
        <w:t>realizar correcciones contables sobre el importe de ejecución presupuestaria, debiendo quedar recogida, en todo caso, la vinculación entre la corrección que se hace y la actuación administrativa que dio origen al importe indebidamente imputado, de manera que pueda verificarse la correcta imputación de los gastos recogidos en las partidas COVID-19.</w:t>
      </w:r>
    </w:p>
    <w:p w:rsidR="006C4DAC" w:rsidRDefault="006C4DAC" w:rsidP="006C4DAC">
      <w:pPr>
        <w:pStyle w:val="texto"/>
        <w:rPr>
          <w:szCs w:val="26"/>
        </w:rPr>
      </w:pPr>
      <w:r w:rsidRPr="007D0E99">
        <w:rPr>
          <w:szCs w:val="26"/>
        </w:rPr>
        <w:t>La necesidad de reflejar correctamente la naturaleza y el alcance de los ga</w:t>
      </w:r>
      <w:r w:rsidRPr="007D0E99">
        <w:rPr>
          <w:szCs w:val="26"/>
        </w:rPr>
        <w:t>s</w:t>
      </w:r>
      <w:r w:rsidRPr="007D0E99">
        <w:rPr>
          <w:szCs w:val="26"/>
        </w:rPr>
        <w:t>tos extraordinarios realizados no deviene únicamente del mandato de la Ley Foral de Presupuestos, sino que responde al requerimiento de información re</w:t>
      </w:r>
      <w:r w:rsidRPr="007D0E99">
        <w:rPr>
          <w:szCs w:val="26"/>
        </w:rPr>
        <w:t>a</w:t>
      </w:r>
      <w:r w:rsidRPr="007D0E99">
        <w:rPr>
          <w:szCs w:val="26"/>
        </w:rPr>
        <w:t xml:space="preserve">lizado por </w:t>
      </w:r>
      <w:r>
        <w:rPr>
          <w:szCs w:val="26"/>
        </w:rPr>
        <w:t>e</w:t>
      </w:r>
      <w:r w:rsidRPr="007D0E99">
        <w:rPr>
          <w:szCs w:val="26"/>
        </w:rPr>
        <w:t xml:space="preserve">l Estado al amparo de lo señalado en la normativa de </w:t>
      </w:r>
      <w:r>
        <w:rPr>
          <w:szCs w:val="26"/>
        </w:rPr>
        <w:t>e</w:t>
      </w:r>
      <w:r w:rsidRPr="007D0E99">
        <w:rPr>
          <w:szCs w:val="26"/>
        </w:rPr>
        <w:t xml:space="preserve">stabilidad </w:t>
      </w:r>
      <w:r>
        <w:rPr>
          <w:szCs w:val="26"/>
        </w:rPr>
        <w:t>p</w:t>
      </w:r>
      <w:r w:rsidRPr="007D0E99">
        <w:rPr>
          <w:szCs w:val="26"/>
        </w:rPr>
        <w:t>resupuestaria.</w:t>
      </w:r>
    </w:p>
    <w:p w:rsidR="006C4DAC" w:rsidRDefault="006C4DAC" w:rsidP="006C4DAC">
      <w:pPr>
        <w:pStyle w:val="texto"/>
        <w:rPr>
          <w:szCs w:val="26"/>
        </w:rPr>
      </w:pPr>
      <w:r>
        <w:rPr>
          <w:szCs w:val="26"/>
        </w:rPr>
        <w:t>Por este motivo, toda actuación realizada en relación con la gestión de la COVID-19 que conlleve un gasto debe quedar perfectamente identificada.</w:t>
      </w:r>
    </w:p>
    <w:p w:rsidR="006C4DAC" w:rsidRDefault="006C4DAC" w:rsidP="006C4DAC">
      <w:pPr>
        <w:pStyle w:val="texto"/>
        <w:spacing w:after="240"/>
        <w:rPr>
          <w:szCs w:val="26"/>
        </w:rPr>
      </w:pPr>
      <w:r>
        <w:rPr>
          <w:szCs w:val="26"/>
        </w:rPr>
        <w:t>En el caso de los ingresos no existe esta obligación legal de identificar de manera concisa los derechos reconocidos para hacer frente a esta crisis sanit</w:t>
      </w:r>
      <w:r>
        <w:rPr>
          <w:szCs w:val="26"/>
        </w:rPr>
        <w:t>a</w:t>
      </w:r>
      <w:r>
        <w:rPr>
          <w:szCs w:val="26"/>
        </w:rPr>
        <w:t xml:space="preserve">ria. </w:t>
      </w:r>
    </w:p>
    <w:p w:rsidR="006C4DAC" w:rsidRDefault="006C4DAC" w:rsidP="006538A3">
      <w:pPr>
        <w:pStyle w:val="atitulo4"/>
      </w:pPr>
      <w:r>
        <w:t>Medidas aprobadas y procedimiento de contratación de personal</w:t>
      </w:r>
    </w:p>
    <w:p w:rsidR="006C4DAC" w:rsidRDefault="006C4DAC" w:rsidP="006C4DAC">
      <w:pPr>
        <w:pStyle w:val="texto"/>
        <w:rPr>
          <w:szCs w:val="26"/>
        </w:rPr>
      </w:pPr>
      <w:r w:rsidRPr="00B178BA">
        <w:rPr>
          <w:szCs w:val="26"/>
        </w:rPr>
        <w:t xml:space="preserve">Las </w:t>
      </w:r>
      <w:r>
        <w:rPr>
          <w:szCs w:val="26"/>
        </w:rPr>
        <w:t xml:space="preserve">principales </w:t>
      </w:r>
      <w:r w:rsidRPr="00B178BA">
        <w:rPr>
          <w:szCs w:val="26"/>
        </w:rPr>
        <w:t>me</w:t>
      </w:r>
      <w:r>
        <w:rPr>
          <w:szCs w:val="26"/>
        </w:rPr>
        <w:t>didas establecidas para todo el personal empleado público cualquiera que fuera su puesto de trabajo y su régimen jurídico fueron:</w:t>
      </w:r>
    </w:p>
    <w:p w:rsidR="006C4DAC" w:rsidRDefault="006C4DAC"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rsidRPr="00680392">
        <w:rPr>
          <w:szCs w:val="26"/>
        </w:rPr>
        <w:t>Se podrán imponer servicios extraordinarios por su duración o naturaleza.</w:t>
      </w:r>
    </w:p>
    <w:p w:rsidR="006C4DAC" w:rsidRDefault="006C4DAC"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rsidRPr="00680392">
        <w:rPr>
          <w:szCs w:val="26"/>
        </w:rPr>
        <w:t>Encomienda de funciones distinta</w:t>
      </w:r>
      <w:r>
        <w:rPr>
          <w:szCs w:val="26"/>
        </w:rPr>
        <w:t>s</w:t>
      </w:r>
      <w:r w:rsidRPr="00680392">
        <w:rPr>
          <w:szCs w:val="26"/>
        </w:rPr>
        <w:t xml:space="preserve"> a las correspondientes al puesto de tr</w:t>
      </w:r>
      <w:r w:rsidRPr="00680392">
        <w:rPr>
          <w:szCs w:val="26"/>
        </w:rPr>
        <w:t>a</w:t>
      </w:r>
      <w:r w:rsidRPr="00680392">
        <w:rPr>
          <w:szCs w:val="26"/>
        </w:rPr>
        <w:t>bajo.</w:t>
      </w:r>
    </w:p>
    <w:p w:rsidR="006C4DAC" w:rsidRDefault="006C4DAC"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rsidRPr="00C708A2">
        <w:rPr>
          <w:szCs w:val="26"/>
        </w:rPr>
        <w:lastRenderedPageBreak/>
        <w:t>Medidas de movilidad geográfica que implicaban la indemnización por gastos de desplazamiento siempre que supongan más de cinco kilómetros.</w:t>
      </w:r>
    </w:p>
    <w:p w:rsidR="006C4DAC" w:rsidRDefault="006C4DAC"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rsidRPr="00C708A2">
        <w:rPr>
          <w:szCs w:val="26"/>
        </w:rPr>
        <w:t xml:space="preserve">Si la unidad de adscripción se cierra, </w:t>
      </w:r>
      <w:r>
        <w:rPr>
          <w:szCs w:val="26"/>
        </w:rPr>
        <w:t xml:space="preserve">el personal </w:t>
      </w:r>
      <w:r w:rsidRPr="00C708A2">
        <w:rPr>
          <w:szCs w:val="26"/>
        </w:rPr>
        <w:t>podrá ser requerido para prestar servicios de refuerzo en otra unidad orgánica distinta.</w:t>
      </w:r>
    </w:p>
    <w:p w:rsidR="006C4DAC" w:rsidRDefault="006C4DAC"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rsidRPr="00C708A2">
        <w:rPr>
          <w:szCs w:val="26"/>
        </w:rPr>
        <w:t>Se podrán adoptar medidas en materia de jornada de trabajo y descanso, pudiendo revocarse permisos, licencias, etc., ya concedidos</w:t>
      </w:r>
      <w:r>
        <w:rPr>
          <w:szCs w:val="26"/>
        </w:rPr>
        <w:t>,</w:t>
      </w:r>
      <w:r w:rsidRPr="00C708A2">
        <w:rPr>
          <w:szCs w:val="26"/>
        </w:rPr>
        <w:t xml:space="preserve"> incluso los refer</w:t>
      </w:r>
      <w:r w:rsidRPr="00C708A2">
        <w:rPr>
          <w:szCs w:val="26"/>
        </w:rPr>
        <w:t>i</w:t>
      </w:r>
      <w:r w:rsidRPr="00C708A2">
        <w:rPr>
          <w:szCs w:val="26"/>
        </w:rPr>
        <w:t>dos a las exenciones de turnos de guardias.</w:t>
      </w:r>
    </w:p>
    <w:p w:rsidR="006C4DAC" w:rsidRPr="00C708A2" w:rsidRDefault="006C4DAC"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rsidRPr="00C708A2">
        <w:rPr>
          <w:szCs w:val="26"/>
        </w:rPr>
        <w:t>Deberá garantizarse que la suma de los descansos en el conjunto de una semana no sea inferior a 70 horas. El descanso mínimo entre jornadas será de diez horas, y excepcionalmente en el cambio de rotación de turno podrá ser de siete horas</w:t>
      </w:r>
      <w:r>
        <w:rPr>
          <w:szCs w:val="26"/>
        </w:rPr>
        <w:t>,</w:t>
      </w:r>
      <w:r w:rsidRPr="00C708A2">
        <w:rPr>
          <w:szCs w:val="26"/>
        </w:rPr>
        <w:t xml:space="preserve"> siempre que en cómputo semanal la media diaria sea de diez.</w:t>
      </w:r>
    </w:p>
    <w:p w:rsidR="006C4DAC" w:rsidRDefault="006C4DAC" w:rsidP="006C4DAC">
      <w:pPr>
        <w:pStyle w:val="texto"/>
        <w:tabs>
          <w:tab w:val="clear" w:pos="2835"/>
          <w:tab w:val="clear" w:pos="3969"/>
          <w:tab w:val="clear" w:pos="5103"/>
          <w:tab w:val="clear" w:pos="6237"/>
          <w:tab w:val="clear" w:pos="7371"/>
        </w:tabs>
        <w:rPr>
          <w:szCs w:val="26"/>
        </w:rPr>
      </w:pPr>
      <w:r>
        <w:rPr>
          <w:szCs w:val="26"/>
        </w:rPr>
        <w:t>Por otro lado, los principales aspectos relacionados con los procedimientos de contratación fueron:</w:t>
      </w:r>
    </w:p>
    <w:p w:rsidR="006C4DAC" w:rsidRDefault="006C4DAC"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rsidRPr="00B178BA">
        <w:rPr>
          <w:szCs w:val="26"/>
        </w:rPr>
        <w:t>Las personas integrantes</w:t>
      </w:r>
      <w:r>
        <w:rPr>
          <w:szCs w:val="26"/>
        </w:rPr>
        <w:t xml:space="preserve"> en las listas de contratación temporal</w:t>
      </w:r>
      <w:r w:rsidRPr="00B178BA">
        <w:rPr>
          <w:szCs w:val="26"/>
        </w:rPr>
        <w:t xml:space="preserve"> podrán ser requeridas para su contratación en régimen administrativo en cualquier ámbito de la </w:t>
      </w:r>
      <w:r>
        <w:rPr>
          <w:szCs w:val="26"/>
        </w:rPr>
        <w:t>administración</w:t>
      </w:r>
      <w:r w:rsidRPr="00B178BA">
        <w:rPr>
          <w:szCs w:val="26"/>
        </w:rPr>
        <w:t xml:space="preserve">. </w:t>
      </w:r>
      <w:r>
        <w:rPr>
          <w:szCs w:val="26"/>
        </w:rPr>
        <w:t>Se intentará</w:t>
      </w:r>
      <w:r w:rsidRPr="00B178BA">
        <w:rPr>
          <w:szCs w:val="26"/>
        </w:rPr>
        <w:t>, de manera preferente, respetar el orden de prelación de las listas de contratación vigentes. De manera excepcional, los ó</w:t>
      </w:r>
      <w:r w:rsidRPr="00B178BA">
        <w:rPr>
          <w:szCs w:val="26"/>
        </w:rPr>
        <w:t>r</w:t>
      </w:r>
      <w:r w:rsidRPr="00B178BA">
        <w:rPr>
          <w:szCs w:val="26"/>
        </w:rPr>
        <w:t>ganos competentes podrán ofertar la contratación en régimen administrativo a las personas más indicadas.</w:t>
      </w:r>
    </w:p>
    <w:p w:rsidR="006C4DAC" w:rsidRDefault="006C4DAC"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rsidRPr="00C708A2">
        <w:rPr>
          <w:szCs w:val="26"/>
        </w:rPr>
        <w:t>Los liberados sindicales podrán solicitar voluntariamente su reincorpor</w:t>
      </w:r>
      <w:r w:rsidRPr="00C708A2">
        <w:rPr>
          <w:szCs w:val="26"/>
        </w:rPr>
        <w:t>a</w:t>
      </w:r>
      <w:r w:rsidRPr="00C708A2">
        <w:rPr>
          <w:szCs w:val="26"/>
        </w:rPr>
        <w:t>ción al servicio, no suponiendo el cese del sustituto que pudiera existir.</w:t>
      </w:r>
    </w:p>
    <w:p w:rsidR="006C4DAC" w:rsidRDefault="006C4DAC"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rsidRPr="00C708A2">
        <w:rPr>
          <w:szCs w:val="26"/>
        </w:rPr>
        <w:t>Levantamiento de la suspensión de la posibilidad de prolongar la perm</w:t>
      </w:r>
      <w:r w:rsidRPr="00C708A2">
        <w:rPr>
          <w:szCs w:val="26"/>
        </w:rPr>
        <w:t>a</w:t>
      </w:r>
      <w:r w:rsidRPr="00C708A2">
        <w:rPr>
          <w:szCs w:val="26"/>
        </w:rPr>
        <w:t>nencia en el servicio activo lo que implica la opción de seguir trabajando aun habiendo cumplido los 65 años.</w:t>
      </w:r>
    </w:p>
    <w:p w:rsidR="006C4DAC" w:rsidRPr="00C708A2" w:rsidRDefault="006C4DAC"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rsidRPr="00C708A2">
        <w:rPr>
          <w:szCs w:val="26"/>
        </w:rPr>
        <w:t>Para el personal del S</w:t>
      </w:r>
      <w:r>
        <w:rPr>
          <w:szCs w:val="26"/>
        </w:rPr>
        <w:t>ervicio Navarro de Salud-</w:t>
      </w:r>
      <w:proofErr w:type="spellStart"/>
      <w:r>
        <w:rPr>
          <w:szCs w:val="26"/>
        </w:rPr>
        <w:t>Osasunbidea</w:t>
      </w:r>
      <w:proofErr w:type="spellEnd"/>
      <w:r>
        <w:rPr>
          <w:szCs w:val="26"/>
        </w:rPr>
        <w:t xml:space="preserve"> (S</w:t>
      </w:r>
      <w:r w:rsidRPr="00C708A2">
        <w:rPr>
          <w:szCs w:val="26"/>
        </w:rPr>
        <w:t>NS-O</w:t>
      </w:r>
      <w:r>
        <w:rPr>
          <w:szCs w:val="26"/>
        </w:rPr>
        <w:t>)</w:t>
      </w:r>
      <w:r w:rsidRPr="00C708A2">
        <w:rPr>
          <w:szCs w:val="26"/>
        </w:rPr>
        <w:t>:</w:t>
      </w:r>
    </w:p>
    <w:p w:rsidR="006C4DAC" w:rsidRDefault="006C4DAC" w:rsidP="00E70168">
      <w:pPr>
        <w:pStyle w:val="texto"/>
        <w:numPr>
          <w:ilvl w:val="1"/>
          <w:numId w:val="12"/>
        </w:numPr>
        <w:tabs>
          <w:tab w:val="clear" w:pos="2835"/>
          <w:tab w:val="clear" w:pos="3969"/>
          <w:tab w:val="clear" w:pos="5103"/>
          <w:tab w:val="clear" w:pos="6237"/>
          <w:tab w:val="clear" w:pos="7371"/>
          <w:tab w:val="left" w:pos="1276"/>
        </w:tabs>
        <w:ind w:left="851" w:hanging="283"/>
        <w:rPr>
          <w:szCs w:val="26"/>
        </w:rPr>
      </w:pPr>
      <w:r w:rsidRPr="00B178BA">
        <w:rPr>
          <w:szCs w:val="26"/>
        </w:rPr>
        <w:t xml:space="preserve">Los profesionales sanitarios en situación de jubilación, </w:t>
      </w:r>
      <w:r>
        <w:rPr>
          <w:szCs w:val="26"/>
        </w:rPr>
        <w:t>s</w:t>
      </w:r>
      <w:r w:rsidRPr="00B178BA">
        <w:rPr>
          <w:szCs w:val="26"/>
        </w:rPr>
        <w:t>i no hubieran cumplido los 70 años, podrán ser reincorporados al servicio activo.</w:t>
      </w:r>
    </w:p>
    <w:p w:rsidR="006C4DAC" w:rsidRDefault="006C4DAC" w:rsidP="00E70168">
      <w:pPr>
        <w:pStyle w:val="texto"/>
        <w:numPr>
          <w:ilvl w:val="1"/>
          <w:numId w:val="12"/>
        </w:numPr>
        <w:tabs>
          <w:tab w:val="clear" w:pos="2835"/>
          <w:tab w:val="clear" w:pos="3969"/>
          <w:tab w:val="clear" w:pos="5103"/>
          <w:tab w:val="clear" w:pos="6237"/>
          <w:tab w:val="clear" w:pos="7371"/>
        </w:tabs>
        <w:ind w:left="851" w:hanging="283"/>
        <w:rPr>
          <w:szCs w:val="26"/>
        </w:rPr>
      </w:pPr>
      <w:r w:rsidRPr="00844ADF">
        <w:rPr>
          <w:szCs w:val="26"/>
        </w:rPr>
        <w:t>Se prorroga</w:t>
      </w:r>
      <w:r>
        <w:rPr>
          <w:szCs w:val="26"/>
        </w:rPr>
        <w:t>ron</w:t>
      </w:r>
      <w:r w:rsidRPr="00844ADF">
        <w:rPr>
          <w:szCs w:val="26"/>
        </w:rPr>
        <w:t xml:space="preserve"> los contratos de refuerzo por gripe y plan de continge</w:t>
      </w:r>
      <w:r w:rsidRPr="00844ADF">
        <w:rPr>
          <w:szCs w:val="26"/>
        </w:rPr>
        <w:t>n</w:t>
      </w:r>
      <w:r w:rsidRPr="00844ADF">
        <w:rPr>
          <w:szCs w:val="26"/>
        </w:rPr>
        <w:t>cia sanitaria hasta el 30 de agosto</w:t>
      </w:r>
      <w:r>
        <w:rPr>
          <w:szCs w:val="26"/>
        </w:rPr>
        <w:t>, plazo que fue prorrogado hasta el 31 de diciembre</w:t>
      </w:r>
      <w:r w:rsidRPr="00844ADF">
        <w:rPr>
          <w:szCs w:val="26"/>
        </w:rPr>
        <w:t>.</w:t>
      </w:r>
      <w:r>
        <w:rPr>
          <w:szCs w:val="26"/>
        </w:rPr>
        <w:t xml:space="preserve"> </w:t>
      </w:r>
    </w:p>
    <w:p w:rsidR="002F1F60" w:rsidRDefault="002F1F60" w:rsidP="00E70168">
      <w:pPr>
        <w:pStyle w:val="texto"/>
        <w:numPr>
          <w:ilvl w:val="1"/>
          <w:numId w:val="12"/>
        </w:numPr>
        <w:tabs>
          <w:tab w:val="clear" w:pos="2835"/>
          <w:tab w:val="clear" w:pos="3969"/>
          <w:tab w:val="clear" w:pos="5103"/>
          <w:tab w:val="clear" w:pos="6237"/>
          <w:tab w:val="clear" w:pos="7371"/>
        </w:tabs>
        <w:ind w:left="851" w:hanging="283"/>
        <w:rPr>
          <w:szCs w:val="26"/>
        </w:rPr>
      </w:pPr>
      <w:r w:rsidRPr="002F1F60">
        <w:rPr>
          <w:szCs w:val="26"/>
        </w:rPr>
        <w:t>Se establece que todos los llamamientos se harán por el procedimiento de urgencia, lo que supone que no se concede tiempo de respuesta</w:t>
      </w:r>
      <w:r>
        <w:rPr>
          <w:szCs w:val="26"/>
        </w:rPr>
        <w:t>.</w:t>
      </w:r>
    </w:p>
    <w:p w:rsidR="006C4DAC" w:rsidRDefault="006C4DAC" w:rsidP="00E70168">
      <w:pPr>
        <w:pStyle w:val="texto"/>
        <w:numPr>
          <w:ilvl w:val="1"/>
          <w:numId w:val="12"/>
        </w:numPr>
        <w:tabs>
          <w:tab w:val="clear" w:pos="2835"/>
          <w:tab w:val="clear" w:pos="3969"/>
          <w:tab w:val="clear" w:pos="5103"/>
          <w:tab w:val="clear" w:pos="6237"/>
          <w:tab w:val="clear" w:pos="7371"/>
        </w:tabs>
        <w:ind w:left="851" w:hanging="284"/>
        <w:rPr>
          <w:szCs w:val="26"/>
        </w:rPr>
      </w:pPr>
      <w:r w:rsidRPr="00844ADF">
        <w:rPr>
          <w:szCs w:val="26"/>
        </w:rPr>
        <w:t>Todas las necesidades de cobertura de puestos se llevarán a cabo a tr</w:t>
      </w:r>
      <w:r w:rsidRPr="00844ADF">
        <w:rPr>
          <w:szCs w:val="26"/>
        </w:rPr>
        <w:t>a</w:t>
      </w:r>
      <w:r w:rsidRPr="00844ADF">
        <w:rPr>
          <w:szCs w:val="26"/>
        </w:rPr>
        <w:t>vés de contrataciones estructurales, suspendiéndose el llamamiento para contratos de larga duración (vacantes, jubilaciones, …)</w:t>
      </w:r>
      <w:r>
        <w:rPr>
          <w:szCs w:val="26"/>
        </w:rPr>
        <w:t>.</w:t>
      </w:r>
    </w:p>
    <w:p w:rsidR="006C4DAC" w:rsidRDefault="006C4DAC" w:rsidP="00E70168">
      <w:pPr>
        <w:pStyle w:val="texto"/>
        <w:numPr>
          <w:ilvl w:val="1"/>
          <w:numId w:val="12"/>
        </w:numPr>
        <w:tabs>
          <w:tab w:val="clear" w:pos="2835"/>
          <w:tab w:val="clear" w:pos="3969"/>
          <w:tab w:val="clear" w:pos="5103"/>
          <w:tab w:val="clear" w:pos="6237"/>
          <w:tab w:val="clear" w:pos="7371"/>
        </w:tabs>
        <w:ind w:left="851" w:hanging="283"/>
        <w:rPr>
          <w:szCs w:val="26"/>
        </w:rPr>
      </w:pPr>
      <w:r w:rsidRPr="00844ADF">
        <w:rPr>
          <w:szCs w:val="26"/>
        </w:rPr>
        <w:t>Suspensión de vacaciones y perm</w:t>
      </w:r>
      <w:r>
        <w:rPr>
          <w:szCs w:val="26"/>
        </w:rPr>
        <w:t xml:space="preserve">isos por necesidad del servicio. </w:t>
      </w:r>
    </w:p>
    <w:p w:rsidR="006C4DAC" w:rsidRDefault="006C4DAC" w:rsidP="00E70168">
      <w:pPr>
        <w:pStyle w:val="texto"/>
        <w:numPr>
          <w:ilvl w:val="1"/>
          <w:numId w:val="12"/>
        </w:numPr>
        <w:tabs>
          <w:tab w:val="clear" w:pos="2835"/>
          <w:tab w:val="clear" w:pos="3969"/>
          <w:tab w:val="clear" w:pos="5103"/>
          <w:tab w:val="clear" w:pos="6237"/>
          <w:tab w:val="clear" w:pos="7371"/>
        </w:tabs>
        <w:ind w:left="851" w:hanging="283"/>
        <w:rPr>
          <w:szCs w:val="26"/>
        </w:rPr>
      </w:pPr>
      <w:r w:rsidRPr="00EC3838">
        <w:rPr>
          <w:szCs w:val="26"/>
        </w:rPr>
        <w:lastRenderedPageBreak/>
        <w:t>Se autoriza</w:t>
      </w:r>
      <w:r>
        <w:rPr>
          <w:szCs w:val="26"/>
        </w:rPr>
        <w:t xml:space="preserve"> de forma</w:t>
      </w:r>
      <w:r w:rsidRPr="00EC3838">
        <w:rPr>
          <w:szCs w:val="26"/>
        </w:rPr>
        <w:t xml:space="preserve"> excepcional y transitori</w:t>
      </w:r>
      <w:r>
        <w:rPr>
          <w:szCs w:val="26"/>
        </w:rPr>
        <w:t>a</w:t>
      </w:r>
      <w:r w:rsidRPr="00EC3838">
        <w:rPr>
          <w:szCs w:val="26"/>
        </w:rPr>
        <w:t>, la contratación por las comunidades autónomas de profesionales de Ciencias de la Salud que realizaron las pruebas selectivas y</w:t>
      </w:r>
      <w:r w:rsidR="00B46545">
        <w:rPr>
          <w:szCs w:val="26"/>
        </w:rPr>
        <w:t>,</w:t>
      </w:r>
      <w:r w:rsidRPr="00EC3838">
        <w:rPr>
          <w:szCs w:val="26"/>
        </w:rPr>
        <w:t xml:space="preserve"> aun aprobando, no obtuvieron plaza y profesionales sanitarios con título de especialista obtenido en estados no miembros de la unión europea.</w:t>
      </w:r>
    </w:p>
    <w:p w:rsidR="006C4DAC" w:rsidRPr="00EC3838" w:rsidRDefault="006C4DAC" w:rsidP="00E70168">
      <w:pPr>
        <w:pStyle w:val="texto"/>
        <w:numPr>
          <w:ilvl w:val="1"/>
          <w:numId w:val="12"/>
        </w:numPr>
        <w:tabs>
          <w:tab w:val="clear" w:pos="2835"/>
          <w:tab w:val="clear" w:pos="3969"/>
          <w:tab w:val="clear" w:pos="5103"/>
          <w:tab w:val="clear" w:pos="6237"/>
          <w:tab w:val="clear" w:pos="7371"/>
        </w:tabs>
        <w:ind w:left="851" w:hanging="283"/>
        <w:rPr>
          <w:szCs w:val="26"/>
        </w:rPr>
      </w:pPr>
      <w:r>
        <w:rPr>
          <w:szCs w:val="26"/>
        </w:rPr>
        <w:t>Se</w:t>
      </w:r>
      <w:r w:rsidRPr="00EC3838">
        <w:rPr>
          <w:szCs w:val="26"/>
        </w:rPr>
        <w:t xml:space="preserve"> autoriza a las </w:t>
      </w:r>
      <w:r>
        <w:rPr>
          <w:szCs w:val="26"/>
        </w:rPr>
        <w:t xml:space="preserve">comunidades autónomas </w:t>
      </w:r>
      <w:r w:rsidRPr="00EC3838">
        <w:rPr>
          <w:szCs w:val="26"/>
        </w:rPr>
        <w:t>a acordar el pase de personal médico y de enferme</w:t>
      </w:r>
      <w:r>
        <w:rPr>
          <w:szCs w:val="26"/>
        </w:rPr>
        <w:t>ría entre los siguientes ámbitos: de centros hosp</w:t>
      </w:r>
      <w:r>
        <w:rPr>
          <w:szCs w:val="26"/>
        </w:rPr>
        <w:t>i</w:t>
      </w:r>
      <w:r>
        <w:rPr>
          <w:szCs w:val="26"/>
        </w:rPr>
        <w:t>talarios al ámbito de a</w:t>
      </w:r>
      <w:r w:rsidRPr="00EC3838">
        <w:rPr>
          <w:szCs w:val="26"/>
        </w:rPr>
        <w:t>tención primaria</w:t>
      </w:r>
      <w:r>
        <w:rPr>
          <w:szCs w:val="26"/>
        </w:rPr>
        <w:t>; de atención primaria</w:t>
      </w:r>
      <w:r w:rsidRPr="00EC3838">
        <w:rPr>
          <w:szCs w:val="26"/>
        </w:rPr>
        <w:t xml:space="preserve"> a hospit</w:t>
      </w:r>
      <w:r w:rsidRPr="00EC3838">
        <w:rPr>
          <w:szCs w:val="26"/>
        </w:rPr>
        <w:t>a</w:t>
      </w:r>
      <w:r w:rsidRPr="00EC3838">
        <w:rPr>
          <w:szCs w:val="26"/>
        </w:rPr>
        <w:t>les de referencia o de campaña</w:t>
      </w:r>
      <w:r>
        <w:rPr>
          <w:szCs w:val="26"/>
        </w:rPr>
        <w:t>; traspasos entre</w:t>
      </w:r>
      <w:r w:rsidRPr="00EC3838">
        <w:rPr>
          <w:szCs w:val="26"/>
        </w:rPr>
        <w:t xml:space="preserve"> cualquier dispositivo asistencial del Sistema Nacional de Salud, dentro de la provincia. </w:t>
      </w:r>
      <w:r>
        <w:rPr>
          <w:szCs w:val="26"/>
        </w:rPr>
        <w:t>Estas adscripciones se mantendrían en tanto subsistiera</w:t>
      </w:r>
      <w:r w:rsidRPr="00EC3838">
        <w:rPr>
          <w:szCs w:val="26"/>
        </w:rPr>
        <w:t xml:space="preserve"> la insuficiencia de personal médico y como máximo por un plazo inicial de 12 meses, pr</w:t>
      </w:r>
      <w:r w:rsidRPr="00EC3838">
        <w:rPr>
          <w:szCs w:val="26"/>
        </w:rPr>
        <w:t>o</w:t>
      </w:r>
      <w:r w:rsidRPr="00EC3838">
        <w:rPr>
          <w:szCs w:val="26"/>
        </w:rPr>
        <w:t xml:space="preserve">rrogables de tres en tres meses. </w:t>
      </w:r>
    </w:p>
    <w:p w:rsidR="006C4DAC" w:rsidRPr="00C030F0" w:rsidRDefault="006C4DAC" w:rsidP="00E77652">
      <w:pPr>
        <w:pStyle w:val="texto"/>
        <w:numPr>
          <w:ilvl w:val="0"/>
          <w:numId w:val="10"/>
        </w:numPr>
        <w:tabs>
          <w:tab w:val="clear" w:pos="2835"/>
          <w:tab w:val="clear" w:pos="3969"/>
          <w:tab w:val="clear" w:pos="5103"/>
          <w:tab w:val="clear" w:pos="6237"/>
          <w:tab w:val="clear" w:pos="7371"/>
          <w:tab w:val="left" w:pos="567"/>
        </w:tabs>
        <w:spacing w:after="240"/>
        <w:ind w:left="0" w:firstLine="284"/>
        <w:rPr>
          <w:szCs w:val="26"/>
        </w:rPr>
      </w:pPr>
      <w:r w:rsidRPr="00C030F0">
        <w:rPr>
          <w:szCs w:val="26"/>
        </w:rPr>
        <w:t>P</w:t>
      </w:r>
      <w:r>
        <w:rPr>
          <w:szCs w:val="26"/>
        </w:rPr>
        <w:t xml:space="preserve">ara la contratación de cuidadores profesionales en domicilio: se </w:t>
      </w:r>
      <w:r w:rsidRPr="00B178BA">
        <w:rPr>
          <w:szCs w:val="26"/>
        </w:rPr>
        <w:t>dispe</w:t>
      </w:r>
      <w:r w:rsidRPr="00B178BA">
        <w:rPr>
          <w:szCs w:val="26"/>
        </w:rPr>
        <w:t>n</w:t>
      </w:r>
      <w:r w:rsidRPr="00B178BA">
        <w:rPr>
          <w:szCs w:val="26"/>
        </w:rPr>
        <w:t xml:space="preserve">san los requisitos relativos al parentesco y cualificación profesional para la contratación de </w:t>
      </w:r>
      <w:r>
        <w:rPr>
          <w:szCs w:val="26"/>
        </w:rPr>
        <w:t>estas personas</w:t>
      </w:r>
      <w:r w:rsidRPr="00B178BA">
        <w:rPr>
          <w:szCs w:val="26"/>
        </w:rPr>
        <w:t>, exigiéndose únicamente tener 18 años y afili</w:t>
      </w:r>
      <w:r w:rsidRPr="00B178BA">
        <w:rPr>
          <w:szCs w:val="26"/>
        </w:rPr>
        <w:t>a</w:t>
      </w:r>
      <w:r w:rsidRPr="00B178BA">
        <w:rPr>
          <w:szCs w:val="26"/>
        </w:rPr>
        <w:t>ción en regla</w:t>
      </w:r>
      <w:r>
        <w:rPr>
          <w:szCs w:val="26"/>
        </w:rPr>
        <w:t>.</w:t>
      </w:r>
    </w:p>
    <w:p w:rsidR="006C4DAC" w:rsidRDefault="006C4DAC" w:rsidP="006538A3">
      <w:pPr>
        <w:pStyle w:val="atitulo4"/>
      </w:pPr>
      <w:r>
        <w:t>Procedimientos de contratación de bienes corrientes y servicios e inve</w:t>
      </w:r>
      <w:r>
        <w:t>r</w:t>
      </w:r>
      <w:r>
        <w:t>siones relacionados con la gestión de la COVID-19</w:t>
      </w:r>
    </w:p>
    <w:p w:rsidR="006C4DAC" w:rsidRDefault="006C4DAC" w:rsidP="006C4DAC">
      <w:pPr>
        <w:pStyle w:val="texto"/>
        <w:spacing w:before="120" w:after="120"/>
        <w:rPr>
          <w:szCs w:val="26"/>
        </w:rPr>
      </w:pPr>
      <w:r>
        <w:rPr>
          <w:szCs w:val="26"/>
        </w:rPr>
        <w:t xml:space="preserve">Para facilitar la preparación y licitación de contratos públicos relacionados con esta crisis sanitaria se dictaron normas específicas en el ámbito estatal y autonómico encaminadas a la articulación de procedimientos de expedientes de emergencia. </w:t>
      </w:r>
    </w:p>
    <w:p w:rsidR="006C4DAC" w:rsidRDefault="006C4DAC" w:rsidP="006C4DAC">
      <w:pPr>
        <w:pStyle w:val="texto"/>
        <w:spacing w:before="120" w:after="120"/>
        <w:rPr>
          <w:szCs w:val="26"/>
        </w:rPr>
      </w:pPr>
      <w:r>
        <w:rPr>
          <w:szCs w:val="26"/>
        </w:rPr>
        <w:t>En Navarra, el artículo 140 de la Ley Foral 2/2018 de Contratos Públicos aborda la tramitación de los expedientes de emergencia recogiendo lo siguie</w:t>
      </w:r>
      <w:r>
        <w:rPr>
          <w:szCs w:val="26"/>
        </w:rPr>
        <w:t>n</w:t>
      </w:r>
      <w:r>
        <w:rPr>
          <w:szCs w:val="26"/>
        </w:rPr>
        <w:t>te:</w:t>
      </w:r>
    </w:p>
    <w:p w:rsidR="006C4DAC" w:rsidRPr="007516CA" w:rsidRDefault="006C4DAC" w:rsidP="006C4DAC">
      <w:pPr>
        <w:shd w:val="clear" w:color="auto" w:fill="FFFFFF"/>
        <w:spacing w:after="120"/>
        <w:ind w:left="301" w:right="74" w:hanging="227"/>
        <w:rPr>
          <w:i/>
          <w:color w:val="333333"/>
          <w:sz w:val="24"/>
          <w:szCs w:val="24"/>
          <w:lang w:val="es-ES" w:eastAsia="es-ES"/>
        </w:rPr>
      </w:pPr>
      <w:r w:rsidRPr="00CA4632">
        <w:rPr>
          <w:i/>
          <w:color w:val="333333"/>
          <w:sz w:val="24"/>
          <w:szCs w:val="24"/>
          <w:lang w:val="es-ES" w:eastAsia="es-ES"/>
        </w:rPr>
        <w:t>“…</w:t>
      </w:r>
      <w:r w:rsidRPr="007516CA">
        <w:rPr>
          <w:i/>
          <w:color w:val="333333"/>
          <w:sz w:val="24"/>
          <w:szCs w:val="24"/>
          <w:lang w:val="es-ES" w:eastAsia="es-ES"/>
        </w:rPr>
        <w:t>1. Cuando la Administración tenga que actuar de manera inmediata a causa de aco</w:t>
      </w:r>
      <w:r w:rsidRPr="007516CA">
        <w:rPr>
          <w:i/>
          <w:color w:val="333333"/>
          <w:sz w:val="24"/>
          <w:szCs w:val="24"/>
          <w:lang w:val="es-ES" w:eastAsia="es-ES"/>
        </w:rPr>
        <w:t>n</w:t>
      </w:r>
      <w:r w:rsidRPr="007516CA">
        <w:rPr>
          <w:i/>
          <w:color w:val="333333"/>
          <w:sz w:val="24"/>
          <w:szCs w:val="24"/>
          <w:lang w:val="es-ES" w:eastAsia="es-ES"/>
        </w:rPr>
        <w:t>tecimientos catastróficos, de situaciones que supongan grave peligro o de necesidades que afecten a la seguridad pública, el expediente de contratación se ajustará a la s</w:t>
      </w:r>
      <w:r w:rsidRPr="007516CA">
        <w:rPr>
          <w:i/>
          <w:color w:val="333333"/>
          <w:sz w:val="24"/>
          <w:szCs w:val="24"/>
          <w:lang w:val="es-ES" w:eastAsia="es-ES"/>
        </w:rPr>
        <w:t>i</w:t>
      </w:r>
      <w:r w:rsidRPr="007516CA">
        <w:rPr>
          <w:i/>
          <w:color w:val="333333"/>
          <w:sz w:val="24"/>
          <w:szCs w:val="24"/>
          <w:lang w:val="es-ES" w:eastAsia="es-ES"/>
        </w:rPr>
        <w:t>guiente tramitación excepcional:</w:t>
      </w:r>
    </w:p>
    <w:p w:rsidR="006C4DAC" w:rsidRPr="007516CA" w:rsidRDefault="006C4DAC" w:rsidP="006C4DAC">
      <w:pPr>
        <w:shd w:val="clear" w:color="auto" w:fill="FFFFFF"/>
        <w:spacing w:after="120"/>
        <w:ind w:left="528" w:right="74" w:hanging="227"/>
        <w:rPr>
          <w:i/>
          <w:color w:val="333333"/>
          <w:sz w:val="24"/>
          <w:szCs w:val="24"/>
          <w:lang w:val="es-ES" w:eastAsia="es-ES"/>
        </w:rPr>
      </w:pPr>
      <w:r w:rsidRPr="007516CA">
        <w:rPr>
          <w:i/>
          <w:color w:val="333333"/>
          <w:sz w:val="24"/>
          <w:szCs w:val="24"/>
          <w:lang w:val="es-ES" w:eastAsia="es-ES"/>
        </w:rPr>
        <w:t>a) El órgano de contratación competente, sin obligación de tramitar expediente adm</w:t>
      </w:r>
      <w:r w:rsidRPr="007516CA">
        <w:rPr>
          <w:i/>
          <w:color w:val="333333"/>
          <w:sz w:val="24"/>
          <w:szCs w:val="24"/>
          <w:lang w:val="es-ES" w:eastAsia="es-ES"/>
        </w:rPr>
        <w:t>i</w:t>
      </w:r>
      <w:r w:rsidRPr="007516CA">
        <w:rPr>
          <w:i/>
          <w:color w:val="333333"/>
          <w:sz w:val="24"/>
          <w:szCs w:val="24"/>
          <w:lang w:val="es-ES" w:eastAsia="es-ES"/>
        </w:rPr>
        <w:t>nistrativo, podrá ordenar la ejecución de lo necesario para remediar el acontec</w:t>
      </w:r>
      <w:r w:rsidRPr="007516CA">
        <w:rPr>
          <w:i/>
          <w:color w:val="333333"/>
          <w:sz w:val="24"/>
          <w:szCs w:val="24"/>
          <w:lang w:val="es-ES" w:eastAsia="es-ES"/>
        </w:rPr>
        <w:t>i</w:t>
      </w:r>
      <w:r w:rsidRPr="007516CA">
        <w:rPr>
          <w:i/>
          <w:color w:val="333333"/>
          <w:sz w:val="24"/>
          <w:szCs w:val="24"/>
          <w:lang w:val="es-ES" w:eastAsia="es-ES"/>
        </w:rPr>
        <w:t>miento producido, satisfacer la necesidad sobrevenida o contratar libremente su o</w:t>
      </w:r>
      <w:r w:rsidRPr="007516CA">
        <w:rPr>
          <w:i/>
          <w:color w:val="333333"/>
          <w:sz w:val="24"/>
          <w:szCs w:val="24"/>
          <w:lang w:val="es-ES" w:eastAsia="es-ES"/>
        </w:rPr>
        <w:t>b</w:t>
      </w:r>
      <w:r w:rsidRPr="007516CA">
        <w:rPr>
          <w:i/>
          <w:color w:val="333333"/>
          <w:sz w:val="24"/>
          <w:szCs w:val="24"/>
          <w:lang w:val="es-ES" w:eastAsia="es-ES"/>
        </w:rPr>
        <w:t>jeto, en todo o en parte, sin sujetarse a los requisitos formales establecidos en esta ley foral, incluso el de la existencia de crédito suficiente.</w:t>
      </w:r>
    </w:p>
    <w:p w:rsidR="006C4DAC" w:rsidRPr="007516CA" w:rsidRDefault="006C4DAC" w:rsidP="006C4DAC">
      <w:pPr>
        <w:shd w:val="clear" w:color="auto" w:fill="FFFFFF"/>
        <w:spacing w:after="120"/>
        <w:ind w:left="528" w:right="74" w:hanging="227"/>
        <w:rPr>
          <w:i/>
          <w:color w:val="333333"/>
          <w:sz w:val="24"/>
          <w:szCs w:val="24"/>
          <w:lang w:val="es-ES" w:eastAsia="es-ES"/>
        </w:rPr>
      </w:pPr>
      <w:r w:rsidRPr="007516CA">
        <w:rPr>
          <w:i/>
          <w:color w:val="333333"/>
          <w:sz w:val="24"/>
          <w:szCs w:val="24"/>
          <w:lang w:val="es-ES" w:eastAsia="es-ES"/>
        </w:rPr>
        <w:t>b) Ejecutadas las actuaciones objeto de este régimen excepcional, el órgano de contr</w:t>
      </w:r>
      <w:r w:rsidRPr="007516CA">
        <w:rPr>
          <w:i/>
          <w:color w:val="333333"/>
          <w:sz w:val="24"/>
          <w:szCs w:val="24"/>
          <w:lang w:val="es-ES" w:eastAsia="es-ES"/>
        </w:rPr>
        <w:t>a</w:t>
      </w:r>
      <w:r w:rsidRPr="007516CA">
        <w:rPr>
          <w:i/>
          <w:color w:val="333333"/>
          <w:sz w:val="24"/>
          <w:szCs w:val="24"/>
          <w:lang w:val="es-ES" w:eastAsia="es-ES"/>
        </w:rPr>
        <w:t>tación procederá a la aprobación de las mismas y del gasto correspondiente, previa justificación técnica y jurídica de su carácter de emergencia y fiscalización de la I</w:t>
      </w:r>
      <w:r w:rsidRPr="007516CA">
        <w:rPr>
          <w:i/>
          <w:color w:val="333333"/>
          <w:sz w:val="24"/>
          <w:szCs w:val="24"/>
          <w:lang w:val="es-ES" w:eastAsia="es-ES"/>
        </w:rPr>
        <w:t>n</w:t>
      </w:r>
      <w:r w:rsidRPr="007516CA">
        <w:rPr>
          <w:i/>
          <w:color w:val="333333"/>
          <w:sz w:val="24"/>
          <w:szCs w:val="24"/>
          <w:lang w:val="es-ES" w:eastAsia="es-ES"/>
        </w:rPr>
        <w:t>tervención. Los contratos que se hayan celebrado siguiendo el expediente de eme</w:t>
      </w:r>
      <w:r w:rsidRPr="007516CA">
        <w:rPr>
          <w:i/>
          <w:color w:val="333333"/>
          <w:sz w:val="24"/>
          <w:szCs w:val="24"/>
          <w:lang w:val="es-ES" w:eastAsia="es-ES"/>
        </w:rPr>
        <w:t>r</w:t>
      </w:r>
      <w:r w:rsidRPr="007516CA">
        <w:rPr>
          <w:i/>
          <w:color w:val="333333"/>
          <w:sz w:val="24"/>
          <w:szCs w:val="24"/>
          <w:lang w:val="es-ES" w:eastAsia="es-ES"/>
        </w:rPr>
        <w:t>gencia se publicarán en el Portal de Contratación de Navarra, en todo caso.</w:t>
      </w:r>
    </w:p>
    <w:p w:rsidR="006C4DAC" w:rsidRPr="007516CA" w:rsidRDefault="006C4DAC" w:rsidP="00E70168">
      <w:pPr>
        <w:shd w:val="clear" w:color="auto" w:fill="FFFFFF"/>
        <w:spacing w:after="240"/>
        <w:ind w:left="528" w:right="75" w:hanging="225"/>
        <w:rPr>
          <w:i/>
          <w:color w:val="333333"/>
          <w:sz w:val="24"/>
          <w:szCs w:val="24"/>
          <w:lang w:val="es-ES" w:eastAsia="es-ES"/>
        </w:rPr>
      </w:pPr>
      <w:r w:rsidRPr="007516CA">
        <w:rPr>
          <w:i/>
          <w:color w:val="333333"/>
          <w:sz w:val="24"/>
          <w:szCs w:val="24"/>
          <w:lang w:val="es-ES" w:eastAsia="es-ES"/>
        </w:rPr>
        <w:lastRenderedPageBreak/>
        <w:t>2. Las prestaciones relativas al resto de la actividad necesaria para completar el obj</w:t>
      </w:r>
      <w:r w:rsidRPr="007516CA">
        <w:rPr>
          <w:i/>
          <w:color w:val="333333"/>
          <w:sz w:val="24"/>
          <w:szCs w:val="24"/>
          <w:lang w:val="es-ES" w:eastAsia="es-ES"/>
        </w:rPr>
        <w:t>e</w:t>
      </w:r>
      <w:r w:rsidRPr="007516CA">
        <w:rPr>
          <w:i/>
          <w:color w:val="333333"/>
          <w:sz w:val="24"/>
          <w:szCs w:val="24"/>
          <w:lang w:val="es-ES" w:eastAsia="es-ES"/>
        </w:rPr>
        <w:t>tivo propuesto por la Administración, pero que ya no tengan carácter de emerge</w:t>
      </w:r>
      <w:r w:rsidRPr="007516CA">
        <w:rPr>
          <w:i/>
          <w:color w:val="333333"/>
          <w:sz w:val="24"/>
          <w:szCs w:val="24"/>
          <w:lang w:val="es-ES" w:eastAsia="es-ES"/>
        </w:rPr>
        <w:t>n</w:t>
      </w:r>
      <w:r w:rsidRPr="007516CA">
        <w:rPr>
          <w:i/>
          <w:color w:val="333333"/>
          <w:sz w:val="24"/>
          <w:szCs w:val="24"/>
          <w:lang w:val="es-ES" w:eastAsia="es-ES"/>
        </w:rPr>
        <w:t>cia, se contratarán conforme a lo establecido en esta ley foral</w:t>
      </w:r>
      <w:r w:rsidRPr="00CA4632">
        <w:rPr>
          <w:i/>
          <w:color w:val="333333"/>
          <w:sz w:val="24"/>
          <w:szCs w:val="24"/>
          <w:lang w:val="es-ES" w:eastAsia="es-ES"/>
        </w:rPr>
        <w:t>…”</w:t>
      </w:r>
    </w:p>
    <w:p w:rsidR="006C4DAC" w:rsidRDefault="006C4DAC" w:rsidP="007A72D9">
      <w:pPr>
        <w:pStyle w:val="texto"/>
        <w:rPr>
          <w:szCs w:val="26"/>
        </w:rPr>
      </w:pPr>
      <w:r>
        <w:rPr>
          <w:szCs w:val="26"/>
        </w:rPr>
        <w:t>Este procedimiento de emergencia es el que se ha utilizado en el caso de N</w:t>
      </w:r>
      <w:r>
        <w:rPr>
          <w:szCs w:val="26"/>
        </w:rPr>
        <w:t>a</w:t>
      </w:r>
      <w:r>
        <w:rPr>
          <w:szCs w:val="26"/>
        </w:rPr>
        <w:t>varra donde el artículo 15 de la Ley Foral 6/2020, de 6 de abril, por la que se aprueban medidas urgentes para responder al impacto generado por la crisis s</w:t>
      </w:r>
      <w:r>
        <w:rPr>
          <w:szCs w:val="26"/>
        </w:rPr>
        <w:t>a</w:t>
      </w:r>
      <w:r>
        <w:rPr>
          <w:szCs w:val="26"/>
        </w:rPr>
        <w:t>nitaria del coronavirus (COVID-19) estableció expresamente las siguientes m</w:t>
      </w:r>
      <w:r>
        <w:rPr>
          <w:szCs w:val="26"/>
        </w:rPr>
        <w:t>e</w:t>
      </w:r>
      <w:r>
        <w:rPr>
          <w:szCs w:val="26"/>
        </w:rPr>
        <w:t>didas para clarificar el procedimiento que se tenía que emplear</w:t>
      </w:r>
      <w:r w:rsidRPr="005355B5">
        <w:rPr>
          <w:szCs w:val="26"/>
        </w:rPr>
        <w:t xml:space="preserve">: </w:t>
      </w:r>
    </w:p>
    <w:p w:rsidR="006C4DAC" w:rsidRDefault="006C4DAC"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rPr>
          <w:szCs w:val="26"/>
        </w:rPr>
        <w:t>A todos los contratos y encargos que se celebren para atender las neces</w:t>
      </w:r>
      <w:r>
        <w:rPr>
          <w:szCs w:val="26"/>
        </w:rPr>
        <w:t>i</w:t>
      </w:r>
      <w:r>
        <w:rPr>
          <w:szCs w:val="26"/>
        </w:rPr>
        <w:t>dades derivadas de la COVID-19 se les aplicará la tramitación por emergencia, no siendo necesario realizar informe de justificación técnica o jurí</w:t>
      </w:r>
      <w:r w:rsidR="003810F9">
        <w:rPr>
          <w:szCs w:val="26"/>
        </w:rPr>
        <w:t>dica del c</w:t>
      </w:r>
      <w:r w:rsidR="003810F9">
        <w:rPr>
          <w:szCs w:val="26"/>
        </w:rPr>
        <w:t>a</w:t>
      </w:r>
      <w:r w:rsidR="003810F9">
        <w:rPr>
          <w:szCs w:val="26"/>
        </w:rPr>
        <w:t>rácter de emergencia de manera previa, si bien a posteriori sí debe elaborarse este tipo de informes.</w:t>
      </w:r>
    </w:p>
    <w:p w:rsidR="006C4DAC" w:rsidRDefault="006C4DAC"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rPr>
          <w:szCs w:val="26"/>
        </w:rPr>
        <w:t>El libramiento de los fondos necesarios para hacer frente a los gastos de</w:t>
      </w:r>
      <w:r>
        <w:rPr>
          <w:szCs w:val="26"/>
        </w:rPr>
        <w:t>s</w:t>
      </w:r>
      <w:r>
        <w:rPr>
          <w:szCs w:val="26"/>
        </w:rPr>
        <w:t>tinados a la COVID-19 se realizarán a justificar.</w:t>
      </w:r>
    </w:p>
    <w:p w:rsidR="006C4DAC" w:rsidRDefault="006C4DAC"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rPr>
          <w:szCs w:val="26"/>
        </w:rPr>
        <w:t>Se habilita a los órganos de contratación a modificar los contratos existe</w:t>
      </w:r>
      <w:r>
        <w:rPr>
          <w:szCs w:val="26"/>
        </w:rPr>
        <w:t>n</w:t>
      </w:r>
      <w:r>
        <w:rPr>
          <w:szCs w:val="26"/>
        </w:rPr>
        <w:t>tes para atender las necesidades que vayan surgiendo en relación con la C</w:t>
      </w:r>
      <w:r>
        <w:rPr>
          <w:szCs w:val="26"/>
        </w:rPr>
        <w:t>O</w:t>
      </w:r>
      <w:r>
        <w:rPr>
          <w:szCs w:val="26"/>
        </w:rPr>
        <w:t>VID-19 mediante la tramitación de emergencia.</w:t>
      </w:r>
    </w:p>
    <w:p w:rsidR="006C4DAC" w:rsidRDefault="006C4DAC"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rPr>
          <w:szCs w:val="26"/>
        </w:rPr>
        <w:t>Los expedientes que se tramiten por emergencia estarán exentos de inte</w:t>
      </w:r>
      <w:r>
        <w:rPr>
          <w:szCs w:val="26"/>
        </w:rPr>
        <w:t>r</w:t>
      </w:r>
      <w:r>
        <w:rPr>
          <w:szCs w:val="26"/>
        </w:rPr>
        <w:t>vención previa en todas sus fases incluyéndose las órdenes de pago a justificar, pero no estarán exentos de control financiero permanente</w:t>
      </w:r>
      <w:r w:rsidRPr="00824F32">
        <w:rPr>
          <w:color w:val="FF0000"/>
          <w:szCs w:val="26"/>
        </w:rPr>
        <w:t>.</w:t>
      </w:r>
      <w:r>
        <w:rPr>
          <w:color w:val="FF0000"/>
          <w:szCs w:val="26"/>
        </w:rPr>
        <w:t xml:space="preserve"> </w:t>
      </w:r>
    </w:p>
    <w:p w:rsidR="006C4DAC" w:rsidRDefault="006C4DAC" w:rsidP="006C4DAC">
      <w:pPr>
        <w:pStyle w:val="texto"/>
        <w:tabs>
          <w:tab w:val="clear" w:pos="2835"/>
          <w:tab w:val="clear" w:pos="3969"/>
          <w:tab w:val="clear" w:pos="5103"/>
          <w:tab w:val="clear" w:pos="6237"/>
          <w:tab w:val="clear" w:pos="7371"/>
        </w:tabs>
        <w:spacing w:after="240"/>
        <w:rPr>
          <w:szCs w:val="26"/>
        </w:rPr>
      </w:pPr>
      <w:r>
        <w:rPr>
          <w:szCs w:val="26"/>
        </w:rPr>
        <w:t>Teniendo en cuenta estas medidas, la ACFN tramitó la mayoría de los co</w:t>
      </w:r>
      <w:r>
        <w:rPr>
          <w:szCs w:val="26"/>
        </w:rPr>
        <w:t>n</w:t>
      </w:r>
      <w:r>
        <w:rPr>
          <w:szCs w:val="26"/>
        </w:rPr>
        <w:t xml:space="preserve">tratos celebrados por razón de la COVID-19 por emergencia </w:t>
      </w:r>
      <w:r w:rsidR="00B46545">
        <w:rPr>
          <w:szCs w:val="26"/>
        </w:rPr>
        <w:t xml:space="preserve">y, por tanto, </w:t>
      </w:r>
      <w:r>
        <w:rPr>
          <w:szCs w:val="26"/>
        </w:rPr>
        <w:t xml:space="preserve">sin fiscalización </w:t>
      </w:r>
      <w:r w:rsidR="002408EB">
        <w:rPr>
          <w:szCs w:val="26"/>
        </w:rPr>
        <w:t>previa</w:t>
      </w:r>
      <w:r>
        <w:rPr>
          <w:szCs w:val="26"/>
        </w:rPr>
        <w:t xml:space="preserve">; a posteriori se están formalizando los expedientes con la consiguiente revisión por parte del Servicio de Intervención. </w:t>
      </w:r>
    </w:p>
    <w:p w:rsidR="006C4DAC" w:rsidRDefault="006C4DAC" w:rsidP="006538A3">
      <w:pPr>
        <w:pStyle w:val="atitulo4"/>
      </w:pPr>
      <w:r>
        <w:t xml:space="preserve">Suspensión contratos </w:t>
      </w:r>
    </w:p>
    <w:p w:rsidR="006C4DAC" w:rsidRDefault="006C4DAC" w:rsidP="006C4DAC">
      <w:pPr>
        <w:pStyle w:val="texto"/>
        <w:tabs>
          <w:tab w:val="clear" w:pos="2835"/>
          <w:tab w:val="clear" w:pos="3969"/>
          <w:tab w:val="clear" w:pos="5103"/>
          <w:tab w:val="clear" w:pos="6237"/>
          <w:tab w:val="clear" w:pos="7371"/>
        </w:tabs>
        <w:spacing w:after="120"/>
        <w:rPr>
          <w:szCs w:val="26"/>
        </w:rPr>
      </w:pPr>
      <w:r>
        <w:rPr>
          <w:szCs w:val="26"/>
        </w:rPr>
        <w:t>El artículo 2 del Decreto-Ley Foral 7/2020, de 22 de julio, por el que se aprueban medidas preventivas extraordinarias para hacer frente a la crisis san</w:t>
      </w:r>
      <w:r>
        <w:rPr>
          <w:szCs w:val="26"/>
        </w:rPr>
        <w:t>i</w:t>
      </w:r>
      <w:r>
        <w:rPr>
          <w:szCs w:val="26"/>
        </w:rPr>
        <w:t>taria del coronavirus (COVID-19)</w:t>
      </w:r>
      <w:r w:rsidR="00B46545">
        <w:rPr>
          <w:szCs w:val="26"/>
        </w:rPr>
        <w:t>,</w:t>
      </w:r>
      <w:r>
        <w:rPr>
          <w:szCs w:val="26"/>
        </w:rPr>
        <w:t xml:space="preserve"> reguló la posibilidad de suspender contratos de acuerdo a los siguientes puntos:</w:t>
      </w:r>
    </w:p>
    <w:p w:rsidR="006C4DAC" w:rsidRDefault="006C4DAC"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rPr>
          <w:szCs w:val="26"/>
        </w:rPr>
        <w:t>Se establece la suspensión de aquellos contratos de servicios y suministros de prestación sucesiva vigentes en el momento de la declaración del estado de alarma cuya ejecución fuera imposible por el contexto derivado de la crisis s</w:t>
      </w:r>
      <w:r>
        <w:rPr>
          <w:szCs w:val="26"/>
        </w:rPr>
        <w:t>a</w:t>
      </w:r>
      <w:r>
        <w:rPr>
          <w:szCs w:val="26"/>
        </w:rPr>
        <w:t>nitaria.</w:t>
      </w:r>
    </w:p>
    <w:p w:rsidR="006C4DAC" w:rsidRDefault="006C4DAC" w:rsidP="007A72D9">
      <w:pPr>
        <w:pStyle w:val="texto"/>
        <w:tabs>
          <w:tab w:val="clear" w:pos="2835"/>
          <w:tab w:val="clear" w:pos="3969"/>
          <w:tab w:val="clear" w:pos="5103"/>
          <w:tab w:val="clear" w:pos="6237"/>
          <w:tab w:val="clear" w:pos="7371"/>
        </w:tabs>
        <w:spacing w:after="240"/>
        <w:rPr>
          <w:szCs w:val="26"/>
        </w:rPr>
      </w:pPr>
      <w:r>
        <w:rPr>
          <w:szCs w:val="26"/>
        </w:rPr>
        <w:t>Los contratistas responsables de los contratos suspendidos pueden solicitar una indemnización que será analizada por el órgano de contratación procedie</w:t>
      </w:r>
      <w:r>
        <w:rPr>
          <w:szCs w:val="26"/>
        </w:rPr>
        <w:t>n</w:t>
      </w:r>
      <w:r>
        <w:rPr>
          <w:szCs w:val="26"/>
        </w:rPr>
        <w:t>do a su abono en su caso.</w:t>
      </w:r>
    </w:p>
    <w:p w:rsidR="006C4DAC" w:rsidRDefault="006C4DAC"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rPr>
          <w:szCs w:val="26"/>
        </w:rPr>
        <w:lastRenderedPageBreak/>
        <w:t>En el caso de contratos de concesión de obras y servicios, se contempla el derecho del concesionario al restablecimiento del equilibrio económico del contrato previa solicitud por parte del mismo acreditando esta circunstancia.</w:t>
      </w:r>
    </w:p>
    <w:p w:rsidR="006C4DAC" w:rsidRDefault="006C4DAC"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rsidRPr="00477984">
        <w:rPr>
          <w:szCs w:val="26"/>
        </w:rPr>
        <w:t xml:space="preserve">Los contratos públicos </w:t>
      </w:r>
      <w:r>
        <w:rPr>
          <w:szCs w:val="26"/>
        </w:rPr>
        <w:t>de</w:t>
      </w:r>
      <w:r w:rsidRPr="00477984">
        <w:rPr>
          <w:szCs w:val="26"/>
        </w:rPr>
        <w:t xml:space="preserve"> obras</w:t>
      </w:r>
      <w:r w:rsidR="00B46545">
        <w:rPr>
          <w:szCs w:val="26"/>
        </w:rPr>
        <w:t>,</w:t>
      </w:r>
      <w:r w:rsidRPr="00477984">
        <w:rPr>
          <w:szCs w:val="26"/>
        </w:rPr>
        <w:t xml:space="preserve"> si no fuera posible su continuidad, p</w:t>
      </w:r>
      <w:r w:rsidRPr="00477984">
        <w:rPr>
          <w:szCs w:val="26"/>
        </w:rPr>
        <w:t>o</w:t>
      </w:r>
      <w:r w:rsidRPr="00477984">
        <w:rPr>
          <w:szCs w:val="26"/>
        </w:rPr>
        <w:t xml:space="preserve">drán suspenderse hasta que la </w:t>
      </w:r>
      <w:r>
        <w:rPr>
          <w:szCs w:val="26"/>
        </w:rPr>
        <w:t>ejecución</w:t>
      </w:r>
      <w:r w:rsidRPr="00477984">
        <w:rPr>
          <w:szCs w:val="26"/>
        </w:rPr>
        <w:t xml:space="preserve"> pudiera reanudarse sin que esto supo</w:t>
      </w:r>
      <w:r w:rsidRPr="00477984">
        <w:rPr>
          <w:szCs w:val="26"/>
        </w:rPr>
        <w:t>n</w:t>
      </w:r>
      <w:r w:rsidRPr="00477984">
        <w:rPr>
          <w:szCs w:val="26"/>
        </w:rPr>
        <w:t>ga la imposición de penalidades ni la resolución del contrato.</w:t>
      </w:r>
    </w:p>
    <w:p w:rsidR="006C4DAC" w:rsidRDefault="006C4DAC" w:rsidP="006C4DAC">
      <w:pPr>
        <w:spacing w:after="0"/>
        <w:ind w:firstLine="0"/>
        <w:jc w:val="left"/>
      </w:pPr>
      <w:r>
        <w:br w:type="page"/>
      </w:r>
    </w:p>
    <w:p w:rsidR="0049412A" w:rsidRPr="00341874" w:rsidRDefault="0049412A" w:rsidP="0049412A">
      <w:pPr>
        <w:pStyle w:val="atitulo1"/>
      </w:pPr>
      <w:bookmarkStart w:id="23" w:name="_Toc499802367"/>
      <w:bookmarkStart w:id="24" w:name="_Toc511912025"/>
      <w:bookmarkStart w:id="25" w:name="_Toc67394578"/>
      <w:bookmarkStart w:id="26" w:name="_Toc69373186"/>
      <w:r w:rsidRPr="00983EB9">
        <w:lastRenderedPageBreak/>
        <w:t xml:space="preserve">III. </w:t>
      </w:r>
      <w:r w:rsidRPr="00341874">
        <w:t>Objetivo</w:t>
      </w:r>
      <w:r>
        <w:t>s, alcance y limitaciones</w:t>
      </w:r>
      <w:bookmarkEnd w:id="23"/>
      <w:bookmarkEnd w:id="24"/>
      <w:bookmarkEnd w:id="25"/>
      <w:bookmarkEnd w:id="26"/>
    </w:p>
    <w:p w:rsidR="0049412A" w:rsidRDefault="0049412A" w:rsidP="0049412A">
      <w:pPr>
        <w:pStyle w:val="texto"/>
        <w:tabs>
          <w:tab w:val="clear" w:pos="2835"/>
          <w:tab w:val="clear" w:pos="3969"/>
          <w:tab w:val="clear" w:pos="5103"/>
          <w:tab w:val="clear" w:pos="6237"/>
          <w:tab w:val="clear" w:pos="7371"/>
        </w:tabs>
        <w:spacing w:after="100"/>
        <w:rPr>
          <w:szCs w:val="26"/>
        </w:rPr>
      </w:pPr>
      <w:r>
        <w:rPr>
          <w:szCs w:val="26"/>
        </w:rPr>
        <w:t>Teniendo en cuenta la petición parlamentaria recibida, los objetivos de este trabajo han sido:</w:t>
      </w:r>
    </w:p>
    <w:p w:rsidR="0049412A" w:rsidRDefault="0049412A"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rsidRPr="00C6043C">
        <w:rPr>
          <w:szCs w:val="26"/>
        </w:rPr>
        <w:t>Cuantificar</w:t>
      </w:r>
      <w:r>
        <w:rPr>
          <w:szCs w:val="26"/>
        </w:rPr>
        <w:t xml:space="preserve"> y revisar</w:t>
      </w:r>
      <w:r w:rsidRPr="00C6043C">
        <w:rPr>
          <w:szCs w:val="26"/>
        </w:rPr>
        <w:t xml:space="preserve"> </w:t>
      </w:r>
      <w:r>
        <w:rPr>
          <w:szCs w:val="26"/>
        </w:rPr>
        <w:t>los gastos</w:t>
      </w:r>
      <w:r w:rsidRPr="00C6043C">
        <w:rPr>
          <w:szCs w:val="26"/>
        </w:rPr>
        <w:t xml:space="preserve"> </w:t>
      </w:r>
      <w:r>
        <w:rPr>
          <w:szCs w:val="26"/>
        </w:rPr>
        <w:t>e</w:t>
      </w:r>
      <w:r w:rsidRPr="00C6043C">
        <w:rPr>
          <w:szCs w:val="26"/>
        </w:rPr>
        <w:t xml:space="preserve"> ingresos relacionados con la gestión de la </w:t>
      </w:r>
      <w:r>
        <w:rPr>
          <w:szCs w:val="26"/>
        </w:rPr>
        <w:t>COVID-19</w:t>
      </w:r>
      <w:r w:rsidRPr="00C6043C">
        <w:rPr>
          <w:szCs w:val="26"/>
        </w:rPr>
        <w:t xml:space="preserve"> </w:t>
      </w:r>
      <w:r>
        <w:rPr>
          <w:szCs w:val="26"/>
        </w:rPr>
        <w:t>en el periodo marzo 2020-diciembre 2020.</w:t>
      </w:r>
      <w:r w:rsidRPr="002408EB">
        <w:rPr>
          <w:szCs w:val="26"/>
        </w:rPr>
        <w:t xml:space="preserve"> </w:t>
      </w:r>
    </w:p>
    <w:p w:rsidR="0049412A" w:rsidRDefault="0049412A"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rPr>
          <w:szCs w:val="26"/>
        </w:rPr>
        <w:t>Realizar</w:t>
      </w:r>
      <w:r w:rsidRPr="00FD2748">
        <w:rPr>
          <w:szCs w:val="26"/>
        </w:rPr>
        <w:t xml:space="preserve"> una fiscalización de cumplimiento de legalidad de los gastos e ingresos relacionados con la gestión de la </w:t>
      </w:r>
      <w:r>
        <w:rPr>
          <w:szCs w:val="26"/>
        </w:rPr>
        <w:t>COVID-19</w:t>
      </w:r>
      <w:r w:rsidRPr="00FD2748">
        <w:rPr>
          <w:szCs w:val="26"/>
        </w:rPr>
        <w:t xml:space="preserve"> en el periodo marzo-</w:t>
      </w:r>
      <w:r>
        <w:rPr>
          <w:szCs w:val="26"/>
        </w:rPr>
        <w:t>diciembre</w:t>
      </w:r>
      <w:r w:rsidRPr="00FD2748">
        <w:rPr>
          <w:szCs w:val="26"/>
        </w:rPr>
        <w:t xml:space="preserve"> de 2020 con el fin de expresar una opinión acerca de</w:t>
      </w:r>
      <w:r>
        <w:rPr>
          <w:szCs w:val="26"/>
        </w:rPr>
        <w:t xml:space="preserve"> s</w:t>
      </w:r>
      <w:r w:rsidRPr="00FD2748">
        <w:rPr>
          <w:szCs w:val="26"/>
        </w:rPr>
        <w:t xml:space="preserve">i </w:t>
      </w:r>
      <w:r>
        <w:rPr>
          <w:szCs w:val="26"/>
        </w:rPr>
        <w:t>las contrat</w:t>
      </w:r>
      <w:r>
        <w:rPr>
          <w:szCs w:val="26"/>
        </w:rPr>
        <w:t>a</w:t>
      </w:r>
      <w:r>
        <w:rPr>
          <w:szCs w:val="26"/>
        </w:rPr>
        <w:t xml:space="preserve">ciones de personal, de bienes corrientes y servicios, inversiones y subvenciones de </w:t>
      </w:r>
      <w:r w:rsidRPr="00FD2748">
        <w:rPr>
          <w:szCs w:val="26"/>
        </w:rPr>
        <w:t xml:space="preserve">la ACFN y sus OOAA durante </w:t>
      </w:r>
      <w:r>
        <w:rPr>
          <w:szCs w:val="26"/>
        </w:rPr>
        <w:t>este periodo</w:t>
      </w:r>
      <w:r w:rsidRPr="00FD2748">
        <w:rPr>
          <w:szCs w:val="26"/>
        </w:rPr>
        <w:t xml:space="preserve"> resultan conformes, en todos los aspectos significativos, con las normas aplicables a la gestión de los fondos p</w:t>
      </w:r>
      <w:r w:rsidRPr="00FD2748">
        <w:rPr>
          <w:szCs w:val="26"/>
        </w:rPr>
        <w:t>ú</w:t>
      </w:r>
      <w:r w:rsidRPr="00FD2748">
        <w:rPr>
          <w:szCs w:val="26"/>
        </w:rPr>
        <w:t>blicos.</w:t>
      </w:r>
    </w:p>
    <w:p w:rsidR="0049412A" w:rsidRPr="00396ABA" w:rsidRDefault="0049412A"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rsidRPr="00396ABA">
        <w:rPr>
          <w:szCs w:val="26"/>
        </w:rPr>
        <w:t>Analizar la eficacia y eficiencia de aquellas contrataciones en las que exi</w:t>
      </w:r>
      <w:r w:rsidRPr="00396ABA">
        <w:rPr>
          <w:szCs w:val="26"/>
        </w:rPr>
        <w:t>s</w:t>
      </w:r>
      <w:r w:rsidRPr="00396ABA">
        <w:rPr>
          <w:szCs w:val="26"/>
        </w:rPr>
        <w:t>ta información disponible para llevar a cabo este tipo de evaluación.</w:t>
      </w:r>
    </w:p>
    <w:p w:rsidR="0049412A" w:rsidRPr="005355B5" w:rsidRDefault="0049412A"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rPr>
          <w:szCs w:val="26"/>
        </w:rPr>
        <w:t>El alcance temporal de nuestro trabajo se centra en el periodo marzo 2020-diciembre 2020 y para ello hemos analizado</w:t>
      </w:r>
      <w:r w:rsidRPr="005355B5">
        <w:rPr>
          <w:szCs w:val="26"/>
        </w:rPr>
        <w:t xml:space="preserve"> la siguiente información: </w:t>
      </w:r>
    </w:p>
    <w:p w:rsidR="0049412A" w:rsidRPr="00B94CC1" w:rsidRDefault="0049412A"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rPr>
          <w:szCs w:val="26"/>
        </w:rPr>
        <w:t>Partidas presupuestarias relacionadas con la gestión de la COVID-19 en el ámbito temporal indicado</w:t>
      </w:r>
      <w:r w:rsidRPr="00B94CC1">
        <w:rPr>
          <w:szCs w:val="26"/>
        </w:rPr>
        <w:t xml:space="preserve">. </w:t>
      </w:r>
    </w:p>
    <w:p w:rsidR="0049412A" w:rsidRDefault="0049412A"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rPr>
          <w:szCs w:val="26"/>
        </w:rPr>
        <w:t>Normativa aplicable a la gestión de la COVID-19</w:t>
      </w:r>
      <w:r w:rsidRPr="00B94CC1">
        <w:rPr>
          <w:szCs w:val="26"/>
        </w:rPr>
        <w:t xml:space="preserve">. </w:t>
      </w:r>
    </w:p>
    <w:p w:rsidR="0049412A" w:rsidRPr="00B94CC1" w:rsidRDefault="0049412A"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rPr>
          <w:szCs w:val="26"/>
        </w:rPr>
        <w:t>Procedimientos de contratación del personal y de bienes y servicios util</w:t>
      </w:r>
      <w:r>
        <w:rPr>
          <w:szCs w:val="26"/>
        </w:rPr>
        <w:t>i</w:t>
      </w:r>
      <w:r>
        <w:rPr>
          <w:szCs w:val="26"/>
        </w:rPr>
        <w:t>zados para la gestión de la COVID-19.</w:t>
      </w:r>
    </w:p>
    <w:p w:rsidR="0049412A" w:rsidRDefault="0049412A"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rPr>
          <w:szCs w:val="26"/>
        </w:rPr>
        <w:t>Los contratos de personal celebrados por el SNS-O, la Agencia Navarra para la Autonomía de las Personas (ANADP) y el Departamento de Educación para hacer frente a la crisis de la COVID-19.</w:t>
      </w:r>
    </w:p>
    <w:p w:rsidR="0049412A" w:rsidRDefault="0049412A" w:rsidP="006532FD">
      <w:pPr>
        <w:pStyle w:val="texto"/>
        <w:tabs>
          <w:tab w:val="clear" w:pos="2835"/>
          <w:tab w:val="clear" w:pos="3969"/>
          <w:tab w:val="clear" w:pos="5103"/>
          <w:tab w:val="clear" w:pos="6237"/>
          <w:tab w:val="clear" w:pos="7371"/>
        </w:tabs>
        <w:spacing w:after="240"/>
        <w:rPr>
          <w:szCs w:val="26"/>
        </w:rPr>
      </w:pPr>
      <w:r>
        <w:rPr>
          <w:szCs w:val="26"/>
        </w:rPr>
        <w:t>Además de analizar estos contratos, hemos revisado el importe abonado a 2.298 personas por productividad COVID</w:t>
      </w:r>
      <w:r w:rsidR="00B46545">
        <w:rPr>
          <w:szCs w:val="26"/>
        </w:rPr>
        <w:t>. Dicho gasto</w:t>
      </w:r>
      <w:r>
        <w:rPr>
          <w:szCs w:val="26"/>
        </w:rPr>
        <w:t xml:space="preserve"> asciende a 3,69 mill</w:t>
      </w:r>
      <w:r>
        <w:rPr>
          <w:szCs w:val="26"/>
        </w:rPr>
        <w:t>o</w:t>
      </w:r>
      <w:r>
        <w:rPr>
          <w:szCs w:val="26"/>
        </w:rPr>
        <w:t>nes reconocido</w:t>
      </w:r>
      <w:r w:rsidR="00F12512">
        <w:rPr>
          <w:szCs w:val="26"/>
        </w:rPr>
        <w:t>s</w:t>
      </w:r>
      <w:r>
        <w:rPr>
          <w:szCs w:val="26"/>
        </w:rPr>
        <w:t xml:space="preserve"> en el presupuesto a 31 de diciembre de 2020</w:t>
      </w:r>
      <w:r w:rsidR="00F12512">
        <w:rPr>
          <w:szCs w:val="26"/>
        </w:rPr>
        <w:t>,</w:t>
      </w:r>
      <w:r>
        <w:rPr>
          <w:szCs w:val="26"/>
        </w:rPr>
        <w:t xml:space="preserve"> según el siguie</w:t>
      </w:r>
      <w:r>
        <w:rPr>
          <w:szCs w:val="26"/>
        </w:rPr>
        <w:t>n</w:t>
      </w:r>
      <w:r>
        <w:rPr>
          <w:szCs w:val="26"/>
        </w:rPr>
        <w:t xml:space="preserve">te desglose: </w:t>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389"/>
        <w:gridCol w:w="4390"/>
      </w:tblGrid>
      <w:tr w:rsidR="0049412A" w:rsidTr="002A78B6">
        <w:trPr>
          <w:trHeight w:val="255"/>
        </w:trPr>
        <w:tc>
          <w:tcPr>
            <w:tcW w:w="4389" w:type="dxa"/>
            <w:shd w:val="clear" w:color="auto" w:fill="8DB3E2" w:themeFill="text2" w:themeFillTint="66"/>
            <w:vAlign w:val="center"/>
          </w:tcPr>
          <w:p w:rsidR="0049412A" w:rsidRPr="000436FD" w:rsidRDefault="0049412A" w:rsidP="007A72D9">
            <w:pPr>
              <w:pStyle w:val="cuadroCabe"/>
            </w:pPr>
            <w:r w:rsidRPr="000436FD">
              <w:t>Importe percibido</w:t>
            </w:r>
          </w:p>
        </w:tc>
        <w:tc>
          <w:tcPr>
            <w:tcW w:w="4390" w:type="dxa"/>
            <w:shd w:val="clear" w:color="auto" w:fill="8DB3E2" w:themeFill="text2" w:themeFillTint="66"/>
            <w:vAlign w:val="center"/>
          </w:tcPr>
          <w:p w:rsidR="0049412A" w:rsidRPr="000436FD" w:rsidRDefault="0049412A" w:rsidP="007A72D9">
            <w:pPr>
              <w:pStyle w:val="cuadroCabe"/>
              <w:jc w:val="right"/>
            </w:pPr>
            <w:r w:rsidRPr="000436FD">
              <w:t>N</w:t>
            </w:r>
            <w:r>
              <w:t>º</w:t>
            </w:r>
            <w:r w:rsidRPr="000436FD">
              <w:t xml:space="preserve"> personas</w:t>
            </w:r>
          </w:p>
        </w:tc>
      </w:tr>
      <w:tr w:rsidR="0049412A" w:rsidTr="002A78B6">
        <w:trPr>
          <w:trHeight w:val="198"/>
        </w:trPr>
        <w:tc>
          <w:tcPr>
            <w:tcW w:w="4389" w:type="dxa"/>
            <w:tcBorders>
              <w:bottom w:val="single" w:sz="2" w:space="0" w:color="auto"/>
            </w:tcBorders>
            <w:vAlign w:val="center"/>
          </w:tcPr>
          <w:p w:rsidR="0049412A" w:rsidRPr="000436FD" w:rsidRDefault="0049412A" w:rsidP="008217D1">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sidRPr="000436FD">
              <w:rPr>
                <w:rFonts w:ascii="Arial Narrow" w:hAnsi="Arial Narrow"/>
                <w:sz w:val="20"/>
                <w:szCs w:val="20"/>
              </w:rPr>
              <w:t>&lt; 1.000</w:t>
            </w:r>
          </w:p>
        </w:tc>
        <w:tc>
          <w:tcPr>
            <w:tcW w:w="4390" w:type="dxa"/>
            <w:tcBorders>
              <w:bottom w:val="single" w:sz="2" w:space="0" w:color="auto"/>
            </w:tcBorders>
            <w:vAlign w:val="center"/>
          </w:tcPr>
          <w:p w:rsidR="0049412A" w:rsidRDefault="0049412A" w:rsidP="008217D1">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1.385</w:t>
            </w:r>
          </w:p>
        </w:tc>
      </w:tr>
      <w:tr w:rsidR="0049412A" w:rsidTr="002A78B6">
        <w:trPr>
          <w:trHeight w:val="198"/>
        </w:trPr>
        <w:tc>
          <w:tcPr>
            <w:tcW w:w="4389" w:type="dxa"/>
            <w:tcBorders>
              <w:top w:val="single" w:sz="2" w:space="0" w:color="auto"/>
              <w:bottom w:val="single" w:sz="2" w:space="0" w:color="auto"/>
            </w:tcBorders>
            <w:vAlign w:val="center"/>
          </w:tcPr>
          <w:p w:rsidR="0049412A" w:rsidRPr="000436FD" w:rsidRDefault="0049412A" w:rsidP="008217D1">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sidRPr="000436FD">
              <w:rPr>
                <w:rFonts w:ascii="Arial Narrow" w:hAnsi="Arial Narrow"/>
                <w:sz w:val="20"/>
                <w:szCs w:val="20"/>
              </w:rPr>
              <w:t>1.001, 5.000</w:t>
            </w:r>
          </w:p>
        </w:tc>
        <w:tc>
          <w:tcPr>
            <w:tcW w:w="4390" w:type="dxa"/>
            <w:tcBorders>
              <w:top w:val="single" w:sz="2" w:space="0" w:color="auto"/>
              <w:bottom w:val="single" w:sz="2" w:space="0" w:color="auto"/>
            </w:tcBorders>
            <w:vAlign w:val="center"/>
          </w:tcPr>
          <w:p w:rsidR="0049412A" w:rsidRDefault="0049412A" w:rsidP="008217D1">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739</w:t>
            </w:r>
          </w:p>
        </w:tc>
      </w:tr>
      <w:tr w:rsidR="0049412A" w:rsidTr="002A78B6">
        <w:trPr>
          <w:trHeight w:val="198"/>
        </w:trPr>
        <w:tc>
          <w:tcPr>
            <w:tcW w:w="4389" w:type="dxa"/>
            <w:tcBorders>
              <w:top w:val="single" w:sz="2" w:space="0" w:color="auto"/>
              <w:bottom w:val="single" w:sz="2" w:space="0" w:color="auto"/>
            </w:tcBorders>
            <w:vAlign w:val="center"/>
          </w:tcPr>
          <w:p w:rsidR="0049412A" w:rsidRPr="000436FD" w:rsidRDefault="0049412A" w:rsidP="008217D1">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sidRPr="000436FD">
              <w:rPr>
                <w:rFonts w:ascii="Arial Narrow" w:hAnsi="Arial Narrow"/>
                <w:sz w:val="20"/>
                <w:szCs w:val="20"/>
              </w:rPr>
              <w:t>5,001, 10.000</w:t>
            </w:r>
          </w:p>
        </w:tc>
        <w:tc>
          <w:tcPr>
            <w:tcW w:w="4390" w:type="dxa"/>
            <w:tcBorders>
              <w:top w:val="single" w:sz="2" w:space="0" w:color="auto"/>
              <w:bottom w:val="single" w:sz="2" w:space="0" w:color="auto"/>
            </w:tcBorders>
            <w:vAlign w:val="center"/>
          </w:tcPr>
          <w:p w:rsidR="0049412A" w:rsidRDefault="0049412A" w:rsidP="008217D1">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137</w:t>
            </w:r>
          </w:p>
        </w:tc>
      </w:tr>
      <w:tr w:rsidR="0049412A" w:rsidTr="002A78B6">
        <w:trPr>
          <w:trHeight w:val="198"/>
        </w:trPr>
        <w:tc>
          <w:tcPr>
            <w:tcW w:w="4389" w:type="dxa"/>
            <w:tcBorders>
              <w:top w:val="single" w:sz="2" w:space="0" w:color="auto"/>
              <w:bottom w:val="single" w:sz="2" w:space="0" w:color="auto"/>
            </w:tcBorders>
            <w:vAlign w:val="center"/>
          </w:tcPr>
          <w:p w:rsidR="0049412A" w:rsidRPr="000436FD" w:rsidRDefault="0049412A" w:rsidP="008217D1">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sidRPr="000436FD">
              <w:rPr>
                <w:rFonts w:ascii="Arial Narrow" w:hAnsi="Arial Narrow"/>
                <w:sz w:val="20"/>
                <w:szCs w:val="20"/>
              </w:rPr>
              <w:t>10.000, 15.000</w:t>
            </w:r>
          </w:p>
        </w:tc>
        <w:tc>
          <w:tcPr>
            <w:tcW w:w="4390" w:type="dxa"/>
            <w:tcBorders>
              <w:top w:val="single" w:sz="2" w:space="0" w:color="auto"/>
              <w:bottom w:val="single" w:sz="2" w:space="0" w:color="auto"/>
            </w:tcBorders>
            <w:vAlign w:val="center"/>
          </w:tcPr>
          <w:p w:rsidR="0049412A" w:rsidRDefault="0049412A" w:rsidP="008217D1">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22</w:t>
            </w:r>
          </w:p>
        </w:tc>
      </w:tr>
      <w:tr w:rsidR="0049412A" w:rsidTr="002A78B6">
        <w:trPr>
          <w:trHeight w:val="198"/>
        </w:trPr>
        <w:tc>
          <w:tcPr>
            <w:tcW w:w="4389" w:type="dxa"/>
            <w:tcBorders>
              <w:top w:val="single" w:sz="2" w:space="0" w:color="auto"/>
              <w:bottom w:val="single" w:sz="2" w:space="0" w:color="auto"/>
            </w:tcBorders>
            <w:vAlign w:val="center"/>
          </w:tcPr>
          <w:p w:rsidR="0049412A" w:rsidRPr="000436FD" w:rsidRDefault="0049412A" w:rsidP="008217D1">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sidRPr="000436FD">
              <w:rPr>
                <w:rFonts w:ascii="Arial Narrow" w:hAnsi="Arial Narrow"/>
                <w:sz w:val="20"/>
                <w:szCs w:val="20"/>
              </w:rPr>
              <w:t>15.000, 20.000</w:t>
            </w:r>
          </w:p>
        </w:tc>
        <w:tc>
          <w:tcPr>
            <w:tcW w:w="4390" w:type="dxa"/>
            <w:tcBorders>
              <w:top w:val="single" w:sz="2" w:space="0" w:color="auto"/>
              <w:bottom w:val="single" w:sz="2" w:space="0" w:color="auto"/>
            </w:tcBorders>
            <w:vAlign w:val="center"/>
          </w:tcPr>
          <w:p w:rsidR="0049412A" w:rsidRDefault="0049412A" w:rsidP="008217D1">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9</w:t>
            </w:r>
          </w:p>
        </w:tc>
      </w:tr>
      <w:tr w:rsidR="0049412A" w:rsidTr="002A78B6">
        <w:trPr>
          <w:trHeight w:val="198"/>
        </w:trPr>
        <w:tc>
          <w:tcPr>
            <w:tcW w:w="4389" w:type="dxa"/>
            <w:tcBorders>
              <w:top w:val="single" w:sz="2" w:space="0" w:color="auto"/>
              <w:bottom w:val="single" w:sz="2" w:space="0" w:color="auto"/>
            </w:tcBorders>
            <w:vAlign w:val="center"/>
          </w:tcPr>
          <w:p w:rsidR="0049412A" w:rsidRPr="000436FD" w:rsidRDefault="0049412A" w:rsidP="008217D1">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sidRPr="000436FD">
              <w:rPr>
                <w:rFonts w:ascii="Arial Narrow" w:hAnsi="Arial Narrow"/>
                <w:sz w:val="20"/>
                <w:szCs w:val="20"/>
              </w:rPr>
              <w:t>20.000, 30.000</w:t>
            </w:r>
          </w:p>
        </w:tc>
        <w:tc>
          <w:tcPr>
            <w:tcW w:w="4390" w:type="dxa"/>
            <w:tcBorders>
              <w:top w:val="single" w:sz="2" w:space="0" w:color="auto"/>
              <w:bottom w:val="single" w:sz="2" w:space="0" w:color="auto"/>
            </w:tcBorders>
            <w:vAlign w:val="center"/>
          </w:tcPr>
          <w:p w:rsidR="0049412A" w:rsidRDefault="0049412A" w:rsidP="008217D1">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5</w:t>
            </w:r>
          </w:p>
        </w:tc>
      </w:tr>
      <w:tr w:rsidR="0049412A" w:rsidTr="002A78B6">
        <w:trPr>
          <w:trHeight w:val="198"/>
        </w:trPr>
        <w:tc>
          <w:tcPr>
            <w:tcW w:w="4389" w:type="dxa"/>
            <w:tcBorders>
              <w:top w:val="single" w:sz="2" w:space="0" w:color="auto"/>
              <w:bottom w:val="single" w:sz="4" w:space="0" w:color="auto"/>
            </w:tcBorders>
            <w:vAlign w:val="center"/>
          </w:tcPr>
          <w:p w:rsidR="0049412A" w:rsidRPr="000436FD" w:rsidRDefault="0049412A" w:rsidP="008217D1">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sidRPr="000436FD">
              <w:rPr>
                <w:rFonts w:ascii="Arial Narrow" w:hAnsi="Arial Narrow"/>
                <w:sz w:val="20"/>
                <w:szCs w:val="20"/>
              </w:rPr>
              <w:t>&gt;30.000</w:t>
            </w:r>
          </w:p>
        </w:tc>
        <w:tc>
          <w:tcPr>
            <w:tcW w:w="4390" w:type="dxa"/>
            <w:tcBorders>
              <w:top w:val="single" w:sz="2" w:space="0" w:color="auto"/>
              <w:bottom w:val="single" w:sz="4" w:space="0" w:color="auto"/>
            </w:tcBorders>
            <w:vAlign w:val="center"/>
          </w:tcPr>
          <w:p w:rsidR="0049412A" w:rsidRDefault="0049412A" w:rsidP="008217D1">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1</w:t>
            </w:r>
          </w:p>
        </w:tc>
      </w:tr>
      <w:tr w:rsidR="0049412A" w:rsidTr="002A78B6">
        <w:trPr>
          <w:trHeight w:val="255"/>
        </w:trPr>
        <w:tc>
          <w:tcPr>
            <w:tcW w:w="4389" w:type="dxa"/>
            <w:shd w:val="clear" w:color="auto" w:fill="8DB3E2" w:themeFill="text2" w:themeFillTint="66"/>
            <w:vAlign w:val="center"/>
          </w:tcPr>
          <w:p w:rsidR="0049412A" w:rsidRPr="000436FD" w:rsidRDefault="0049412A" w:rsidP="007A72D9">
            <w:pPr>
              <w:pStyle w:val="cuadroCabe"/>
            </w:pPr>
            <w:r w:rsidRPr="000436FD">
              <w:t>Total personas</w:t>
            </w:r>
          </w:p>
        </w:tc>
        <w:tc>
          <w:tcPr>
            <w:tcW w:w="4390" w:type="dxa"/>
            <w:shd w:val="clear" w:color="auto" w:fill="8DB3E2" w:themeFill="text2" w:themeFillTint="66"/>
            <w:vAlign w:val="center"/>
          </w:tcPr>
          <w:p w:rsidR="0049412A" w:rsidRDefault="0049412A" w:rsidP="007A72D9">
            <w:pPr>
              <w:pStyle w:val="cuadroCabe"/>
              <w:jc w:val="right"/>
              <w:rPr>
                <w:color w:val="000000"/>
                <w:lang w:val="es-ES" w:eastAsia="es-ES"/>
              </w:rPr>
            </w:pPr>
            <w:r>
              <w:rPr>
                <w:color w:val="000000"/>
                <w:lang w:val="es-ES" w:eastAsia="es-ES"/>
              </w:rPr>
              <w:t>2.298</w:t>
            </w:r>
          </w:p>
        </w:tc>
      </w:tr>
    </w:tbl>
    <w:p w:rsidR="0049412A" w:rsidRDefault="0049412A" w:rsidP="0049412A">
      <w:pPr>
        <w:spacing w:after="0"/>
        <w:ind w:firstLine="0"/>
        <w:jc w:val="left"/>
        <w:rPr>
          <w:spacing w:val="6"/>
          <w:sz w:val="26"/>
          <w:szCs w:val="26"/>
        </w:rPr>
      </w:pPr>
      <w:r>
        <w:rPr>
          <w:szCs w:val="26"/>
        </w:rPr>
        <w:br w:type="page"/>
      </w:r>
    </w:p>
    <w:p w:rsidR="0049412A" w:rsidRDefault="0049412A"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rPr>
          <w:szCs w:val="26"/>
        </w:rPr>
        <w:lastRenderedPageBreak/>
        <w:t>Contratos de bienes corrientes y servicios e inversiones relacionados con la gestión de la COVID-19.</w:t>
      </w:r>
    </w:p>
    <w:p w:rsidR="0049412A" w:rsidRDefault="0049412A" w:rsidP="0049412A">
      <w:pPr>
        <w:pStyle w:val="texto"/>
        <w:tabs>
          <w:tab w:val="clear" w:pos="2835"/>
          <w:tab w:val="clear" w:pos="3969"/>
          <w:tab w:val="clear" w:pos="5103"/>
          <w:tab w:val="clear" w:pos="6237"/>
          <w:tab w:val="clear" w:pos="7371"/>
        </w:tabs>
        <w:spacing w:after="240"/>
        <w:rPr>
          <w:szCs w:val="26"/>
        </w:rPr>
      </w:pPr>
      <w:r>
        <w:rPr>
          <w:szCs w:val="26"/>
        </w:rPr>
        <w:t>Solicitamos información a todos los departamentos de la ACFN para que nos remitieran la totalidad de contratos relacionados con la COVID-19, de los cu</w:t>
      </w:r>
      <w:r>
        <w:rPr>
          <w:szCs w:val="26"/>
        </w:rPr>
        <w:t>a</w:t>
      </w:r>
      <w:r>
        <w:rPr>
          <w:szCs w:val="26"/>
        </w:rPr>
        <w:t>les hemos analizado los siguientes gastos:</w:t>
      </w:r>
      <w:r w:rsidRPr="00BE3C93">
        <w:rPr>
          <w:szCs w:val="26"/>
        </w:rPr>
        <w:t xml:space="preserve"> </w:t>
      </w:r>
    </w:p>
    <w:tbl>
      <w:tblPr>
        <w:tblStyle w:val="Tablaconcuadrcula"/>
        <w:tblW w:w="8789" w:type="dxa"/>
        <w:tblBorders>
          <w:left w:val="none" w:sz="0" w:space="0" w:color="auto"/>
          <w:right w:val="none" w:sz="0" w:space="0" w:color="auto"/>
          <w:insideV w:val="none" w:sz="0" w:space="0" w:color="auto"/>
        </w:tblBorders>
        <w:tblLook w:val="04A0" w:firstRow="1" w:lastRow="0" w:firstColumn="1" w:lastColumn="0" w:noHBand="0" w:noVBand="1"/>
      </w:tblPr>
      <w:tblGrid>
        <w:gridCol w:w="3119"/>
        <w:gridCol w:w="2779"/>
        <w:gridCol w:w="2891"/>
      </w:tblGrid>
      <w:tr w:rsidR="0049412A" w:rsidRPr="00BE3C93" w:rsidTr="002A78B6">
        <w:trPr>
          <w:trHeight w:val="255"/>
        </w:trPr>
        <w:tc>
          <w:tcPr>
            <w:tcW w:w="3119" w:type="dxa"/>
            <w:tcBorders>
              <w:bottom w:val="single" w:sz="4" w:space="0" w:color="auto"/>
            </w:tcBorders>
            <w:shd w:val="clear" w:color="auto" w:fill="8DB3E2" w:themeFill="text2" w:themeFillTint="66"/>
          </w:tcPr>
          <w:p w:rsidR="0049412A" w:rsidRPr="00BE3C93" w:rsidRDefault="0049412A" w:rsidP="007A72D9">
            <w:pPr>
              <w:pStyle w:val="cuadroCabe"/>
              <w:jc w:val="right"/>
            </w:pPr>
          </w:p>
        </w:tc>
        <w:tc>
          <w:tcPr>
            <w:tcW w:w="2779" w:type="dxa"/>
            <w:shd w:val="clear" w:color="auto" w:fill="8DB3E2" w:themeFill="text2" w:themeFillTint="66"/>
            <w:vAlign w:val="center"/>
          </w:tcPr>
          <w:p w:rsidR="0049412A" w:rsidRPr="00BE3C93" w:rsidRDefault="0049412A" w:rsidP="005F0440">
            <w:pPr>
              <w:pStyle w:val="cuadroCabe"/>
              <w:jc w:val="left"/>
            </w:pPr>
            <w:r w:rsidRPr="00BE3C93">
              <w:t>Conceptos</w:t>
            </w:r>
          </w:p>
        </w:tc>
        <w:tc>
          <w:tcPr>
            <w:tcW w:w="2891" w:type="dxa"/>
            <w:shd w:val="clear" w:color="auto" w:fill="8DB3E2" w:themeFill="text2" w:themeFillTint="66"/>
            <w:vAlign w:val="center"/>
          </w:tcPr>
          <w:p w:rsidR="0049412A" w:rsidRPr="00BE3C93" w:rsidRDefault="0049412A" w:rsidP="007A72D9">
            <w:pPr>
              <w:pStyle w:val="cuadroCabe"/>
              <w:jc w:val="right"/>
            </w:pPr>
            <w:r w:rsidRPr="00BE3C93">
              <w:t xml:space="preserve">Importe ejecutado </w:t>
            </w:r>
            <w:r>
              <w:t>a</w:t>
            </w:r>
            <w:r w:rsidRPr="00BE3C93">
              <w:t xml:space="preserve"> 31/12/2020</w:t>
            </w:r>
          </w:p>
        </w:tc>
      </w:tr>
      <w:tr w:rsidR="0049412A" w:rsidTr="002A78B6">
        <w:tc>
          <w:tcPr>
            <w:tcW w:w="3119" w:type="dxa"/>
            <w:vMerge w:val="restart"/>
            <w:vAlign w:val="center"/>
          </w:tcPr>
          <w:p w:rsidR="0049412A" w:rsidRPr="00BE3C93" w:rsidRDefault="0049412A" w:rsidP="008217D1">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Pr>
                <w:rFonts w:ascii="Arial Narrow" w:hAnsi="Arial Narrow"/>
                <w:sz w:val="20"/>
                <w:szCs w:val="20"/>
              </w:rPr>
              <w:t>Cap. 2 Bienes corrientes y servicios</w:t>
            </w:r>
          </w:p>
        </w:tc>
        <w:tc>
          <w:tcPr>
            <w:tcW w:w="2779" w:type="dxa"/>
            <w:tcBorders>
              <w:bottom w:val="single" w:sz="2" w:space="0" w:color="auto"/>
            </w:tcBorders>
            <w:vAlign w:val="center"/>
          </w:tcPr>
          <w:p w:rsidR="0049412A" w:rsidRPr="00BE3C93" w:rsidRDefault="0049412A" w:rsidP="005F0440">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Pr>
                <w:rFonts w:ascii="Arial Narrow" w:hAnsi="Arial Narrow"/>
                <w:sz w:val="20"/>
                <w:szCs w:val="20"/>
              </w:rPr>
              <w:t>Mascarillas quirúrgicas</w:t>
            </w:r>
          </w:p>
        </w:tc>
        <w:tc>
          <w:tcPr>
            <w:tcW w:w="2891" w:type="dxa"/>
            <w:tcBorders>
              <w:bottom w:val="single" w:sz="2" w:space="0" w:color="auto"/>
            </w:tcBorders>
            <w:vAlign w:val="center"/>
          </w:tcPr>
          <w:p w:rsidR="0049412A" w:rsidRPr="00BE3C93" w:rsidRDefault="0049412A" w:rsidP="008217D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2.220.000</w:t>
            </w:r>
          </w:p>
        </w:tc>
      </w:tr>
      <w:tr w:rsidR="0049412A" w:rsidTr="002A78B6">
        <w:tc>
          <w:tcPr>
            <w:tcW w:w="3119" w:type="dxa"/>
            <w:vMerge/>
          </w:tcPr>
          <w:p w:rsidR="0049412A" w:rsidRDefault="0049412A" w:rsidP="008217D1">
            <w:pPr>
              <w:pStyle w:val="texto"/>
              <w:tabs>
                <w:tab w:val="clear" w:pos="2835"/>
                <w:tab w:val="clear" w:pos="3969"/>
                <w:tab w:val="clear" w:pos="5103"/>
                <w:tab w:val="clear" w:pos="6237"/>
                <w:tab w:val="clear" w:pos="7371"/>
              </w:tabs>
              <w:spacing w:after="0"/>
              <w:ind w:firstLine="0"/>
              <w:rPr>
                <w:rFonts w:ascii="Arial Narrow" w:hAnsi="Arial Narrow"/>
                <w:sz w:val="20"/>
                <w:szCs w:val="20"/>
              </w:rPr>
            </w:pPr>
          </w:p>
        </w:tc>
        <w:tc>
          <w:tcPr>
            <w:tcW w:w="2779" w:type="dxa"/>
            <w:tcBorders>
              <w:top w:val="single" w:sz="2" w:space="0" w:color="auto"/>
              <w:bottom w:val="single" w:sz="2" w:space="0" w:color="auto"/>
            </w:tcBorders>
            <w:vAlign w:val="center"/>
          </w:tcPr>
          <w:p w:rsidR="0049412A" w:rsidRPr="00BE3C93" w:rsidRDefault="0049412A" w:rsidP="005F0440">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Pr>
                <w:rFonts w:ascii="Arial Narrow" w:hAnsi="Arial Narrow"/>
                <w:sz w:val="20"/>
                <w:szCs w:val="20"/>
              </w:rPr>
              <w:t>Mascarillas FPP2</w:t>
            </w:r>
          </w:p>
        </w:tc>
        <w:tc>
          <w:tcPr>
            <w:tcW w:w="2891" w:type="dxa"/>
            <w:tcBorders>
              <w:top w:val="single" w:sz="2" w:space="0" w:color="auto"/>
              <w:bottom w:val="single" w:sz="2" w:space="0" w:color="auto"/>
            </w:tcBorders>
            <w:vAlign w:val="center"/>
          </w:tcPr>
          <w:p w:rsidR="0049412A" w:rsidRPr="00BE3C93" w:rsidRDefault="0049412A" w:rsidP="008217D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1.232.800</w:t>
            </w:r>
          </w:p>
        </w:tc>
      </w:tr>
      <w:tr w:rsidR="0049412A" w:rsidTr="002A78B6">
        <w:tc>
          <w:tcPr>
            <w:tcW w:w="3119" w:type="dxa"/>
            <w:vMerge/>
          </w:tcPr>
          <w:p w:rsidR="0049412A" w:rsidRDefault="0049412A" w:rsidP="008217D1">
            <w:pPr>
              <w:pStyle w:val="texto"/>
              <w:tabs>
                <w:tab w:val="clear" w:pos="2835"/>
                <w:tab w:val="clear" w:pos="3969"/>
                <w:tab w:val="clear" w:pos="5103"/>
                <w:tab w:val="clear" w:pos="6237"/>
                <w:tab w:val="clear" w:pos="7371"/>
              </w:tabs>
              <w:spacing w:after="0"/>
              <w:ind w:firstLine="0"/>
              <w:rPr>
                <w:rFonts w:ascii="Arial Narrow" w:hAnsi="Arial Narrow"/>
                <w:sz w:val="20"/>
                <w:szCs w:val="20"/>
              </w:rPr>
            </w:pPr>
          </w:p>
        </w:tc>
        <w:tc>
          <w:tcPr>
            <w:tcW w:w="2779" w:type="dxa"/>
            <w:tcBorders>
              <w:top w:val="single" w:sz="2" w:space="0" w:color="auto"/>
              <w:bottom w:val="single" w:sz="2" w:space="0" w:color="auto"/>
            </w:tcBorders>
            <w:vAlign w:val="center"/>
          </w:tcPr>
          <w:p w:rsidR="0049412A" w:rsidRPr="00BE3C93" w:rsidRDefault="0049412A" w:rsidP="005F0440">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Pr>
                <w:rFonts w:ascii="Arial Narrow" w:hAnsi="Arial Narrow"/>
                <w:sz w:val="20"/>
                <w:szCs w:val="20"/>
              </w:rPr>
              <w:t>Conciertos sanitarios</w:t>
            </w:r>
          </w:p>
        </w:tc>
        <w:tc>
          <w:tcPr>
            <w:tcW w:w="2891" w:type="dxa"/>
            <w:tcBorders>
              <w:top w:val="single" w:sz="2" w:space="0" w:color="auto"/>
              <w:bottom w:val="single" w:sz="2" w:space="0" w:color="auto"/>
            </w:tcBorders>
            <w:vAlign w:val="center"/>
          </w:tcPr>
          <w:p w:rsidR="0049412A" w:rsidRPr="00BE3C93" w:rsidRDefault="0049412A" w:rsidP="008217D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8.585.045</w:t>
            </w:r>
          </w:p>
        </w:tc>
      </w:tr>
      <w:tr w:rsidR="0049412A" w:rsidTr="002A78B6">
        <w:tc>
          <w:tcPr>
            <w:tcW w:w="3119" w:type="dxa"/>
            <w:vMerge/>
            <w:tcBorders>
              <w:bottom w:val="single" w:sz="4" w:space="0" w:color="auto"/>
            </w:tcBorders>
          </w:tcPr>
          <w:p w:rsidR="0049412A" w:rsidRDefault="0049412A" w:rsidP="008217D1">
            <w:pPr>
              <w:pStyle w:val="texto"/>
              <w:tabs>
                <w:tab w:val="clear" w:pos="2835"/>
                <w:tab w:val="clear" w:pos="3969"/>
                <w:tab w:val="clear" w:pos="5103"/>
                <w:tab w:val="clear" w:pos="6237"/>
                <w:tab w:val="clear" w:pos="7371"/>
              </w:tabs>
              <w:spacing w:after="0"/>
              <w:ind w:firstLine="0"/>
              <w:rPr>
                <w:rFonts w:ascii="Arial Narrow" w:hAnsi="Arial Narrow"/>
                <w:sz w:val="20"/>
                <w:szCs w:val="20"/>
              </w:rPr>
            </w:pPr>
          </w:p>
        </w:tc>
        <w:tc>
          <w:tcPr>
            <w:tcW w:w="2779" w:type="dxa"/>
            <w:tcBorders>
              <w:top w:val="single" w:sz="2" w:space="0" w:color="auto"/>
              <w:bottom w:val="single" w:sz="4" w:space="0" w:color="auto"/>
            </w:tcBorders>
            <w:vAlign w:val="center"/>
          </w:tcPr>
          <w:p w:rsidR="0049412A" w:rsidRPr="00BE3C93" w:rsidRDefault="0049412A" w:rsidP="005F0440">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Pr>
                <w:rFonts w:ascii="Arial Narrow" w:hAnsi="Arial Narrow"/>
                <w:sz w:val="20"/>
                <w:szCs w:val="20"/>
              </w:rPr>
              <w:t xml:space="preserve">Gestión centros </w:t>
            </w:r>
            <w:proofErr w:type="spellStart"/>
            <w:r>
              <w:rPr>
                <w:rFonts w:ascii="Arial Narrow" w:hAnsi="Arial Narrow"/>
                <w:sz w:val="20"/>
                <w:szCs w:val="20"/>
              </w:rPr>
              <w:t>sociosanitarios</w:t>
            </w:r>
            <w:proofErr w:type="spellEnd"/>
          </w:p>
        </w:tc>
        <w:tc>
          <w:tcPr>
            <w:tcW w:w="2891" w:type="dxa"/>
            <w:tcBorders>
              <w:top w:val="single" w:sz="2" w:space="0" w:color="auto"/>
              <w:bottom w:val="single" w:sz="4" w:space="0" w:color="auto"/>
            </w:tcBorders>
            <w:vAlign w:val="center"/>
          </w:tcPr>
          <w:p w:rsidR="0049412A" w:rsidRPr="00BE3C93" w:rsidRDefault="0049412A" w:rsidP="008217D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4.508.315</w:t>
            </w:r>
          </w:p>
        </w:tc>
      </w:tr>
      <w:tr w:rsidR="0049412A" w:rsidTr="002A78B6">
        <w:tc>
          <w:tcPr>
            <w:tcW w:w="3119" w:type="dxa"/>
            <w:tcBorders>
              <w:top w:val="single" w:sz="4" w:space="0" w:color="auto"/>
            </w:tcBorders>
          </w:tcPr>
          <w:p w:rsidR="0049412A" w:rsidRDefault="0049412A" w:rsidP="008217D1">
            <w:pPr>
              <w:pStyle w:val="texto"/>
              <w:tabs>
                <w:tab w:val="clear" w:pos="2835"/>
                <w:tab w:val="clear" w:pos="3969"/>
                <w:tab w:val="clear" w:pos="5103"/>
                <w:tab w:val="clear" w:pos="6237"/>
                <w:tab w:val="clear" w:pos="7371"/>
              </w:tabs>
              <w:spacing w:after="0"/>
              <w:ind w:firstLine="0"/>
              <w:rPr>
                <w:rFonts w:ascii="Arial Narrow" w:hAnsi="Arial Narrow"/>
                <w:sz w:val="20"/>
                <w:szCs w:val="20"/>
              </w:rPr>
            </w:pPr>
            <w:r>
              <w:rPr>
                <w:rFonts w:ascii="Arial Narrow" w:hAnsi="Arial Narrow"/>
                <w:sz w:val="20"/>
                <w:szCs w:val="20"/>
              </w:rPr>
              <w:t>Cap. 6 Inversiones</w:t>
            </w:r>
          </w:p>
        </w:tc>
        <w:tc>
          <w:tcPr>
            <w:tcW w:w="2779" w:type="dxa"/>
            <w:tcBorders>
              <w:top w:val="single" w:sz="4" w:space="0" w:color="auto"/>
            </w:tcBorders>
            <w:vAlign w:val="center"/>
          </w:tcPr>
          <w:p w:rsidR="0049412A" w:rsidRPr="00BE3C93" w:rsidRDefault="0049412A" w:rsidP="005F0440">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Pr>
                <w:rFonts w:ascii="Arial Narrow" w:hAnsi="Arial Narrow"/>
                <w:sz w:val="20"/>
                <w:szCs w:val="20"/>
              </w:rPr>
              <w:t xml:space="preserve">Adquisición </w:t>
            </w:r>
            <w:proofErr w:type="spellStart"/>
            <w:r>
              <w:rPr>
                <w:rFonts w:ascii="Arial Narrow" w:hAnsi="Arial Narrow"/>
                <w:sz w:val="20"/>
                <w:szCs w:val="20"/>
              </w:rPr>
              <w:t>chromebooks</w:t>
            </w:r>
            <w:proofErr w:type="spellEnd"/>
          </w:p>
        </w:tc>
        <w:tc>
          <w:tcPr>
            <w:tcW w:w="2891" w:type="dxa"/>
            <w:tcBorders>
              <w:top w:val="single" w:sz="4" w:space="0" w:color="auto"/>
            </w:tcBorders>
            <w:vAlign w:val="center"/>
          </w:tcPr>
          <w:p w:rsidR="0049412A" w:rsidRPr="00BE3C93" w:rsidRDefault="0049412A" w:rsidP="008217D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5.039.827</w:t>
            </w:r>
          </w:p>
        </w:tc>
      </w:tr>
    </w:tbl>
    <w:p w:rsidR="0049412A" w:rsidRPr="00CD47D5" w:rsidRDefault="0049412A" w:rsidP="007B47F2">
      <w:pPr>
        <w:pStyle w:val="texto"/>
        <w:numPr>
          <w:ilvl w:val="0"/>
          <w:numId w:val="10"/>
        </w:numPr>
        <w:tabs>
          <w:tab w:val="clear" w:pos="2835"/>
          <w:tab w:val="clear" w:pos="3969"/>
          <w:tab w:val="clear" w:pos="5103"/>
          <w:tab w:val="clear" w:pos="6237"/>
          <w:tab w:val="clear" w:pos="7371"/>
          <w:tab w:val="left" w:pos="709"/>
        </w:tabs>
        <w:spacing w:before="240" w:after="240"/>
        <w:ind w:left="0" w:firstLine="284"/>
        <w:rPr>
          <w:szCs w:val="26"/>
        </w:rPr>
      </w:pPr>
      <w:r>
        <w:rPr>
          <w:szCs w:val="26"/>
        </w:rPr>
        <w:t>L</w:t>
      </w:r>
      <w:r w:rsidRPr="00CD47D5">
        <w:rPr>
          <w:szCs w:val="26"/>
        </w:rPr>
        <w:t xml:space="preserve">os procedimientos de concesión </w:t>
      </w:r>
      <w:r>
        <w:rPr>
          <w:szCs w:val="26"/>
        </w:rPr>
        <w:t>utilizados</w:t>
      </w:r>
      <w:r w:rsidRPr="00CD47D5">
        <w:rPr>
          <w:szCs w:val="26"/>
        </w:rPr>
        <w:t xml:space="preserve"> en todas las transferencias corrientes y de capital relacionadas con la gestión de la COVID-19. Asimismo, hemos llevado a </w:t>
      </w:r>
      <w:r w:rsidRPr="00A04249">
        <w:rPr>
          <w:szCs w:val="26"/>
        </w:rPr>
        <w:t xml:space="preserve">cabo un análisis más exhaustivo </w:t>
      </w:r>
      <w:r w:rsidRPr="00CD47D5">
        <w:rPr>
          <w:szCs w:val="26"/>
        </w:rPr>
        <w:t>sobre las siguientes transf</w:t>
      </w:r>
      <w:r w:rsidRPr="00CD47D5">
        <w:rPr>
          <w:szCs w:val="26"/>
        </w:rPr>
        <w:t>e</w:t>
      </w:r>
      <w:r w:rsidRPr="00CD47D5">
        <w:rPr>
          <w:szCs w:val="26"/>
        </w:rPr>
        <w:t>rencias:</w:t>
      </w:r>
    </w:p>
    <w:tbl>
      <w:tblPr>
        <w:tblStyle w:val="Tablaconcuadrcula"/>
        <w:tblW w:w="8789"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4819"/>
        <w:gridCol w:w="1985"/>
      </w:tblGrid>
      <w:tr w:rsidR="0049412A" w:rsidRPr="00BE3C93" w:rsidTr="005F0440">
        <w:trPr>
          <w:trHeight w:val="342"/>
        </w:trPr>
        <w:tc>
          <w:tcPr>
            <w:tcW w:w="1985" w:type="dxa"/>
            <w:shd w:val="clear" w:color="auto" w:fill="8DB3E2" w:themeFill="text2" w:themeFillTint="66"/>
          </w:tcPr>
          <w:p w:rsidR="0049412A" w:rsidRPr="00BE3C93" w:rsidRDefault="0049412A" w:rsidP="007A72D9">
            <w:pPr>
              <w:pStyle w:val="cuadroCabe"/>
              <w:jc w:val="right"/>
            </w:pPr>
          </w:p>
        </w:tc>
        <w:tc>
          <w:tcPr>
            <w:tcW w:w="4820" w:type="dxa"/>
            <w:shd w:val="clear" w:color="auto" w:fill="8DB3E2" w:themeFill="text2" w:themeFillTint="66"/>
            <w:vAlign w:val="center"/>
          </w:tcPr>
          <w:p w:rsidR="0049412A" w:rsidRPr="00BE3C93" w:rsidRDefault="0049412A" w:rsidP="005F0440">
            <w:pPr>
              <w:pStyle w:val="cuadroCabe"/>
              <w:ind w:left="36" w:hanging="36"/>
              <w:jc w:val="left"/>
            </w:pPr>
            <w:r w:rsidRPr="00BE3C93">
              <w:t>Conceptos</w:t>
            </w:r>
          </w:p>
        </w:tc>
        <w:tc>
          <w:tcPr>
            <w:tcW w:w="1985" w:type="dxa"/>
            <w:shd w:val="clear" w:color="auto" w:fill="8DB3E2" w:themeFill="text2" w:themeFillTint="66"/>
            <w:vAlign w:val="center"/>
          </w:tcPr>
          <w:p w:rsidR="0049412A" w:rsidRPr="00BE3C93" w:rsidRDefault="0049412A" w:rsidP="007A72D9">
            <w:pPr>
              <w:pStyle w:val="cuadroCabe"/>
              <w:jc w:val="right"/>
            </w:pPr>
            <w:r w:rsidRPr="00BE3C93">
              <w:t xml:space="preserve">Importe ejecutado </w:t>
            </w:r>
            <w:r>
              <w:t xml:space="preserve">a </w:t>
            </w:r>
            <w:r w:rsidRPr="00BE3C93">
              <w:t>31/12/2020</w:t>
            </w:r>
          </w:p>
        </w:tc>
      </w:tr>
      <w:tr w:rsidR="0049412A" w:rsidTr="005F0440">
        <w:tc>
          <w:tcPr>
            <w:tcW w:w="1985" w:type="dxa"/>
            <w:vMerge w:val="restart"/>
            <w:vAlign w:val="center"/>
          </w:tcPr>
          <w:p w:rsidR="0049412A" w:rsidRPr="00BE3C93" w:rsidRDefault="0049412A" w:rsidP="002A78B6">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Pr>
                <w:rFonts w:ascii="Arial Narrow" w:hAnsi="Arial Narrow"/>
                <w:sz w:val="20"/>
                <w:szCs w:val="20"/>
              </w:rPr>
              <w:t>Cap. 4 Transferencias corrientes</w:t>
            </w:r>
          </w:p>
        </w:tc>
        <w:tc>
          <w:tcPr>
            <w:tcW w:w="4820" w:type="dxa"/>
            <w:tcBorders>
              <w:bottom w:val="single" w:sz="2" w:space="0" w:color="auto"/>
            </w:tcBorders>
            <w:vAlign w:val="center"/>
          </w:tcPr>
          <w:p w:rsidR="0049412A" w:rsidRPr="00BE3C93" w:rsidRDefault="0049412A" w:rsidP="005F0440">
            <w:pPr>
              <w:pStyle w:val="texto"/>
              <w:tabs>
                <w:tab w:val="clear" w:pos="2835"/>
                <w:tab w:val="clear" w:pos="3969"/>
                <w:tab w:val="clear" w:pos="5103"/>
                <w:tab w:val="clear" w:pos="6237"/>
                <w:tab w:val="clear" w:pos="7371"/>
              </w:tabs>
              <w:spacing w:after="0"/>
              <w:ind w:left="36" w:hanging="36"/>
              <w:jc w:val="left"/>
              <w:rPr>
                <w:rFonts w:ascii="Arial Narrow" w:hAnsi="Arial Narrow"/>
                <w:sz w:val="20"/>
                <w:szCs w:val="20"/>
              </w:rPr>
            </w:pPr>
            <w:r>
              <w:rPr>
                <w:rFonts w:ascii="Arial Narrow" w:hAnsi="Arial Narrow"/>
                <w:sz w:val="20"/>
                <w:szCs w:val="20"/>
              </w:rPr>
              <w:t>Ayudas a autónomos</w:t>
            </w:r>
          </w:p>
        </w:tc>
        <w:tc>
          <w:tcPr>
            <w:tcW w:w="1985" w:type="dxa"/>
            <w:tcBorders>
              <w:bottom w:val="single" w:sz="2" w:space="0" w:color="auto"/>
            </w:tcBorders>
            <w:vAlign w:val="center"/>
          </w:tcPr>
          <w:p w:rsidR="0049412A" w:rsidRPr="0047491A" w:rsidRDefault="0049412A" w:rsidP="008217D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47491A">
              <w:rPr>
                <w:rFonts w:ascii="Arial Narrow" w:hAnsi="Arial Narrow"/>
                <w:sz w:val="20"/>
                <w:szCs w:val="20"/>
              </w:rPr>
              <w:t>24.029.700</w:t>
            </w:r>
          </w:p>
        </w:tc>
      </w:tr>
      <w:tr w:rsidR="0049412A" w:rsidTr="005F0440">
        <w:tc>
          <w:tcPr>
            <w:tcW w:w="1985" w:type="dxa"/>
            <w:vMerge/>
          </w:tcPr>
          <w:p w:rsidR="0049412A" w:rsidRDefault="0049412A" w:rsidP="008217D1">
            <w:pPr>
              <w:pStyle w:val="texto"/>
              <w:tabs>
                <w:tab w:val="clear" w:pos="2835"/>
                <w:tab w:val="clear" w:pos="3969"/>
                <w:tab w:val="clear" w:pos="5103"/>
                <w:tab w:val="clear" w:pos="6237"/>
                <w:tab w:val="clear" w:pos="7371"/>
              </w:tabs>
              <w:spacing w:after="0"/>
              <w:ind w:firstLine="0"/>
              <w:rPr>
                <w:rFonts w:ascii="Arial Narrow" w:hAnsi="Arial Narrow"/>
                <w:sz w:val="20"/>
                <w:szCs w:val="20"/>
              </w:rPr>
            </w:pPr>
          </w:p>
        </w:tc>
        <w:tc>
          <w:tcPr>
            <w:tcW w:w="4820" w:type="dxa"/>
            <w:tcBorders>
              <w:top w:val="single" w:sz="2" w:space="0" w:color="auto"/>
              <w:bottom w:val="single" w:sz="2" w:space="0" w:color="auto"/>
            </w:tcBorders>
            <w:vAlign w:val="center"/>
          </w:tcPr>
          <w:p w:rsidR="0049412A" w:rsidRPr="00BE3C93" w:rsidRDefault="0049412A" w:rsidP="005F0440">
            <w:pPr>
              <w:pStyle w:val="texto"/>
              <w:tabs>
                <w:tab w:val="clear" w:pos="2835"/>
                <w:tab w:val="clear" w:pos="3969"/>
                <w:tab w:val="clear" w:pos="5103"/>
                <w:tab w:val="clear" w:pos="6237"/>
                <w:tab w:val="clear" w:pos="7371"/>
              </w:tabs>
              <w:spacing w:after="0"/>
              <w:ind w:left="36" w:hanging="36"/>
              <w:jc w:val="left"/>
              <w:rPr>
                <w:rFonts w:ascii="Arial Narrow" w:hAnsi="Arial Narrow"/>
                <w:sz w:val="20"/>
                <w:szCs w:val="20"/>
              </w:rPr>
            </w:pPr>
            <w:r>
              <w:rPr>
                <w:rFonts w:ascii="Arial Narrow" w:hAnsi="Arial Narrow"/>
                <w:sz w:val="20"/>
                <w:szCs w:val="20"/>
              </w:rPr>
              <w:t>Ayudas contratos concesión servicios transporte regular viajeros interurbano uso general</w:t>
            </w:r>
          </w:p>
        </w:tc>
        <w:tc>
          <w:tcPr>
            <w:tcW w:w="1985" w:type="dxa"/>
            <w:tcBorders>
              <w:top w:val="single" w:sz="2" w:space="0" w:color="auto"/>
              <w:bottom w:val="single" w:sz="2" w:space="0" w:color="auto"/>
            </w:tcBorders>
            <w:vAlign w:val="center"/>
          </w:tcPr>
          <w:p w:rsidR="0049412A" w:rsidRPr="00BE3C93" w:rsidRDefault="0049412A" w:rsidP="008217D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1.363.969</w:t>
            </w:r>
          </w:p>
        </w:tc>
      </w:tr>
      <w:tr w:rsidR="0049412A" w:rsidTr="005F0440">
        <w:tc>
          <w:tcPr>
            <w:tcW w:w="1985" w:type="dxa"/>
            <w:vMerge/>
          </w:tcPr>
          <w:p w:rsidR="0049412A" w:rsidRDefault="0049412A" w:rsidP="008217D1">
            <w:pPr>
              <w:pStyle w:val="texto"/>
              <w:tabs>
                <w:tab w:val="clear" w:pos="2835"/>
                <w:tab w:val="clear" w:pos="3969"/>
                <w:tab w:val="clear" w:pos="5103"/>
                <w:tab w:val="clear" w:pos="6237"/>
                <w:tab w:val="clear" w:pos="7371"/>
              </w:tabs>
              <w:spacing w:after="0"/>
              <w:ind w:firstLine="0"/>
              <w:rPr>
                <w:rFonts w:ascii="Arial Narrow" w:hAnsi="Arial Narrow"/>
                <w:sz w:val="20"/>
                <w:szCs w:val="20"/>
              </w:rPr>
            </w:pPr>
          </w:p>
        </w:tc>
        <w:tc>
          <w:tcPr>
            <w:tcW w:w="4820" w:type="dxa"/>
            <w:tcBorders>
              <w:top w:val="single" w:sz="2" w:space="0" w:color="auto"/>
              <w:bottom w:val="single" w:sz="2" w:space="0" w:color="auto"/>
            </w:tcBorders>
            <w:vAlign w:val="center"/>
          </w:tcPr>
          <w:p w:rsidR="0049412A" w:rsidRDefault="0049412A" w:rsidP="005F0440">
            <w:pPr>
              <w:pStyle w:val="texto"/>
              <w:tabs>
                <w:tab w:val="clear" w:pos="2835"/>
                <w:tab w:val="clear" w:pos="3969"/>
                <w:tab w:val="clear" w:pos="5103"/>
                <w:tab w:val="clear" w:pos="6237"/>
                <w:tab w:val="clear" w:pos="7371"/>
              </w:tabs>
              <w:spacing w:after="0"/>
              <w:ind w:left="36" w:hanging="36"/>
              <w:jc w:val="left"/>
              <w:rPr>
                <w:rFonts w:ascii="Arial Narrow" w:hAnsi="Arial Narrow"/>
                <w:sz w:val="20"/>
                <w:szCs w:val="20"/>
              </w:rPr>
            </w:pPr>
            <w:r w:rsidRPr="00F8148A">
              <w:rPr>
                <w:rFonts w:ascii="Arial Narrow" w:hAnsi="Arial Narrow" w:cs="Calibri"/>
                <w:color w:val="000000"/>
                <w:sz w:val="19"/>
                <w:szCs w:val="19"/>
              </w:rPr>
              <w:t>Transf</w:t>
            </w:r>
            <w:r>
              <w:rPr>
                <w:rFonts w:ascii="Arial Narrow" w:hAnsi="Arial Narrow" w:cs="Calibri"/>
                <w:color w:val="000000"/>
                <w:sz w:val="19"/>
                <w:szCs w:val="19"/>
              </w:rPr>
              <w:t>erencias corrientes</w:t>
            </w:r>
            <w:r w:rsidRPr="00F8148A">
              <w:rPr>
                <w:rFonts w:ascii="Arial Narrow" w:hAnsi="Arial Narrow" w:cs="Calibri"/>
                <w:color w:val="000000"/>
                <w:sz w:val="19"/>
                <w:szCs w:val="19"/>
              </w:rPr>
              <w:t xml:space="preserve"> centros enseñanza no universitaria</w:t>
            </w:r>
          </w:p>
        </w:tc>
        <w:tc>
          <w:tcPr>
            <w:tcW w:w="1985" w:type="dxa"/>
            <w:tcBorders>
              <w:top w:val="single" w:sz="2" w:space="0" w:color="auto"/>
              <w:bottom w:val="single" w:sz="2" w:space="0" w:color="auto"/>
            </w:tcBorders>
            <w:vAlign w:val="center"/>
          </w:tcPr>
          <w:p w:rsidR="0049412A" w:rsidRDefault="0049412A" w:rsidP="008217D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2.884.342</w:t>
            </w:r>
          </w:p>
        </w:tc>
      </w:tr>
      <w:tr w:rsidR="0049412A" w:rsidTr="005F0440">
        <w:tc>
          <w:tcPr>
            <w:tcW w:w="1985" w:type="dxa"/>
            <w:vMerge/>
          </w:tcPr>
          <w:p w:rsidR="0049412A" w:rsidRDefault="0049412A" w:rsidP="008217D1">
            <w:pPr>
              <w:pStyle w:val="texto"/>
              <w:tabs>
                <w:tab w:val="clear" w:pos="2835"/>
                <w:tab w:val="clear" w:pos="3969"/>
                <w:tab w:val="clear" w:pos="5103"/>
                <w:tab w:val="clear" w:pos="6237"/>
                <w:tab w:val="clear" w:pos="7371"/>
              </w:tabs>
              <w:spacing w:after="0"/>
              <w:ind w:firstLine="0"/>
              <w:rPr>
                <w:rFonts w:ascii="Arial Narrow" w:hAnsi="Arial Narrow"/>
                <w:sz w:val="20"/>
                <w:szCs w:val="20"/>
              </w:rPr>
            </w:pPr>
          </w:p>
        </w:tc>
        <w:tc>
          <w:tcPr>
            <w:tcW w:w="4820" w:type="dxa"/>
            <w:tcBorders>
              <w:top w:val="single" w:sz="2" w:space="0" w:color="auto"/>
              <w:bottom w:val="single" w:sz="2" w:space="0" w:color="auto"/>
            </w:tcBorders>
            <w:vAlign w:val="center"/>
          </w:tcPr>
          <w:p w:rsidR="0049412A" w:rsidRPr="00F8148A" w:rsidRDefault="0049412A" w:rsidP="005F0440">
            <w:pPr>
              <w:pStyle w:val="texto"/>
              <w:tabs>
                <w:tab w:val="clear" w:pos="2835"/>
                <w:tab w:val="clear" w:pos="3969"/>
                <w:tab w:val="clear" w:pos="5103"/>
                <w:tab w:val="clear" w:pos="6237"/>
                <w:tab w:val="clear" w:pos="7371"/>
              </w:tabs>
              <w:spacing w:after="0"/>
              <w:ind w:left="36" w:hanging="36"/>
              <w:jc w:val="left"/>
              <w:rPr>
                <w:rFonts w:ascii="Arial Narrow" w:hAnsi="Arial Narrow" w:cs="Calibri"/>
                <w:color w:val="000000"/>
                <w:sz w:val="19"/>
                <w:szCs w:val="19"/>
              </w:rPr>
            </w:pPr>
            <w:r>
              <w:rPr>
                <w:rFonts w:ascii="Arial Narrow" w:hAnsi="Arial Narrow" w:cs="Calibri"/>
                <w:color w:val="000000"/>
                <w:sz w:val="19"/>
                <w:szCs w:val="19"/>
              </w:rPr>
              <w:t>Subvenciones para arrendatarios de viviendas</w:t>
            </w:r>
          </w:p>
        </w:tc>
        <w:tc>
          <w:tcPr>
            <w:tcW w:w="1985" w:type="dxa"/>
            <w:tcBorders>
              <w:top w:val="single" w:sz="2" w:space="0" w:color="auto"/>
              <w:bottom w:val="single" w:sz="2" w:space="0" w:color="auto"/>
            </w:tcBorders>
            <w:vAlign w:val="center"/>
          </w:tcPr>
          <w:p w:rsidR="0049412A" w:rsidRDefault="0049412A" w:rsidP="008217D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747.510</w:t>
            </w:r>
          </w:p>
        </w:tc>
      </w:tr>
      <w:tr w:rsidR="0049412A" w:rsidTr="005F0440">
        <w:tc>
          <w:tcPr>
            <w:tcW w:w="1985" w:type="dxa"/>
            <w:vMerge/>
          </w:tcPr>
          <w:p w:rsidR="0049412A" w:rsidRDefault="0049412A" w:rsidP="008217D1">
            <w:pPr>
              <w:pStyle w:val="texto"/>
              <w:tabs>
                <w:tab w:val="clear" w:pos="2835"/>
                <w:tab w:val="clear" w:pos="3969"/>
                <w:tab w:val="clear" w:pos="5103"/>
                <w:tab w:val="clear" w:pos="6237"/>
                <w:tab w:val="clear" w:pos="7371"/>
              </w:tabs>
              <w:spacing w:after="0"/>
              <w:ind w:firstLine="0"/>
              <w:rPr>
                <w:rFonts w:ascii="Arial Narrow" w:hAnsi="Arial Narrow"/>
                <w:sz w:val="20"/>
                <w:szCs w:val="20"/>
              </w:rPr>
            </w:pPr>
          </w:p>
        </w:tc>
        <w:tc>
          <w:tcPr>
            <w:tcW w:w="4820" w:type="dxa"/>
            <w:tcBorders>
              <w:top w:val="single" w:sz="2" w:space="0" w:color="auto"/>
              <w:bottom w:val="single" w:sz="2" w:space="0" w:color="auto"/>
            </w:tcBorders>
            <w:vAlign w:val="center"/>
          </w:tcPr>
          <w:p w:rsidR="0049412A" w:rsidRDefault="0049412A" w:rsidP="005F0440">
            <w:pPr>
              <w:pStyle w:val="texto"/>
              <w:tabs>
                <w:tab w:val="clear" w:pos="2835"/>
                <w:tab w:val="clear" w:pos="3969"/>
                <w:tab w:val="clear" w:pos="5103"/>
                <w:tab w:val="clear" w:pos="6237"/>
                <w:tab w:val="clear" w:pos="7371"/>
              </w:tabs>
              <w:spacing w:after="0"/>
              <w:ind w:left="36" w:hanging="36"/>
              <w:jc w:val="left"/>
              <w:rPr>
                <w:rFonts w:ascii="Arial Narrow" w:hAnsi="Arial Narrow" w:cs="Calibri"/>
                <w:color w:val="000000"/>
                <w:sz w:val="19"/>
                <w:szCs w:val="19"/>
              </w:rPr>
            </w:pPr>
            <w:r>
              <w:rPr>
                <w:rFonts w:ascii="Arial Narrow" w:hAnsi="Arial Narrow" w:cs="Calibri"/>
                <w:color w:val="000000"/>
                <w:sz w:val="19"/>
                <w:szCs w:val="19"/>
              </w:rPr>
              <w:t>Subvenciones destinadas a Servicios Sociales de Base</w:t>
            </w:r>
          </w:p>
        </w:tc>
        <w:tc>
          <w:tcPr>
            <w:tcW w:w="1985" w:type="dxa"/>
            <w:tcBorders>
              <w:top w:val="single" w:sz="2" w:space="0" w:color="auto"/>
              <w:bottom w:val="single" w:sz="2" w:space="0" w:color="auto"/>
            </w:tcBorders>
            <w:vAlign w:val="center"/>
          </w:tcPr>
          <w:p w:rsidR="0049412A" w:rsidRDefault="0049412A" w:rsidP="008217D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980.773</w:t>
            </w:r>
          </w:p>
        </w:tc>
      </w:tr>
      <w:tr w:rsidR="0049412A" w:rsidTr="005F0440">
        <w:tc>
          <w:tcPr>
            <w:tcW w:w="1985" w:type="dxa"/>
            <w:vMerge/>
          </w:tcPr>
          <w:p w:rsidR="0049412A" w:rsidRDefault="0049412A" w:rsidP="008217D1">
            <w:pPr>
              <w:pStyle w:val="texto"/>
              <w:tabs>
                <w:tab w:val="clear" w:pos="2835"/>
                <w:tab w:val="clear" w:pos="3969"/>
                <w:tab w:val="clear" w:pos="5103"/>
                <w:tab w:val="clear" w:pos="6237"/>
                <w:tab w:val="clear" w:pos="7371"/>
              </w:tabs>
              <w:spacing w:after="0"/>
              <w:ind w:firstLine="0"/>
              <w:rPr>
                <w:rFonts w:ascii="Arial Narrow" w:hAnsi="Arial Narrow"/>
                <w:sz w:val="20"/>
                <w:szCs w:val="20"/>
              </w:rPr>
            </w:pPr>
          </w:p>
        </w:tc>
        <w:tc>
          <w:tcPr>
            <w:tcW w:w="4820" w:type="dxa"/>
            <w:tcBorders>
              <w:top w:val="single" w:sz="2" w:space="0" w:color="auto"/>
              <w:bottom w:val="single" w:sz="2" w:space="0" w:color="auto"/>
            </w:tcBorders>
            <w:vAlign w:val="center"/>
          </w:tcPr>
          <w:p w:rsidR="0049412A" w:rsidRDefault="0049412A" w:rsidP="005F0440">
            <w:pPr>
              <w:pStyle w:val="texto"/>
              <w:tabs>
                <w:tab w:val="clear" w:pos="2835"/>
                <w:tab w:val="clear" w:pos="3969"/>
                <w:tab w:val="clear" w:pos="5103"/>
                <w:tab w:val="clear" w:pos="6237"/>
                <w:tab w:val="clear" w:pos="7371"/>
              </w:tabs>
              <w:spacing w:after="0"/>
              <w:ind w:left="36" w:hanging="36"/>
              <w:jc w:val="left"/>
              <w:rPr>
                <w:rFonts w:ascii="Arial Narrow" w:hAnsi="Arial Narrow" w:cs="Calibri"/>
                <w:color w:val="000000"/>
                <w:sz w:val="19"/>
                <w:szCs w:val="19"/>
              </w:rPr>
            </w:pPr>
            <w:r>
              <w:rPr>
                <w:rFonts w:ascii="Arial Narrow" w:hAnsi="Arial Narrow" w:cs="Calibri"/>
                <w:color w:val="000000"/>
                <w:sz w:val="19"/>
                <w:szCs w:val="19"/>
              </w:rPr>
              <w:t>Subvenciones personas mayores de 45 años</w:t>
            </w:r>
            <w:r>
              <w:rPr>
                <w:rStyle w:val="Refdenotaalpie"/>
                <w:rFonts w:ascii="Arial Narrow" w:hAnsi="Arial Narrow" w:cs="Calibri"/>
                <w:color w:val="000000"/>
                <w:sz w:val="19"/>
                <w:szCs w:val="19"/>
              </w:rPr>
              <w:footnoteReference w:id="1"/>
            </w:r>
          </w:p>
        </w:tc>
        <w:tc>
          <w:tcPr>
            <w:tcW w:w="1985" w:type="dxa"/>
            <w:tcBorders>
              <w:top w:val="single" w:sz="2" w:space="0" w:color="auto"/>
              <w:bottom w:val="single" w:sz="2" w:space="0" w:color="auto"/>
            </w:tcBorders>
            <w:vAlign w:val="center"/>
          </w:tcPr>
          <w:p w:rsidR="0049412A" w:rsidRDefault="0049412A" w:rsidP="008217D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562.150</w:t>
            </w:r>
          </w:p>
        </w:tc>
      </w:tr>
      <w:tr w:rsidR="0049412A" w:rsidTr="005F0440">
        <w:tc>
          <w:tcPr>
            <w:tcW w:w="1985" w:type="dxa"/>
            <w:vMerge/>
          </w:tcPr>
          <w:p w:rsidR="0049412A" w:rsidRDefault="0049412A" w:rsidP="008217D1">
            <w:pPr>
              <w:pStyle w:val="texto"/>
              <w:tabs>
                <w:tab w:val="clear" w:pos="2835"/>
                <w:tab w:val="clear" w:pos="3969"/>
                <w:tab w:val="clear" w:pos="5103"/>
                <w:tab w:val="clear" w:pos="6237"/>
                <w:tab w:val="clear" w:pos="7371"/>
              </w:tabs>
              <w:spacing w:after="0"/>
              <w:ind w:firstLine="0"/>
              <w:rPr>
                <w:rFonts w:ascii="Arial Narrow" w:hAnsi="Arial Narrow"/>
                <w:sz w:val="20"/>
                <w:szCs w:val="20"/>
              </w:rPr>
            </w:pPr>
          </w:p>
        </w:tc>
        <w:tc>
          <w:tcPr>
            <w:tcW w:w="4820" w:type="dxa"/>
            <w:tcBorders>
              <w:top w:val="single" w:sz="2" w:space="0" w:color="auto"/>
            </w:tcBorders>
            <w:vAlign w:val="center"/>
          </w:tcPr>
          <w:p w:rsidR="0049412A" w:rsidRDefault="0049412A" w:rsidP="005F0440">
            <w:pPr>
              <w:pStyle w:val="texto"/>
              <w:tabs>
                <w:tab w:val="clear" w:pos="2835"/>
                <w:tab w:val="clear" w:pos="3969"/>
                <w:tab w:val="clear" w:pos="5103"/>
                <w:tab w:val="clear" w:pos="6237"/>
                <w:tab w:val="clear" w:pos="7371"/>
              </w:tabs>
              <w:spacing w:after="0"/>
              <w:ind w:left="36" w:hanging="36"/>
              <w:jc w:val="left"/>
              <w:rPr>
                <w:rFonts w:ascii="Arial Narrow" w:hAnsi="Arial Narrow" w:cs="Calibri"/>
                <w:color w:val="000000"/>
                <w:sz w:val="19"/>
                <w:szCs w:val="19"/>
              </w:rPr>
            </w:pPr>
            <w:r>
              <w:rPr>
                <w:rFonts w:ascii="Arial Narrow" w:hAnsi="Arial Narrow" w:cs="Calibri"/>
                <w:color w:val="000000"/>
                <w:sz w:val="19"/>
                <w:szCs w:val="19"/>
              </w:rPr>
              <w:t>Indemnizaciones contratos Centros de Día</w:t>
            </w:r>
          </w:p>
        </w:tc>
        <w:tc>
          <w:tcPr>
            <w:tcW w:w="1985" w:type="dxa"/>
            <w:tcBorders>
              <w:top w:val="single" w:sz="2" w:space="0" w:color="auto"/>
            </w:tcBorders>
            <w:vAlign w:val="center"/>
          </w:tcPr>
          <w:p w:rsidR="0049412A" w:rsidRDefault="0049412A" w:rsidP="008217D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202.455</w:t>
            </w:r>
          </w:p>
        </w:tc>
      </w:tr>
    </w:tbl>
    <w:p w:rsidR="0049412A" w:rsidRDefault="0049412A" w:rsidP="007B47F2">
      <w:pPr>
        <w:pStyle w:val="texto"/>
        <w:numPr>
          <w:ilvl w:val="0"/>
          <w:numId w:val="10"/>
        </w:numPr>
        <w:tabs>
          <w:tab w:val="clear" w:pos="2835"/>
          <w:tab w:val="clear" w:pos="3969"/>
          <w:tab w:val="clear" w:pos="5103"/>
          <w:tab w:val="clear" w:pos="6237"/>
          <w:tab w:val="clear" w:pos="7371"/>
          <w:tab w:val="left" w:pos="567"/>
        </w:tabs>
        <w:spacing w:before="240"/>
        <w:ind w:left="0" w:firstLine="284"/>
        <w:rPr>
          <w:szCs w:val="26"/>
        </w:rPr>
      </w:pPr>
      <w:r>
        <w:rPr>
          <w:szCs w:val="26"/>
        </w:rPr>
        <w:t>El procedimiento seguido en el caso de la aportación relacionada con la gestión de la COVID-19 realizada a la Corporación Pública Empresarial (CPEN) por siete millones</w:t>
      </w:r>
      <w:r w:rsidR="00F12512">
        <w:rPr>
          <w:szCs w:val="26"/>
        </w:rPr>
        <w:t>,</w:t>
      </w:r>
      <w:r>
        <w:rPr>
          <w:szCs w:val="26"/>
        </w:rPr>
        <w:t xml:space="preserve"> registrada en el capítulo 8 de activos financieros del presupuesto.</w:t>
      </w:r>
    </w:p>
    <w:p w:rsidR="00BB3B9E" w:rsidRPr="00BB3B9E" w:rsidRDefault="00477D89" w:rsidP="00BB3B9E">
      <w:pPr>
        <w:pStyle w:val="texto"/>
        <w:numPr>
          <w:ilvl w:val="0"/>
          <w:numId w:val="10"/>
        </w:numPr>
        <w:tabs>
          <w:tab w:val="clear" w:pos="2835"/>
          <w:tab w:val="clear" w:pos="3969"/>
          <w:tab w:val="clear" w:pos="5103"/>
          <w:tab w:val="clear" w:pos="6237"/>
          <w:tab w:val="clear" w:pos="7371"/>
          <w:tab w:val="left" w:pos="567"/>
        </w:tabs>
        <w:spacing w:before="120"/>
        <w:ind w:left="0" w:firstLine="284"/>
        <w:rPr>
          <w:szCs w:val="26"/>
        </w:rPr>
      </w:pPr>
      <w:r>
        <w:rPr>
          <w:szCs w:val="26"/>
        </w:rPr>
        <w:t>El ga</w:t>
      </w:r>
      <w:r w:rsidR="00521C3D">
        <w:rPr>
          <w:szCs w:val="26"/>
        </w:rPr>
        <w:t>s</w:t>
      </w:r>
      <w:r w:rsidR="00BB3B9E">
        <w:rPr>
          <w:szCs w:val="26"/>
        </w:rPr>
        <w:t>to abonado por la ocupación del Recinto Ferial de Navarra (</w:t>
      </w:r>
      <w:proofErr w:type="spellStart"/>
      <w:r w:rsidR="00BB3B9E">
        <w:rPr>
          <w:szCs w:val="26"/>
        </w:rPr>
        <w:t>Refena</w:t>
      </w:r>
      <w:proofErr w:type="spellEnd"/>
      <w:r w:rsidR="00BB3B9E">
        <w:rPr>
          <w:szCs w:val="26"/>
        </w:rPr>
        <w:t xml:space="preserve">). </w:t>
      </w:r>
    </w:p>
    <w:p w:rsidR="0049412A" w:rsidRDefault="0049412A" w:rsidP="0049412A">
      <w:pPr>
        <w:pStyle w:val="texto"/>
        <w:tabs>
          <w:tab w:val="clear" w:pos="2835"/>
          <w:tab w:val="clear" w:pos="3969"/>
          <w:tab w:val="clear" w:pos="5103"/>
          <w:tab w:val="clear" w:pos="6237"/>
          <w:tab w:val="clear" w:pos="7371"/>
        </w:tabs>
        <w:spacing w:before="240" w:after="100"/>
        <w:rPr>
          <w:szCs w:val="26"/>
        </w:rPr>
      </w:pPr>
      <w:r>
        <w:rPr>
          <w:szCs w:val="26"/>
        </w:rPr>
        <w:t xml:space="preserve">A continuación, señalamos los aspectos que han constituido limitaciones </w:t>
      </w:r>
      <w:r w:rsidR="00BB3B9E">
        <w:rPr>
          <w:szCs w:val="26"/>
        </w:rPr>
        <w:t>al alcance</w:t>
      </w:r>
      <w:r>
        <w:rPr>
          <w:szCs w:val="26"/>
        </w:rPr>
        <w:t xml:space="preserve"> de nuestro trabajo:</w:t>
      </w:r>
    </w:p>
    <w:p w:rsidR="0049412A" w:rsidRPr="002408EB" w:rsidRDefault="0049412A" w:rsidP="006532FD">
      <w:pPr>
        <w:pStyle w:val="texto"/>
        <w:numPr>
          <w:ilvl w:val="0"/>
          <w:numId w:val="10"/>
        </w:numPr>
        <w:tabs>
          <w:tab w:val="clear" w:pos="2835"/>
          <w:tab w:val="clear" w:pos="3969"/>
          <w:tab w:val="clear" w:pos="5103"/>
          <w:tab w:val="clear" w:pos="6237"/>
          <w:tab w:val="clear" w:pos="7371"/>
          <w:tab w:val="left" w:pos="567"/>
        </w:tabs>
        <w:ind w:left="0" w:firstLine="284"/>
        <w:rPr>
          <w:b/>
          <w:szCs w:val="26"/>
        </w:rPr>
      </w:pPr>
      <w:r w:rsidRPr="002408EB">
        <w:rPr>
          <w:szCs w:val="26"/>
        </w:rPr>
        <w:t xml:space="preserve">Hemos verificado que existen gastos relacionados con la COVID-19 que no están recogidos en las partidas presupuestarias identificadas como tal, si bien la ACFN en algún caso, como el referido a las retribuciones del personal del </w:t>
      </w:r>
      <w:r w:rsidR="005F0440">
        <w:rPr>
          <w:szCs w:val="26"/>
        </w:rPr>
        <w:br/>
      </w:r>
      <w:r w:rsidRPr="002408EB">
        <w:rPr>
          <w:szCs w:val="26"/>
        </w:rPr>
        <w:t>SNS-O, está corrigiendo a la fecha de redacción de este informe estas deficie</w:t>
      </w:r>
      <w:r w:rsidRPr="002408EB">
        <w:rPr>
          <w:szCs w:val="26"/>
        </w:rPr>
        <w:t>n</w:t>
      </w:r>
      <w:r w:rsidRPr="002408EB">
        <w:rPr>
          <w:szCs w:val="26"/>
        </w:rPr>
        <w:t xml:space="preserve">cias. </w:t>
      </w:r>
    </w:p>
    <w:p w:rsidR="0049412A" w:rsidRPr="00F17591" w:rsidRDefault="0049412A" w:rsidP="0049412A">
      <w:pPr>
        <w:pStyle w:val="texto"/>
      </w:pPr>
      <w:r w:rsidRPr="001960BB">
        <w:lastRenderedPageBreak/>
        <w:t xml:space="preserve">Por otro lado, hemos constatado que existen gastos incluidos en partidas </w:t>
      </w:r>
      <w:r>
        <w:t>COVID-19</w:t>
      </w:r>
      <w:r w:rsidRPr="001960BB">
        <w:t xml:space="preserve"> que no debieran estar registrados en las mismas</w:t>
      </w:r>
      <w:r w:rsidR="00F12512">
        <w:t>,</w:t>
      </w:r>
      <w:r w:rsidRPr="001960BB">
        <w:t xml:space="preserve"> como </w:t>
      </w:r>
      <w:r>
        <w:t xml:space="preserve">ocurre con </w:t>
      </w:r>
      <w:r w:rsidRPr="001960BB">
        <w:t xml:space="preserve">el </w:t>
      </w:r>
      <w:r>
        <w:t>importe referido a la</w:t>
      </w:r>
      <w:r w:rsidRPr="001960BB">
        <w:t xml:space="preserve"> renta garantizada</w:t>
      </w:r>
      <w:r>
        <w:t xml:space="preserve">; en este caso, </w:t>
      </w:r>
      <w:r w:rsidR="009573C3">
        <w:t>el Departamento de Der</w:t>
      </w:r>
      <w:r w:rsidR="009573C3">
        <w:t>e</w:t>
      </w:r>
      <w:r w:rsidR="009573C3">
        <w:t>chos Sociales</w:t>
      </w:r>
      <w:r w:rsidRPr="001960BB">
        <w:t xml:space="preserve"> en el periodo </w:t>
      </w:r>
      <w:r w:rsidR="009573C3">
        <w:t>mayo</w:t>
      </w:r>
      <w:r w:rsidRPr="001960BB">
        <w:t>-junio no imput</w:t>
      </w:r>
      <w:r>
        <w:t>ó nada a partidas COVID-19 y</w:t>
      </w:r>
      <w:r w:rsidR="00F12512">
        <w:t>,</w:t>
      </w:r>
      <w:r>
        <w:t xml:space="preserve"> a partir de esta fecha, registró</w:t>
      </w:r>
      <w:r w:rsidRPr="001960BB">
        <w:t xml:space="preserve"> </w:t>
      </w:r>
      <w:r>
        <w:t>el gasto referido a nuevos beneficiarios de esta prestación en estas partidas</w:t>
      </w:r>
      <w:r w:rsidR="00F12512">
        <w:t>,</w:t>
      </w:r>
      <w:r w:rsidRPr="001960BB">
        <w:t xml:space="preserve"> independientemente de si la motivación era la </w:t>
      </w:r>
      <w:r>
        <w:t>COVID-19</w:t>
      </w:r>
      <w:r w:rsidRPr="001960BB">
        <w:t xml:space="preserve"> o no.</w:t>
      </w:r>
    </w:p>
    <w:p w:rsidR="0049412A" w:rsidRPr="001960BB" w:rsidRDefault="0049412A" w:rsidP="0049412A">
      <w:pPr>
        <w:pStyle w:val="texto"/>
      </w:pPr>
      <w:r w:rsidRPr="001960BB">
        <w:t xml:space="preserve">No podemos cuantificar el efecto de </w:t>
      </w:r>
      <w:r>
        <w:t>los hechos de los párrafos anteriores</w:t>
      </w:r>
      <w:r w:rsidRPr="001960BB">
        <w:t>, por lo que las cifras que indicamos en nuestro informe son aproximadas y c</w:t>
      </w:r>
      <w:r w:rsidRPr="001960BB">
        <w:t>o</w:t>
      </w:r>
      <w:r w:rsidRPr="001960BB">
        <w:t>rresponden al importe contabilizado</w:t>
      </w:r>
      <w:r>
        <w:t xml:space="preserve"> en las partidas identificadas como COVID-19</w:t>
      </w:r>
      <w:r w:rsidR="00F12512">
        <w:t>. Por tanto,</w:t>
      </w:r>
      <w:r w:rsidRPr="001960BB">
        <w:t xml:space="preserve"> no determinan el gasto real en la gestión de la </w:t>
      </w:r>
      <w:r>
        <w:t>COVID-19</w:t>
      </w:r>
      <w:r w:rsidRPr="001960BB">
        <w:t>, si bien entendemos que la diferencia no sería muy significativa.</w:t>
      </w:r>
    </w:p>
    <w:p w:rsidR="0049412A" w:rsidRDefault="0049412A"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rPr>
          <w:szCs w:val="26"/>
        </w:rPr>
        <w:t>En el caso de la cuantificación de los ingresos, existen partidas presupue</w:t>
      </w:r>
      <w:r>
        <w:rPr>
          <w:szCs w:val="26"/>
        </w:rPr>
        <w:t>s</w:t>
      </w:r>
      <w:r>
        <w:rPr>
          <w:szCs w:val="26"/>
        </w:rPr>
        <w:t>tarias relacionadas con pasivos financieros que no se han identificado como COVID-19, pero que en parte se pueden haber destinado a este fin sin que p</w:t>
      </w:r>
      <w:r>
        <w:rPr>
          <w:szCs w:val="26"/>
        </w:rPr>
        <w:t>o</w:t>
      </w:r>
      <w:r>
        <w:rPr>
          <w:szCs w:val="26"/>
        </w:rPr>
        <w:t xml:space="preserve">damos cuantificar esta cantidad. </w:t>
      </w:r>
    </w:p>
    <w:p w:rsidR="0049412A" w:rsidRPr="002408EB" w:rsidRDefault="0049412A" w:rsidP="006532FD">
      <w:pPr>
        <w:pStyle w:val="texto"/>
        <w:numPr>
          <w:ilvl w:val="0"/>
          <w:numId w:val="10"/>
        </w:numPr>
        <w:tabs>
          <w:tab w:val="clear" w:pos="2835"/>
          <w:tab w:val="clear" w:pos="3969"/>
          <w:tab w:val="clear" w:pos="5103"/>
          <w:tab w:val="clear" w:pos="6237"/>
          <w:tab w:val="clear" w:pos="7371"/>
          <w:tab w:val="left" w:pos="567"/>
        </w:tabs>
        <w:ind w:left="0" w:firstLine="284"/>
        <w:rPr>
          <w:b/>
          <w:szCs w:val="26"/>
        </w:rPr>
      </w:pPr>
      <w:r w:rsidRPr="002408EB">
        <w:rPr>
          <w:szCs w:val="26"/>
        </w:rPr>
        <w:t>La respuesta recibida de los departamentos de la ACFN sobre los contr</w:t>
      </w:r>
      <w:r w:rsidRPr="002408EB">
        <w:rPr>
          <w:szCs w:val="26"/>
        </w:rPr>
        <w:t>a</w:t>
      </w:r>
      <w:r w:rsidRPr="002408EB">
        <w:rPr>
          <w:szCs w:val="26"/>
        </w:rPr>
        <w:t>tos celebrados para hacer frente a la COVID-19 no recoge el número de contr</w:t>
      </w:r>
      <w:r w:rsidRPr="002408EB">
        <w:rPr>
          <w:szCs w:val="26"/>
        </w:rPr>
        <w:t>a</w:t>
      </w:r>
      <w:r w:rsidRPr="002408EB">
        <w:rPr>
          <w:szCs w:val="26"/>
        </w:rPr>
        <w:t xml:space="preserve">tos existentes. En unos casos se corresponde con pedidos, en otros con facturas y en otros con contratos. </w:t>
      </w:r>
    </w:p>
    <w:p w:rsidR="0049412A" w:rsidRPr="00F17591" w:rsidRDefault="0049412A" w:rsidP="0049412A">
      <w:pPr>
        <w:pStyle w:val="texto"/>
        <w:tabs>
          <w:tab w:val="clear" w:pos="2835"/>
          <w:tab w:val="clear" w:pos="3969"/>
          <w:tab w:val="clear" w:pos="5103"/>
          <w:tab w:val="clear" w:pos="6237"/>
          <w:tab w:val="clear" w:pos="7371"/>
        </w:tabs>
        <w:spacing w:after="100"/>
        <w:rPr>
          <w:b/>
          <w:szCs w:val="26"/>
        </w:rPr>
      </w:pPr>
      <w:r>
        <w:rPr>
          <w:szCs w:val="26"/>
        </w:rPr>
        <w:t>Por este motivo, no es posible cuantificar el número de contratos que se ll</w:t>
      </w:r>
      <w:r>
        <w:rPr>
          <w:szCs w:val="26"/>
        </w:rPr>
        <w:t>e</w:t>
      </w:r>
      <w:r>
        <w:rPr>
          <w:szCs w:val="26"/>
        </w:rPr>
        <w:t xml:space="preserve">varon a cabo y más cuando, en muchos casos, </w:t>
      </w:r>
      <w:r w:rsidR="00F12512">
        <w:rPr>
          <w:szCs w:val="26"/>
        </w:rPr>
        <w:t>la petición de información coi</w:t>
      </w:r>
      <w:r w:rsidR="00F12512">
        <w:rPr>
          <w:szCs w:val="26"/>
        </w:rPr>
        <w:t>n</w:t>
      </w:r>
      <w:r w:rsidR="00F12512">
        <w:rPr>
          <w:szCs w:val="26"/>
        </w:rPr>
        <w:t>cidía con la formalización de los expedientes de contratación</w:t>
      </w:r>
      <w:r>
        <w:rPr>
          <w:szCs w:val="26"/>
        </w:rPr>
        <w:t>. En nuestro i</w:t>
      </w:r>
      <w:r>
        <w:rPr>
          <w:szCs w:val="26"/>
        </w:rPr>
        <w:t>n</w:t>
      </w:r>
      <w:r>
        <w:rPr>
          <w:szCs w:val="26"/>
        </w:rPr>
        <w:t>forme proporcionamos datos sobre el total de expedientes de emergencia fo</w:t>
      </w:r>
      <w:r>
        <w:rPr>
          <w:szCs w:val="26"/>
        </w:rPr>
        <w:t>r</w:t>
      </w:r>
      <w:r>
        <w:rPr>
          <w:szCs w:val="26"/>
        </w:rPr>
        <w:t>malizados y publicados en el Portal de Contratación, fórmula de tramitación que se ha utilizado en la inmensa mayoría de los casos.</w:t>
      </w:r>
    </w:p>
    <w:p w:rsidR="0049412A" w:rsidRPr="006C3455" w:rsidRDefault="0049412A" w:rsidP="006532FD">
      <w:pPr>
        <w:pStyle w:val="texto"/>
        <w:numPr>
          <w:ilvl w:val="0"/>
          <w:numId w:val="10"/>
        </w:numPr>
        <w:tabs>
          <w:tab w:val="clear" w:pos="2835"/>
          <w:tab w:val="clear" w:pos="3969"/>
          <w:tab w:val="clear" w:pos="5103"/>
          <w:tab w:val="clear" w:pos="6237"/>
          <w:tab w:val="clear" w:pos="7371"/>
          <w:tab w:val="left" w:pos="567"/>
        </w:tabs>
        <w:ind w:left="0" w:firstLine="284"/>
        <w:rPr>
          <w:rFonts w:cs="Arial"/>
        </w:rPr>
      </w:pPr>
      <w:r>
        <w:rPr>
          <w:szCs w:val="26"/>
        </w:rPr>
        <w:t>Solo hemos podido analizar la</w:t>
      </w:r>
      <w:r w:rsidRPr="006C3455">
        <w:rPr>
          <w:szCs w:val="26"/>
        </w:rPr>
        <w:t xml:space="preserve"> eficacia y eficiencia en el caso de los co</w:t>
      </w:r>
      <w:r w:rsidRPr="006C3455">
        <w:rPr>
          <w:szCs w:val="26"/>
        </w:rPr>
        <w:t>n</w:t>
      </w:r>
      <w:r w:rsidRPr="006C3455">
        <w:rPr>
          <w:szCs w:val="26"/>
        </w:rPr>
        <w:t>ciertos sanitarios</w:t>
      </w:r>
      <w:r w:rsidR="00F12512">
        <w:rPr>
          <w:szCs w:val="26"/>
        </w:rPr>
        <w:t>,</w:t>
      </w:r>
      <w:r w:rsidRPr="006C3455">
        <w:rPr>
          <w:szCs w:val="26"/>
        </w:rPr>
        <w:t xml:space="preserve"> donde se llevó a cabo un análisis exhaustivo por parte del Servicio de Control y Análisis del Coste del SNS-O para cuantificar</w:t>
      </w:r>
      <w:r>
        <w:rPr>
          <w:szCs w:val="26"/>
        </w:rPr>
        <w:t xml:space="preserve"> el coste de la atención sanitaria a pacientes qu</w:t>
      </w:r>
      <w:r w:rsidRPr="006C3455">
        <w:rPr>
          <w:szCs w:val="26"/>
        </w:rPr>
        <w:t xml:space="preserve">e padecen </w:t>
      </w:r>
      <w:r>
        <w:rPr>
          <w:szCs w:val="26"/>
        </w:rPr>
        <w:t xml:space="preserve">la </w:t>
      </w:r>
      <w:r w:rsidRPr="006C3455">
        <w:rPr>
          <w:szCs w:val="26"/>
        </w:rPr>
        <w:t>COVID-19</w:t>
      </w:r>
      <w:r>
        <w:rPr>
          <w:szCs w:val="26"/>
        </w:rPr>
        <w:t>; estos costes se ut</w:t>
      </w:r>
      <w:r>
        <w:rPr>
          <w:szCs w:val="26"/>
        </w:rPr>
        <w:t>i</w:t>
      </w:r>
      <w:r>
        <w:rPr>
          <w:szCs w:val="26"/>
        </w:rPr>
        <w:t xml:space="preserve">lizaron para </w:t>
      </w:r>
      <w:r w:rsidRPr="006C3455">
        <w:rPr>
          <w:szCs w:val="26"/>
        </w:rPr>
        <w:t xml:space="preserve">determinar las tarifas que se deberían </w:t>
      </w:r>
      <w:r>
        <w:rPr>
          <w:szCs w:val="26"/>
        </w:rPr>
        <w:t>aplicar en la contratación de servicios relacionados con los conciertos sanitarios; en el resto de</w:t>
      </w:r>
      <w:r w:rsidRPr="006C3455">
        <w:rPr>
          <w:szCs w:val="26"/>
        </w:rPr>
        <w:t xml:space="preserve"> actuaciones no consta información suficiente que nos permita alcanzar conclusiones al re</w:t>
      </w:r>
      <w:r w:rsidRPr="006C3455">
        <w:rPr>
          <w:szCs w:val="26"/>
        </w:rPr>
        <w:t>s</w:t>
      </w:r>
      <w:r w:rsidRPr="006C3455">
        <w:rPr>
          <w:szCs w:val="26"/>
        </w:rPr>
        <w:t xml:space="preserve">pecto. </w:t>
      </w:r>
      <w:r w:rsidRPr="006C3455">
        <w:rPr>
          <w:rFonts w:cs="Arial"/>
        </w:rPr>
        <w:br w:type="page"/>
      </w:r>
    </w:p>
    <w:p w:rsidR="00676CA2" w:rsidRPr="00BB1925" w:rsidRDefault="00676CA2" w:rsidP="00676CA2">
      <w:pPr>
        <w:pStyle w:val="atitulo1"/>
      </w:pPr>
      <w:bookmarkStart w:id="27" w:name="_Toc67394579"/>
      <w:bookmarkStart w:id="28" w:name="_Toc69373187"/>
      <w:r>
        <w:lastRenderedPageBreak/>
        <w:t>I</w:t>
      </w:r>
      <w:r w:rsidRPr="00BB1925">
        <w:t>V. Conclusiones y recomendaciones</w:t>
      </w:r>
      <w:bookmarkEnd w:id="27"/>
      <w:bookmarkEnd w:id="28"/>
    </w:p>
    <w:p w:rsidR="00676CA2" w:rsidRPr="006538A3" w:rsidRDefault="00676CA2" w:rsidP="006538A3">
      <w:pPr>
        <w:pStyle w:val="atitulo4"/>
      </w:pPr>
      <w:bookmarkStart w:id="29" w:name="_Toc499802369"/>
      <w:bookmarkStart w:id="30" w:name="_Toc511912027"/>
      <w:r w:rsidRPr="006538A3">
        <w:t xml:space="preserve">Responsabilidad de la Administración de la Comunidad Foral de Navarra </w:t>
      </w:r>
    </w:p>
    <w:p w:rsidR="00676CA2" w:rsidRDefault="00676CA2" w:rsidP="00676CA2">
      <w:pPr>
        <w:pStyle w:val="texto"/>
      </w:pPr>
      <w:r>
        <w:t>Los distintos departamentos de la ACFN son responsables de asignar corre</w:t>
      </w:r>
      <w:r>
        <w:t>c</w:t>
      </w:r>
      <w:r>
        <w:t>tamente los gastos a las partidas presupuestarias creadas para la gestión de la COVID-19</w:t>
      </w:r>
      <w:r w:rsidR="00F12512">
        <w:t>;</w:t>
      </w:r>
      <w:r>
        <w:t xml:space="preserve"> y de garantizar que todas las </w:t>
      </w:r>
      <w:r w:rsidRPr="00A04249">
        <w:t xml:space="preserve">contrataciones realizadas y </w:t>
      </w:r>
      <w:r>
        <w:t>subve</w:t>
      </w:r>
      <w:r>
        <w:t>n</w:t>
      </w:r>
      <w:r>
        <w:t>ciones concedidas resultan conformes con la normativa aplicable.</w:t>
      </w:r>
    </w:p>
    <w:p w:rsidR="00676CA2" w:rsidRDefault="00676CA2" w:rsidP="00676CA2">
      <w:pPr>
        <w:pStyle w:val="texto"/>
      </w:pPr>
      <w:r>
        <w:t>El Departamento de Economía y Hacienda</w:t>
      </w:r>
      <w:r w:rsidR="00F12512">
        <w:t>,</w:t>
      </w:r>
      <w:r>
        <w:t xml:space="preserve"> a través </w:t>
      </w:r>
      <w:r w:rsidR="007B47F2">
        <w:t>de</w:t>
      </w:r>
      <w:r>
        <w:t xml:space="preserve"> </w:t>
      </w:r>
      <w:r w:rsidR="00F12512">
        <w:t xml:space="preserve">la </w:t>
      </w:r>
      <w:r>
        <w:t>Intervención</w:t>
      </w:r>
      <w:r w:rsidR="007B47F2">
        <w:t xml:space="preserve"> Gen</w:t>
      </w:r>
      <w:r w:rsidR="007B47F2">
        <w:t>e</w:t>
      </w:r>
      <w:r w:rsidR="007B47F2">
        <w:t>ral</w:t>
      </w:r>
      <w:r w:rsidR="00F12512">
        <w:t>,</w:t>
      </w:r>
      <w:r w:rsidR="007B47F2">
        <w:t xml:space="preserve"> </w:t>
      </w:r>
      <w:r>
        <w:t>es el responsable de establecer los sistemas de control interno que consid</w:t>
      </w:r>
      <w:r>
        <w:t>e</w:t>
      </w:r>
      <w:r>
        <w:t>re necesarios para asegurar que los departamentos cumplen con lo establecido en el párrafo anterior.</w:t>
      </w:r>
    </w:p>
    <w:p w:rsidR="00676CA2" w:rsidRPr="006538A3" w:rsidRDefault="00676CA2" w:rsidP="006538A3">
      <w:pPr>
        <w:pStyle w:val="atitulo4"/>
      </w:pPr>
      <w:r w:rsidRPr="006538A3">
        <w:t>Responsabilidad de la Cámara de Comptos de Navarra</w:t>
      </w:r>
    </w:p>
    <w:p w:rsidR="00676CA2" w:rsidRPr="00F377C9" w:rsidRDefault="00676CA2" w:rsidP="00676CA2">
      <w:pPr>
        <w:pStyle w:val="texto"/>
      </w:pPr>
      <w:r w:rsidRPr="00F377C9">
        <w:t xml:space="preserve">Nuestra responsabilidad es </w:t>
      </w:r>
      <w:r>
        <w:t xml:space="preserve">cuantificar los gastos e ingresos relacionados con la gestión de la COVID-19, </w:t>
      </w:r>
      <w:r w:rsidRPr="00F377C9">
        <w:t>expresar una opinión sobre</w:t>
      </w:r>
      <w:r>
        <w:t xml:space="preserve"> la</w:t>
      </w:r>
      <w:r w:rsidRPr="00F377C9">
        <w:t xml:space="preserve"> legalidad de las </w:t>
      </w:r>
      <w:r>
        <w:t>co</w:t>
      </w:r>
      <w:r>
        <w:t>n</w:t>
      </w:r>
      <w:r>
        <w:t>trataciones y subvenciones relacionadas con la gestión de la COVID-19 y an</w:t>
      </w:r>
      <w:r>
        <w:t>a</w:t>
      </w:r>
      <w:r>
        <w:t>lizar la eficacia y eficiencia de aquellas contrataciones en las que sea factible esta evaluación</w:t>
      </w:r>
      <w:r w:rsidRPr="00F377C9">
        <w:t xml:space="preserve">. </w:t>
      </w:r>
    </w:p>
    <w:p w:rsidR="00676CA2" w:rsidRPr="00F377C9" w:rsidRDefault="00676CA2" w:rsidP="00676CA2">
      <w:pPr>
        <w:pStyle w:val="texto"/>
      </w:pPr>
      <w:r w:rsidRPr="00F377C9">
        <w:t>Para ello, hemos llevado a cabo</w:t>
      </w:r>
      <w:r>
        <w:t xml:space="preserve"> nuestra fiscalización </w:t>
      </w:r>
      <w:r w:rsidRPr="00F377C9">
        <w:t>de conformidad con los principios fundamentales de fiscalización de las Instituciones Públicas de Co</w:t>
      </w:r>
      <w:r w:rsidRPr="00F377C9">
        <w:t>n</w:t>
      </w:r>
      <w:r w:rsidRPr="00F377C9">
        <w:t>trol Externo</w:t>
      </w:r>
      <w:r w:rsidR="00F12512">
        <w:t>,</w:t>
      </w:r>
      <w:r>
        <w:t xml:space="preserve"> </w:t>
      </w:r>
      <w:r w:rsidRPr="00D2333B">
        <w:t>y más en concreto,</w:t>
      </w:r>
      <w:r>
        <w:t xml:space="preserve"> con</w:t>
      </w:r>
      <w:r w:rsidRPr="00D2333B">
        <w:t xml:space="preserve"> las ISSAI-ES 400</w:t>
      </w:r>
      <w:r>
        <w:t xml:space="preserve"> y 300 referidas respect</w:t>
      </w:r>
      <w:r>
        <w:t>i</w:t>
      </w:r>
      <w:r>
        <w:t xml:space="preserve">vamente a las fiscalizaciones </w:t>
      </w:r>
      <w:r w:rsidRPr="00D2333B">
        <w:t>de cumplimiento</w:t>
      </w:r>
      <w:r>
        <w:t xml:space="preserve"> de legalidad y auditorías oper</w:t>
      </w:r>
      <w:r>
        <w:t>a</w:t>
      </w:r>
      <w:r>
        <w:t>tivas</w:t>
      </w:r>
      <w:r w:rsidRPr="00F377C9">
        <w:t xml:space="preserve">. Dichos principios exigen que cumplamos los requerimientos de ética, así como que planifiquemos y ejecutemos la fiscalización con el fin de obtener una seguridad razonable de que </w:t>
      </w:r>
      <w:r>
        <w:t>las</w:t>
      </w:r>
      <w:r w:rsidRPr="00F377C9">
        <w:t xml:space="preserve"> actividades</w:t>
      </w:r>
      <w:r>
        <w:t xml:space="preserve"> realizadas durante el ejercicio,</w:t>
      </w:r>
      <w:r w:rsidRPr="00F377C9">
        <w:t xml:space="preserve"> y la información reflejadas en los estados financieros resultan, en todos los aspectos significativos, conformes con la normativa vigente. </w:t>
      </w:r>
    </w:p>
    <w:p w:rsidR="00676CA2" w:rsidRDefault="00676CA2" w:rsidP="00676CA2">
      <w:pPr>
        <w:pStyle w:val="texto"/>
      </w:pPr>
      <w:r w:rsidRPr="00F377C9">
        <w:t>Una fiscalización requiere la aplicación de procedimientos para obtener ev</w:t>
      </w:r>
      <w:r w:rsidRPr="00F377C9">
        <w:t>i</w:t>
      </w:r>
      <w:r w:rsidRPr="00F377C9">
        <w:t xml:space="preserve">dencia de auditoría sobre los importes y la información revelada en las cuentas anuales y sobre el cumplimiento de los aspectos relevantes establecidos en la normativa durante el ejercicio fiscalizado. Los procedimientos seleccionados dependen del juicio del auditor, incluida la valoración de los riesgos tanto de incorrección material en las cuentas anuales, debida a fraude o error, como de incumplimientos significativos de la legalidad. Al efectuar dichas valoraciones del riesgo, el auditor tiene en cuenta el control interno relevante para </w:t>
      </w:r>
      <w:r>
        <w:t>la imp</w:t>
      </w:r>
      <w:r>
        <w:t>u</w:t>
      </w:r>
      <w:r>
        <w:t xml:space="preserve">tación </w:t>
      </w:r>
      <w:r w:rsidRPr="00F377C9">
        <w:t xml:space="preserve">por parte de la entidad </w:t>
      </w:r>
      <w:r>
        <w:t>del gasto en las partidas presupuestarias</w:t>
      </w:r>
      <w:r w:rsidRPr="00F377C9">
        <w:t xml:space="preserve"> y para garantizar el cumplimiento de la legalidad, con el fin de diseñar los proced</w:t>
      </w:r>
      <w:r w:rsidRPr="00F377C9">
        <w:t>i</w:t>
      </w:r>
      <w:r w:rsidRPr="00F377C9">
        <w:t xml:space="preserve">mientos de auditoría que sean adecuados en función de las circunstancias, y no con la finalidad de expresar una opinión sobre la eficacia del control interno de la entidad. </w:t>
      </w:r>
    </w:p>
    <w:p w:rsidR="00676CA2" w:rsidRPr="00F377C9" w:rsidRDefault="00676CA2" w:rsidP="00676CA2">
      <w:pPr>
        <w:pStyle w:val="texto"/>
      </w:pPr>
      <w:r w:rsidRPr="00F377C9">
        <w:lastRenderedPageBreak/>
        <w:t>Una auditoría también incluye la evaluación de la adecuación de las políticas contables aplicadas y de la razonabilidad de las estimaciones contables realiz</w:t>
      </w:r>
      <w:r w:rsidRPr="00F377C9">
        <w:t>a</w:t>
      </w:r>
      <w:r w:rsidRPr="00F377C9">
        <w:t xml:space="preserve">das por la dirección, así como la evaluación de la presentación de las </w:t>
      </w:r>
      <w:r>
        <w:t xml:space="preserve">partidas presupuestarias analizadas </w:t>
      </w:r>
      <w:r w:rsidRPr="00F377C9">
        <w:t>en su conjunto.</w:t>
      </w:r>
    </w:p>
    <w:p w:rsidR="00676CA2" w:rsidRPr="00F17591" w:rsidRDefault="00676CA2" w:rsidP="00676CA2">
      <w:pPr>
        <w:pStyle w:val="texto"/>
        <w:spacing w:after="240"/>
        <w:rPr>
          <w:b/>
        </w:rPr>
      </w:pPr>
      <w:r w:rsidRPr="00F377C9">
        <w:t>Consideramos que la evidencia de auditoría que hemos obtenido proporciona una base suficiente y adecuada p</w:t>
      </w:r>
      <w:r>
        <w:t>ara fundamentar nuestra opinión, excepto en la cuantificación de los gastos, tal y como hemos descrito en el epígrafe III de e</w:t>
      </w:r>
      <w:r>
        <w:t>s</w:t>
      </w:r>
      <w:r>
        <w:t>te informe</w:t>
      </w:r>
      <w:r w:rsidRPr="00AD43EF">
        <w:t>.</w:t>
      </w:r>
    </w:p>
    <w:p w:rsidR="00676CA2" w:rsidRPr="00FF3E46" w:rsidRDefault="00676CA2" w:rsidP="00FF3E46">
      <w:pPr>
        <w:pStyle w:val="atitulo2"/>
      </w:pPr>
      <w:bookmarkStart w:id="31" w:name="_Toc67394580"/>
      <w:bookmarkStart w:id="32" w:name="_Toc69373188"/>
      <w:r w:rsidRPr="00FF3E46">
        <w:t>IV.1</w:t>
      </w:r>
      <w:r w:rsidR="00374505">
        <w:t>.</w:t>
      </w:r>
      <w:r w:rsidRPr="00FF3E46">
        <w:t xml:space="preserve"> </w:t>
      </w:r>
      <w:bookmarkEnd w:id="29"/>
      <w:bookmarkEnd w:id="30"/>
      <w:r w:rsidRPr="00FF3E46">
        <w:t>Cuantificación de los gastos e ingresos referidos a la gestión de la COVID-19</w:t>
      </w:r>
      <w:bookmarkEnd w:id="31"/>
      <w:bookmarkEnd w:id="32"/>
    </w:p>
    <w:p w:rsidR="00676CA2" w:rsidRDefault="00676CA2" w:rsidP="00676CA2">
      <w:pPr>
        <w:pStyle w:val="atitulo3"/>
        <w:spacing w:after="120"/>
      </w:pPr>
      <w:r>
        <w:t>IV.1.1</w:t>
      </w:r>
      <w:r w:rsidR="00374505">
        <w:t>.</w:t>
      </w:r>
      <w:r>
        <w:t xml:space="preserve"> Gastos asociados a la gestión de la COVID-19</w:t>
      </w:r>
    </w:p>
    <w:p w:rsidR="00676CA2" w:rsidRDefault="00676CA2" w:rsidP="00676CA2">
      <w:pPr>
        <w:pStyle w:val="texto"/>
        <w:rPr>
          <w:szCs w:val="26"/>
        </w:rPr>
      </w:pPr>
      <w:r>
        <w:rPr>
          <w:szCs w:val="26"/>
        </w:rPr>
        <w:t>Teniendo en cuenta el procedimiento de imputación presupuestaria descrito en el epígrafe II.2</w:t>
      </w:r>
      <w:r w:rsidR="00F12512">
        <w:rPr>
          <w:szCs w:val="26"/>
        </w:rPr>
        <w:t xml:space="preserve"> a 31 de diciembre de 2020</w:t>
      </w:r>
      <w:r>
        <w:rPr>
          <w:szCs w:val="26"/>
        </w:rPr>
        <w:t>, las medidas adoptadas para ge</w:t>
      </w:r>
      <w:r>
        <w:rPr>
          <w:szCs w:val="26"/>
        </w:rPr>
        <w:t>s</w:t>
      </w:r>
      <w:r>
        <w:rPr>
          <w:szCs w:val="26"/>
        </w:rPr>
        <w:t>tionar la COVID-19 han supuesto un gasto de 224,97 millones</w:t>
      </w:r>
      <w:r w:rsidR="00F12512">
        <w:rPr>
          <w:szCs w:val="26"/>
        </w:rPr>
        <w:t>. Ese importe s</w:t>
      </w:r>
      <w:r w:rsidR="00F12512">
        <w:rPr>
          <w:szCs w:val="26"/>
        </w:rPr>
        <w:t>u</w:t>
      </w:r>
      <w:r w:rsidR="00F12512">
        <w:rPr>
          <w:szCs w:val="26"/>
        </w:rPr>
        <w:t>pone el</w:t>
      </w:r>
      <w:r>
        <w:rPr>
          <w:szCs w:val="26"/>
        </w:rPr>
        <w:t xml:space="preserve"> cinco por ciento del gasto presupuestario total hasta esa fecha. </w:t>
      </w:r>
    </w:p>
    <w:p w:rsidR="00676CA2" w:rsidRDefault="00676CA2" w:rsidP="00676CA2">
      <w:pPr>
        <w:pStyle w:val="texto"/>
        <w:spacing w:after="240"/>
        <w:rPr>
          <w:szCs w:val="26"/>
        </w:rPr>
      </w:pPr>
      <w:r>
        <w:rPr>
          <w:szCs w:val="26"/>
        </w:rPr>
        <w:t>El desglose del gasto por capítulo presupuestario es el siguiente:</w:t>
      </w:r>
    </w:p>
    <w:tbl>
      <w:tblPr>
        <w:tblStyle w:val="Tablaconcuadrcula"/>
        <w:tblW w:w="8788"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977"/>
        <w:gridCol w:w="3260"/>
        <w:gridCol w:w="2551"/>
      </w:tblGrid>
      <w:tr w:rsidR="00676CA2" w:rsidTr="00374505">
        <w:trPr>
          <w:trHeight w:val="255"/>
          <w:jc w:val="center"/>
        </w:trPr>
        <w:tc>
          <w:tcPr>
            <w:tcW w:w="2977" w:type="dxa"/>
            <w:shd w:val="clear" w:color="auto" w:fill="8DB3E2" w:themeFill="text2" w:themeFillTint="66"/>
            <w:vAlign w:val="center"/>
          </w:tcPr>
          <w:p w:rsidR="00676CA2" w:rsidRPr="00BD2DEE" w:rsidRDefault="00676CA2" w:rsidP="00FF3E46">
            <w:pPr>
              <w:pStyle w:val="cuadroCabe"/>
              <w:jc w:val="left"/>
            </w:pPr>
            <w:r w:rsidRPr="00BD2DEE">
              <w:t>Capítulo</w:t>
            </w:r>
            <w:r>
              <w:t xml:space="preserve"> de gasto</w:t>
            </w:r>
          </w:p>
        </w:tc>
        <w:tc>
          <w:tcPr>
            <w:tcW w:w="3260" w:type="dxa"/>
            <w:shd w:val="clear" w:color="auto" w:fill="8DB3E2" w:themeFill="text2" w:themeFillTint="66"/>
            <w:vAlign w:val="center"/>
          </w:tcPr>
          <w:p w:rsidR="00676CA2" w:rsidRPr="00BD2DEE" w:rsidRDefault="00676CA2" w:rsidP="00FF3E46">
            <w:pPr>
              <w:pStyle w:val="cuadroCabe"/>
              <w:jc w:val="right"/>
            </w:pPr>
            <w:r w:rsidRPr="00BD2DEE">
              <w:t xml:space="preserve">Obligaciones </w:t>
            </w:r>
            <w:r>
              <w:t xml:space="preserve">Reconocidas </w:t>
            </w:r>
            <w:r w:rsidRPr="00BD2DEE">
              <w:t>Netas</w:t>
            </w:r>
          </w:p>
        </w:tc>
        <w:tc>
          <w:tcPr>
            <w:tcW w:w="2551" w:type="dxa"/>
            <w:shd w:val="clear" w:color="auto" w:fill="8DB3E2" w:themeFill="text2" w:themeFillTint="66"/>
            <w:vAlign w:val="center"/>
          </w:tcPr>
          <w:p w:rsidR="00676CA2" w:rsidRPr="00BD2DEE" w:rsidRDefault="00676CA2" w:rsidP="00FF3E46">
            <w:pPr>
              <w:pStyle w:val="cuadroCabe"/>
              <w:jc w:val="right"/>
            </w:pPr>
            <w:r>
              <w:t>% s/ ORN totales</w:t>
            </w:r>
          </w:p>
        </w:tc>
      </w:tr>
      <w:tr w:rsidR="00676CA2" w:rsidTr="00374505">
        <w:trPr>
          <w:cantSplit/>
          <w:trHeight w:val="198"/>
          <w:jc w:val="center"/>
        </w:trPr>
        <w:tc>
          <w:tcPr>
            <w:tcW w:w="2977" w:type="dxa"/>
            <w:tcBorders>
              <w:bottom w:val="single" w:sz="2" w:space="0" w:color="auto"/>
            </w:tcBorders>
            <w:vAlign w:val="center"/>
          </w:tcPr>
          <w:p w:rsidR="00676CA2" w:rsidRPr="00BD2DEE" w:rsidRDefault="00676CA2" w:rsidP="00676CA2">
            <w:pPr>
              <w:pStyle w:val="texto"/>
              <w:numPr>
                <w:ilvl w:val="0"/>
                <w:numId w:val="16"/>
              </w:numPr>
              <w:spacing w:after="0"/>
              <w:ind w:left="179" w:hanging="269"/>
              <w:jc w:val="left"/>
              <w:rPr>
                <w:rFonts w:ascii="Arial Narrow" w:hAnsi="Arial Narrow"/>
                <w:sz w:val="20"/>
              </w:rPr>
            </w:pPr>
            <w:r>
              <w:rPr>
                <w:rFonts w:ascii="Arial Narrow" w:hAnsi="Arial Narrow"/>
                <w:sz w:val="20"/>
              </w:rPr>
              <w:t xml:space="preserve"> Personal</w:t>
            </w:r>
          </w:p>
        </w:tc>
        <w:tc>
          <w:tcPr>
            <w:tcW w:w="3260" w:type="dxa"/>
            <w:tcBorders>
              <w:bottom w:val="single" w:sz="2" w:space="0" w:color="auto"/>
            </w:tcBorders>
            <w:vAlign w:val="center"/>
          </w:tcPr>
          <w:p w:rsidR="00676CA2" w:rsidRPr="00171BA3" w:rsidRDefault="00676CA2" w:rsidP="008217D1">
            <w:pPr>
              <w:spacing w:after="0"/>
              <w:ind w:firstLine="0"/>
              <w:jc w:val="right"/>
              <w:rPr>
                <w:rFonts w:ascii="Arial Narrow" w:hAnsi="Arial Narrow" w:cs="Calibri"/>
                <w:color w:val="000000"/>
                <w:lang w:val="es-ES" w:eastAsia="es-ES"/>
              </w:rPr>
            </w:pPr>
            <w:r w:rsidRPr="00171BA3">
              <w:rPr>
                <w:rFonts w:ascii="Arial Narrow" w:hAnsi="Arial Narrow" w:cs="Calibri"/>
                <w:color w:val="000000"/>
                <w:lang w:val="es-ES" w:eastAsia="es-ES"/>
              </w:rPr>
              <w:t>44.805.218</w:t>
            </w:r>
          </w:p>
        </w:tc>
        <w:tc>
          <w:tcPr>
            <w:tcW w:w="2551" w:type="dxa"/>
            <w:tcBorders>
              <w:bottom w:val="single" w:sz="2" w:space="0" w:color="auto"/>
            </w:tcBorders>
            <w:vAlign w:val="center"/>
          </w:tcPr>
          <w:p w:rsidR="00676CA2" w:rsidRPr="00171BA3" w:rsidRDefault="00676CA2" w:rsidP="00374505">
            <w:pPr>
              <w:spacing w:after="0"/>
              <w:ind w:firstLine="0"/>
              <w:jc w:val="right"/>
              <w:rPr>
                <w:rFonts w:ascii="Arial Narrow" w:hAnsi="Arial Narrow" w:cs="Calibri"/>
                <w:color w:val="000000"/>
                <w:lang w:val="es-ES" w:eastAsia="es-ES"/>
              </w:rPr>
            </w:pPr>
            <w:r w:rsidRPr="00171BA3">
              <w:rPr>
                <w:rFonts w:ascii="Arial Narrow" w:hAnsi="Arial Narrow" w:cs="Calibri"/>
                <w:color w:val="000000"/>
                <w:lang w:val="es-ES" w:eastAsia="es-ES"/>
              </w:rPr>
              <w:t>20</w:t>
            </w:r>
          </w:p>
        </w:tc>
      </w:tr>
      <w:tr w:rsidR="00676CA2" w:rsidTr="00374505">
        <w:trPr>
          <w:cantSplit/>
          <w:trHeight w:val="198"/>
          <w:jc w:val="center"/>
        </w:trPr>
        <w:tc>
          <w:tcPr>
            <w:tcW w:w="2977" w:type="dxa"/>
            <w:tcBorders>
              <w:top w:val="single" w:sz="2" w:space="0" w:color="auto"/>
              <w:bottom w:val="single" w:sz="2" w:space="0" w:color="auto"/>
            </w:tcBorders>
            <w:vAlign w:val="center"/>
          </w:tcPr>
          <w:p w:rsidR="00676CA2" w:rsidRPr="00BD2DEE" w:rsidRDefault="00676CA2" w:rsidP="00676CA2">
            <w:pPr>
              <w:pStyle w:val="texto"/>
              <w:numPr>
                <w:ilvl w:val="0"/>
                <w:numId w:val="16"/>
              </w:numPr>
              <w:spacing w:after="0"/>
              <w:ind w:left="179" w:hanging="269"/>
              <w:jc w:val="left"/>
              <w:rPr>
                <w:rFonts w:ascii="Arial Narrow" w:hAnsi="Arial Narrow"/>
                <w:sz w:val="20"/>
              </w:rPr>
            </w:pPr>
            <w:r>
              <w:rPr>
                <w:rFonts w:ascii="Arial Narrow" w:hAnsi="Arial Narrow"/>
                <w:sz w:val="20"/>
              </w:rPr>
              <w:t xml:space="preserve"> Gastos </w:t>
            </w:r>
            <w:proofErr w:type="spellStart"/>
            <w:r>
              <w:rPr>
                <w:rFonts w:ascii="Arial Narrow" w:hAnsi="Arial Narrow"/>
                <w:sz w:val="20"/>
              </w:rPr>
              <w:t>ctes</w:t>
            </w:r>
            <w:proofErr w:type="spellEnd"/>
            <w:r>
              <w:rPr>
                <w:rFonts w:ascii="Arial Narrow" w:hAnsi="Arial Narrow"/>
                <w:sz w:val="20"/>
              </w:rPr>
              <w:t>. bienes y servicios</w:t>
            </w:r>
          </w:p>
        </w:tc>
        <w:tc>
          <w:tcPr>
            <w:tcW w:w="3260" w:type="dxa"/>
            <w:tcBorders>
              <w:top w:val="single" w:sz="2" w:space="0" w:color="auto"/>
              <w:bottom w:val="single" w:sz="2" w:space="0" w:color="auto"/>
            </w:tcBorders>
            <w:vAlign w:val="center"/>
          </w:tcPr>
          <w:p w:rsidR="00676CA2" w:rsidRPr="00171BA3" w:rsidRDefault="00676CA2" w:rsidP="008217D1">
            <w:pPr>
              <w:spacing w:after="0"/>
              <w:ind w:firstLine="0"/>
              <w:jc w:val="right"/>
              <w:rPr>
                <w:rFonts w:ascii="Arial Narrow" w:hAnsi="Arial Narrow" w:cs="Calibri"/>
                <w:color w:val="000000"/>
                <w:lang w:val="es-ES" w:eastAsia="es-ES"/>
              </w:rPr>
            </w:pPr>
            <w:r w:rsidRPr="00171BA3">
              <w:rPr>
                <w:rFonts w:ascii="Arial Narrow" w:hAnsi="Arial Narrow" w:cs="Calibri"/>
                <w:color w:val="000000"/>
                <w:lang w:val="es-ES" w:eastAsia="es-ES"/>
              </w:rPr>
              <w:t>70.484.065</w:t>
            </w:r>
          </w:p>
        </w:tc>
        <w:tc>
          <w:tcPr>
            <w:tcW w:w="2551" w:type="dxa"/>
            <w:tcBorders>
              <w:top w:val="single" w:sz="2" w:space="0" w:color="auto"/>
              <w:bottom w:val="single" w:sz="2" w:space="0" w:color="auto"/>
            </w:tcBorders>
            <w:vAlign w:val="center"/>
          </w:tcPr>
          <w:p w:rsidR="00676CA2" w:rsidRPr="00171BA3" w:rsidRDefault="00676CA2" w:rsidP="008217D1">
            <w:pPr>
              <w:spacing w:after="0"/>
              <w:ind w:firstLine="0"/>
              <w:jc w:val="right"/>
              <w:rPr>
                <w:rFonts w:ascii="Arial Narrow" w:hAnsi="Arial Narrow" w:cs="Calibri"/>
                <w:color w:val="000000"/>
                <w:lang w:val="es-ES" w:eastAsia="es-ES"/>
              </w:rPr>
            </w:pPr>
            <w:r w:rsidRPr="00171BA3">
              <w:rPr>
                <w:rFonts w:ascii="Arial Narrow" w:hAnsi="Arial Narrow" w:cs="Calibri"/>
                <w:color w:val="000000"/>
                <w:lang w:val="es-ES" w:eastAsia="es-ES"/>
              </w:rPr>
              <w:t>31</w:t>
            </w:r>
          </w:p>
        </w:tc>
      </w:tr>
      <w:tr w:rsidR="00676CA2" w:rsidTr="00374505">
        <w:trPr>
          <w:cantSplit/>
          <w:trHeight w:val="198"/>
          <w:jc w:val="center"/>
        </w:trPr>
        <w:tc>
          <w:tcPr>
            <w:tcW w:w="2977" w:type="dxa"/>
            <w:tcBorders>
              <w:top w:val="single" w:sz="2" w:space="0" w:color="auto"/>
              <w:bottom w:val="single" w:sz="2" w:space="0" w:color="auto"/>
            </w:tcBorders>
            <w:vAlign w:val="center"/>
          </w:tcPr>
          <w:p w:rsidR="00676CA2" w:rsidRPr="00543FA5" w:rsidRDefault="00676CA2" w:rsidP="00676CA2">
            <w:pPr>
              <w:pStyle w:val="texto"/>
              <w:numPr>
                <w:ilvl w:val="0"/>
                <w:numId w:val="16"/>
              </w:numPr>
              <w:spacing w:after="0"/>
              <w:ind w:left="179" w:hanging="269"/>
              <w:jc w:val="left"/>
              <w:rPr>
                <w:rFonts w:ascii="Arial Narrow" w:hAnsi="Arial Narrow"/>
                <w:sz w:val="20"/>
              </w:rPr>
            </w:pPr>
            <w:r>
              <w:rPr>
                <w:rFonts w:ascii="Arial Narrow" w:hAnsi="Arial Narrow"/>
                <w:sz w:val="20"/>
              </w:rPr>
              <w:t xml:space="preserve"> </w:t>
            </w:r>
            <w:r w:rsidRPr="00543FA5">
              <w:rPr>
                <w:rFonts w:ascii="Arial Narrow" w:hAnsi="Arial Narrow"/>
                <w:sz w:val="20"/>
              </w:rPr>
              <w:t>Gastos financieros</w:t>
            </w:r>
          </w:p>
        </w:tc>
        <w:tc>
          <w:tcPr>
            <w:tcW w:w="3260" w:type="dxa"/>
            <w:tcBorders>
              <w:top w:val="single" w:sz="2" w:space="0" w:color="auto"/>
              <w:bottom w:val="single" w:sz="2" w:space="0" w:color="auto"/>
            </w:tcBorders>
            <w:vAlign w:val="center"/>
          </w:tcPr>
          <w:p w:rsidR="00676CA2" w:rsidRPr="00543FA5" w:rsidRDefault="00676CA2" w:rsidP="008217D1">
            <w:pPr>
              <w:spacing w:after="0"/>
              <w:ind w:firstLine="0"/>
              <w:jc w:val="right"/>
              <w:rPr>
                <w:rFonts w:ascii="Arial Narrow" w:hAnsi="Arial Narrow" w:cs="Calibri"/>
                <w:color w:val="000000"/>
                <w:lang w:val="es-ES" w:eastAsia="es-ES"/>
              </w:rPr>
            </w:pPr>
            <w:r w:rsidRPr="00543FA5">
              <w:rPr>
                <w:rFonts w:ascii="Arial Narrow" w:hAnsi="Arial Narrow" w:cs="Calibri"/>
                <w:color w:val="000000"/>
                <w:lang w:val="es-ES" w:eastAsia="es-ES"/>
              </w:rPr>
              <w:t>78.275</w:t>
            </w:r>
          </w:p>
        </w:tc>
        <w:tc>
          <w:tcPr>
            <w:tcW w:w="2551" w:type="dxa"/>
            <w:tcBorders>
              <w:top w:val="single" w:sz="2" w:space="0" w:color="auto"/>
              <w:bottom w:val="single" w:sz="2" w:space="0" w:color="auto"/>
            </w:tcBorders>
            <w:vAlign w:val="center"/>
          </w:tcPr>
          <w:p w:rsidR="00676CA2" w:rsidRPr="00171BA3" w:rsidRDefault="00676CA2" w:rsidP="008217D1">
            <w:pPr>
              <w:spacing w:after="0"/>
              <w:ind w:firstLine="0"/>
              <w:jc w:val="right"/>
              <w:rPr>
                <w:rFonts w:ascii="Arial Narrow" w:hAnsi="Arial Narrow" w:cs="Calibri"/>
                <w:color w:val="000000"/>
                <w:lang w:val="es-ES" w:eastAsia="es-ES"/>
              </w:rPr>
            </w:pPr>
            <w:r w:rsidRPr="00543FA5">
              <w:rPr>
                <w:rFonts w:ascii="Arial Narrow" w:hAnsi="Arial Narrow" w:cs="Calibri"/>
                <w:color w:val="000000"/>
                <w:lang w:val="es-ES" w:eastAsia="es-ES"/>
              </w:rPr>
              <w:t>0</w:t>
            </w:r>
          </w:p>
        </w:tc>
      </w:tr>
      <w:tr w:rsidR="00676CA2" w:rsidTr="00374505">
        <w:trPr>
          <w:cantSplit/>
          <w:trHeight w:val="198"/>
          <w:jc w:val="center"/>
        </w:trPr>
        <w:tc>
          <w:tcPr>
            <w:tcW w:w="2977" w:type="dxa"/>
            <w:tcBorders>
              <w:top w:val="single" w:sz="2" w:space="0" w:color="auto"/>
              <w:bottom w:val="single" w:sz="2" w:space="0" w:color="auto"/>
            </w:tcBorders>
            <w:vAlign w:val="center"/>
          </w:tcPr>
          <w:p w:rsidR="00676CA2" w:rsidRPr="00BD2DEE" w:rsidRDefault="00676CA2" w:rsidP="00676CA2">
            <w:pPr>
              <w:pStyle w:val="texto"/>
              <w:numPr>
                <w:ilvl w:val="0"/>
                <w:numId w:val="16"/>
              </w:numPr>
              <w:spacing w:after="0"/>
              <w:ind w:left="179" w:hanging="269"/>
              <w:jc w:val="left"/>
              <w:rPr>
                <w:rFonts w:ascii="Arial Narrow" w:hAnsi="Arial Narrow"/>
                <w:sz w:val="20"/>
              </w:rPr>
            </w:pPr>
            <w:r>
              <w:rPr>
                <w:rFonts w:ascii="Arial Narrow" w:hAnsi="Arial Narrow"/>
                <w:sz w:val="20"/>
              </w:rPr>
              <w:t xml:space="preserve"> Transferencias corrientes</w:t>
            </w:r>
          </w:p>
        </w:tc>
        <w:tc>
          <w:tcPr>
            <w:tcW w:w="3260" w:type="dxa"/>
            <w:tcBorders>
              <w:top w:val="single" w:sz="2" w:space="0" w:color="auto"/>
              <w:bottom w:val="single" w:sz="2" w:space="0" w:color="auto"/>
            </w:tcBorders>
            <w:vAlign w:val="center"/>
          </w:tcPr>
          <w:p w:rsidR="00676CA2" w:rsidRPr="00171BA3" w:rsidRDefault="00676CA2" w:rsidP="008217D1">
            <w:pPr>
              <w:spacing w:after="0"/>
              <w:ind w:firstLine="0"/>
              <w:jc w:val="right"/>
              <w:rPr>
                <w:rFonts w:ascii="Arial Narrow" w:hAnsi="Arial Narrow" w:cs="Calibri"/>
                <w:color w:val="000000"/>
                <w:lang w:val="es-ES" w:eastAsia="es-ES"/>
              </w:rPr>
            </w:pPr>
            <w:r w:rsidRPr="00171BA3">
              <w:rPr>
                <w:rFonts w:ascii="Arial Narrow" w:hAnsi="Arial Narrow" w:cs="Calibri"/>
                <w:color w:val="000000"/>
                <w:lang w:val="es-ES" w:eastAsia="es-ES"/>
              </w:rPr>
              <w:t>72.058.514</w:t>
            </w:r>
          </w:p>
        </w:tc>
        <w:tc>
          <w:tcPr>
            <w:tcW w:w="2551" w:type="dxa"/>
            <w:tcBorders>
              <w:top w:val="single" w:sz="2" w:space="0" w:color="auto"/>
              <w:bottom w:val="single" w:sz="2" w:space="0" w:color="auto"/>
            </w:tcBorders>
            <w:vAlign w:val="center"/>
          </w:tcPr>
          <w:p w:rsidR="00676CA2" w:rsidRPr="00171BA3" w:rsidRDefault="00676CA2" w:rsidP="008217D1">
            <w:pPr>
              <w:spacing w:after="0"/>
              <w:ind w:firstLine="0"/>
              <w:jc w:val="right"/>
              <w:rPr>
                <w:rFonts w:ascii="Arial Narrow" w:hAnsi="Arial Narrow" w:cs="Calibri"/>
                <w:color w:val="000000"/>
                <w:lang w:val="es-ES" w:eastAsia="es-ES"/>
              </w:rPr>
            </w:pPr>
            <w:r w:rsidRPr="00171BA3">
              <w:rPr>
                <w:rFonts w:ascii="Arial Narrow" w:hAnsi="Arial Narrow" w:cs="Calibri"/>
                <w:color w:val="000000"/>
                <w:lang w:val="es-ES" w:eastAsia="es-ES"/>
              </w:rPr>
              <w:t>32</w:t>
            </w:r>
          </w:p>
        </w:tc>
      </w:tr>
      <w:tr w:rsidR="00676CA2" w:rsidTr="00374505">
        <w:trPr>
          <w:cantSplit/>
          <w:trHeight w:val="198"/>
          <w:jc w:val="center"/>
        </w:trPr>
        <w:tc>
          <w:tcPr>
            <w:tcW w:w="2977" w:type="dxa"/>
            <w:tcBorders>
              <w:top w:val="single" w:sz="2" w:space="0" w:color="auto"/>
              <w:bottom w:val="single" w:sz="2" w:space="0" w:color="auto"/>
            </w:tcBorders>
            <w:vAlign w:val="center"/>
          </w:tcPr>
          <w:p w:rsidR="00676CA2" w:rsidRPr="00BD2DEE" w:rsidRDefault="00676CA2" w:rsidP="00676CA2">
            <w:pPr>
              <w:pStyle w:val="texto"/>
              <w:numPr>
                <w:ilvl w:val="0"/>
                <w:numId w:val="17"/>
              </w:numPr>
              <w:spacing w:after="0"/>
              <w:ind w:left="179" w:hanging="269"/>
              <w:jc w:val="left"/>
              <w:rPr>
                <w:rFonts w:ascii="Arial Narrow" w:hAnsi="Arial Narrow"/>
                <w:sz w:val="20"/>
              </w:rPr>
            </w:pPr>
            <w:r>
              <w:rPr>
                <w:rFonts w:ascii="Arial Narrow" w:hAnsi="Arial Narrow"/>
                <w:sz w:val="20"/>
              </w:rPr>
              <w:t xml:space="preserve"> Inversiones</w:t>
            </w:r>
          </w:p>
        </w:tc>
        <w:tc>
          <w:tcPr>
            <w:tcW w:w="3260" w:type="dxa"/>
            <w:tcBorders>
              <w:top w:val="single" w:sz="2" w:space="0" w:color="auto"/>
              <w:bottom w:val="single" w:sz="2" w:space="0" w:color="auto"/>
            </w:tcBorders>
            <w:vAlign w:val="center"/>
          </w:tcPr>
          <w:p w:rsidR="00676CA2" w:rsidRPr="00171BA3" w:rsidRDefault="00676CA2" w:rsidP="008217D1">
            <w:pPr>
              <w:spacing w:after="0"/>
              <w:ind w:firstLine="0"/>
              <w:jc w:val="right"/>
              <w:rPr>
                <w:rFonts w:ascii="Arial Narrow" w:hAnsi="Arial Narrow" w:cs="Calibri"/>
                <w:color w:val="000000"/>
                <w:lang w:val="es-ES" w:eastAsia="es-ES"/>
              </w:rPr>
            </w:pPr>
            <w:r w:rsidRPr="00171BA3">
              <w:rPr>
                <w:rFonts w:ascii="Arial Narrow" w:hAnsi="Arial Narrow" w:cs="Calibri"/>
                <w:color w:val="000000"/>
                <w:lang w:val="es-ES" w:eastAsia="es-ES"/>
              </w:rPr>
              <w:t>14.828.507</w:t>
            </w:r>
          </w:p>
        </w:tc>
        <w:tc>
          <w:tcPr>
            <w:tcW w:w="2551" w:type="dxa"/>
            <w:tcBorders>
              <w:top w:val="single" w:sz="2" w:space="0" w:color="auto"/>
              <w:bottom w:val="single" w:sz="2" w:space="0" w:color="auto"/>
            </w:tcBorders>
            <w:vAlign w:val="center"/>
          </w:tcPr>
          <w:p w:rsidR="00676CA2" w:rsidRPr="00171BA3" w:rsidRDefault="00676CA2" w:rsidP="008217D1">
            <w:pPr>
              <w:spacing w:after="0"/>
              <w:ind w:firstLine="0"/>
              <w:jc w:val="right"/>
              <w:rPr>
                <w:rFonts w:ascii="Arial Narrow" w:hAnsi="Arial Narrow" w:cs="Calibri"/>
                <w:color w:val="000000"/>
                <w:lang w:val="es-ES" w:eastAsia="es-ES"/>
              </w:rPr>
            </w:pPr>
            <w:r w:rsidRPr="00171BA3">
              <w:rPr>
                <w:rFonts w:ascii="Arial Narrow" w:hAnsi="Arial Narrow" w:cs="Calibri"/>
                <w:color w:val="000000"/>
                <w:lang w:val="es-ES" w:eastAsia="es-ES"/>
              </w:rPr>
              <w:t>7</w:t>
            </w:r>
          </w:p>
        </w:tc>
      </w:tr>
      <w:tr w:rsidR="00676CA2" w:rsidTr="00374505">
        <w:trPr>
          <w:cantSplit/>
          <w:trHeight w:val="198"/>
          <w:jc w:val="center"/>
        </w:trPr>
        <w:tc>
          <w:tcPr>
            <w:tcW w:w="2977" w:type="dxa"/>
            <w:tcBorders>
              <w:top w:val="single" w:sz="2" w:space="0" w:color="auto"/>
              <w:bottom w:val="single" w:sz="2" w:space="0" w:color="auto"/>
            </w:tcBorders>
            <w:vAlign w:val="center"/>
          </w:tcPr>
          <w:p w:rsidR="00676CA2" w:rsidRPr="00BD2DEE" w:rsidRDefault="00676CA2" w:rsidP="00676CA2">
            <w:pPr>
              <w:pStyle w:val="texto"/>
              <w:numPr>
                <w:ilvl w:val="0"/>
                <w:numId w:val="17"/>
              </w:numPr>
              <w:spacing w:after="0" w:line="0" w:lineRule="atLeast"/>
              <w:ind w:left="179" w:hanging="269"/>
              <w:jc w:val="left"/>
              <w:rPr>
                <w:rFonts w:ascii="Arial Narrow" w:hAnsi="Arial Narrow"/>
                <w:sz w:val="20"/>
              </w:rPr>
            </w:pPr>
            <w:r>
              <w:rPr>
                <w:rFonts w:ascii="Arial Narrow" w:hAnsi="Arial Narrow"/>
                <w:sz w:val="20"/>
              </w:rPr>
              <w:t xml:space="preserve"> Transferencias capital</w:t>
            </w:r>
          </w:p>
        </w:tc>
        <w:tc>
          <w:tcPr>
            <w:tcW w:w="3260" w:type="dxa"/>
            <w:tcBorders>
              <w:top w:val="single" w:sz="2" w:space="0" w:color="auto"/>
              <w:bottom w:val="single" w:sz="2" w:space="0" w:color="auto"/>
            </w:tcBorders>
            <w:vAlign w:val="center"/>
          </w:tcPr>
          <w:p w:rsidR="00676CA2" w:rsidRPr="00171BA3" w:rsidRDefault="00676CA2" w:rsidP="008217D1">
            <w:pPr>
              <w:spacing w:after="0"/>
              <w:ind w:firstLine="0"/>
              <w:jc w:val="right"/>
              <w:rPr>
                <w:rFonts w:ascii="Arial Narrow" w:hAnsi="Arial Narrow" w:cs="Calibri"/>
                <w:color w:val="000000"/>
                <w:lang w:val="es-ES" w:eastAsia="es-ES"/>
              </w:rPr>
            </w:pPr>
            <w:r w:rsidRPr="00171BA3">
              <w:rPr>
                <w:rFonts w:ascii="Arial Narrow" w:hAnsi="Arial Narrow" w:cs="Calibri"/>
                <w:color w:val="000000"/>
                <w:lang w:val="es-ES" w:eastAsia="es-ES"/>
              </w:rPr>
              <w:t>15.715.221</w:t>
            </w:r>
          </w:p>
        </w:tc>
        <w:tc>
          <w:tcPr>
            <w:tcW w:w="2551" w:type="dxa"/>
            <w:tcBorders>
              <w:top w:val="single" w:sz="2" w:space="0" w:color="auto"/>
              <w:bottom w:val="single" w:sz="2" w:space="0" w:color="auto"/>
            </w:tcBorders>
            <w:vAlign w:val="center"/>
          </w:tcPr>
          <w:p w:rsidR="00676CA2" w:rsidRPr="00171BA3" w:rsidRDefault="00676CA2" w:rsidP="008217D1">
            <w:pPr>
              <w:spacing w:after="0"/>
              <w:ind w:firstLine="0"/>
              <w:jc w:val="right"/>
              <w:rPr>
                <w:rFonts w:ascii="Arial Narrow" w:hAnsi="Arial Narrow" w:cs="Calibri"/>
                <w:color w:val="000000"/>
                <w:lang w:val="es-ES" w:eastAsia="es-ES"/>
              </w:rPr>
            </w:pPr>
            <w:r w:rsidRPr="00171BA3">
              <w:rPr>
                <w:rFonts w:ascii="Arial Narrow" w:hAnsi="Arial Narrow" w:cs="Calibri"/>
                <w:color w:val="000000"/>
                <w:lang w:val="es-ES" w:eastAsia="es-ES"/>
              </w:rPr>
              <w:t>7</w:t>
            </w:r>
          </w:p>
        </w:tc>
      </w:tr>
      <w:tr w:rsidR="00676CA2" w:rsidTr="00374505">
        <w:trPr>
          <w:cantSplit/>
          <w:trHeight w:val="198"/>
          <w:jc w:val="center"/>
        </w:trPr>
        <w:tc>
          <w:tcPr>
            <w:tcW w:w="2977" w:type="dxa"/>
            <w:tcBorders>
              <w:top w:val="single" w:sz="2" w:space="0" w:color="auto"/>
            </w:tcBorders>
            <w:vAlign w:val="center"/>
          </w:tcPr>
          <w:p w:rsidR="00676CA2" w:rsidRPr="00BD2DEE" w:rsidRDefault="00676CA2" w:rsidP="00676CA2">
            <w:pPr>
              <w:pStyle w:val="texto"/>
              <w:numPr>
                <w:ilvl w:val="0"/>
                <w:numId w:val="17"/>
              </w:numPr>
              <w:spacing w:after="0"/>
              <w:ind w:left="179" w:hanging="269"/>
              <w:jc w:val="left"/>
              <w:rPr>
                <w:rFonts w:ascii="Arial Narrow" w:hAnsi="Arial Narrow"/>
                <w:sz w:val="20"/>
              </w:rPr>
            </w:pPr>
            <w:r>
              <w:rPr>
                <w:rFonts w:ascii="Arial Narrow" w:hAnsi="Arial Narrow"/>
                <w:sz w:val="20"/>
              </w:rPr>
              <w:t xml:space="preserve"> Activos financieros</w:t>
            </w:r>
          </w:p>
        </w:tc>
        <w:tc>
          <w:tcPr>
            <w:tcW w:w="3260" w:type="dxa"/>
            <w:tcBorders>
              <w:top w:val="single" w:sz="2" w:space="0" w:color="auto"/>
            </w:tcBorders>
            <w:vAlign w:val="center"/>
          </w:tcPr>
          <w:p w:rsidR="00676CA2" w:rsidRPr="00171BA3" w:rsidRDefault="00676CA2" w:rsidP="008217D1">
            <w:pPr>
              <w:spacing w:after="0"/>
              <w:ind w:firstLine="0"/>
              <w:jc w:val="right"/>
              <w:rPr>
                <w:rFonts w:ascii="Arial Narrow" w:hAnsi="Arial Narrow" w:cs="Calibri"/>
                <w:color w:val="000000"/>
                <w:lang w:val="es-ES" w:eastAsia="es-ES"/>
              </w:rPr>
            </w:pPr>
            <w:r w:rsidRPr="00171BA3">
              <w:rPr>
                <w:rFonts w:ascii="Arial Narrow" w:hAnsi="Arial Narrow" w:cs="Calibri"/>
                <w:color w:val="000000"/>
                <w:lang w:val="es-ES" w:eastAsia="es-ES"/>
              </w:rPr>
              <w:t>7.000.000</w:t>
            </w:r>
          </w:p>
        </w:tc>
        <w:tc>
          <w:tcPr>
            <w:tcW w:w="2551" w:type="dxa"/>
            <w:tcBorders>
              <w:top w:val="single" w:sz="2" w:space="0" w:color="auto"/>
            </w:tcBorders>
            <w:vAlign w:val="center"/>
          </w:tcPr>
          <w:p w:rsidR="00676CA2" w:rsidRPr="00171BA3" w:rsidRDefault="00676CA2" w:rsidP="008217D1">
            <w:pPr>
              <w:spacing w:after="0"/>
              <w:ind w:firstLine="0"/>
              <w:jc w:val="right"/>
              <w:rPr>
                <w:rFonts w:ascii="Arial Narrow" w:hAnsi="Arial Narrow" w:cs="Calibri"/>
                <w:color w:val="000000"/>
                <w:lang w:val="es-ES" w:eastAsia="es-ES"/>
              </w:rPr>
            </w:pPr>
            <w:r w:rsidRPr="00171BA3">
              <w:rPr>
                <w:rFonts w:ascii="Arial Narrow" w:hAnsi="Arial Narrow" w:cs="Calibri"/>
                <w:color w:val="000000"/>
                <w:lang w:val="es-ES" w:eastAsia="es-ES"/>
              </w:rPr>
              <w:t>3</w:t>
            </w:r>
          </w:p>
        </w:tc>
      </w:tr>
      <w:tr w:rsidR="00676CA2" w:rsidRPr="00171BA3" w:rsidTr="00374505">
        <w:trPr>
          <w:trHeight w:val="255"/>
          <w:jc w:val="center"/>
        </w:trPr>
        <w:tc>
          <w:tcPr>
            <w:tcW w:w="2977" w:type="dxa"/>
            <w:shd w:val="clear" w:color="auto" w:fill="8DB3E2" w:themeFill="text2" w:themeFillTint="66"/>
            <w:vAlign w:val="center"/>
          </w:tcPr>
          <w:p w:rsidR="00676CA2" w:rsidRPr="00171BA3" w:rsidRDefault="00676CA2" w:rsidP="00FF3E46">
            <w:pPr>
              <w:pStyle w:val="cuadroCabe"/>
            </w:pPr>
            <w:r w:rsidRPr="00171BA3">
              <w:t>Total</w:t>
            </w:r>
          </w:p>
        </w:tc>
        <w:tc>
          <w:tcPr>
            <w:tcW w:w="3260" w:type="dxa"/>
            <w:shd w:val="clear" w:color="auto" w:fill="8DB3E2" w:themeFill="text2" w:themeFillTint="66"/>
            <w:vAlign w:val="center"/>
          </w:tcPr>
          <w:p w:rsidR="00676CA2" w:rsidRPr="00171BA3" w:rsidRDefault="00676CA2" w:rsidP="00FF3E46">
            <w:pPr>
              <w:pStyle w:val="cuadroCabe"/>
              <w:jc w:val="right"/>
              <w:rPr>
                <w:color w:val="000000"/>
                <w:lang w:val="es-ES" w:eastAsia="es-ES"/>
              </w:rPr>
            </w:pPr>
            <w:r w:rsidRPr="00171BA3">
              <w:rPr>
                <w:color w:val="000000"/>
                <w:lang w:val="es-ES" w:eastAsia="es-ES"/>
              </w:rPr>
              <w:t>224.969.800</w:t>
            </w:r>
          </w:p>
        </w:tc>
        <w:tc>
          <w:tcPr>
            <w:tcW w:w="2551" w:type="dxa"/>
            <w:shd w:val="clear" w:color="auto" w:fill="8DB3E2" w:themeFill="text2" w:themeFillTint="66"/>
            <w:vAlign w:val="center"/>
          </w:tcPr>
          <w:p w:rsidR="00676CA2" w:rsidRPr="00171BA3" w:rsidRDefault="00676CA2" w:rsidP="00FF3E46">
            <w:pPr>
              <w:pStyle w:val="cuadroCabe"/>
              <w:jc w:val="right"/>
              <w:rPr>
                <w:color w:val="000000"/>
                <w:lang w:val="es-ES" w:eastAsia="es-ES"/>
              </w:rPr>
            </w:pPr>
            <w:r w:rsidRPr="00171BA3">
              <w:rPr>
                <w:color w:val="000000"/>
                <w:lang w:val="es-ES" w:eastAsia="es-ES"/>
              </w:rPr>
              <w:t>100</w:t>
            </w:r>
          </w:p>
        </w:tc>
      </w:tr>
    </w:tbl>
    <w:p w:rsidR="00676CA2" w:rsidRDefault="00676CA2" w:rsidP="00676CA2">
      <w:pPr>
        <w:pStyle w:val="texto"/>
        <w:spacing w:before="240"/>
        <w:rPr>
          <w:szCs w:val="26"/>
        </w:rPr>
      </w:pPr>
      <w:r>
        <w:rPr>
          <w:szCs w:val="26"/>
        </w:rPr>
        <w:t>El importe más relevante corresponde a los gastos en transferencias corrie</w:t>
      </w:r>
      <w:r>
        <w:rPr>
          <w:szCs w:val="26"/>
        </w:rPr>
        <w:t>n</w:t>
      </w:r>
      <w:r>
        <w:rPr>
          <w:szCs w:val="26"/>
        </w:rPr>
        <w:t>tes con 72,06 millones (32 por ciento del total), seguido del referido a gastos corrientes en bienes y servicios y personal</w:t>
      </w:r>
      <w:r w:rsidR="00845FF6">
        <w:rPr>
          <w:szCs w:val="26"/>
        </w:rPr>
        <w:t>,</w:t>
      </w:r>
      <w:r>
        <w:rPr>
          <w:szCs w:val="26"/>
        </w:rPr>
        <w:t xml:space="preserve"> con 70,48 y 44,81 millones respe</w:t>
      </w:r>
      <w:r>
        <w:rPr>
          <w:szCs w:val="26"/>
        </w:rPr>
        <w:t>c</w:t>
      </w:r>
      <w:r>
        <w:rPr>
          <w:szCs w:val="26"/>
        </w:rPr>
        <w:t>tivamente (31 y 20 por ciento del gasto total).</w:t>
      </w:r>
    </w:p>
    <w:p w:rsidR="00676CA2" w:rsidRDefault="00676CA2" w:rsidP="00676CA2">
      <w:pPr>
        <w:spacing w:after="0"/>
        <w:ind w:firstLine="0"/>
        <w:jc w:val="left"/>
        <w:rPr>
          <w:spacing w:val="6"/>
          <w:sz w:val="26"/>
          <w:szCs w:val="26"/>
        </w:rPr>
      </w:pPr>
      <w:r>
        <w:rPr>
          <w:szCs w:val="26"/>
        </w:rPr>
        <w:br w:type="page"/>
      </w:r>
    </w:p>
    <w:p w:rsidR="00676CA2" w:rsidRDefault="00676CA2" w:rsidP="00676CA2">
      <w:pPr>
        <w:pStyle w:val="texto"/>
        <w:spacing w:before="120" w:after="240"/>
        <w:rPr>
          <w:szCs w:val="26"/>
        </w:rPr>
      </w:pPr>
      <w:r>
        <w:rPr>
          <w:szCs w:val="26"/>
        </w:rPr>
        <w:lastRenderedPageBreak/>
        <w:t>Mostramos a continuación la distribución del gasto por departamento:</w:t>
      </w:r>
    </w:p>
    <w:tbl>
      <w:tblPr>
        <w:tblW w:w="5000" w:type="pct"/>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3916"/>
        <w:gridCol w:w="5013"/>
      </w:tblGrid>
      <w:tr w:rsidR="00676CA2" w:rsidRPr="00BD2DEE" w:rsidTr="002A78B6">
        <w:trPr>
          <w:trHeight w:val="255"/>
        </w:trPr>
        <w:tc>
          <w:tcPr>
            <w:tcW w:w="2193" w:type="pct"/>
            <w:shd w:val="clear" w:color="auto" w:fill="8DB3E2" w:themeFill="text2" w:themeFillTint="66"/>
            <w:noWrap/>
            <w:vAlign w:val="center"/>
            <w:hideMark/>
          </w:tcPr>
          <w:p w:rsidR="00676CA2" w:rsidRPr="00BD2DEE" w:rsidRDefault="00676CA2" w:rsidP="00FF3E46">
            <w:pPr>
              <w:pStyle w:val="cuadroCabe"/>
            </w:pPr>
            <w:r w:rsidRPr="00BD2DEE">
              <w:t>Departamento</w:t>
            </w:r>
          </w:p>
        </w:tc>
        <w:tc>
          <w:tcPr>
            <w:tcW w:w="2807" w:type="pct"/>
            <w:shd w:val="clear" w:color="auto" w:fill="8DB3E2" w:themeFill="text2" w:themeFillTint="66"/>
            <w:noWrap/>
            <w:vAlign w:val="center"/>
            <w:hideMark/>
          </w:tcPr>
          <w:p w:rsidR="00676CA2" w:rsidRPr="00BD2DEE" w:rsidRDefault="00676CA2" w:rsidP="00FF3E46">
            <w:pPr>
              <w:pStyle w:val="cuadroCabe"/>
              <w:jc w:val="right"/>
            </w:pPr>
            <w:r>
              <w:t>Obligaciones Reconocidas Netas</w:t>
            </w:r>
          </w:p>
        </w:tc>
      </w:tr>
      <w:tr w:rsidR="00676CA2" w:rsidRPr="00BD2DEE" w:rsidTr="00374505">
        <w:trPr>
          <w:trHeight w:val="198"/>
        </w:trPr>
        <w:tc>
          <w:tcPr>
            <w:tcW w:w="2193" w:type="pct"/>
            <w:tcBorders>
              <w:bottom w:val="single" w:sz="2" w:space="0" w:color="auto"/>
            </w:tcBorders>
            <w:vAlign w:val="center"/>
            <w:hideMark/>
          </w:tcPr>
          <w:p w:rsidR="00676CA2" w:rsidRDefault="00676CA2" w:rsidP="00374505">
            <w:pPr>
              <w:spacing w:after="0"/>
              <w:ind w:firstLine="0"/>
              <w:jc w:val="left"/>
              <w:rPr>
                <w:rFonts w:ascii="Arial Narrow" w:hAnsi="Arial Narrow" w:cs="Calibri"/>
                <w:color w:val="000000"/>
                <w:lang w:val="es-ES" w:eastAsia="es-ES"/>
              </w:rPr>
            </w:pPr>
            <w:r>
              <w:rPr>
                <w:rFonts w:ascii="Arial Narrow" w:hAnsi="Arial Narrow" w:cs="Calibri"/>
                <w:color w:val="000000"/>
              </w:rPr>
              <w:t>Salud</w:t>
            </w:r>
          </w:p>
        </w:tc>
        <w:tc>
          <w:tcPr>
            <w:tcW w:w="2807" w:type="pct"/>
            <w:tcBorders>
              <w:bottom w:val="single" w:sz="2" w:space="0" w:color="auto"/>
            </w:tcBorders>
            <w:noWrap/>
            <w:vAlign w:val="center"/>
            <w:hideMark/>
          </w:tcPr>
          <w:p w:rsidR="00676CA2" w:rsidRDefault="00676CA2" w:rsidP="00374505">
            <w:pPr>
              <w:spacing w:after="0"/>
              <w:jc w:val="right"/>
              <w:rPr>
                <w:rFonts w:ascii="Arial Narrow" w:hAnsi="Arial Narrow" w:cs="Calibri"/>
                <w:color w:val="000000"/>
              </w:rPr>
            </w:pPr>
            <w:r>
              <w:rPr>
                <w:rFonts w:ascii="Arial Narrow" w:hAnsi="Arial Narrow" w:cs="Calibri"/>
                <w:color w:val="000000"/>
              </w:rPr>
              <w:t>100.670.276</w:t>
            </w:r>
          </w:p>
        </w:tc>
      </w:tr>
      <w:tr w:rsidR="00676CA2" w:rsidRPr="00BD2DEE" w:rsidTr="00374505">
        <w:trPr>
          <w:trHeight w:val="198"/>
        </w:trPr>
        <w:tc>
          <w:tcPr>
            <w:tcW w:w="2193" w:type="pct"/>
            <w:tcBorders>
              <w:top w:val="single" w:sz="2" w:space="0" w:color="auto"/>
              <w:bottom w:val="single" w:sz="2" w:space="0" w:color="auto"/>
              <w:right w:val="nil"/>
            </w:tcBorders>
            <w:vAlign w:val="center"/>
            <w:hideMark/>
          </w:tcPr>
          <w:p w:rsidR="00676CA2" w:rsidRDefault="00676CA2" w:rsidP="00374505">
            <w:pPr>
              <w:spacing w:after="0"/>
              <w:ind w:firstLine="0"/>
              <w:jc w:val="left"/>
              <w:rPr>
                <w:rFonts w:ascii="Arial Narrow" w:hAnsi="Arial Narrow" w:cs="Calibri"/>
                <w:color w:val="000000"/>
              </w:rPr>
            </w:pPr>
            <w:r>
              <w:rPr>
                <w:rFonts w:ascii="Arial Narrow" w:hAnsi="Arial Narrow" w:cs="Calibri"/>
                <w:color w:val="000000"/>
              </w:rPr>
              <w:t>Desarrollo Económico y Empresarial</w:t>
            </w:r>
          </w:p>
        </w:tc>
        <w:tc>
          <w:tcPr>
            <w:tcW w:w="2807" w:type="pct"/>
            <w:tcBorders>
              <w:top w:val="single" w:sz="2" w:space="0" w:color="auto"/>
              <w:left w:val="nil"/>
              <w:bottom w:val="single" w:sz="2" w:space="0" w:color="auto"/>
              <w:right w:val="nil"/>
            </w:tcBorders>
            <w:noWrap/>
            <w:vAlign w:val="center"/>
            <w:hideMark/>
          </w:tcPr>
          <w:p w:rsidR="00676CA2" w:rsidRDefault="00676CA2" w:rsidP="00374505">
            <w:pPr>
              <w:spacing w:after="0"/>
              <w:jc w:val="right"/>
              <w:rPr>
                <w:rFonts w:ascii="Arial Narrow" w:hAnsi="Arial Narrow" w:cs="Calibri"/>
                <w:color w:val="000000"/>
              </w:rPr>
            </w:pPr>
            <w:r>
              <w:rPr>
                <w:rFonts w:ascii="Arial Narrow" w:hAnsi="Arial Narrow" w:cs="Calibri"/>
                <w:color w:val="000000"/>
              </w:rPr>
              <w:t>42.539.783</w:t>
            </w:r>
          </w:p>
        </w:tc>
      </w:tr>
      <w:tr w:rsidR="00676CA2" w:rsidRPr="00BD2DEE" w:rsidTr="00374505">
        <w:trPr>
          <w:trHeight w:val="198"/>
        </w:trPr>
        <w:tc>
          <w:tcPr>
            <w:tcW w:w="2193" w:type="pct"/>
            <w:tcBorders>
              <w:top w:val="single" w:sz="2" w:space="0" w:color="auto"/>
              <w:bottom w:val="single" w:sz="2" w:space="0" w:color="auto"/>
              <w:right w:val="nil"/>
            </w:tcBorders>
            <w:vAlign w:val="center"/>
            <w:hideMark/>
          </w:tcPr>
          <w:p w:rsidR="00676CA2" w:rsidRDefault="00676CA2" w:rsidP="00374505">
            <w:pPr>
              <w:spacing w:after="0"/>
              <w:ind w:firstLine="0"/>
              <w:jc w:val="left"/>
              <w:rPr>
                <w:rFonts w:ascii="Arial Narrow" w:hAnsi="Arial Narrow" w:cs="Calibri"/>
                <w:color w:val="000000"/>
              </w:rPr>
            </w:pPr>
            <w:r>
              <w:rPr>
                <w:rFonts w:ascii="Arial Narrow" w:hAnsi="Arial Narrow" w:cs="Calibri"/>
                <w:color w:val="000000"/>
              </w:rPr>
              <w:t>Cohesión Territorial</w:t>
            </w:r>
          </w:p>
        </w:tc>
        <w:tc>
          <w:tcPr>
            <w:tcW w:w="2807" w:type="pct"/>
            <w:tcBorders>
              <w:top w:val="single" w:sz="2" w:space="0" w:color="auto"/>
              <w:left w:val="nil"/>
              <w:bottom w:val="single" w:sz="2" w:space="0" w:color="auto"/>
              <w:right w:val="nil"/>
            </w:tcBorders>
            <w:noWrap/>
            <w:vAlign w:val="center"/>
            <w:hideMark/>
          </w:tcPr>
          <w:p w:rsidR="00676CA2" w:rsidRDefault="00676CA2" w:rsidP="00374505">
            <w:pPr>
              <w:spacing w:after="0"/>
              <w:jc w:val="right"/>
              <w:rPr>
                <w:rFonts w:ascii="Arial Narrow" w:hAnsi="Arial Narrow" w:cs="Calibri"/>
                <w:color w:val="000000"/>
              </w:rPr>
            </w:pPr>
            <w:r>
              <w:rPr>
                <w:rFonts w:ascii="Arial Narrow" w:hAnsi="Arial Narrow" w:cs="Calibri"/>
                <w:color w:val="000000"/>
              </w:rPr>
              <w:t>26.383.821</w:t>
            </w:r>
          </w:p>
        </w:tc>
      </w:tr>
      <w:tr w:rsidR="00676CA2" w:rsidRPr="00BD2DEE" w:rsidTr="00374505">
        <w:trPr>
          <w:trHeight w:val="198"/>
        </w:trPr>
        <w:tc>
          <w:tcPr>
            <w:tcW w:w="2193" w:type="pct"/>
            <w:tcBorders>
              <w:top w:val="single" w:sz="2" w:space="0" w:color="auto"/>
              <w:bottom w:val="single" w:sz="2" w:space="0" w:color="auto"/>
              <w:right w:val="nil"/>
            </w:tcBorders>
            <w:vAlign w:val="center"/>
            <w:hideMark/>
          </w:tcPr>
          <w:p w:rsidR="00676CA2" w:rsidRDefault="00676CA2" w:rsidP="00374505">
            <w:pPr>
              <w:spacing w:after="0"/>
              <w:ind w:firstLine="0"/>
              <w:jc w:val="left"/>
              <w:rPr>
                <w:rFonts w:ascii="Arial Narrow" w:hAnsi="Arial Narrow" w:cs="Calibri"/>
                <w:color w:val="000000"/>
              </w:rPr>
            </w:pPr>
            <w:r>
              <w:rPr>
                <w:rFonts w:ascii="Arial Narrow" w:hAnsi="Arial Narrow" w:cs="Calibri"/>
                <w:color w:val="000000"/>
              </w:rPr>
              <w:t xml:space="preserve">Educación </w:t>
            </w:r>
          </w:p>
        </w:tc>
        <w:tc>
          <w:tcPr>
            <w:tcW w:w="2807" w:type="pct"/>
            <w:tcBorders>
              <w:top w:val="single" w:sz="2" w:space="0" w:color="auto"/>
              <w:left w:val="nil"/>
              <w:bottom w:val="single" w:sz="2" w:space="0" w:color="auto"/>
              <w:right w:val="nil"/>
            </w:tcBorders>
            <w:noWrap/>
            <w:vAlign w:val="center"/>
            <w:hideMark/>
          </w:tcPr>
          <w:p w:rsidR="00676CA2" w:rsidRDefault="00676CA2" w:rsidP="00374505">
            <w:pPr>
              <w:spacing w:after="0"/>
              <w:jc w:val="right"/>
              <w:rPr>
                <w:rFonts w:ascii="Arial Narrow" w:hAnsi="Arial Narrow" w:cs="Calibri"/>
                <w:color w:val="000000"/>
              </w:rPr>
            </w:pPr>
            <w:r>
              <w:rPr>
                <w:rFonts w:ascii="Arial Narrow" w:hAnsi="Arial Narrow" w:cs="Calibri"/>
                <w:color w:val="000000"/>
              </w:rPr>
              <w:t>18.263.125</w:t>
            </w:r>
          </w:p>
        </w:tc>
      </w:tr>
      <w:tr w:rsidR="00676CA2" w:rsidRPr="00BD2DEE" w:rsidTr="00374505">
        <w:trPr>
          <w:trHeight w:val="198"/>
        </w:trPr>
        <w:tc>
          <w:tcPr>
            <w:tcW w:w="2193" w:type="pct"/>
            <w:tcBorders>
              <w:top w:val="single" w:sz="2" w:space="0" w:color="auto"/>
              <w:bottom w:val="single" w:sz="2" w:space="0" w:color="auto"/>
              <w:right w:val="nil"/>
            </w:tcBorders>
            <w:vAlign w:val="center"/>
            <w:hideMark/>
          </w:tcPr>
          <w:p w:rsidR="00676CA2" w:rsidRDefault="00676CA2" w:rsidP="00374505">
            <w:pPr>
              <w:spacing w:after="0"/>
              <w:ind w:firstLine="0"/>
              <w:jc w:val="left"/>
              <w:rPr>
                <w:rFonts w:ascii="Arial Narrow" w:hAnsi="Arial Narrow" w:cs="Calibri"/>
                <w:color w:val="000000"/>
              </w:rPr>
            </w:pPr>
            <w:r>
              <w:rPr>
                <w:rFonts w:ascii="Arial Narrow" w:hAnsi="Arial Narrow" w:cs="Calibri"/>
                <w:color w:val="000000"/>
              </w:rPr>
              <w:t>Derechos Sociales</w:t>
            </w:r>
          </w:p>
        </w:tc>
        <w:tc>
          <w:tcPr>
            <w:tcW w:w="2807" w:type="pct"/>
            <w:tcBorders>
              <w:top w:val="single" w:sz="2" w:space="0" w:color="auto"/>
              <w:left w:val="nil"/>
              <w:bottom w:val="single" w:sz="2" w:space="0" w:color="auto"/>
              <w:right w:val="nil"/>
            </w:tcBorders>
            <w:noWrap/>
            <w:vAlign w:val="center"/>
            <w:hideMark/>
          </w:tcPr>
          <w:p w:rsidR="00676CA2" w:rsidRDefault="00676CA2" w:rsidP="00374505">
            <w:pPr>
              <w:spacing w:after="0"/>
              <w:jc w:val="right"/>
              <w:rPr>
                <w:rFonts w:ascii="Arial Narrow" w:hAnsi="Arial Narrow" w:cs="Calibri"/>
                <w:color w:val="000000"/>
              </w:rPr>
            </w:pPr>
            <w:r>
              <w:rPr>
                <w:rFonts w:ascii="Arial Narrow" w:hAnsi="Arial Narrow" w:cs="Calibri"/>
                <w:color w:val="000000"/>
              </w:rPr>
              <w:t>17.290.231</w:t>
            </w:r>
          </w:p>
        </w:tc>
      </w:tr>
      <w:tr w:rsidR="00676CA2" w:rsidRPr="00BD2DEE" w:rsidTr="00374505">
        <w:trPr>
          <w:trHeight w:val="198"/>
        </w:trPr>
        <w:tc>
          <w:tcPr>
            <w:tcW w:w="2193" w:type="pct"/>
            <w:tcBorders>
              <w:top w:val="single" w:sz="2" w:space="0" w:color="auto"/>
              <w:bottom w:val="single" w:sz="2" w:space="0" w:color="auto"/>
              <w:right w:val="nil"/>
            </w:tcBorders>
            <w:vAlign w:val="center"/>
            <w:hideMark/>
          </w:tcPr>
          <w:p w:rsidR="00676CA2" w:rsidRDefault="00676CA2" w:rsidP="00374505">
            <w:pPr>
              <w:spacing w:after="0"/>
              <w:ind w:firstLine="0"/>
              <w:jc w:val="left"/>
              <w:rPr>
                <w:rFonts w:ascii="Arial Narrow" w:hAnsi="Arial Narrow" w:cs="Calibri"/>
                <w:color w:val="000000"/>
              </w:rPr>
            </w:pPr>
            <w:r>
              <w:rPr>
                <w:rFonts w:ascii="Arial Narrow" w:hAnsi="Arial Narrow" w:cs="Calibri"/>
                <w:color w:val="000000"/>
              </w:rPr>
              <w:t>Economía y Hacienda</w:t>
            </w:r>
          </w:p>
        </w:tc>
        <w:tc>
          <w:tcPr>
            <w:tcW w:w="2807" w:type="pct"/>
            <w:tcBorders>
              <w:top w:val="single" w:sz="2" w:space="0" w:color="auto"/>
              <w:left w:val="nil"/>
              <w:bottom w:val="single" w:sz="2" w:space="0" w:color="auto"/>
              <w:right w:val="nil"/>
            </w:tcBorders>
            <w:noWrap/>
            <w:vAlign w:val="center"/>
            <w:hideMark/>
          </w:tcPr>
          <w:p w:rsidR="00676CA2" w:rsidRDefault="00676CA2" w:rsidP="00374505">
            <w:pPr>
              <w:spacing w:after="0"/>
              <w:jc w:val="right"/>
              <w:rPr>
                <w:rFonts w:ascii="Arial Narrow" w:hAnsi="Arial Narrow" w:cs="Calibri"/>
                <w:color w:val="000000"/>
              </w:rPr>
            </w:pPr>
            <w:r>
              <w:rPr>
                <w:rFonts w:ascii="Arial Narrow" w:hAnsi="Arial Narrow" w:cs="Calibri"/>
                <w:color w:val="000000"/>
              </w:rPr>
              <w:t>8.988.487</w:t>
            </w:r>
          </w:p>
        </w:tc>
      </w:tr>
      <w:tr w:rsidR="00676CA2" w:rsidRPr="00BD2DEE" w:rsidTr="00374505">
        <w:trPr>
          <w:trHeight w:val="198"/>
        </w:trPr>
        <w:tc>
          <w:tcPr>
            <w:tcW w:w="2193" w:type="pct"/>
            <w:tcBorders>
              <w:top w:val="single" w:sz="2" w:space="0" w:color="auto"/>
              <w:bottom w:val="single" w:sz="2" w:space="0" w:color="auto"/>
              <w:right w:val="nil"/>
            </w:tcBorders>
            <w:vAlign w:val="center"/>
            <w:hideMark/>
          </w:tcPr>
          <w:p w:rsidR="00676CA2" w:rsidRDefault="00676CA2" w:rsidP="00374505">
            <w:pPr>
              <w:spacing w:after="0"/>
              <w:ind w:firstLine="0"/>
              <w:jc w:val="left"/>
              <w:rPr>
                <w:rFonts w:ascii="Arial Narrow" w:hAnsi="Arial Narrow" w:cs="Calibri"/>
                <w:color w:val="000000"/>
              </w:rPr>
            </w:pPr>
            <w:r>
              <w:rPr>
                <w:rFonts w:ascii="Arial Narrow" w:hAnsi="Arial Narrow" w:cs="Calibri"/>
                <w:color w:val="000000"/>
              </w:rPr>
              <w:t xml:space="preserve">Universidad, Innovación y </w:t>
            </w:r>
            <w:proofErr w:type="spellStart"/>
            <w:r>
              <w:rPr>
                <w:rFonts w:ascii="Arial Narrow" w:hAnsi="Arial Narrow" w:cs="Calibri"/>
                <w:color w:val="000000"/>
              </w:rPr>
              <w:t>Transf</w:t>
            </w:r>
            <w:proofErr w:type="spellEnd"/>
            <w:r>
              <w:rPr>
                <w:rFonts w:ascii="Arial Narrow" w:hAnsi="Arial Narrow" w:cs="Calibri"/>
                <w:color w:val="000000"/>
              </w:rPr>
              <w:t>. Digital</w:t>
            </w:r>
          </w:p>
        </w:tc>
        <w:tc>
          <w:tcPr>
            <w:tcW w:w="2807" w:type="pct"/>
            <w:tcBorders>
              <w:top w:val="single" w:sz="2" w:space="0" w:color="auto"/>
              <w:left w:val="nil"/>
              <w:bottom w:val="single" w:sz="2" w:space="0" w:color="auto"/>
              <w:right w:val="nil"/>
            </w:tcBorders>
            <w:noWrap/>
            <w:vAlign w:val="center"/>
            <w:hideMark/>
          </w:tcPr>
          <w:p w:rsidR="00676CA2" w:rsidRDefault="00676CA2" w:rsidP="00374505">
            <w:pPr>
              <w:spacing w:after="0"/>
              <w:jc w:val="right"/>
              <w:rPr>
                <w:rFonts w:ascii="Arial Narrow" w:hAnsi="Arial Narrow" w:cs="Calibri"/>
                <w:color w:val="000000"/>
              </w:rPr>
            </w:pPr>
            <w:r>
              <w:rPr>
                <w:rFonts w:ascii="Arial Narrow" w:hAnsi="Arial Narrow" w:cs="Calibri"/>
                <w:color w:val="000000"/>
              </w:rPr>
              <w:t>4.488.860</w:t>
            </w:r>
          </w:p>
        </w:tc>
      </w:tr>
      <w:tr w:rsidR="00676CA2" w:rsidRPr="00BD2DEE" w:rsidTr="00374505">
        <w:trPr>
          <w:trHeight w:val="198"/>
        </w:trPr>
        <w:tc>
          <w:tcPr>
            <w:tcW w:w="2193" w:type="pct"/>
            <w:tcBorders>
              <w:top w:val="single" w:sz="2" w:space="0" w:color="auto"/>
              <w:bottom w:val="single" w:sz="2" w:space="0" w:color="auto"/>
              <w:right w:val="nil"/>
            </w:tcBorders>
            <w:vAlign w:val="center"/>
            <w:hideMark/>
          </w:tcPr>
          <w:p w:rsidR="00676CA2" w:rsidRDefault="00676CA2" w:rsidP="00374505">
            <w:pPr>
              <w:spacing w:after="0"/>
              <w:ind w:firstLine="0"/>
              <w:jc w:val="left"/>
              <w:rPr>
                <w:rFonts w:ascii="Arial Narrow" w:hAnsi="Arial Narrow" w:cs="Calibri"/>
                <w:color w:val="000000"/>
              </w:rPr>
            </w:pPr>
            <w:r>
              <w:rPr>
                <w:rFonts w:ascii="Arial Narrow" w:hAnsi="Arial Narrow" w:cs="Calibri"/>
                <w:color w:val="000000"/>
              </w:rPr>
              <w:t>Desarrollo Rural y Medio Ambiente</w:t>
            </w:r>
          </w:p>
        </w:tc>
        <w:tc>
          <w:tcPr>
            <w:tcW w:w="2807" w:type="pct"/>
            <w:tcBorders>
              <w:top w:val="single" w:sz="2" w:space="0" w:color="auto"/>
              <w:left w:val="nil"/>
              <w:bottom w:val="single" w:sz="2" w:space="0" w:color="auto"/>
              <w:right w:val="nil"/>
            </w:tcBorders>
            <w:noWrap/>
            <w:vAlign w:val="center"/>
            <w:hideMark/>
          </w:tcPr>
          <w:p w:rsidR="00676CA2" w:rsidRDefault="00676CA2" w:rsidP="00374505">
            <w:pPr>
              <w:spacing w:after="0"/>
              <w:jc w:val="right"/>
              <w:rPr>
                <w:rFonts w:ascii="Arial Narrow" w:hAnsi="Arial Narrow" w:cs="Calibri"/>
                <w:color w:val="000000"/>
              </w:rPr>
            </w:pPr>
            <w:r>
              <w:rPr>
                <w:rFonts w:ascii="Arial Narrow" w:hAnsi="Arial Narrow" w:cs="Calibri"/>
                <w:color w:val="000000"/>
              </w:rPr>
              <w:t>3.270.521</w:t>
            </w:r>
          </w:p>
        </w:tc>
      </w:tr>
      <w:tr w:rsidR="00676CA2" w:rsidRPr="00BD2DEE" w:rsidTr="00374505">
        <w:trPr>
          <w:trHeight w:val="198"/>
        </w:trPr>
        <w:tc>
          <w:tcPr>
            <w:tcW w:w="2193" w:type="pct"/>
            <w:tcBorders>
              <w:top w:val="single" w:sz="2" w:space="0" w:color="auto"/>
              <w:bottom w:val="single" w:sz="2" w:space="0" w:color="auto"/>
              <w:right w:val="nil"/>
            </w:tcBorders>
            <w:vAlign w:val="center"/>
            <w:hideMark/>
          </w:tcPr>
          <w:p w:rsidR="00676CA2" w:rsidRDefault="00676CA2" w:rsidP="00374505">
            <w:pPr>
              <w:spacing w:after="0"/>
              <w:ind w:firstLine="0"/>
              <w:jc w:val="left"/>
              <w:rPr>
                <w:rFonts w:ascii="Arial Narrow" w:hAnsi="Arial Narrow" w:cs="Calibri"/>
                <w:color w:val="000000"/>
              </w:rPr>
            </w:pPr>
            <w:r>
              <w:rPr>
                <w:rFonts w:ascii="Arial Narrow" w:hAnsi="Arial Narrow" w:cs="Calibri"/>
                <w:color w:val="000000"/>
              </w:rPr>
              <w:t>Presidencia, Igualdad, Función Pública e Interior</w:t>
            </w:r>
          </w:p>
        </w:tc>
        <w:tc>
          <w:tcPr>
            <w:tcW w:w="2807" w:type="pct"/>
            <w:tcBorders>
              <w:top w:val="single" w:sz="2" w:space="0" w:color="auto"/>
              <w:left w:val="nil"/>
              <w:bottom w:val="single" w:sz="2" w:space="0" w:color="auto"/>
              <w:right w:val="nil"/>
            </w:tcBorders>
            <w:noWrap/>
            <w:vAlign w:val="center"/>
            <w:hideMark/>
          </w:tcPr>
          <w:p w:rsidR="00676CA2" w:rsidRDefault="00676CA2" w:rsidP="00374505">
            <w:pPr>
              <w:spacing w:after="0"/>
              <w:jc w:val="right"/>
              <w:rPr>
                <w:rFonts w:ascii="Arial Narrow" w:hAnsi="Arial Narrow" w:cs="Calibri"/>
                <w:color w:val="000000"/>
              </w:rPr>
            </w:pPr>
            <w:r>
              <w:rPr>
                <w:rFonts w:ascii="Arial Narrow" w:hAnsi="Arial Narrow" w:cs="Calibri"/>
                <w:color w:val="000000"/>
              </w:rPr>
              <w:t>1.753.820</w:t>
            </w:r>
          </w:p>
        </w:tc>
      </w:tr>
      <w:tr w:rsidR="00676CA2" w:rsidRPr="00BD2DEE" w:rsidTr="00374505">
        <w:trPr>
          <w:trHeight w:val="198"/>
        </w:trPr>
        <w:tc>
          <w:tcPr>
            <w:tcW w:w="2193" w:type="pct"/>
            <w:tcBorders>
              <w:top w:val="single" w:sz="2" w:space="0" w:color="auto"/>
              <w:bottom w:val="single" w:sz="2" w:space="0" w:color="auto"/>
              <w:right w:val="nil"/>
            </w:tcBorders>
            <w:vAlign w:val="center"/>
            <w:hideMark/>
          </w:tcPr>
          <w:p w:rsidR="00676CA2" w:rsidRDefault="00676CA2" w:rsidP="00374505">
            <w:pPr>
              <w:spacing w:after="0"/>
              <w:ind w:firstLine="0"/>
              <w:jc w:val="left"/>
              <w:rPr>
                <w:rFonts w:ascii="Arial Narrow" w:hAnsi="Arial Narrow" w:cs="Calibri"/>
                <w:color w:val="000000"/>
              </w:rPr>
            </w:pPr>
            <w:r>
              <w:rPr>
                <w:rFonts w:ascii="Arial Narrow" w:hAnsi="Arial Narrow" w:cs="Calibri"/>
                <w:color w:val="000000"/>
              </w:rPr>
              <w:t xml:space="preserve">Ord. </w:t>
            </w:r>
            <w:proofErr w:type="spellStart"/>
            <w:r>
              <w:rPr>
                <w:rFonts w:ascii="Arial Narrow" w:hAnsi="Arial Narrow" w:cs="Calibri"/>
                <w:color w:val="000000"/>
              </w:rPr>
              <w:t>Territ</w:t>
            </w:r>
            <w:proofErr w:type="spellEnd"/>
            <w:r>
              <w:rPr>
                <w:rFonts w:ascii="Arial Narrow" w:hAnsi="Arial Narrow" w:cs="Calibri"/>
                <w:color w:val="000000"/>
              </w:rPr>
              <w:t xml:space="preserve">., </w:t>
            </w:r>
            <w:proofErr w:type="spellStart"/>
            <w:r>
              <w:rPr>
                <w:rFonts w:ascii="Arial Narrow" w:hAnsi="Arial Narrow" w:cs="Calibri"/>
                <w:color w:val="000000"/>
              </w:rPr>
              <w:t>Viv</w:t>
            </w:r>
            <w:proofErr w:type="spellEnd"/>
            <w:r>
              <w:rPr>
                <w:rFonts w:ascii="Arial Narrow" w:hAnsi="Arial Narrow" w:cs="Calibri"/>
                <w:color w:val="000000"/>
              </w:rPr>
              <w:t xml:space="preserve">., Paisaje y </w:t>
            </w:r>
            <w:proofErr w:type="spellStart"/>
            <w:r>
              <w:rPr>
                <w:rFonts w:ascii="Arial Narrow" w:hAnsi="Arial Narrow" w:cs="Calibri"/>
                <w:color w:val="000000"/>
              </w:rPr>
              <w:t>Proy</w:t>
            </w:r>
            <w:proofErr w:type="spellEnd"/>
            <w:r>
              <w:rPr>
                <w:rFonts w:ascii="Arial Narrow" w:hAnsi="Arial Narrow" w:cs="Calibri"/>
                <w:color w:val="000000"/>
              </w:rPr>
              <w:t>. Estratégicos</w:t>
            </w:r>
          </w:p>
        </w:tc>
        <w:tc>
          <w:tcPr>
            <w:tcW w:w="2807" w:type="pct"/>
            <w:tcBorders>
              <w:top w:val="single" w:sz="2" w:space="0" w:color="auto"/>
              <w:left w:val="nil"/>
              <w:bottom w:val="single" w:sz="2" w:space="0" w:color="auto"/>
              <w:right w:val="nil"/>
            </w:tcBorders>
            <w:noWrap/>
            <w:vAlign w:val="center"/>
            <w:hideMark/>
          </w:tcPr>
          <w:p w:rsidR="00676CA2" w:rsidRDefault="00676CA2" w:rsidP="00374505">
            <w:pPr>
              <w:spacing w:after="0"/>
              <w:jc w:val="right"/>
              <w:rPr>
                <w:rFonts w:ascii="Arial Narrow" w:hAnsi="Arial Narrow" w:cs="Calibri"/>
                <w:color w:val="000000"/>
              </w:rPr>
            </w:pPr>
            <w:r>
              <w:rPr>
                <w:rFonts w:ascii="Arial Narrow" w:hAnsi="Arial Narrow" w:cs="Calibri"/>
                <w:color w:val="000000"/>
              </w:rPr>
              <w:t>758.079</w:t>
            </w:r>
          </w:p>
        </w:tc>
      </w:tr>
      <w:tr w:rsidR="00676CA2" w:rsidRPr="00BD2DEE" w:rsidTr="00374505">
        <w:trPr>
          <w:trHeight w:val="198"/>
        </w:trPr>
        <w:tc>
          <w:tcPr>
            <w:tcW w:w="2193" w:type="pct"/>
            <w:tcBorders>
              <w:top w:val="single" w:sz="2" w:space="0" w:color="auto"/>
              <w:bottom w:val="single" w:sz="2" w:space="0" w:color="auto"/>
              <w:right w:val="nil"/>
            </w:tcBorders>
            <w:vAlign w:val="center"/>
            <w:hideMark/>
          </w:tcPr>
          <w:p w:rsidR="00676CA2" w:rsidRDefault="00676CA2" w:rsidP="00374505">
            <w:pPr>
              <w:spacing w:after="0"/>
              <w:ind w:firstLine="0"/>
              <w:jc w:val="left"/>
              <w:rPr>
                <w:rFonts w:ascii="Arial Narrow" w:hAnsi="Arial Narrow" w:cs="Calibri"/>
                <w:color w:val="000000"/>
              </w:rPr>
            </w:pPr>
            <w:r>
              <w:rPr>
                <w:rFonts w:ascii="Arial Narrow" w:hAnsi="Arial Narrow" w:cs="Calibri"/>
                <w:color w:val="000000"/>
              </w:rPr>
              <w:t>Cultura y Deporte</w:t>
            </w:r>
          </w:p>
        </w:tc>
        <w:tc>
          <w:tcPr>
            <w:tcW w:w="2807" w:type="pct"/>
            <w:tcBorders>
              <w:top w:val="single" w:sz="2" w:space="0" w:color="auto"/>
              <w:left w:val="nil"/>
              <w:bottom w:val="single" w:sz="2" w:space="0" w:color="auto"/>
              <w:right w:val="nil"/>
            </w:tcBorders>
            <w:noWrap/>
            <w:vAlign w:val="center"/>
            <w:hideMark/>
          </w:tcPr>
          <w:p w:rsidR="00676CA2" w:rsidRDefault="00676CA2" w:rsidP="00374505">
            <w:pPr>
              <w:spacing w:after="0"/>
              <w:jc w:val="right"/>
              <w:rPr>
                <w:rFonts w:ascii="Arial Narrow" w:hAnsi="Arial Narrow" w:cs="Calibri"/>
                <w:color w:val="000000"/>
              </w:rPr>
            </w:pPr>
            <w:r>
              <w:rPr>
                <w:rFonts w:ascii="Arial Narrow" w:hAnsi="Arial Narrow" w:cs="Calibri"/>
                <w:color w:val="000000"/>
              </w:rPr>
              <w:t>389.390</w:t>
            </w:r>
          </w:p>
        </w:tc>
      </w:tr>
      <w:tr w:rsidR="00676CA2" w:rsidRPr="00BD2DEE" w:rsidTr="00374505">
        <w:trPr>
          <w:trHeight w:val="198"/>
        </w:trPr>
        <w:tc>
          <w:tcPr>
            <w:tcW w:w="2193" w:type="pct"/>
            <w:tcBorders>
              <w:top w:val="single" w:sz="2" w:space="0" w:color="auto"/>
              <w:bottom w:val="single" w:sz="2" w:space="0" w:color="auto"/>
              <w:right w:val="nil"/>
            </w:tcBorders>
            <w:vAlign w:val="center"/>
            <w:hideMark/>
          </w:tcPr>
          <w:p w:rsidR="00676CA2" w:rsidRDefault="00676CA2" w:rsidP="00374505">
            <w:pPr>
              <w:spacing w:after="0"/>
              <w:ind w:firstLine="0"/>
              <w:jc w:val="left"/>
              <w:rPr>
                <w:rFonts w:ascii="Arial Narrow" w:hAnsi="Arial Narrow" w:cs="Calibri"/>
                <w:color w:val="000000"/>
              </w:rPr>
            </w:pPr>
            <w:r>
              <w:rPr>
                <w:rFonts w:ascii="Arial Narrow" w:hAnsi="Arial Narrow" w:cs="Calibri"/>
                <w:color w:val="000000"/>
              </w:rPr>
              <w:t>Políticas Migratorias y Justicia</w:t>
            </w:r>
          </w:p>
        </w:tc>
        <w:tc>
          <w:tcPr>
            <w:tcW w:w="2807" w:type="pct"/>
            <w:tcBorders>
              <w:top w:val="single" w:sz="2" w:space="0" w:color="auto"/>
              <w:left w:val="nil"/>
              <w:bottom w:val="single" w:sz="2" w:space="0" w:color="auto"/>
              <w:right w:val="nil"/>
            </w:tcBorders>
            <w:noWrap/>
            <w:vAlign w:val="center"/>
            <w:hideMark/>
          </w:tcPr>
          <w:p w:rsidR="00676CA2" w:rsidRDefault="00676CA2" w:rsidP="00374505">
            <w:pPr>
              <w:spacing w:after="0"/>
              <w:jc w:val="right"/>
              <w:rPr>
                <w:rFonts w:ascii="Arial Narrow" w:hAnsi="Arial Narrow" w:cs="Calibri"/>
                <w:color w:val="000000"/>
              </w:rPr>
            </w:pPr>
            <w:r>
              <w:rPr>
                <w:rFonts w:ascii="Arial Narrow" w:hAnsi="Arial Narrow" w:cs="Calibri"/>
                <w:color w:val="000000"/>
              </w:rPr>
              <w:t>143.406</w:t>
            </w:r>
          </w:p>
        </w:tc>
      </w:tr>
      <w:tr w:rsidR="00676CA2" w:rsidRPr="00BD2DEE" w:rsidTr="00374505">
        <w:trPr>
          <w:trHeight w:val="198"/>
        </w:trPr>
        <w:tc>
          <w:tcPr>
            <w:tcW w:w="2193" w:type="pct"/>
            <w:tcBorders>
              <w:top w:val="single" w:sz="2" w:space="0" w:color="auto"/>
              <w:bottom w:val="single" w:sz="4" w:space="0" w:color="auto"/>
            </w:tcBorders>
            <w:vAlign w:val="center"/>
            <w:hideMark/>
          </w:tcPr>
          <w:p w:rsidR="00676CA2" w:rsidRDefault="00676CA2" w:rsidP="00374505">
            <w:pPr>
              <w:spacing w:after="0"/>
              <w:ind w:firstLine="0"/>
              <w:jc w:val="left"/>
              <w:rPr>
                <w:rFonts w:ascii="Arial Narrow" w:hAnsi="Arial Narrow" w:cs="Calibri"/>
                <w:color w:val="000000"/>
              </w:rPr>
            </w:pPr>
            <w:r>
              <w:rPr>
                <w:rFonts w:ascii="Arial Narrow" w:hAnsi="Arial Narrow" w:cs="Calibri"/>
                <w:color w:val="000000"/>
              </w:rPr>
              <w:t>Relaciones Institucionales</w:t>
            </w:r>
          </w:p>
        </w:tc>
        <w:tc>
          <w:tcPr>
            <w:tcW w:w="2807" w:type="pct"/>
            <w:tcBorders>
              <w:top w:val="single" w:sz="2" w:space="0" w:color="auto"/>
              <w:bottom w:val="single" w:sz="4" w:space="0" w:color="auto"/>
            </w:tcBorders>
            <w:noWrap/>
            <w:vAlign w:val="center"/>
            <w:hideMark/>
          </w:tcPr>
          <w:p w:rsidR="00676CA2" w:rsidRDefault="00676CA2" w:rsidP="00374505">
            <w:pPr>
              <w:spacing w:after="0"/>
              <w:jc w:val="right"/>
              <w:rPr>
                <w:rFonts w:ascii="Arial Narrow" w:hAnsi="Arial Narrow" w:cs="Calibri"/>
                <w:color w:val="000000"/>
              </w:rPr>
            </w:pPr>
            <w:r>
              <w:rPr>
                <w:rFonts w:ascii="Arial Narrow" w:hAnsi="Arial Narrow" w:cs="Calibri"/>
                <w:color w:val="000000"/>
              </w:rPr>
              <w:t>30.000</w:t>
            </w:r>
          </w:p>
        </w:tc>
      </w:tr>
      <w:tr w:rsidR="00676CA2" w:rsidRPr="00BD2DEE" w:rsidTr="002A78B6">
        <w:trPr>
          <w:trHeight w:val="255"/>
        </w:trPr>
        <w:tc>
          <w:tcPr>
            <w:tcW w:w="2193" w:type="pct"/>
            <w:tcBorders>
              <w:bottom w:val="single" w:sz="4" w:space="0" w:color="auto"/>
            </w:tcBorders>
            <w:shd w:val="clear" w:color="auto" w:fill="8DB3E2" w:themeFill="text2" w:themeFillTint="66"/>
            <w:noWrap/>
            <w:vAlign w:val="center"/>
            <w:hideMark/>
          </w:tcPr>
          <w:p w:rsidR="00676CA2" w:rsidRPr="00BD2DEE" w:rsidRDefault="00676CA2" w:rsidP="00FF3E46">
            <w:pPr>
              <w:pStyle w:val="cuadroCabe"/>
            </w:pPr>
            <w:r w:rsidRPr="00BD2DEE">
              <w:t> Total</w:t>
            </w:r>
          </w:p>
        </w:tc>
        <w:tc>
          <w:tcPr>
            <w:tcW w:w="2807" w:type="pct"/>
            <w:tcBorders>
              <w:bottom w:val="single" w:sz="4" w:space="0" w:color="auto"/>
            </w:tcBorders>
            <w:shd w:val="clear" w:color="auto" w:fill="8DB3E2" w:themeFill="text2" w:themeFillTint="66"/>
            <w:noWrap/>
            <w:vAlign w:val="center"/>
            <w:hideMark/>
          </w:tcPr>
          <w:p w:rsidR="00676CA2" w:rsidRPr="00D12104" w:rsidRDefault="00676CA2" w:rsidP="00FF3E46">
            <w:pPr>
              <w:pStyle w:val="cuadroCabe"/>
              <w:jc w:val="right"/>
              <w:rPr>
                <w:color w:val="000000"/>
                <w:lang w:val="es-ES" w:eastAsia="es-ES"/>
              </w:rPr>
            </w:pPr>
            <w:r w:rsidRPr="00D12104">
              <w:rPr>
                <w:color w:val="000000"/>
                <w:lang w:val="es-ES" w:eastAsia="es-ES"/>
              </w:rPr>
              <w:t>224.969.800</w:t>
            </w:r>
          </w:p>
        </w:tc>
      </w:tr>
    </w:tbl>
    <w:p w:rsidR="00676CA2" w:rsidRDefault="00676CA2" w:rsidP="00676CA2">
      <w:pPr>
        <w:pStyle w:val="texto"/>
        <w:spacing w:before="240" w:after="240"/>
        <w:rPr>
          <w:szCs w:val="26"/>
        </w:rPr>
      </w:pPr>
      <w:r>
        <w:rPr>
          <w:szCs w:val="26"/>
        </w:rPr>
        <w:t>El Departamento de Salud con 100,67 millones es el que más ha gastado s</w:t>
      </w:r>
      <w:r>
        <w:rPr>
          <w:szCs w:val="26"/>
        </w:rPr>
        <w:t>e</w:t>
      </w:r>
      <w:r>
        <w:rPr>
          <w:szCs w:val="26"/>
        </w:rPr>
        <w:t>guido del Departamento de Desarrollo Económico y Empresarial con 4</w:t>
      </w:r>
      <w:r w:rsidR="00845FF6">
        <w:rPr>
          <w:szCs w:val="26"/>
        </w:rPr>
        <w:t>2</w:t>
      </w:r>
      <w:r>
        <w:rPr>
          <w:szCs w:val="26"/>
        </w:rPr>
        <w:t>,</w:t>
      </w:r>
      <w:r w:rsidR="00845FF6">
        <w:rPr>
          <w:szCs w:val="26"/>
        </w:rPr>
        <w:t>5</w:t>
      </w:r>
      <w:r>
        <w:rPr>
          <w:szCs w:val="26"/>
        </w:rPr>
        <w:t xml:space="preserve"> m</w:t>
      </w:r>
      <w:r>
        <w:rPr>
          <w:szCs w:val="26"/>
        </w:rPr>
        <w:t>i</w:t>
      </w:r>
      <w:r>
        <w:rPr>
          <w:szCs w:val="26"/>
        </w:rPr>
        <w:t xml:space="preserve">llones y el de Cohesión Territorial con 26,38 millones. </w:t>
      </w:r>
    </w:p>
    <w:p w:rsidR="00676CA2" w:rsidRDefault="00676CA2" w:rsidP="00676CA2">
      <w:pPr>
        <w:pStyle w:val="texto"/>
        <w:spacing w:before="240" w:after="120"/>
        <w:rPr>
          <w:szCs w:val="26"/>
        </w:rPr>
      </w:pPr>
      <w:r>
        <w:rPr>
          <w:szCs w:val="26"/>
        </w:rPr>
        <w:t>El porcentaje sobre el gasto total de cada departamento se muestra en el s</w:t>
      </w:r>
      <w:r>
        <w:rPr>
          <w:szCs w:val="26"/>
        </w:rPr>
        <w:t>i</w:t>
      </w:r>
      <w:r>
        <w:rPr>
          <w:szCs w:val="26"/>
        </w:rPr>
        <w:t>guiente gráfico:</w:t>
      </w:r>
    </w:p>
    <w:p w:rsidR="00676CA2" w:rsidRPr="008D1AAD" w:rsidRDefault="00676CA2" w:rsidP="00676CA2">
      <w:pPr>
        <w:pStyle w:val="texto"/>
        <w:spacing w:before="120"/>
        <w:ind w:hanging="426"/>
        <w:jc w:val="center"/>
        <w:rPr>
          <w:szCs w:val="26"/>
          <w14:glow w14:rad="0">
            <w14:schemeClr w14:val="bg1"/>
          </w14:glow>
        </w:rPr>
      </w:pPr>
      <w:r>
        <w:rPr>
          <w:noProof/>
          <w:lang w:val="es-ES" w:eastAsia="es-ES"/>
        </w:rPr>
        <w:drawing>
          <wp:inline distT="0" distB="0" distL="0" distR="0" wp14:anchorId="2F84C676" wp14:editId="13BE58E3">
            <wp:extent cx="5895975" cy="3192780"/>
            <wp:effectExtent l="0" t="0" r="9525" b="7620"/>
            <wp:docPr id="7" name="Gráfico 7" title="% s/ total gasto"/>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868A1" w:rsidRDefault="00676CA2" w:rsidP="00676CA2">
      <w:pPr>
        <w:pStyle w:val="texto"/>
        <w:spacing w:before="120" w:after="120"/>
        <w:rPr>
          <w:szCs w:val="26"/>
        </w:rPr>
      </w:pPr>
      <w:r>
        <w:rPr>
          <w:szCs w:val="26"/>
        </w:rPr>
        <w:t>El gasto del Departamento de Salud supone el 45 por ciento seguido del de Desarrollo Económico y Empresarial con un 19 por ciento, el de Cohesión T</w:t>
      </w:r>
      <w:r>
        <w:rPr>
          <w:szCs w:val="26"/>
        </w:rPr>
        <w:t>e</w:t>
      </w:r>
      <w:r>
        <w:rPr>
          <w:szCs w:val="26"/>
        </w:rPr>
        <w:t>rritorial con un 12 por ciento y el de Derechos Sociales y Educación con un ocho por ciento. El resto de departamentos no supera el cinco por ciento sobre el total.</w:t>
      </w:r>
    </w:p>
    <w:p w:rsidR="009868A1" w:rsidRDefault="009868A1">
      <w:pPr>
        <w:spacing w:after="0"/>
        <w:ind w:firstLine="0"/>
        <w:jc w:val="left"/>
        <w:rPr>
          <w:spacing w:val="6"/>
          <w:sz w:val="26"/>
          <w:szCs w:val="26"/>
        </w:rPr>
      </w:pPr>
      <w:r>
        <w:rPr>
          <w:szCs w:val="26"/>
        </w:rPr>
        <w:lastRenderedPageBreak/>
        <w:br w:type="page"/>
      </w:r>
    </w:p>
    <w:p w:rsidR="00676CA2" w:rsidRDefault="00676CA2" w:rsidP="006538A3">
      <w:pPr>
        <w:pStyle w:val="atitulo4"/>
      </w:pPr>
      <w:r>
        <w:lastRenderedPageBreak/>
        <w:t>Gastos de personal</w:t>
      </w:r>
    </w:p>
    <w:p w:rsidR="00676CA2" w:rsidRDefault="00676CA2" w:rsidP="00676CA2">
      <w:pPr>
        <w:pStyle w:val="texto"/>
        <w:spacing w:after="200"/>
      </w:pPr>
      <w:r>
        <w:t>El gasto de personal alcanzó los 44,81 millones a 31 de diciembre de 2020 con el siguiente desglose por concepto económico:</w:t>
      </w:r>
    </w:p>
    <w:tbl>
      <w:tblPr>
        <w:tblW w:w="8910" w:type="dxa"/>
        <w:jc w:val="center"/>
        <w:tblCellMar>
          <w:left w:w="70" w:type="dxa"/>
          <w:right w:w="70" w:type="dxa"/>
        </w:tblCellMar>
        <w:tblLook w:val="04A0" w:firstRow="1" w:lastRow="0" w:firstColumn="1" w:lastColumn="0" w:noHBand="0" w:noVBand="1"/>
      </w:tblPr>
      <w:tblGrid>
        <w:gridCol w:w="4671"/>
        <w:gridCol w:w="2811"/>
        <w:gridCol w:w="1428"/>
      </w:tblGrid>
      <w:tr w:rsidR="00676CA2" w:rsidRPr="00A758EA" w:rsidTr="008217D1">
        <w:trPr>
          <w:trHeight w:val="300"/>
          <w:jc w:val="center"/>
        </w:trPr>
        <w:tc>
          <w:tcPr>
            <w:tcW w:w="4671" w:type="dxa"/>
            <w:tcBorders>
              <w:top w:val="single" w:sz="4" w:space="0" w:color="auto"/>
              <w:left w:val="nil"/>
              <w:bottom w:val="single" w:sz="4" w:space="0" w:color="auto"/>
              <w:right w:val="nil"/>
            </w:tcBorders>
            <w:shd w:val="clear" w:color="auto" w:fill="8DB3E2" w:themeFill="text2" w:themeFillTint="66"/>
            <w:noWrap/>
            <w:vAlign w:val="center"/>
            <w:hideMark/>
          </w:tcPr>
          <w:p w:rsidR="00676CA2" w:rsidRPr="004177B8" w:rsidRDefault="00676CA2" w:rsidP="00FF3E46">
            <w:pPr>
              <w:pStyle w:val="cuadroCabe"/>
              <w:rPr>
                <w:lang w:val="es-ES" w:eastAsia="es-ES"/>
              </w:rPr>
            </w:pPr>
            <w:r w:rsidRPr="00A758EA">
              <w:rPr>
                <w:lang w:val="es-ES" w:eastAsia="es-ES"/>
              </w:rPr>
              <w:t>Concepto económico</w:t>
            </w:r>
          </w:p>
        </w:tc>
        <w:tc>
          <w:tcPr>
            <w:tcW w:w="2811" w:type="dxa"/>
            <w:tcBorders>
              <w:top w:val="single" w:sz="4" w:space="0" w:color="auto"/>
              <w:left w:val="nil"/>
              <w:bottom w:val="single" w:sz="4" w:space="0" w:color="auto"/>
              <w:right w:val="nil"/>
            </w:tcBorders>
            <w:shd w:val="clear" w:color="auto" w:fill="8DB3E2" w:themeFill="text2" w:themeFillTint="66"/>
            <w:noWrap/>
            <w:vAlign w:val="center"/>
            <w:hideMark/>
          </w:tcPr>
          <w:p w:rsidR="00DB2D91" w:rsidRDefault="00676CA2" w:rsidP="00DB2D91">
            <w:pPr>
              <w:pStyle w:val="cuadroCabe"/>
              <w:jc w:val="right"/>
              <w:rPr>
                <w:lang w:val="es-ES" w:eastAsia="es-ES"/>
              </w:rPr>
            </w:pPr>
            <w:r w:rsidRPr="00A758EA">
              <w:rPr>
                <w:lang w:val="es-ES" w:eastAsia="es-ES"/>
              </w:rPr>
              <w:t>Obligaciones</w:t>
            </w:r>
          </w:p>
          <w:p w:rsidR="00676CA2" w:rsidRPr="004177B8" w:rsidRDefault="00676CA2" w:rsidP="00DB2D91">
            <w:pPr>
              <w:pStyle w:val="cuadroCabe"/>
              <w:jc w:val="right"/>
              <w:rPr>
                <w:lang w:val="es-ES" w:eastAsia="es-ES"/>
              </w:rPr>
            </w:pPr>
            <w:r w:rsidRPr="00A758EA">
              <w:rPr>
                <w:lang w:val="es-ES" w:eastAsia="es-ES"/>
              </w:rPr>
              <w:t>Reconocidas</w:t>
            </w:r>
            <w:r w:rsidR="00FF3E46">
              <w:rPr>
                <w:lang w:val="es-ES" w:eastAsia="es-ES"/>
              </w:rPr>
              <w:t xml:space="preserve"> </w:t>
            </w:r>
            <w:r w:rsidRPr="00A758EA">
              <w:rPr>
                <w:lang w:val="es-ES" w:eastAsia="es-ES"/>
              </w:rPr>
              <w:t xml:space="preserve"> Netas</w:t>
            </w:r>
          </w:p>
        </w:tc>
        <w:tc>
          <w:tcPr>
            <w:tcW w:w="1428" w:type="dxa"/>
            <w:tcBorders>
              <w:top w:val="single" w:sz="4" w:space="0" w:color="auto"/>
              <w:left w:val="nil"/>
              <w:bottom w:val="single" w:sz="4" w:space="0" w:color="auto"/>
              <w:right w:val="nil"/>
            </w:tcBorders>
            <w:shd w:val="clear" w:color="auto" w:fill="8DB3E2" w:themeFill="text2" w:themeFillTint="66"/>
            <w:vAlign w:val="center"/>
          </w:tcPr>
          <w:p w:rsidR="00676CA2" w:rsidRPr="00A758EA" w:rsidRDefault="00676CA2" w:rsidP="00FF3E46">
            <w:pPr>
              <w:pStyle w:val="cuadroCabe"/>
              <w:jc w:val="right"/>
              <w:rPr>
                <w:lang w:val="es-ES" w:eastAsia="es-ES"/>
              </w:rPr>
            </w:pPr>
            <w:r>
              <w:rPr>
                <w:lang w:val="es-ES" w:eastAsia="es-ES"/>
              </w:rPr>
              <w:t>% s/ total ORN</w:t>
            </w:r>
          </w:p>
        </w:tc>
      </w:tr>
      <w:tr w:rsidR="00676CA2" w:rsidRPr="004177B8" w:rsidTr="006825F8">
        <w:trPr>
          <w:trHeight w:val="198"/>
          <w:jc w:val="center"/>
        </w:trPr>
        <w:tc>
          <w:tcPr>
            <w:tcW w:w="4671" w:type="dxa"/>
            <w:tcBorders>
              <w:top w:val="single" w:sz="4" w:space="0" w:color="auto"/>
              <w:left w:val="nil"/>
              <w:bottom w:val="single" w:sz="2" w:space="0" w:color="auto"/>
              <w:right w:val="nil"/>
            </w:tcBorders>
            <w:shd w:val="clear" w:color="auto" w:fill="auto"/>
            <w:noWrap/>
            <w:vAlign w:val="center"/>
            <w:hideMark/>
          </w:tcPr>
          <w:p w:rsidR="00676CA2" w:rsidRDefault="00676CA2" w:rsidP="006825F8">
            <w:pPr>
              <w:spacing w:after="0"/>
              <w:ind w:firstLine="0"/>
              <w:jc w:val="left"/>
              <w:rPr>
                <w:rFonts w:ascii="Arial Narrow" w:hAnsi="Arial Narrow" w:cs="Calibri"/>
                <w:color w:val="000000"/>
                <w:lang w:val="es-ES" w:eastAsia="es-ES"/>
              </w:rPr>
            </w:pPr>
            <w:r>
              <w:rPr>
                <w:rFonts w:ascii="Arial Narrow" w:hAnsi="Arial Narrow" w:cs="Calibri"/>
                <w:color w:val="000000"/>
              </w:rPr>
              <w:t>Retribuciones personal contratado temporal</w:t>
            </w:r>
          </w:p>
        </w:tc>
        <w:tc>
          <w:tcPr>
            <w:tcW w:w="2811" w:type="dxa"/>
            <w:tcBorders>
              <w:top w:val="single" w:sz="4" w:space="0" w:color="auto"/>
              <w:left w:val="nil"/>
              <w:bottom w:val="single" w:sz="2" w:space="0" w:color="auto"/>
              <w:right w:val="nil"/>
            </w:tcBorders>
            <w:shd w:val="clear" w:color="auto" w:fill="auto"/>
            <w:noWrap/>
            <w:vAlign w:val="center"/>
            <w:hideMark/>
          </w:tcPr>
          <w:p w:rsidR="00676CA2" w:rsidRPr="00716B12" w:rsidRDefault="00676CA2" w:rsidP="006825F8">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23.491.003</w:t>
            </w:r>
          </w:p>
        </w:tc>
        <w:tc>
          <w:tcPr>
            <w:tcW w:w="1428" w:type="dxa"/>
            <w:tcBorders>
              <w:top w:val="single" w:sz="4" w:space="0" w:color="auto"/>
              <w:left w:val="nil"/>
              <w:bottom w:val="single" w:sz="2" w:space="0" w:color="auto"/>
              <w:right w:val="nil"/>
            </w:tcBorders>
            <w:vAlign w:val="center"/>
          </w:tcPr>
          <w:p w:rsidR="00676CA2" w:rsidRPr="00716B12" w:rsidRDefault="00676CA2" w:rsidP="006825F8">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52</w:t>
            </w:r>
          </w:p>
        </w:tc>
      </w:tr>
      <w:tr w:rsidR="00676CA2" w:rsidRPr="004177B8" w:rsidTr="006825F8">
        <w:trPr>
          <w:trHeight w:val="198"/>
          <w:jc w:val="center"/>
        </w:trPr>
        <w:tc>
          <w:tcPr>
            <w:tcW w:w="4671" w:type="dxa"/>
            <w:tcBorders>
              <w:top w:val="single" w:sz="2" w:space="0" w:color="auto"/>
              <w:left w:val="nil"/>
              <w:bottom w:val="single" w:sz="2" w:space="0" w:color="auto"/>
              <w:right w:val="nil"/>
            </w:tcBorders>
            <w:shd w:val="clear" w:color="auto" w:fill="auto"/>
            <w:noWrap/>
            <w:vAlign w:val="center"/>
            <w:hideMark/>
          </w:tcPr>
          <w:p w:rsidR="00676CA2" w:rsidRDefault="00676CA2" w:rsidP="006825F8">
            <w:pPr>
              <w:spacing w:after="0"/>
              <w:ind w:firstLine="0"/>
              <w:jc w:val="left"/>
              <w:rPr>
                <w:rFonts w:ascii="Arial Narrow" w:hAnsi="Arial Narrow" w:cs="Calibri"/>
                <w:color w:val="000000"/>
              </w:rPr>
            </w:pPr>
            <w:r>
              <w:rPr>
                <w:rFonts w:ascii="Arial Narrow" w:hAnsi="Arial Narrow" w:cs="Calibri"/>
                <w:color w:val="000000"/>
              </w:rPr>
              <w:t>Seguridad Social</w:t>
            </w:r>
          </w:p>
        </w:tc>
        <w:tc>
          <w:tcPr>
            <w:tcW w:w="2811" w:type="dxa"/>
            <w:tcBorders>
              <w:top w:val="single" w:sz="2" w:space="0" w:color="auto"/>
              <w:left w:val="nil"/>
              <w:bottom w:val="single" w:sz="2" w:space="0" w:color="auto"/>
              <w:right w:val="nil"/>
            </w:tcBorders>
            <w:shd w:val="clear" w:color="auto" w:fill="auto"/>
            <w:noWrap/>
            <w:vAlign w:val="center"/>
            <w:hideMark/>
          </w:tcPr>
          <w:p w:rsidR="00676CA2" w:rsidRPr="00716B12" w:rsidRDefault="00676CA2" w:rsidP="006825F8">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8.169.143</w:t>
            </w:r>
          </w:p>
        </w:tc>
        <w:tc>
          <w:tcPr>
            <w:tcW w:w="1428" w:type="dxa"/>
            <w:tcBorders>
              <w:top w:val="single" w:sz="2" w:space="0" w:color="auto"/>
              <w:left w:val="nil"/>
              <w:bottom w:val="single" w:sz="2" w:space="0" w:color="auto"/>
              <w:right w:val="nil"/>
            </w:tcBorders>
            <w:vAlign w:val="center"/>
          </w:tcPr>
          <w:p w:rsidR="00676CA2" w:rsidRPr="00716B12" w:rsidRDefault="00676CA2" w:rsidP="006825F8">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18</w:t>
            </w:r>
          </w:p>
        </w:tc>
      </w:tr>
      <w:tr w:rsidR="00676CA2" w:rsidRPr="004177B8" w:rsidTr="006825F8">
        <w:trPr>
          <w:trHeight w:val="198"/>
          <w:jc w:val="center"/>
        </w:trPr>
        <w:tc>
          <w:tcPr>
            <w:tcW w:w="4671" w:type="dxa"/>
            <w:tcBorders>
              <w:top w:val="single" w:sz="2" w:space="0" w:color="auto"/>
              <w:left w:val="nil"/>
              <w:bottom w:val="single" w:sz="2" w:space="0" w:color="auto"/>
              <w:right w:val="nil"/>
            </w:tcBorders>
            <w:shd w:val="clear" w:color="auto" w:fill="auto"/>
            <w:noWrap/>
            <w:vAlign w:val="center"/>
            <w:hideMark/>
          </w:tcPr>
          <w:p w:rsidR="00676CA2" w:rsidRDefault="00676CA2" w:rsidP="006825F8">
            <w:pPr>
              <w:spacing w:after="0"/>
              <w:ind w:firstLine="0"/>
              <w:jc w:val="left"/>
              <w:rPr>
                <w:rFonts w:ascii="Arial Narrow" w:hAnsi="Arial Narrow" w:cs="Calibri"/>
                <w:color w:val="000000"/>
              </w:rPr>
            </w:pPr>
            <w:r>
              <w:rPr>
                <w:rFonts w:ascii="Arial Narrow" w:hAnsi="Arial Narrow" w:cs="Calibri"/>
                <w:color w:val="000000"/>
              </w:rPr>
              <w:t>Retribuciones personal contratado para sustituciones</w:t>
            </w:r>
          </w:p>
        </w:tc>
        <w:tc>
          <w:tcPr>
            <w:tcW w:w="2811" w:type="dxa"/>
            <w:tcBorders>
              <w:top w:val="single" w:sz="2" w:space="0" w:color="auto"/>
              <w:left w:val="nil"/>
              <w:bottom w:val="single" w:sz="2" w:space="0" w:color="auto"/>
              <w:right w:val="nil"/>
            </w:tcBorders>
            <w:shd w:val="clear" w:color="auto" w:fill="auto"/>
            <w:noWrap/>
            <w:vAlign w:val="center"/>
            <w:hideMark/>
          </w:tcPr>
          <w:p w:rsidR="00676CA2" w:rsidRPr="00716B12" w:rsidRDefault="00676CA2" w:rsidP="006825F8">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4.679.688</w:t>
            </w:r>
          </w:p>
        </w:tc>
        <w:tc>
          <w:tcPr>
            <w:tcW w:w="1428" w:type="dxa"/>
            <w:tcBorders>
              <w:top w:val="single" w:sz="2" w:space="0" w:color="auto"/>
              <w:left w:val="nil"/>
              <w:bottom w:val="single" w:sz="2" w:space="0" w:color="auto"/>
              <w:right w:val="nil"/>
            </w:tcBorders>
            <w:vAlign w:val="center"/>
          </w:tcPr>
          <w:p w:rsidR="00676CA2" w:rsidRPr="00716B12" w:rsidRDefault="00676CA2" w:rsidP="006825F8">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10</w:t>
            </w:r>
          </w:p>
        </w:tc>
      </w:tr>
      <w:tr w:rsidR="00676CA2" w:rsidRPr="004177B8" w:rsidTr="006825F8">
        <w:trPr>
          <w:trHeight w:val="198"/>
          <w:jc w:val="center"/>
        </w:trPr>
        <w:tc>
          <w:tcPr>
            <w:tcW w:w="4671" w:type="dxa"/>
            <w:tcBorders>
              <w:top w:val="single" w:sz="2" w:space="0" w:color="auto"/>
              <w:left w:val="nil"/>
              <w:bottom w:val="single" w:sz="2" w:space="0" w:color="auto"/>
              <w:right w:val="nil"/>
            </w:tcBorders>
            <w:shd w:val="clear" w:color="auto" w:fill="auto"/>
            <w:noWrap/>
            <w:vAlign w:val="center"/>
            <w:hideMark/>
          </w:tcPr>
          <w:p w:rsidR="00676CA2" w:rsidRDefault="00676CA2" w:rsidP="006825F8">
            <w:pPr>
              <w:spacing w:after="0"/>
              <w:ind w:firstLine="0"/>
              <w:jc w:val="left"/>
              <w:rPr>
                <w:rFonts w:ascii="Arial Narrow" w:hAnsi="Arial Narrow" w:cs="Calibri"/>
                <w:color w:val="000000"/>
              </w:rPr>
            </w:pPr>
            <w:r>
              <w:rPr>
                <w:rFonts w:ascii="Arial Narrow" w:hAnsi="Arial Narrow" w:cs="Calibri"/>
                <w:color w:val="000000"/>
              </w:rPr>
              <w:t>Complemento productividad</w:t>
            </w:r>
          </w:p>
        </w:tc>
        <w:tc>
          <w:tcPr>
            <w:tcW w:w="2811" w:type="dxa"/>
            <w:tcBorders>
              <w:top w:val="single" w:sz="2" w:space="0" w:color="auto"/>
              <w:left w:val="nil"/>
              <w:bottom w:val="single" w:sz="2" w:space="0" w:color="auto"/>
              <w:right w:val="nil"/>
            </w:tcBorders>
            <w:shd w:val="clear" w:color="auto" w:fill="auto"/>
            <w:noWrap/>
            <w:vAlign w:val="center"/>
            <w:hideMark/>
          </w:tcPr>
          <w:p w:rsidR="00676CA2" w:rsidRPr="00716B12" w:rsidRDefault="00676CA2" w:rsidP="006825F8">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3.731.565</w:t>
            </w:r>
          </w:p>
        </w:tc>
        <w:tc>
          <w:tcPr>
            <w:tcW w:w="1428" w:type="dxa"/>
            <w:tcBorders>
              <w:top w:val="single" w:sz="2" w:space="0" w:color="auto"/>
              <w:left w:val="nil"/>
              <w:bottom w:val="single" w:sz="2" w:space="0" w:color="auto"/>
              <w:right w:val="nil"/>
            </w:tcBorders>
            <w:vAlign w:val="center"/>
          </w:tcPr>
          <w:p w:rsidR="00676CA2" w:rsidRPr="00716B12" w:rsidRDefault="00676CA2" w:rsidP="006825F8">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8</w:t>
            </w:r>
          </w:p>
        </w:tc>
      </w:tr>
      <w:tr w:rsidR="00676CA2" w:rsidRPr="004177B8" w:rsidTr="006825F8">
        <w:trPr>
          <w:trHeight w:val="198"/>
          <w:jc w:val="center"/>
        </w:trPr>
        <w:tc>
          <w:tcPr>
            <w:tcW w:w="4671" w:type="dxa"/>
            <w:tcBorders>
              <w:top w:val="single" w:sz="2" w:space="0" w:color="auto"/>
              <w:left w:val="nil"/>
              <w:bottom w:val="single" w:sz="2" w:space="0" w:color="auto"/>
              <w:right w:val="nil"/>
            </w:tcBorders>
            <w:shd w:val="clear" w:color="auto" w:fill="auto"/>
            <w:noWrap/>
            <w:vAlign w:val="center"/>
            <w:hideMark/>
          </w:tcPr>
          <w:p w:rsidR="00676CA2" w:rsidRDefault="00676CA2" w:rsidP="006825F8">
            <w:pPr>
              <w:spacing w:after="0"/>
              <w:ind w:firstLine="0"/>
              <w:jc w:val="left"/>
              <w:rPr>
                <w:rFonts w:ascii="Arial Narrow" w:hAnsi="Arial Narrow" w:cs="Calibri"/>
                <w:color w:val="000000"/>
              </w:rPr>
            </w:pPr>
            <w:r>
              <w:rPr>
                <w:rFonts w:ascii="Arial Narrow" w:hAnsi="Arial Narrow" w:cs="Calibri"/>
                <w:color w:val="000000"/>
              </w:rPr>
              <w:t>Días festivos</w:t>
            </w:r>
          </w:p>
        </w:tc>
        <w:tc>
          <w:tcPr>
            <w:tcW w:w="2811" w:type="dxa"/>
            <w:tcBorders>
              <w:top w:val="single" w:sz="2" w:space="0" w:color="auto"/>
              <w:left w:val="nil"/>
              <w:bottom w:val="single" w:sz="2" w:space="0" w:color="auto"/>
              <w:right w:val="nil"/>
            </w:tcBorders>
            <w:shd w:val="clear" w:color="auto" w:fill="auto"/>
            <w:noWrap/>
            <w:vAlign w:val="center"/>
            <w:hideMark/>
          </w:tcPr>
          <w:p w:rsidR="00676CA2" w:rsidRPr="00716B12" w:rsidRDefault="00676CA2" w:rsidP="006825F8">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1.620.852</w:t>
            </w:r>
          </w:p>
        </w:tc>
        <w:tc>
          <w:tcPr>
            <w:tcW w:w="1428" w:type="dxa"/>
            <w:tcBorders>
              <w:top w:val="single" w:sz="2" w:space="0" w:color="auto"/>
              <w:left w:val="nil"/>
              <w:bottom w:val="single" w:sz="2" w:space="0" w:color="auto"/>
              <w:right w:val="nil"/>
            </w:tcBorders>
            <w:vAlign w:val="center"/>
          </w:tcPr>
          <w:p w:rsidR="00676CA2" w:rsidRPr="00716B12" w:rsidRDefault="00676CA2" w:rsidP="006825F8">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4</w:t>
            </w:r>
          </w:p>
        </w:tc>
      </w:tr>
      <w:tr w:rsidR="00676CA2" w:rsidRPr="004177B8" w:rsidTr="006825F8">
        <w:trPr>
          <w:trHeight w:val="198"/>
          <w:jc w:val="center"/>
        </w:trPr>
        <w:tc>
          <w:tcPr>
            <w:tcW w:w="4671" w:type="dxa"/>
            <w:tcBorders>
              <w:top w:val="single" w:sz="2" w:space="0" w:color="auto"/>
              <w:left w:val="nil"/>
              <w:bottom w:val="single" w:sz="2" w:space="0" w:color="auto"/>
              <w:right w:val="nil"/>
            </w:tcBorders>
            <w:shd w:val="clear" w:color="auto" w:fill="auto"/>
            <w:noWrap/>
            <w:vAlign w:val="center"/>
            <w:hideMark/>
          </w:tcPr>
          <w:p w:rsidR="00676CA2" w:rsidRDefault="00676CA2" w:rsidP="006825F8">
            <w:pPr>
              <w:spacing w:after="0"/>
              <w:ind w:firstLine="0"/>
              <w:jc w:val="left"/>
              <w:rPr>
                <w:rFonts w:ascii="Arial Narrow" w:hAnsi="Arial Narrow" w:cs="Calibri"/>
                <w:color w:val="000000"/>
              </w:rPr>
            </w:pPr>
            <w:r>
              <w:rPr>
                <w:rFonts w:ascii="Arial Narrow" w:hAnsi="Arial Narrow" w:cs="Calibri"/>
                <w:color w:val="000000"/>
              </w:rPr>
              <w:t>Nocturnidad</w:t>
            </w:r>
          </w:p>
        </w:tc>
        <w:tc>
          <w:tcPr>
            <w:tcW w:w="2811" w:type="dxa"/>
            <w:tcBorders>
              <w:top w:val="single" w:sz="2" w:space="0" w:color="auto"/>
              <w:left w:val="nil"/>
              <w:bottom w:val="single" w:sz="2" w:space="0" w:color="auto"/>
              <w:right w:val="nil"/>
            </w:tcBorders>
            <w:shd w:val="clear" w:color="auto" w:fill="auto"/>
            <w:noWrap/>
            <w:vAlign w:val="center"/>
            <w:hideMark/>
          </w:tcPr>
          <w:p w:rsidR="00676CA2" w:rsidRPr="00716B12" w:rsidRDefault="00676CA2" w:rsidP="006825F8">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888.153</w:t>
            </w:r>
          </w:p>
        </w:tc>
        <w:tc>
          <w:tcPr>
            <w:tcW w:w="1428" w:type="dxa"/>
            <w:tcBorders>
              <w:top w:val="single" w:sz="2" w:space="0" w:color="auto"/>
              <w:left w:val="nil"/>
              <w:bottom w:val="single" w:sz="2" w:space="0" w:color="auto"/>
              <w:right w:val="nil"/>
            </w:tcBorders>
            <w:vAlign w:val="center"/>
          </w:tcPr>
          <w:p w:rsidR="00676CA2" w:rsidRPr="00716B12" w:rsidRDefault="00676CA2" w:rsidP="006825F8">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2</w:t>
            </w:r>
          </w:p>
        </w:tc>
      </w:tr>
      <w:tr w:rsidR="00676CA2" w:rsidRPr="004177B8" w:rsidTr="006825F8">
        <w:trPr>
          <w:trHeight w:val="198"/>
          <w:jc w:val="center"/>
        </w:trPr>
        <w:tc>
          <w:tcPr>
            <w:tcW w:w="4671" w:type="dxa"/>
            <w:tcBorders>
              <w:top w:val="single" w:sz="2" w:space="0" w:color="auto"/>
              <w:left w:val="nil"/>
              <w:bottom w:val="single" w:sz="2" w:space="0" w:color="auto"/>
              <w:right w:val="nil"/>
            </w:tcBorders>
            <w:shd w:val="clear" w:color="auto" w:fill="auto"/>
            <w:noWrap/>
            <w:vAlign w:val="center"/>
            <w:hideMark/>
          </w:tcPr>
          <w:p w:rsidR="00676CA2" w:rsidRDefault="00676CA2" w:rsidP="006825F8">
            <w:pPr>
              <w:spacing w:after="0"/>
              <w:ind w:firstLine="0"/>
              <w:jc w:val="left"/>
              <w:rPr>
                <w:rFonts w:ascii="Arial Narrow" w:hAnsi="Arial Narrow" w:cs="Calibri"/>
                <w:color w:val="000000"/>
              </w:rPr>
            </w:pPr>
            <w:proofErr w:type="spellStart"/>
            <w:r>
              <w:rPr>
                <w:rFonts w:ascii="Arial Narrow" w:hAnsi="Arial Narrow" w:cs="Calibri"/>
                <w:color w:val="000000"/>
              </w:rPr>
              <w:t>Turnicidad</w:t>
            </w:r>
            <w:proofErr w:type="spellEnd"/>
          </w:p>
        </w:tc>
        <w:tc>
          <w:tcPr>
            <w:tcW w:w="2811" w:type="dxa"/>
            <w:tcBorders>
              <w:top w:val="single" w:sz="2" w:space="0" w:color="auto"/>
              <w:left w:val="nil"/>
              <w:bottom w:val="single" w:sz="2" w:space="0" w:color="auto"/>
              <w:right w:val="nil"/>
            </w:tcBorders>
            <w:shd w:val="clear" w:color="auto" w:fill="auto"/>
            <w:noWrap/>
            <w:vAlign w:val="center"/>
            <w:hideMark/>
          </w:tcPr>
          <w:p w:rsidR="00676CA2" w:rsidRPr="00716B12" w:rsidRDefault="00676CA2" w:rsidP="006825F8">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657.709</w:t>
            </w:r>
          </w:p>
        </w:tc>
        <w:tc>
          <w:tcPr>
            <w:tcW w:w="1428" w:type="dxa"/>
            <w:tcBorders>
              <w:top w:val="single" w:sz="2" w:space="0" w:color="auto"/>
              <w:left w:val="nil"/>
              <w:bottom w:val="single" w:sz="2" w:space="0" w:color="auto"/>
              <w:right w:val="nil"/>
            </w:tcBorders>
            <w:vAlign w:val="center"/>
          </w:tcPr>
          <w:p w:rsidR="00676CA2" w:rsidRPr="00716B12" w:rsidRDefault="00676CA2" w:rsidP="006825F8">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1,5</w:t>
            </w:r>
          </w:p>
        </w:tc>
      </w:tr>
      <w:tr w:rsidR="00676CA2" w:rsidRPr="004177B8" w:rsidTr="006825F8">
        <w:trPr>
          <w:trHeight w:val="198"/>
          <w:jc w:val="center"/>
        </w:trPr>
        <w:tc>
          <w:tcPr>
            <w:tcW w:w="4671" w:type="dxa"/>
            <w:tcBorders>
              <w:top w:val="single" w:sz="2" w:space="0" w:color="auto"/>
              <w:left w:val="nil"/>
              <w:bottom w:val="single" w:sz="2" w:space="0" w:color="auto"/>
              <w:right w:val="nil"/>
            </w:tcBorders>
            <w:shd w:val="clear" w:color="auto" w:fill="auto"/>
            <w:noWrap/>
            <w:vAlign w:val="center"/>
            <w:hideMark/>
          </w:tcPr>
          <w:p w:rsidR="00676CA2" w:rsidRDefault="00676CA2" w:rsidP="006825F8">
            <w:pPr>
              <w:spacing w:after="0"/>
              <w:ind w:firstLine="0"/>
              <w:jc w:val="left"/>
              <w:rPr>
                <w:rFonts w:ascii="Arial Narrow" w:hAnsi="Arial Narrow" w:cs="Calibri"/>
                <w:color w:val="000000"/>
              </w:rPr>
            </w:pPr>
            <w:r>
              <w:rPr>
                <w:rFonts w:ascii="Arial Narrow" w:hAnsi="Arial Narrow" w:cs="Calibri"/>
                <w:color w:val="000000"/>
              </w:rPr>
              <w:t>Retribuciones personales (grado, antigüedad, etc.)</w:t>
            </w:r>
          </w:p>
        </w:tc>
        <w:tc>
          <w:tcPr>
            <w:tcW w:w="2811" w:type="dxa"/>
            <w:tcBorders>
              <w:top w:val="single" w:sz="2" w:space="0" w:color="auto"/>
              <w:left w:val="nil"/>
              <w:bottom w:val="single" w:sz="2" w:space="0" w:color="auto"/>
              <w:right w:val="nil"/>
            </w:tcBorders>
            <w:shd w:val="clear" w:color="auto" w:fill="auto"/>
            <w:noWrap/>
            <w:vAlign w:val="center"/>
            <w:hideMark/>
          </w:tcPr>
          <w:p w:rsidR="00676CA2" w:rsidRPr="00716B12" w:rsidRDefault="00676CA2" w:rsidP="006825F8">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622.161</w:t>
            </w:r>
          </w:p>
        </w:tc>
        <w:tc>
          <w:tcPr>
            <w:tcW w:w="1428" w:type="dxa"/>
            <w:tcBorders>
              <w:top w:val="single" w:sz="2" w:space="0" w:color="auto"/>
              <w:left w:val="nil"/>
              <w:bottom w:val="single" w:sz="2" w:space="0" w:color="auto"/>
              <w:right w:val="nil"/>
            </w:tcBorders>
            <w:vAlign w:val="center"/>
          </w:tcPr>
          <w:p w:rsidR="00676CA2" w:rsidRPr="00716B12" w:rsidRDefault="00676CA2" w:rsidP="006825F8">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1,4</w:t>
            </w:r>
          </w:p>
        </w:tc>
      </w:tr>
      <w:tr w:rsidR="00676CA2" w:rsidRPr="004177B8" w:rsidTr="006825F8">
        <w:trPr>
          <w:trHeight w:val="198"/>
          <w:jc w:val="center"/>
        </w:trPr>
        <w:tc>
          <w:tcPr>
            <w:tcW w:w="4671" w:type="dxa"/>
            <w:tcBorders>
              <w:top w:val="single" w:sz="2" w:space="0" w:color="auto"/>
              <w:left w:val="nil"/>
              <w:bottom w:val="single" w:sz="2" w:space="0" w:color="auto"/>
              <w:right w:val="nil"/>
            </w:tcBorders>
            <w:shd w:val="clear" w:color="auto" w:fill="auto"/>
            <w:noWrap/>
            <w:vAlign w:val="center"/>
            <w:hideMark/>
          </w:tcPr>
          <w:p w:rsidR="00676CA2" w:rsidRDefault="00676CA2" w:rsidP="006825F8">
            <w:pPr>
              <w:spacing w:after="0"/>
              <w:ind w:firstLine="0"/>
              <w:jc w:val="left"/>
              <w:rPr>
                <w:rFonts w:ascii="Arial Narrow" w:hAnsi="Arial Narrow" w:cs="Calibri"/>
                <w:color w:val="000000"/>
              </w:rPr>
            </w:pPr>
            <w:r>
              <w:rPr>
                <w:rFonts w:ascii="Arial Narrow" w:hAnsi="Arial Narrow" w:cs="Calibri"/>
                <w:color w:val="000000"/>
              </w:rPr>
              <w:t xml:space="preserve">Guardias </w:t>
            </w:r>
          </w:p>
        </w:tc>
        <w:tc>
          <w:tcPr>
            <w:tcW w:w="2811" w:type="dxa"/>
            <w:tcBorders>
              <w:top w:val="single" w:sz="2" w:space="0" w:color="auto"/>
              <w:left w:val="nil"/>
              <w:bottom w:val="single" w:sz="2" w:space="0" w:color="auto"/>
              <w:right w:val="nil"/>
            </w:tcBorders>
            <w:shd w:val="clear" w:color="auto" w:fill="auto"/>
            <w:noWrap/>
            <w:vAlign w:val="center"/>
            <w:hideMark/>
          </w:tcPr>
          <w:p w:rsidR="00676CA2" w:rsidRPr="00716B12" w:rsidRDefault="00676CA2" w:rsidP="006825F8">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409.953</w:t>
            </w:r>
          </w:p>
        </w:tc>
        <w:tc>
          <w:tcPr>
            <w:tcW w:w="1428" w:type="dxa"/>
            <w:tcBorders>
              <w:top w:val="single" w:sz="2" w:space="0" w:color="auto"/>
              <w:left w:val="nil"/>
              <w:bottom w:val="single" w:sz="2" w:space="0" w:color="auto"/>
              <w:right w:val="nil"/>
            </w:tcBorders>
            <w:vAlign w:val="center"/>
          </w:tcPr>
          <w:p w:rsidR="00676CA2" w:rsidRPr="00716B12" w:rsidRDefault="00676CA2" w:rsidP="006825F8">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0,9</w:t>
            </w:r>
          </w:p>
        </w:tc>
      </w:tr>
      <w:tr w:rsidR="00676CA2" w:rsidRPr="004177B8" w:rsidTr="006825F8">
        <w:trPr>
          <w:trHeight w:val="198"/>
          <w:jc w:val="center"/>
        </w:trPr>
        <w:tc>
          <w:tcPr>
            <w:tcW w:w="4671" w:type="dxa"/>
            <w:tcBorders>
              <w:top w:val="single" w:sz="2" w:space="0" w:color="auto"/>
              <w:left w:val="nil"/>
              <w:bottom w:val="single" w:sz="2" w:space="0" w:color="auto"/>
              <w:right w:val="nil"/>
            </w:tcBorders>
            <w:shd w:val="clear" w:color="auto" w:fill="auto"/>
            <w:noWrap/>
            <w:vAlign w:val="center"/>
            <w:hideMark/>
          </w:tcPr>
          <w:p w:rsidR="00676CA2" w:rsidRDefault="00676CA2" w:rsidP="006825F8">
            <w:pPr>
              <w:spacing w:after="0"/>
              <w:ind w:firstLine="0"/>
              <w:jc w:val="left"/>
              <w:rPr>
                <w:rFonts w:ascii="Arial Narrow" w:hAnsi="Arial Narrow" w:cs="Calibri"/>
                <w:color w:val="000000"/>
              </w:rPr>
            </w:pPr>
            <w:r>
              <w:rPr>
                <w:rFonts w:ascii="Arial Narrow" w:hAnsi="Arial Narrow" w:cs="Calibri"/>
                <w:color w:val="000000"/>
              </w:rPr>
              <w:t>Retribuciones del personal fijo</w:t>
            </w:r>
          </w:p>
        </w:tc>
        <w:tc>
          <w:tcPr>
            <w:tcW w:w="2811" w:type="dxa"/>
            <w:tcBorders>
              <w:top w:val="single" w:sz="2" w:space="0" w:color="auto"/>
              <w:left w:val="nil"/>
              <w:bottom w:val="single" w:sz="2" w:space="0" w:color="auto"/>
              <w:right w:val="nil"/>
            </w:tcBorders>
            <w:shd w:val="clear" w:color="auto" w:fill="auto"/>
            <w:noWrap/>
            <w:vAlign w:val="center"/>
            <w:hideMark/>
          </w:tcPr>
          <w:p w:rsidR="00676CA2" w:rsidRPr="00716B12" w:rsidRDefault="00676CA2" w:rsidP="006825F8">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251.468</w:t>
            </w:r>
          </w:p>
        </w:tc>
        <w:tc>
          <w:tcPr>
            <w:tcW w:w="1428" w:type="dxa"/>
            <w:tcBorders>
              <w:top w:val="single" w:sz="2" w:space="0" w:color="auto"/>
              <w:left w:val="nil"/>
              <w:bottom w:val="single" w:sz="2" w:space="0" w:color="auto"/>
              <w:right w:val="nil"/>
            </w:tcBorders>
            <w:vAlign w:val="center"/>
          </w:tcPr>
          <w:p w:rsidR="00676CA2" w:rsidRPr="00716B12" w:rsidRDefault="00676CA2" w:rsidP="006825F8">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0,6</w:t>
            </w:r>
          </w:p>
        </w:tc>
      </w:tr>
      <w:tr w:rsidR="00676CA2" w:rsidRPr="004177B8" w:rsidTr="006825F8">
        <w:trPr>
          <w:trHeight w:val="198"/>
          <w:jc w:val="center"/>
        </w:trPr>
        <w:tc>
          <w:tcPr>
            <w:tcW w:w="4671" w:type="dxa"/>
            <w:tcBorders>
              <w:top w:val="single" w:sz="2" w:space="0" w:color="auto"/>
              <w:left w:val="nil"/>
              <w:bottom w:val="single" w:sz="2" w:space="0" w:color="auto"/>
              <w:right w:val="nil"/>
            </w:tcBorders>
            <w:shd w:val="clear" w:color="auto" w:fill="auto"/>
            <w:noWrap/>
            <w:vAlign w:val="center"/>
          </w:tcPr>
          <w:p w:rsidR="00676CA2" w:rsidRDefault="00676CA2" w:rsidP="006825F8">
            <w:pPr>
              <w:spacing w:after="0"/>
              <w:ind w:firstLine="0"/>
              <w:jc w:val="left"/>
              <w:rPr>
                <w:rFonts w:ascii="Arial Narrow" w:hAnsi="Arial Narrow" w:cs="Calibri"/>
                <w:color w:val="000000"/>
              </w:rPr>
            </w:pPr>
            <w:r>
              <w:rPr>
                <w:rFonts w:ascii="Arial Narrow" w:hAnsi="Arial Narrow" w:cs="Calibri"/>
                <w:color w:val="000000"/>
              </w:rPr>
              <w:t>Horas extraordinarias</w:t>
            </w:r>
          </w:p>
        </w:tc>
        <w:tc>
          <w:tcPr>
            <w:tcW w:w="2811" w:type="dxa"/>
            <w:tcBorders>
              <w:top w:val="single" w:sz="2" w:space="0" w:color="auto"/>
              <w:left w:val="nil"/>
              <w:bottom w:val="single" w:sz="2" w:space="0" w:color="auto"/>
              <w:right w:val="nil"/>
            </w:tcBorders>
            <w:shd w:val="clear" w:color="auto" w:fill="auto"/>
            <w:noWrap/>
            <w:vAlign w:val="center"/>
            <w:hideMark/>
          </w:tcPr>
          <w:p w:rsidR="00676CA2" w:rsidRPr="00716B12" w:rsidRDefault="00676CA2" w:rsidP="006825F8">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158.633</w:t>
            </w:r>
          </w:p>
        </w:tc>
        <w:tc>
          <w:tcPr>
            <w:tcW w:w="1428" w:type="dxa"/>
            <w:tcBorders>
              <w:top w:val="single" w:sz="2" w:space="0" w:color="auto"/>
              <w:left w:val="nil"/>
              <w:bottom w:val="single" w:sz="2" w:space="0" w:color="auto"/>
              <w:right w:val="nil"/>
            </w:tcBorders>
            <w:vAlign w:val="center"/>
          </w:tcPr>
          <w:p w:rsidR="00676CA2" w:rsidRPr="00716B12" w:rsidRDefault="00676CA2" w:rsidP="006825F8">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0,4</w:t>
            </w:r>
          </w:p>
        </w:tc>
      </w:tr>
      <w:tr w:rsidR="00676CA2" w:rsidRPr="004177B8" w:rsidTr="006825F8">
        <w:trPr>
          <w:trHeight w:val="198"/>
          <w:jc w:val="center"/>
        </w:trPr>
        <w:tc>
          <w:tcPr>
            <w:tcW w:w="4671" w:type="dxa"/>
            <w:tcBorders>
              <w:top w:val="single" w:sz="2" w:space="0" w:color="auto"/>
              <w:left w:val="nil"/>
              <w:bottom w:val="single" w:sz="2" w:space="0" w:color="auto"/>
              <w:right w:val="nil"/>
            </w:tcBorders>
            <w:shd w:val="clear" w:color="auto" w:fill="auto"/>
            <w:noWrap/>
            <w:vAlign w:val="center"/>
          </w:tcPr>
          <w:p w:rsidR="00676CA2" w:rsidRDefault="00676CA2" w:rsidP="006825F8">
            <w:pPr>
              <w:spacing w:after="0"/>
              <w:ind w:firstLine="0"/>
              <w:jc w:val="left"/>
              <w:rPr>
                <w:rFonts w:ascii="Arial Narrow" w:hAnsi="Arial Narrow" w:cs="Calibri"/>
                <w:color w:val="000000"/>
              </w:rPr>
            </w:pPr>
            <w:r>
              <w:rPr>
                <w:rFonts w:ascii="Arial Narrow" w:hAnsi="Arial Narrow" w:cs="Calibri"/>
                <w:color w:val="000000"/>
              </w:rPr>
              <w:t>Complemento dispersión geográfica</w:t>
            </w:r>
          </w:p>
        </w:tc>
        <w:tc>
          <w:tcPr>
            <w:tcW w:w="2811" w:type="dxa"/>
            <w:tcBorders>
              <w:top w:val="single" w:sz="2" w:space="0" w:color="auto"/>
              <w:left w:val="nil"/>
              <w:bottom w:val="single" w:sz="2" w:space="0" w:color="auto"/>
              <w:right w:val="nil"/>
            </w:tcBorders>
            <w:shd w:val="clear" w:color="auto" w:fill="auto"/>
            <w:noWrap/>
            <w:vAlign w:val="center"/>
            <w:hideMark/>
          </w:tcPr>
          <w:p w:rsidR="00676CA2" w:rsidRPr="00716B12" w:rsidRDefault="00676CA2" w:rsidP="006825F8">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64.994</w:t>
            </w:r>
          </w:p>
        </w:tc>
        <w:tc>
          <w:tcPr>
            <w:tcW w:w="1428" w:type="dxa"/>
            <w:tcBorders>
              <w:top w:val="single" w:sz="2" w:space="0" w:color="auto"/>
              <w:left w:val="nil"/>
              <w:bottom w:val="single" w:sz="2" w:space="0" w:color="auto"/>
              <w:right w:val="nil"/>
            </w:tcBorders>
            <w:vAlign w:val="center"/>
          </w:tcPr>
          <w:p w:rsidR="00676CA2" w:rsidRPr="00716B12" w:rsidRDefault="00676CA2" w:rsidP="006825F8">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0,1</w:t>
            </w:r>
          </w:p>
        </w:tc>
      </w:tr>
      <w:tr w:rsidR="00676CA2" w:rsidRPr="004177B8" w:rsidTr="006825F8">
        <w:trPr>
          <w:trHeight w:val="198"/>
          <w:jc w:val="center"/>
        </w:trPr>
        <w:tc>
          <w:tcPr>
            <w:tcW w:w="4671" w:type="dxa"/>
            <w:tcBorders>
              <w:top w:val="single" w:sz="2" w:space="0" w:color="auto"/>
              <w:left w:val="nil"/>
              <w:bottom w:val="single" w:sz="2" w:space="0" w:color="auto"/>
              <w:right w:val="nil"/>
            </w:tcBorders>
            <w:shd w:val="clear" w:color="auto" w:fill="auto"/>
            <w:noWrap/>
            <w:vAlign w:val="center"/>
          </w:tcPr>
          <w:p w:rsidR="00676CA2" w:rsidRDefault="00676CA2" w:rsidP="006825F8">
            <w:pPr>
              <w:spacing w:after="0"/>
              <w:ind w:firstLine="0"/>
              <w:jc w:val="left"/>
              <w:rPr>
                <w:rFonts w:ascii="Arial Narrow" w:hAnsi="Arial Narrow" w:cs="Calibri"/>
                <w:color w:val="000000"/>
              </w:rPr>
            </w:pPr>
            <w:r>
              <w:rPr>
                <w:rFonts w:ascii="Arial Narrow" w:hAnsi="Arial Narrow" w:cs="Calibri"/>
                <w:color w:val="000000"/>
              </w:rPr>
              <w:t>Complemento de capitación</w:t>
            </w:r>
          </w:p>
        </w:tc>
        <w:tc>
          <w:tcPr>
            <w:tcW w:w="2811" w:type="dxa"/>
            <w:tcBorders>
              <w:top w:val="single" w:sz="2" w:space="0" w:color="auto"/>
              <w:left w:val="nil"/>
              <w:bottom w:val="single" w:sz="2" w:space="0" w:color="auto"/>
              <w:right w:val="nil"/>
            </w:tcBorders>
            <w:shd w:val="clear" w:color="auto" w:fill="auto"/>
            <w:noWrap/>
            <w:vAlign w:val="center"/>
            <w:hideMark/>
          </w:tcPr>
          <w:p w:rsidR="00676CA2" w:rsidRPr="00716B12" w:rsidRDefault="00676CA2" w:rsidP="006825F8">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50.215</w:t>
            </w:r>
          </w:p>
        </w:tc>
        <w:tc>
          <w:tcPr>
            <w:tcW w:w="1428" w:type="dxa"/>
            <w:tcBorders>
              <w:top w:val="single" w:sz="2" w:space="0" w:color="auto"/>
              <w:left w:val="nil"/>
              <w:bottom w:val="single" w:sz="2" w:space="0" w:color="auto"/>
              <w:right w:val="nil"/>
            </w:tcBorders>
            <w:vAlign w:val="center"/>
          </w:tcPr>
          <w:p w:rsidR="00676CA2" w:rsidRPr="00716B12" w:rsidRDefault="00676CA2" w:rsidP="006825F8">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0,1</w:t>
            </w:r>
          </w:p>
        </w:tc>
      </w:tr>
      <w:tr w:rsidR="00676CA2" w:rsidRPr="004177B8" w:rsidTr="006825F8">
        <w:trPr>
          <w:trHeight w:val="198"/>
          <w:jc w:val="center"/>
        </w:trPr>
        <w:tc>
          <w:tcPr>
            <w:tcW w:w="4671" w:type="dxa"/>
            <w:tcBorders>
              <w:top w:val="single" w:sz="2" w:space="0" w:color="auto"/>
              <w:left w:val="nil"/>
              <w:bottom w:val="single" w:sz="2" w:space="0" w:color="auto"/>
              <w:right w:val="nil"/>
            </w:tcBorders>
            <w:shd w:val="clear" w:color="auto" w:fill="auto"/>
            <w:noWrap/>
            <w:vAlign w:val="center"/>
          </w:tcPr>
          <w:p w:rsidR="00676CA2" w:rsidRDefault="00676CA2" w:rsidP="006825F8">
            <w:pPr>
              <w:spacing w:after="0"/>
              <w:ind w:firstLine="0"/>
              <w:jc w:val="left"/>
              <w:rPr>
                <w:rFonts w:ascii="Arial Narrow" w:hAnsi="Arial Narrow" w:cs="Calibri"/>
                <w:color w:val="000000"/>
              </w:rPr>
            </w:pPr>
            <w:r>
              <w:rPr>
                <w:rFonts w:ascii="Arial Narrow" w:hAnsi="Arial Narrow" w:cs="Calibri"/>
                <w:color w:val="000000"/>
              </w:rPr>
              <w:t>Retribuciones carrera profesional</w:t>
            </w:r>
          </w:p>
        </w:tc>
        <w:tc>
          <w:tcPr>
            <w:tcW w:w="2811" w:type="dxa"/>
            <w:tcBorders>
              <w:top w:val="single" w:sz="2" w:space="0" w:color="auto"/>
              <w:left w:val="nil"/>
              <w:bottom w:val="single" w:sz="2" w:space="0" w:color="auto"/>
              <w:right w:val="nil"/>
            </w:tcBorders>
            <w:shd w:val="clear" w:color="auto" w:fill="auto"/>
            <w:noWrap/>
            <w:vAlign w:val="center"/>
            <w:hideMark/>
          </w:tcPr>
          <w:p w:rsidR="00676CA2" w:rsidRPr="00716B12" w:rsidRDefault="00676CA2" w:rsidP="006825F8">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6.918</w:t>
            </w:r>
          </w:p>
        </w:tc>
        <w:tc>
          <w:tcPr>
            <w:tcW w:w="1428" w:type="dxa"/>
            <w:tcBorders>
              <w:top w:val="single" w:sz="2" w:space="0" w:color="auto"/>
              <w:left w:val="nil"/>
              <w:bottom w:val="single" w:sz="2" w:space="0" w:color="auto"/>
              <w:right w:val="nil"/>
            </w:tcBorders>
            <w:vAlign w:val="center"/>
          </w:tcPr>
          <w:p w:rsidR="00676CA2" w:rsidRPr="00716B12" w:rsidRDefault="00676CA2" w:rsidP="006825F8">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w:t>
            </w:r>
          </w:p>
        </w:tc>
      </w:tr>
      <w:tr w:rsidR="00676CA2" w:rsidRPr="00A758EA" w:rsidTr="006825F8">
        <w:trPr>
          <w:trHeight w:val="198"/>
          <w:jc w:val="center"/>
        </w:trPr>
        <w:tc>
          <w:tcPr>
            <w:tcW w:w="4671" w:type="dxa"/>
            <w:tcBorders>
              <w:top w:val="single" w:sz="2" w:space="0" w:color="auto"/>
              <w:left w:val="nil"/>
              <w:bottom w:val="single" w:sz="4" w:space="0" w:color="auto"/>
              <w:right w:val="nil"/>
            </w:tcBorders>
            <w:shd w:val="clear" w:color="auto" w:fill="auto"/>
            <w:noWrap/>
            <w:vAlign w:val="center"/>
          </w:tcPr>
          <w:p w:rsidR="00676CA2" w:rsidRDefault="00676CA2" w:rsidP="006825F8">
            <w:pPr>
              <w:spacing w:after="0"/>
              <w:ind w:firstLine="0"/>
              <w:jc w:val="left"/>
              <w:rPr>
                <w:rFonts w:ascii="Arial Narrow" w:hAnsi="Arial Narrow" w:cs="Calibri"/>
                <w:color w:val="000000"/>
              </w:rPr>
            </w:pPr>
            <w:proofErr w:type="spellStart"/>
            <w:r>
              <w:rPr>
                <w:rFonts w:ascii="Arial Narrow" w:hAnsi="Arial Narrow" w:cs="Calibri"/>
                <w:color w:val="000000"/>
              </w:rPr>
              <w:t>Retrib</w:t>
            </w:r>
            <w:proofErr w:type="spellEnd"/>
            <w:r>
              <w:rPr>
                <w:rFonts w:ascii="Arial Narrow" w:hAnsi="Arial Narrow" w:cs="Calibri"/>
                <w:color w:val="000000"/>
              </w:rPr>
              <w:t>. personal contratado para cubrir plazas reservadas</w:t>
            </w:r>
          </w:p>
        </w:tc>
        <w:tc>
          <w:tcPr>
            <w:tcW w:w="2811" w:type="dxa"/>
            <w:tcBorders>
              <w:top w:val="single" w:sz="2" w:space="0" w:color="auto"/>
              <w:left w:val="nil"/>
              <w:bottom w:val="single" w:sz="4" w:space="0" w:color="auto"/>
              <w:right w:val="nil"/>
            </w:tcBorders>
            <w:shd w:val="clear" w:color="auto" w:fill="auto"/>
            <w:noWrap/>
            <w:vAlign w:val="center"/>
            <w:hideMark/>
          </w:tcPr>
          <w:p w:rsidR="00676CA2" w:rsidRPr="00716B12" w:rsidRDefault="00676CA2" w:rsidP="006825F8">
            <w:pPr>
              <w:spacing w:after="0"/>
              <w:ind w:firstLine="0"/>
              <w:jc w:val="right"/>
              <w:rPr>
                <w:rFonts w:ascii="Arial Narrow" w:hAnsi="Arial Narrow" w:cs="Calibri"/>
                <w:color w:val="000000"/>
                <w:lang w:val="es-ES" w:eastAsia="es-ES"/>
              </w:rPr>
            </w:pPr>
            <w:r w:rsidRPr="00716B12">
              <w:rPr>
                <w:rFonts w:ascii="Arial Narrow" w:hAnsi="Arial Narrow" w:cs="Calibri"/>
                <w:color w:val="000000"/>
                <w:lang w:val="es-ES" w:eastAsia="es-ES"/>
              </w:rPr>
              <w:t>2.763</w:t>
            </w:r>
          </w:p>
        </w:tc>
        <w:tc>
          <w:tcPr>
            <w:tcW w:w="1428" w:type="dxa"/>
            <w:tcBorders>
              <w:top w:val="single" w:sz="2" w:space="0" w:color="auto"/>
              <w:left w:val="nil"/>
              <w:bottom w:val="single" w:sz="4" w:space="0" w:color="auto"/>
              <w:right w:val="nil"/>
            </w:tcBorders>
            <w:shd w:val="clear" w:color="auto" w:fill="auto"/>
            <w:vAlign w:val="center"/>
          </w:tcPr>
          <w:p w:rsidR="00676CA2" w:rsidRPr="00716B12" w:rsidRDefault="00676CA2" w:rsidP="006825F8">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w:t>
            </w:r>
          </w:p>
        </w:tc>
      </w:tr>
      <w:tr w:rsidR="00676CA2" w:rsidRPr="00A758EA" w:rsidTr="009868A1">
        <w:trPr>
          <w:trHeight w:val="255"/>
          <w:jc w:val="center"/>
        </w:trPr>
        <w:tc>
          <w:tcPr>
            <w:tcW w:w="4671" w:type="dxa"/>
            <w:tcBorders>
              <w:top w:val="single" w:sz="4" w:space="0" w:color="auto"/>
              <w:left w:val="nil"/>
              <w:bottom w:val="single" w:sz="4" w:space="0" w:color="auto"/>
              <w:right w:val="nil"/>
            </w:tcBorders>
            <w:shd w:val="clear" w:color="auto" w:fill="8DB3E2" w:themeFill="text2" w:themeFillTint="66"/>
            <w:noWrap/>
            <w:vAlign w:val="center"/>
          </w:tcPr>
          <w:p w:rsidR="00676CA2" w:rsidRPr="004177B8" w:rsidRDefault="00676CA2" w:rsidP="00FF3E46">
            <w:pPr>
              <w:pStyle w:val="cuadroCabe"/>
              <w:rPr>
                <w:lang w:val="es-ES" w:eastAsia="es-ES"/>
              </w:rPr>
            </w:pPr>
            <w:r w:rsidRPr="004177B8">
              <w:rPr>
                <w:lang w:val="es-ES" w:eastAsia="es-ES"/>
              </w:rPr>
              <w:t>Total general</w:t>
            </w:r>
          </w:p>
        </w:tc>
        <w:tc>
          <w:tcPr>
            <w:tcW w:w="2811" w:type="dxa"/>
            <w:tcBorders>
              <w:top w:val="single" w:sz="4" w:space="0" w:color="auto"/>
              <w:left w:val="nil"/>
              <w:bottom w:val="single" w:sz="4" w:space="0" w:color="auto"/>
              <w:right w:val="nil"/>
            </w:tcBorders>
            <w:shd w:val="clear" w:color="auto" w:fill="8DB3E2" w:themeFill="text2" w:themeFillTint="66"/>
            <w:noWrap/>
            <w:vAlign w:val="center"/>
          </w:tcPr>
          <w:p w:rsidR="00676CA2" w:rsidRPr="00716B12" w:rsidRDefault="00676CA2" w:rsidP="00FF3E46">
            <w:pPr>
              <w:pStyle w:val="cuadroCabe"/>
              <w:jc w:val="right"/>
              <w:rPr>
                <w:lang w:val="es-ES" w:eastAsia="es-ES"/>
              </w:rPr>
            </w:pPr>
            <w:r w:rsidRPr="00716B12">
              <w:rPr>
                <w:lang w:val="es-ES" w:eastAsia="es-ES"/>
              </w:rPr>
              <w:t>44.805.21</w:t>
            </w:r>
            <w:r>
              <w:rPr>
                <w:lang w:val="es-ES" w:eastAsia="es-ES"/>
              </w:rPr>
              <w:t>8</w:t>
            </w:r>
          </w:p>
        </w:tc>
        <w:tc>
          <w:tcPr>
            <w:tcW w:w="1428" w:type="dxa"/>
            <w:tcBorders>
              <w:top w:val="single" w:sz="4" w:space="0" w:color="auto"/>
              <w:left w:val="nil"/>
              <w:bottom w:val="single" w:sz="4" w:space="0" w:color="auto"/>
              <w:right w:val="nil"/>
            </w:tcBorders>
            <w:shd w:val="clear" w:color="auto" w:fill="8DB3E2" w:themeFill="text2" w:themeFillTint="66"/>
            <w:vAlign w:val="center"/>
          </w:tcPr>
          <w:p w:rsidR="00676CA2" w:rsidRPr="00716B12" w:rsidRDefault="00676CA2" w:rsidP="00FF3E46">
            <w:pPr>
              <w:pStyle w:val="cuadroCabe"/>
              <w:jc w:val="right"/>
              <w:rPr>
                <w:lang w:val="es-ES" w:eastAsia="es-ES"/>
              </w:rPr>
            </w:pPr>
            <w:r>
              <w:rPr>
                <w:lang w:val="es-ES" w:eastAsia="es-ES"/>
              </w:rPr>
              <w:t>100</w:t>
            </w:r>
          </w:p>
        </w:tc>
      </w:tr>
    </w:tbl>
    <w:p w:rsidR="00676CA2" w:rsidRDefault="00676CA2" w:rsidP="00676CA2">
      <w:pPr>
        <w:pStyle w:val="texto"/>
        <w:spacing w:before="120" w:after="120"/>
        <w:rPr>
          <w:szCs w:val="26"/>
        </w:rPr>
      </w:pPr>
      <w:r>
        <w:rPr>
          <w:szCs w:val="26"/>
        </w:rPr>
        <w:t>Los conceptos económicos que supusieron un mayor gasto son: las retrib</w:t>
      </w:r>
      <w:r>
        <w:rPr>
          <w:szCs w:val="26"/>
        </w:rPr>
        <w:t>u</w:t>
      </w:r>
      <w:r>
        <w:rPr>
          <w:szCs w:val="26"/>
        </w:rPr>
        <w:t>ciones destinadas al personal contratado temporal con 23,49 millones (52 por ciento del total del gasto), el gasto con la Seguridad Social con 8,17 millones (18 por ciento del total), el destinado al personal contratado para sustituciones con 4,68 millones (diez por ciento del total) y el correspondiente al compl</w:t>
      </w:r>
      <w:r>
        <w:rPr>
          <w:szCs w:val="26"/>
        </w:rPr>
        <w:t>e</w:t>
      </w:r>
      <w:r>
        <w:rPr>
          <w:szCs w:val="26"/>
        </w:rPr>
        <w:t>mento de productividad con 3,73 millones (ocho por ciento del total). El resto de conceptos no supera el cinco por ciento sobre el total del gasto.</w:t>
      </w:r>
    </w:p>
    <w:p w:rsidR="00676CA2" w:rsidRDefault="00676CA2" w:rsidP="00676CA2">
      <w:pPr>
        <w:pStyle w:val="texto"/>
        <w:spacing w:before="120" w:after="120"/>
        <w:rPr>
          <w:szCs w:val="26"/>
        </w:rPr>
      </w:pPr>
      <w:r>
        <w:rPr>
          <w:szCs w:val="26"/>
        </w:rPr>
        <w:t xml:space="preserve">En resumen, el gasto se destinó en su mayoría a contratar personal para hacer frente a las necesidades que fueron surgiendo para afrontar la crisis sanitaria. </w:t>
      </w:r>
    </w:p>
    <w:p w:rsidR="00676CA2" w:rsidRDefault="00676CA2" w:rsidP="00676CA2">
      <w:pPr>
        <w:pStyle w:val="texto"/>
        <w:spacing w:before="120" w:after="200"/>
        <w:rPr>
          <w:szCs w:val="26"/>
        </w:rPr>
      </w:pPr>
      <w:r>
        <w:rPr>
          <w:szCs w:val="26"/>
        </w:rPr>
        <w:t>El número de contratos realizados desde que se declaró el estado de alarma en marzo de 2020 hasta 31 de diciembre de 2020 por ámbito de la ACFN es el siguiente:</w:t>
      </w:r>
    </w:p>
    <w:tbl>
      <w:tblPr>
        <w:tblStyle w:val="Tablaconcuadrcula"/>
        <w:tblW w:w="8789"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3693"/>
        <w:gridCol w:w="1079"/>
        <w:gridCol w:w="2174"/>
        <w:gridCol w:w="973"/>
        <w:gridCol w:w="870"/>
      </w:tblGrid>
      <w:tr w:rsidR="00676CA2" w:rsidRPr="004A1553" w:rsidTr="000D13D5">
        <w:trPr>
          <w:trHeight w:val="255"/>
          <w:jc w:val="center"/>
        </w:trPr>
        <w:tc>
          <w:tcPr>
            <w:tcW w:w="3693" w:type="dxa"/>
            <w:shd w:val="clear" w:color="auto" w:fill="8DB3E2" w:themeFill="text2" w:themeFillTint="66"/>
          </w:tcPr>
          <w:p w:rsidR="00676CA2" w:rsidRPr="004A1553" w:rsidRDefault="00676CA2" w:rsidP="00DB2D91">
            <w:pPr>
              <w:pStyle w:val="cuadroCabe"/>
            </w:pPr>
          </w:p>
        </w:tc>
        <w:tc>
          <w:tcPr>
            <w:tcW w:w="1079" w:type="dxa"/>
            <w:shd w:val="clear" w:color="auto" w:fill="8DB3E2" w:themeFill="text2" w:themeFillTint="66"/>
            <w:vAlign w:val="center"/>
          </w:tcPr>
          <w:p w:rsidR="00676CA2" w:rsidRPr="004A1553" w:rsidRDefault="00676CA2" w:rsidP="00DB2D91">
            <w:pPr>
              <w:pStyle w:val="cuadroCabe"/>
              <w:jc w:val="right"/>
            </w:pPr>
            <w:r w:rsidRPr="004A1553">
              <w:t>SNS-O</w:t>
            </w:r>
          </w:p>
        </w:tc>
        <w:tc>
          <w:tcPr>
            <w:tcW w:w="2174" w:type="dxa"/>
            <w:shd w:val="clear" w:color="auto" w:fill="8DB3E2" w:themeFill="text2" w:themeFillTint="66"/>
            <w:vAlign w:val="center"/>
          </w:tcPr>
          <w:p w:rsidR="00676CA2" w:rsidRPr="004A1553" w:rsidRDefault="00676CA2" w:rsidP="000D13D5">
            <w:pPr>
              <w:pStyle w:val="cuadroCabe"/>
              <w:ind w:right="462"/>
              <w:jc w:val="right"/>
            </w:pPr>
            <w:r w:rsidRPr="004A1553">
              <w:t>Dpto</w:t>
            </w:r>
            <w:r w:rsidR="000D13D5">
              <w:t>.</w:t>
            </w:r>
            <w:r w:rsidRPr="004A1553">
              <w:t xml:space="preserve"> Educación</w:t>
            </w:r>
          </w:p>
        </w:tc>
        <w:tc>
          <w:tcPr>
            <w:tcW w:w="973" w:type="dxa"/>
            <w:shd w:val="clear" w:color="auto" w:fill="8DB3E2" w:themeFill="text2" w:themeFillTint="66"/>
            <w:vAlign w:val="center"/>
          </w:tcPr>
          <w:p w:rsidR="00676CA2" w:rsidRPr="004A1553" w:rsidRDefault="00676CA2" w:rsidP="000D13D5">
            <w:pPr>
              <w:pStyle w:val="cuadroCabe"/>
              <w:ind w:right="20"/>
              <w:jc w:val="right"/>
            </w:pPr>
            <w:r w:rsidRPr="004A1553">
              <w:t>ANADP</w:t>
            </w:r>
          </w:p>
        </w:tc>
        <w:tc>
          <w:tcPr>
            <w:tcW w:w="870" w:type="dxa"/>
            <w:shd w:val="clear" w:color="auto" w:fill="8DB3E2" w:themeFill="text2" w:themeFillTint="66"/>
            <w:vAlign w:val="center"/>
          </w:tcPr>
          <w:p w:rsidR="00676CA2" w:rsidRPr="004A1553" w:rsidRDefault="00676CA2" w:rsidP="00DB2D91">
            <w:pPr>
              <w:pStyle w:val="cuadroCabe"/>
              <w:jc w:val="right"/>
            </w:pPr>
            <w:r w:rsidRPr="004A1553">
              <w:t>Total</w:t>
            </w:r>
          </w:p>
        </w:tc>
      </w:tr>
      <w:tr w:rsidR="00676CA2" w:rsidRPr="004A1553" w:rsidTr="000D13D5">
        <w:trPr>
          <w:trHeight w:val="198"/>
          <w:jc w:val="center"/>
        </w:trPr>
        <w:tc>
          <w:tcPr>
            <w:tcW w:w="3693" w:type="dxa"/>
            <w:tcBorders>
              <w:bottom w:val="single" w:sz="2" w:space="0" w:color="auto"/>
            </w:tcBorders>
            <w:vAlign w:val="center"/>
          </w:tcPr>
          <w:p w:rsidR="00676CA2" w:rsidRPr="004A1553" w:rsidRDefault="00676CA2" w:rsidP="008217D1">
            <w:pPr>
              <w:pStyle w:val="texto"/>
              <w:spacing w:after="0" w:line="240" w:lineRule="atLeast"/>
              <w:ind w:firstLine="0"/>
              <w:jc w:val="left"/>
              <w:rPr>
                <w:rFonts w:ascii="Arial Narrow" w:hAnsi="Arial Narrow"/>
                <w:sz w:val="20"/>
                <w:szCs w:val="20"/>
              </w:rPr>
            </w:pPr>
            <w:r w:rsidRPr="004A1553">
              <w:rPr>
                <w:rFonts w:ascii="Arial Narrow" w:hAnsi="Arial Narrow"/>
                <w:sz w:val="20"/>
                <w:szCs w:val="20"/>
              </w:rPr>
              <w:t>Contrato administrativo</w:t>
            </w:r>
          </w:p>
        </w:tc>
        <w:tc>
          <w:tcPr>
            <w:tcW w:w="1079" w:type="dxa"/>
            <w:tcBorders>
              <w:bottom w:val="single" w:sz="2" w:space="0" w:color="auto"/>
            </w:tcBorders>
            <w:vAlign w:val="center"/>
          </w:tcPr>
          <w:p w:rsidR="00676CA2" w:rsidRPr="004A1553" w:rsidRDefault="00676CA2" w:rsidP="008217D1">
            <w:pPr>
              <w:pStyle w:val="texto"/>
              <w:spacing w:after="0" w:line="240" w:lineRule="atLeast"/>
              <w:ind w:firstLine="0"/>
              <w:jc w:val="right"/>
              <w:rPr>
                <w:rFonts w:ascii="Arial Narrow" w:hAnsi="Arial Narrow"/>
                <w:sz w:val="20"/>
                <w:szCs w:val="20"/>
              </w:rPr>
            </w:pPr>
            <w:r w:rsidRPr="004A1553">
              <w:rPr>
                <w:rFonts w:ascii="Arial Narrow" w:hAnsi="Arial Narrow"/>
                <w:sz w:val="20"/>
                <w:szCs w:val="20"/>
              </w:rPr>
              <w:t>4.905</w:t>
            </w:r>
          </w:p>
        </w:tc>
        <w:tc>
          <w:tcPr>
            <w:tcW w:w="2174" w:type="dxa"/>
            <w:tcBorders>
              <w:bottom w:val="single" w:sz="2" w:space="0" w:color="auto"/>
            </w:tcBorders>
            <w:vAlign w:val="center"/>
          </w:tcPr>
          <w:p w:rsidR="00676CA2" w:rsidRPr="004A1553" w:rsidRDefault="00676CA2" w:rsidP="000D13D5">
            <w:pPr>
              <w:autoSpaceDE w:val="0"/>
              <w:autoSpaceDN w:val="0"/>
              <w:adjustRightInd w:val="0"/>
              <w:spacing w:after="0"/>
              <w:ind w:right="462" w:firstLine="0"/>
              <w:jc w:val="right"/>
              <w:rPr>
                <w:rFonts w:ascii="Arial Narrow" w:hAnsi="Arial Narrow" w:cs="Arial Narrow"/>
                <w:lang w:val="es-ES" w:eastAsia="es-ES"/>
              </w:rPr>
            </w:pPr>
            <w:r>
              <w:rPr>
                <w:rFonts w:ascii="Arial Narrow" w:hAnsi="Arial Narrow" w:cs="Arial Narrow"/>
                <w:lang w:val="es-ES" w:eastAsia="es-ES"/>
              </w:rPr>
              <w:t>1.189</w:t>
            </w:r>
          </w:p>
        </w:tc>
        <w:tc>
          <w:tcPr>
            <w:tcW w:w="973" w:type="dxa"/>
            <w:tcBorders>
              <w:bottom w:val="single" w:sz="2" w:space="0" w:color="auto"/>
            </w:tcBorders>
            <w:vAlign w:val="center"/>
          </w:tcPr>
          <w:p w:rsidR="00676CA2" w:rsidRPr="004A1553" w:rsidRDefault="00676CA2" w:rsidP="000D13D5">
            <w:pPr>
              <w:autoSpaceDE w:val="0"/>
              <w:autoSpaceDN w:val="0"/>
              <w:adjustRightInd w:val="0"/>
              <w:spacing w:after="0"/>
              <w:ind w:right="20" w:firstLine="0"/>
              <w:jc w:val="right"/>
              <w:rPr>
                <w:rFonts w:ascii="Arial Narrow" w:hAnsi="Arial Narrow" w:cs="Arial Narrow"/>
                <w:lang w:val="es-ES" w:eastAsia="es-ES"/>
              </w:rPr>
            </w:pPr>
            <w:r w:rsidRPr="004A1553">
              <w:rPr>
                <w:rFonts w:ascii="Arial Narrow" w:hAnsi="Arial Narrow" w:cs="Arial Narrow"/>
                <w:lang w:val="es-ES" w:eastAsia="es-ES"/>
              </w:rPr>
              <w:t>584</w:t>
            </w:r>
          </w:p>
        </w:tc>
        <w:tc>
          <w:tcPr>
            <w:tcW w:w="870" w:type="dxa"/>
            <w:tcBorders>
              <w:bottom w:val="single" w:sz="2" w:space="0" w:color="auto"/>
            </w:tcBorders>
            <w:vAlign w:val="center"/>
          </w:tcPr>
          <w:p w:rsidR="00676CA2" w:rsidRPr="004A1553" w:rsidRDefault="00676CA2" w:rsidP="008217D1">
            <w:pPr>
              <w:autoSpaceDE w:val="0"/>
              <w:autoSpaceDN w:val="0"/>
              <w:adjustRightInd w:val="0"/>
              <w:spacing w:after="0"/>
              <w:ind w:firstLine="0"/>
              <w:jc w:val="right"/>
              <w:rPr>
                <w:rFonts w:ascii="Arial Narrow" w:hAnsi="Arial Narrow" w:cs="Arial Narrow"/>
                <w:lang w:val="es-ES" w:eastAsia="es-ES"/>
              </w:rPr>
            </w:pPr>
            <w:r w:rsidRPr="004A1553">
              <w:rPr>
                <w:rFonts w:ascii="Arial Narrow" w:hAnsi="Arial Narrow" w:cs="Arial Narrow"/>
                <w:lang w:val="es-ES" w:eastAsia="es-ES"/>
              </w:rPr>
              <w:t>6.</w:t>
            </w:r>
            <w:r>
              <w:rPr>
                <w:rFonts w:ascii="Arial Narrow" w:hAnsi="Arial Narrow" w:cs="Arial Narrow"/>
                <w:lang w:val="es-ES" w:eastAsia="es-ES"/>
              </w:rPr>
              <w:t>678</w:t>
            </w:r>
          </w:p>
        </w:tc>
      </w:tr>
      <w:tr w:rsidR="00676CA2" w:rsidRPr="004A1553" w:rsidTr="000D13D5">
        <w:trPr>
          <w:trHeight w:val="198"/>
          <w:jc w:val="center"/>
        </w:trPr>
        <w:tc>
          <w:tcPr>
            <w:tcW w:w="3693" w:type="dxa"/>
            <w:tcBorders>
              <w:top w:val="single" w:sz="2" w:space="0" w:color="auto"/>
              <w:bottom w:val="single" w:sz="2" w:space="0" w:color="auto"/>
            </w:tcBorders>
            <w:vAlign w:val="center"/>
          </w:tcPr>
          <w:p w:rsidR="00676CA2" w:rsidRPr="004A1553" w:rsidRDefault="00676CA2" w:rsidP="008217D1">
            <w:pPr>
              <w:pStyle w:val="texto"/>
              <w:spacing w:after="0" w:line="240" w:lineRule="atLeast"/>
              <w:ind w:firstLine="0"/>
              <w:jc w:val="left"/>
              <w:rPr>
                <w:rFonts w:ascii="Arial Narrow" w:hAnsi="Arial Narrow"/>
                <w:sz w:val="20"/>
                <w:szCs w:val="20"/>
              </w:rPr>
            </w:pPr>
            <w:r w:rsidRPr="004A1553">
              <w:rPr>
                <w:rFonts w:ascii="Arial Narrow" w:hAnsi="Arial Narrow"/>
                <w:sz w:val="20"/>
                <w:szCs w:val="20"/>
              </w:rPr>
              <w:t>Cuidador fin de semana</w:t>
            </w:r>
          </w:p>
        </w:tc>
        <w:tc>
          <w:tcPr>
            <w:tcW w:w="1079" w:type="dxa"/>
            <w:tcBorders>
              <w:top w:val="single" w:sz="2" w:space="0" w:color="auto"/>
              <w:bottom w:val="single" w:sz="2" w:space="0" w:color="auto"/>
            </w:tcBorders>
            <w:vAlign w:val="center"/>
          </w:tcPr>
          <w:p w:rsidR="00676CA2" w:rsidRPr="004A1553" w:rsidRDefault="00676CA2" w:rsidP="008217D1">
            <w:pPr>
              <w:pStyle w:val="texto"/>
              <w:spacing w:after="0" w:line="240" w:lineRule="atLeast"/>
              <w:ind w:firstLine="0"/>
              <w:jc w:val="right"/>
              <w:rPr>
                <w:rFonts w:ascii="Arial Narrow" w:hAnsi="Arial Narrow"/>
                <w:sz w:val="20"/>
                <w:szCs w:val="20"/>
              </w:rPr>
            </w:pPr>
            <w:r w:rsidRPr="004A1553">
              <w:rPr>
                <w:rFonts w:ascii="Arial Narrow" w:hAnsi="Arial Narrow"/>
                <w:sz w:val="20"/>
                <w:szCs w:val="20"/>
              </w:rPr>
              <w:t>-</w:t>
            </w:r>
          </w:p>
        </w:tc>
        <w:tc>
          <w:tcPr>
            <w:tcW w:w="2174" w:type="dxa"/>
            <w:tcBorders>
              <w:top w:val="single" w:sz="2" w:space="0" w:color="auto"/>
              <w:bottom w:val="single" w:sz="2" w:space="0" w:color="auto"/>
            </w:tcBorders>
            <w:vAlign w:val="center"/>
          </w:tcPr>
          <w:p w:rsidR="00676CA2" w:rsidRPr="004A1553" w:rsidRDefault="00676CA2" w:rsidP="000D13D5">
            <w:pPr>
              <w:autoSpaceDE w:val="0"/>
              <w:autoSpaceDN w:val="0"/>
              <w:adjustRightInd w:val="0"/>
              <w:spacing w:after="0"/>
              <w:ind w:right="462" w:firstLine="0"/>
              <w:jc w:val="right"/>
              <w:rPr>
                <w:rFonts w:ascii="Arial Narrow" w:hAnsi="Arial Narrow" w:cs="Arial Narrow"/>
                <w:lang w:val="es-ES" w:eastAsia="es-ES"/>
              </w:rPr>
            </w:pPr>
            <w:r w:rsidRPr="004A1553">
              <w:rPr>
                <w:rFonts w:ascii="Arial Narrow" w:hAnsi="Arial Narrow" w:cs="Arial Narrow"/>
                <w:lang w:val="es-ES" w:eastAsia="es-ES"/>
              </w:rPr>
              <w:t>-</w:t>
            </w:r>
          </w:p>
        </w:tc>
        <w:tc>
          <w:tcPr>
            <w:tcW w:w="973" w:type="dxa"/>
            <w:tcBorders>
              <w:top w:val="single" w:sz="2" w:space="0" w:color="auto"/>
              <w:bottom w:val="single" w:sz="2" w:space="0" w:color="auto"/>
            </w:tcBorders>
            <w:vAlign w:val="center"/>
          </w:tcPr>
          <w:p w:rsidR="00676CA2" w:rsidRPr="004A1553" w:rsidRDefault="00676CA2" w:rsidP="000D13D5">
            <w:pPr>
              <w:autoSpaceDE w:val="0"/>
              <w:autoSpaceDN w:val="0"/>
              <w:adjustRightInd w:val="0"/>
              <w:spacing w:after="0"/>
              <w:ind w:right="20" w:firstLine="0"/>
              <w:jc w:val="right"/>
              <w:rPr>
                <w:rFonts w:ascii="Arial Narrow" w:hAnsi="Arial Narrow" w:cs="Arial Narrow"/>
                <w:lang w:val="es-ES" w:eastAsia="es-ES"/>
              </w:rPr>
            </w:pPr>
            <w:r w:rsidRPr="004A1553">
              <w:rPr>
                <w:rFonts w:ascii="Arial Narrow" w:hAnsi="Arial Narrow" w:cs="Arial Narrow"/>
                <w:lang w:val="es-ES" w:eastAsia="es-ES"/>
              </w:rPr>
              <w:t>106</w:t>
            </w:r>
          </w:p>
        </w:tc>
        <w:tc>
          <w:tcPr>
            <w:tcW w:w="870" w:type="dxa"/>
            <w:tcBorders>
              <w:top w:val="single" w:sz="2" w:space="0" w:color="auto"/>
              <w:bottom w:val="single" w:sz="2" w:space="0" w:color="auto"/>
            </w:tcBorders>
            <w:vAlign w:val="center"/>
          </w:tcPr>
          <w:p w:rsidR="00676CA2" w:rsidRPr="004A1553" w:rsidRDefault="00676CA2" w:rsidP="008217D1">
            <w:pPr>
              <w:autoSpaceDE w:val="0"/>
              <w:autoSpaceDN w:val="0"/>
              <w:adjustRightInd w:val="0"/>
              <w:spacing w:after="0"/>
              <w:ind w:firstLine="0"/>
              <w:jc w:val="right"/>
              <w:rPr>
                <w:rFonts w:ascii="Arial Narrow" w:hAnsi="Arial Narrow" w:cs="Arial Narrow"/>
                <w:lang w:val="es-ES" w:eastAsia="es-ES"/>
              </w:rPr>
            </w:pPr>
            <w:r w:rsidRPr="004A1553">
              <w:rPr>
                <w:rFonts w:ascii="Arial Narrow" w:hAnsi="Arial Narrow" w:cs="Arial Narrow"/>
                <w:lang w:val="es-ES" w:eastAsia="es-ES"/>
              </w:rPr>
              <w:t>106</w:t>
            </w:r>
          </w:p>
        </w:tc>
      </w:tr>
      <w:tr w:rsidR="00676CA2" w:rsidRPr="004A1553" w:rsidTr="000D13D5">
        <w:trPr>
          <w:trHeight w:val="198"/>
          <w:jc w:val="center"/>
        </w:trPr>
        <w:tc>
          <w:tcPr>
            <w:tcW w:w="3693" w:type="dxa"/>
            <w:tcBorders>
              <w:top w:val="single" w:sz="2" w:space="0" w:color="auto"/>
              <w:bottom w:val="single" w:sz="2" w:space="0" w:color="auto"/>
            </w:tcBorders>
            <w:vAlign w:val="center"/>
          </w:tcPr>
          <w:p w:rsidR="00676CA2" w:rsidRPr="004A1553" w:rsidRDefault="00676CA2" w:rsidP="008217D1">
            <w:pPr>
              <w:pStyle w:val="texto"/>
              <w:spacing w:after="0" w:line="240" w:lineRule="atLeast"/>
              <w:ind w:firstLine="0"/>
              <w:jc w:val="left"/>
              <w:rPr>
                <w:rFonts w:ascii="Arial Narrow" w:hAnsi="Arial Narrow"/>
                <w:sz w:val="20"/>
                <w:szCs w:val="20"/>
              </w:rPr>
            </w:pPr>
            <w:r w:rsidRPr="004A1553">
              <w:rPr>
                <w:rFonts w:ascii="Arial Narrow" w:hAnsi="Arial Narrow"/>
                <w:sz w:val="20"/>
                <w:szCs w:val="20"/>
              </w:rPr>
              <w:t>Laboral temporal tiempo completo docente</w:t>
            </w:r>
          </w:p>
        </w:tc>
        <w:tc>
          <w:tcPr>
            <w:tcW w:w="1079" w:type="dxa"/>
            <w:tcBorders>
              <w:top w:val="single" w:sz="2" w:space="0" w:color="auto"/>
              <w:bottom w:val="single" w:sz="2" w:space="0" w:color="auto"/>
            </w:tcBorders>
            <w:vAlign w:val="center"/>
          </w:tcPr>
          <w:p w:rsidR="00676CA2" w:rsidRPr="004A1553" w:rsidRDefault="00676CA2" w:rsidP="008217D1">
            <w:pPr>
              <w:pStyle w:val="texto"/>
              <w:spacing w:after="0" w:line="240" w:lineRule="atLeast"/>
              <w:ind w:firstLine="0"/>
              <w:jc w:val="right"/>
              <w:rPr>
                <w:rFonts w:ascii="Arial Narrow" w:hAnsi="Arial Narrow"/>
                <w:sz w:val="20"/>
                <w:szCs w:val="20"/>
              </w:rPr>
            </w:pPr>
            <w:r w:rsidRPr="004A1553">
              <w:rPr>
                <w:rFonts w:ascii="Arial Narrow" w:hAnsi="Arial Narrow"/>
                <w:sz w:val="20"/>
                <w:szCs w:val="20"/>
              </w:rPr>
              <w:t>-</w:t>
            </w:r>
          </w:p>
        </w:tc>
        <w:tc>
          <w:tcPr>
            <w:tcW w:w="2174" w:type="dxa"/>
            <w:tcBorders>
              <w:top w:val="single" w:sz="2" w:space="0" w:color="auto"/>
              <w:bottom w:val="single" w:sz="2" w:space="0" w:color="auto"/>
            </w:tcBorders>
            <w:vAlign w:val="center"/>
          </w:tcPr>
          <w:p w:rsidR="00676CA2" w:rsidRPr="004A1553" w:rsidRDefault="00676CA2" w:rsidP="000D13D5">
            <w:pPr>
              <w:autoSpaceDE w:val="0"/>
              <w:autoSpaceDN w:val="0"/>
              <w:adjustRightInd w:val="0"/>
              <w:spacing w:after="0"/>
              <w:ind w:right="462" w:firstLine="0"/>
              <w:jc w:val="right"/>
              <w:rPr>
                <w:rFonts w:ascii="Arial Narrow" w:hAnsi="Arial Narrow" w:cs="Arial Narrow"/>
                <w:lang w:val="es-ES" w:eastAsia="es-ES"/>
              </w:rPr>
            </w:pPr>
            <w:r w:rsidRPr="004A1553">
              <w:rPr>
                <w:rFonts w:ascii="Arial Narrow" w:hAnsi="Arial Narrow" w:cs="Arial Narrow"/>
                <w:lang w:val="es-ES" w:eastAsia="es-ES"/>
              </w:rPr>
              <w:t>7</w:t>
            </w:r>
          </w:p>
        </w:tc>
        <w:tc>
          <w:tcPr>
            <w:tcW w:w="973" w:type="dxa"/>
            <w:tcBorders>
              <w:top w:val="single" w:sz="2" w:space="0" w:color="auto"/>
              <w:bottom w:val="single" w:sz="2" w:space="0" w:color="auto"/>
            </w:tcBorders>
            <w:vAlign w:val="center"/>
          </w:tcPr>
          <w:p w:rsidR="00676CA2" w:rsidRPr="004A1553" w:rsidRDefault="00676CA2" w:rsidP="000D13D5">
            <w:pPr>
              <w:autoSpaceDE w:val="0"/>
              <w:autoSpaceDN w:val="0"/>
              <w:adjustRightInd w:val="0"/>
              <w:spacing w:after="0"/>
              <w:ind w:right="20" w:firstLine="0"/>
              <w:jc w:val="right"/>
              <w:rPr>
                <w:rFonts w:ascii="Arial Narrow" w:hAnsi="Arial Narrow" w:cs="Arial Narrow"/>
                <w:lang w:val="es-ES" w:eastAsia="es-ES"/>
              </w:rPr>
            </w:pPr>
            <w:r w:rsidRPr="004A1553">
              <w:rPr>
                <w:rFonts w:ascii="Arial Narrow" w:hAnsi="Arial Narrow" w:cs="Arial Narrow"/>
                <w:lang w:val="es-ES" w:eastAsia="es-ES"/>
              </w:rPr>
              <w:t>-</w:t>
            </w:r>
          </w:p>
        </w:tc>
        <w:tc>
          <w:tcPr>
            <w:tcW w:w="870" w:type="dxa"/>
            <w:tcBorders>
              <w:top w:val="single" w:sz="2" w:space="0" w:color="auto"/>
              <w:bottom w:val="single" w:sz="2" w:space="0" w:color="auto"/>
            </w:tcBorders>
            <w:vAlign w:val="center"/>
          </w:tcPr>
          <w:p w:rsidR="00676CA2" w:rsidRPr="004A1553" w:rsidRDefault="00676CA2" w:rsidP="008217D1">
            <w:pPr>
              <w:autoSpaceDE w:val="0"/>
              <w:autoSpaceDN w:val="0"/>
              <w:adjustRightInd w:val="0"/>
              <w:spacing w:after="0"/>
              <w:ind w:firstLine="0"/>
              <w:jc w:val="right"/>
              <w:rPr>
                <w:rFonts w:ascii="Arial Narrow" w:hAnsi="Arial Narrow" w:cs="Arial Narrow"/>
                <w:lang w:val="es-ES" w:eastAsia="es-ES"/>
              </w:rPr>
            </w:pPr>
            <w:r w:rsidRPr="004A1553">
              <w:rPr>
                <w:rFonts w:ascii="Arial Narrow" w:hAnsi="Arial Narrow" w:cs="Arial Narrow"/>
                <w:lang w:val="es-ES" w:eastAsia="es-ES"/>
              </w:rPr>
              <w:t>7</w:t>
            </w:r>
          </w:p>
        </w:tc>
      </w:tr>
      <w:tr w:rsidR="00676CA2" w:rsidRPr="004A1553" w:rsidTr="000D13D5">
        <w:trPr>
          <w:trHeight w:val="198"/>
          <w:jc w:val="center"/>
        </w:trPr>
        <w:tc>
          <w:tcPr>
            <w:tcW w:w="3693" w:type="dxa"/>
            <w:tcBorders>
              <w:top w:val="single" w:sz="2" w:space="0" w:color="auto"/>
              <w:bottom w:val="single" w:sz="2" w:space="0" w:color="auto"/>
            </w:tcBorders>
            <w:vAlign w:val="center"/>
          </w:tcPr>
          <w:p w:rsidR="00676CA2" w:rsidRPr="004A1553" w:rsidRDefault="00676CA2" w:rsidP="008217D1">
            <w:pPr>
              <w:pStyle w:val="texto"/>
              <w:spacing w:after="0" w:line="240" w:lineRule="atLeast"/>
              <w:ind w:firstLine="0"/>
              <w:jc w:val="left"/>
              <w:rPr>
                <w:rFonts w:ascii="Arial Narrow" w:hAnsi="Arial Narrow"/>
                <w:sz w:val="20"/>
                <w:szCs w:val="20"/>
              </w:rPr>
            </w:pPr>
            <w:r w:rsidRPr="004A1553">
              <w:rPr>
                <w:rFonts w:ascii="Arial Narrow" w:hAnsi="Arial Narrow"/>
                <w:sz w:val="20"/>
                <w:szCs w:val="20"/>
              </w:rPr>
              <w:t>Laboral temporal tiempo parcial docente</w:t>
            </w:r>
          </w:p>
        </w:tc>
        <w:tc>
          <w:tcPr>
            <w:tcW w:w="1079" w:type="dxa"/>
            <w:tcBorders>
              <w:top w:val="single" w:sz="2" w:space="0" w:color="auto"/>
              <w:bottom w:val="single" w:sz="2" w:space="0" w:color="auto"/>
            </w:tcBorders>
            <w:vAlign w:val="center"/>
          </w:tcPr>
          <w:p w:rsidR="00676CA2" w:rsidRPr="004A1553" w:rsidRDefault="00676CA2" w:rsidP="008217D1">
            <w:pPr>
              <w:pStyle w:val="texto"/>
              <w:spacing w:after="0" w:line="240" w:lineRule="atLeast"/>
              <w:ind w:firstLine="0"/>
              <w:jc w:val="right"/>
              <w:rPr>
                <w:rFonts w:ascii="Arial Narrow" w:hAnsi="Arial Narrow"/>
                <w:sz w:val="20"/>
                <w:szCs w:val="20"/>
              </w:rPr>
            </w:pPr>
            <w:r w:rsidRPr="004A1553">
              <w:rPr>
                <w:rFonts w:ascii="Arial Narrow" w:hAnsi="Arial Narrow"/>
                <w:sz w:val="20"/>
                <w:szCs w:val="20"/>
              </w:rPr>
              <w:t>-</w:t>
            </w:r>
          </w:p>
        </w:tc>
        <w:tc>
          <w:tcPr>
            <w:tcW w:w="2174" w:type="dxa"/>
            <w:tcBorders>
              <w:top w:val="single" w:sz="2" w:space="0" w:color="auto"/>
              <w:bottom w:val="single" w:sz="2" w:space="0" w:color="auto"/>
            </w:tcBorders>
            <w:vAlign w:val="center"/>
          </w:tcPr>
          <w:p w:rsidR="00676CA2" w:rsidRPr="004A1553" w:rsidRDefault="00676CA2" w:rsidP="000D13D5">
            <w:pPr>
              <w:autoSpaceDE w:val="0"/>
              <w:autoSpaceDN w:val="0"/>
              <w:adjustRightInd w:val="0"/>
              <w:spacing w:after="0"/>
              <w:ind w:right="462" w:firstLine="0"/>
              <w:jc w:val="right"/>
              <w:rPr>
                <w:rFonts w:ascii="Arial Narrow" w:hAnsi="Arial Narrow" w:cs="Arial Narrow"/>
                <w:lang w:val="es-ES" w:eastAsia="es-ES"/>
              </w:rPr>
            </w:pPr>
            <w:r w:rsidRPr="004A1553">
              <w:rPr>
                <w:rFonts w:ascii="Arial Narrow" w:hAnsi="Arial Narrow" w:cs="Arial Narrow"/>
                <w:lang w:val="es-ES" w:eastAsia="es-ES"/>
              </w:rPr>
              <w:t>5</w:t>
            </w:r>
          </w:p>
        </w:tc>
        <w:tc>
          <w:tcPr>
            <w:tcW w:w="973" w:type="dxa"/>
            <w:tcBorders>
              <w:top w:val="single" w:sz="2" w:space="0" w:color="auto"/>
              <w:bottom w:val="single" w:sz="2" w:space="0" w:color="auto"/>
            </w:tcBorders>
            <w:vAlign w:val="center"/>
          </w:tcPr>
          <w:p w:rsidR="00676CA2" w:rsidRPr="004A1553" w:rsidRDefault="00676CA2" w:rsidP="000D13D5">
            <w:pPr>
              <w:autoSpaceDE w:val="0"/>
              <w:autoSpaceDN w:val="0"/>
              <w:adjustRightInd w:val="0"/>
              <w:spacing w:after="0"/>
              <w:ind w:right="20" w:firstLine="0"/>
              <w:jc w:val="right"/>
              <w:rPr>
                <w:rFonts w:ascii="Arial Narrow" w:hAnsi="Arial Narrow" w:cs="Arial Narrow"/>
                <w:lang w:val="es-ES" w:eastAsia="es-ES"/>
              </w:rPr>
            </w:pPr>
            <w:r w:rsidRPr="004A1553">
              <w:rPr>
                <w:rFonts w:ascii="Arial Narrow" w:hAnsi="Arial Narrow" w:cs="Arial Narrow"/>
                <w:lang w:val="es-ES" w:eastAsia="es-ES"/>
              </w:rPr>
              <w:t>-</w:t>
            </w:r>
          </w:p>
        </w:tc>
        <w:tc>
          <w:tcPr>
            <w:tcW w:w="870" w:type="dxa"/>
            <w:tcBorders>
              <w:top w:val="single" w:sz="2" w:space="0" w:color="auto"/>
              <w:bottom w:val="single" w:sz="2" w:space="0" w:color="auto"/>
            </w:tcBorders>
            <w:vAlign w:val="center"/>
          </w:tcPr>
          <w:p w:rsidR="00676CA2" w:rsidRPr="004A1553" w:rsidRDefault="00676CA2" w:rsidP="008217D1">
            <w:pPr>
              <w:autoSpaceDE w:val="0"/>
              <w:autoSpaceDN w:val="0"/>
              <w:adjustRightInd w:val="0"/>
              <w:spacing w:after="0"/>
              <w:ind w:firstLine="0"/>
              <w:jc w:val="right"/>
              <w:rPr>
                <w:rFonts w:ascii="Arial Narrow" w:hAnsi="Arial Narrow" w:cs="Arial Narrow"/>
                <w:lang w:val="es-ES" w:eastAsia="es-ES"/>
              </w:rPr>
            </w:pPr>
            <w:r w:rsidRPr="004A1553">
              <w:rPr>
                <w:rFonts w:ascii="Arial Narrow" w:hAnsi="Arial Narrow" w:cs="Arial Narrow"/>
                <w:lang w:val="es-ES" w:eastAsia="es-ES"/>
              </w:rPr>
              <w:t>5</w:t>
            </w:r>
          </w:p>
        </w:tc>
      </w:tr>
      <w:tr w:rsidR="00676CA2" w:rsidRPr="004A1553" w:rsidTr="000D13D5">
        <w:trPr>
          <w:trHeight w:val="198"/>
          <w:jc w:val="center"/>
        </w:trPr>
        <w:tc>
          <w:tcPr>
            <w:tcW w:w="3693" w:type="dxa"/>
            <w:tcBorders>
              <w:top w:val="single" w:sz="2" w:space="0" w:color="auto"/>
            </w:tcBorders>
            <w:vAlign w:val="center"/>
          </w:tcPr>
          <w:p w:rsidR="00676CA2" w:rsidRPr="004A1553" w:rsidRDefault="00676CA2" w:rsidP="008217D1">
            <w:pPr>
              <w:pStyle w:val="texto"/>
              <w:spacing w:after="0" w:line="240" w:lineRule="atLeast"/>
              <w:ind w:firstLine="0"/>
              <w:jc w:val="left"/>
              <w:rPr>
                <w:rFonts w:ascii="Arial Narrow" w:hAnsi="Arial Narrow"/>
                <w:sz w:val="20"/>
                <w:szCs w:val="20"/>
              </w:rPr>
            </w:pPr>
            <w:r w:rsidRPr="004A1553">
              <w:rPr>
                <w:rFonts w:ascii="Arial Narrow" w:hAnsi="Arial Narrow"/>
                <w:sz w:val="20"/>
                <w:szCs w:val="20"/>
              </w:rPr>
              <w:t>Personal médico residente</w:t>
            </w:r>
          </w:p>
        </w:tc>
        <w:tc>
          <w:tcPr>
            <w:tcW w:w="1079" w:type="dxa"/>
            <w:tcBorders>
              <w:top w:val="single" w:sz="2" w:space="0" w:color="auto"/>
            </w:tcBorders>
            <w:vAlign w:val="center"/>
          </w:tcPr>
          <w:p w:rsidR="00676CA2" w:rsidRPr="004A1553" w:rsidRDefault="00676CA2" w:rsidP="008217D1">
            <w:pPr>
              <w:pStyle w:val="texto"/>
              <w:spacing w:after="0" w:line="240" w:lineRule="atLeast"/>
              <w:ind w:firstLine="0"/>
              <w:jc w:val="right"/>
              <w:rPr>
                <w:rFonts w:ascii="Arial Narrow" w:hAnsi="Arial Narrow"/>
                <w:sz w:val="20"/>
                <w:szCs w:val="20"/>
              </w:rPr>
            </w:pPr>
            <w:r w:rsidRPr="004A1553">
              <w:rPr>
                <w:rFonts w:ascii="Arial Narrow" w:hAnsi="Arial Narrow"/>
                <w:sz w:val="20"/>
                <w:szCs w:val="20"/>
              </w:rPr>
              <w:t>-</w:t>
            </w:r>
          </w:p>
        </w:tc>
        <w:tc>
          <w:tcPr>
            <w:tcW w:w="2174" w:type="dxa"/>
            <w:tcBorders>
              <w:top w:val="single" w:sz="2" w:space="0" w:color="auto"/>
            </w:tcBorders>
            <w:vAlign w:val="center"/>
          </w:tcPr>
          <w:p w:rsidR="00676CA2" w:rsidRPr="004A1553" w:rsidRDefault="00676CA2" w:rsidP="000D13D5">
            <w:pPr>
              <w:autoSpaceDE w:val="0"/>
              <w:autoSpaceDN w:val="0"/>
              <w:adjustRightInd w:val="0"/>
              <w:spacing w:after="0"/>
              <w:ind w:right="462" w:firstLine="0"/>
              <w:jc w:val="right"/>
              <w:rPr>
                <w:rFonts w:ascii="Arial Narrow" w:hAnsi="Arial Narrow" w:cs="Arial Narrow"/>
                <w:lang w:val="es-ES" w:eastAsia="es-ES"/>
              </w:rPr>
            </w:pPr>
            <w:r w:rsidRPr="004A1553">
              <w:rPr>
                <w:rFonts w:ascii="Arial Narrow" w:hAnsi="Arial Narrow" w:cs="Arial Narrow"/>
                <w:lang w:val="es-ES" w:eastAsia="es-ES"/>
              </w:rPr>
              <w:t>-</w:t>
            </w:r>
          </w:p>
        </w:tc>
        <w:tc>
          <w:tcPr>
            <w:tcW w:w="973" w:type="dxa"/>
            <w:tcBorders>
              <w:top w:val="single" w:sz="2" w:space="0" w:color="auto"/>
            </w:tcBorders>
            <w:vAlign w:val="center"/>
          </w:tcPr>
          <w:p w:rsidR="00676CA2" w:rsidRPr="004A1553" w:rsidRDefault="00676CA2" w:rsidP="000D13D5">
            <w:pPr>
              <w:autoSpaceDE w:val="0"/>
              <w:autoSpaceDN w:val="0"/>
              <w:adjustRightInd w:val="0"/>
              <w:spacing w:after="0"/>
              <w:ind w:right="20" w:firstLine="0"/>
              <w:jc w:val="right"/>
              <w:rPr>
                <w:rFonts w:ascii="Arial Narrow" w:hAnsi="Arial Narrow" w:cs="Arial Narrow"/>
                <w:lang w:val="es-ES" w:eastAsia="es-ES"/>
              </w:rPr>
            </w:pPr>
            <w:r w:rsidRPr="004A1553">
              <w:rPr>
                <w:rFonts w:ascii="Arial Narrow" w:hAnsi="Arial Narrow" w:cs="Arial Narrow"/>
                <w:lang w:val="es-ES" w:eastAsia="es-ES"/>
              </w:rPr>
              <w:t>1</w:t>
            </w:r>
          </w:p>
        </w:tc>
        <w:tc>
          <w:tcPr>
            <w:tcW w:w="870" w:type="dxa"/>
            <w:tcBorders>
              <w:top w:val="single" w:sz="2" w:space="0" w:color="auto"/>
            </w:tcBorders>
            <w:vAlign w:val="center"/>
          </w:tcPr>
          <w:p w:rsidR="00676CA2" w:rsidRPr="004A1553" w:rsidRDefault="00676CA2" w:rsidP="008217D1">
            <w:pPr>
              <w:autoSpaceDE w:val="0"/>
              <w:autoSpaceDN w:val="0"/>
              <w:adjustRightInd w:val="0"/>
              <w:spacing w:after="0"/>
              <w:ind w:firstLine="0"/>
              <w:jc w:val="right"/>
              <w:rPr>
                <w:rFonts w:ascii="Arial Narrow" w:hAnsi="Arial Narrow" w:cs="Arial Narrow"/>
                <w:lang w:val="es-ES" w:eastAsia="es-ES"/>
              </w:rPr>
            </w:pPr>
            <w:r w:rsidRPr="004A1553">
              <w:rPr>
                <w:rFonts w:ascii="Arial Narrow" w:hAnsi="Arial Narrow" w:cs="Arial Narrow"/>
                <w:lang w:val="es-ES" w:eastAsia="es-ES"/>
              </w:rPr>
              <w:t>1</w:t>
            </w:r>
          </w:p>
        </w:tc>
      </w:tr>
      <w:tr w:rsidR="00676CA2" w:rsidRPr="004A1553" w:rsidTr="000D13D5">
        <w:trPr>
          <w:trHeight w:val="255"/>
          <w:jc w:val="center"/>
        </w:trPr>
        <w:tc>
          <w:tcPr>
            <w:tcW w:w="3693" w:type="dxa"/>
            <w:shd w:val="clear" w:color="auto" w:fill="8DB3E2" w:themeFill="text2" w:themeFillTint="66"/>
            <w:vAlign w:val="center"/>
          </w:tcPr>
          <w:p w:rsidR="00676CA2" w:rsidRPr="004A1553" w:rsidRDefault="00676CA2" w:rsidP="00DB2D91">
            <w:pPr>
              <w:pStyle w:val="cuadroCabe"/>
            </w:pPr>
            <w:r w:rsidRPr="004A1553">
              <w:t>Total</w:t>
            </w:r>
          </w:p>
        </w:tc>
        <w:tc>
          <w:tcPr>
            <w:tcW w:w="1079" w:type="dxa"/>
            <w:shd w:val="clear" w:color="auto" w:fill="8DB3E2" w:themeFill="text2" w:themeFillTint="66"/>
            <w:vAlign w:val="center"/>
          </w:tcPr>
          <w:p w:rsidR="00676CA2" w:rsidRPr="004A1553" w:rsidRDefault="00676CA2" w:rsidP="00DB2D91">
            <w:pPr>
              <w:pStyle w:val="cuadroCabe"/>
              <w:jc w:val="right"/>
            </w:pPr>
            <w:r w:rsidRPr="004A1553">
              <w:t>4.905</w:t>
            </w:r>
          </w:p>
        </w:tc>
        <w:tc>
          <w:tcPr>
            <w:tcW w:w="2174" w:type="dxa"/>
            <w:shd w:val="clear" w:color="auto" w:fill="8DB3E2" w:themeFill="text2" w:themeFillTint="66"/>
            <w:vAlign w:val="center"/>
          </w:tcPr>
          <w:p w:rsidR="00676CA2" w:rsidRPr="004A1553" w:rsidRDefault="00676CA2" w:rsidP="000D13D5">
            <w:pPr>
              <w:pStyle w:val="cuadroCabe"/>
              <w:ind w:right="462"/>
              <w:jc w:val="right"/>
              <w:rPr>
                <w:lang w:val="es-ES" w:eastAsia="es-ES"/>
              </w:rPr>
            </w:pPr>
            <w:r>
              <w:rPr>
                <w:lang w:val="es-ES" w:eastAsia="es-ES"/>
              </w:rPr>
              <w:t>1.201</w:t>
            </w:r>
          </w:p>
        </w:tc>
        <w:tc>
          <w:tcPr>
            <w:tcW w:w="973" w:type="dxa"/>
            <w:shd w:val="clear" w:color="auto" w:fill="8DB3E2" w:themeFill="text2" w:themeFillTint="66"/>
            <w:vAlign w:val="center"/>
          </w:tcPr>
          <w:p w:rsidR="00676CA2" w:rsidRPr="004A1553" w:rsidRDefault="00676CA2" w:rsidP="000D13D5">
            <w:pPr>
              <w:pStyle w:val="cuadroCabe"/>
              <w:ind w:right="20"/>
              <w:jc w:val="right"/>
              <w:rPr>
                <w:lang w:val="es-ES" w:eastAsia="es-ES"/>
              </w:rPr>
            </w:pPr>
            <w:r w:rsidRPr="004A1553">
              <w:rPr>
                <w:lang w:val="es-ES" w:eastAsia="es-ES"/>
              </w:rPr>
              <w:t>691</w:t>
            </w:r>
          </w:p>
        </w:tc>
        <w:tc>
          <w:tcPr>
            <w:tcW w:w="870" w:type="dxa"/>
            <w:shd w:val="clear" w:color="auto" w:fill="8DB3E2" w:themeFill="text2" w:themeFillTint="66"/>
            <w:vAlign w:val="center"/>
          </w:tcPr>
          <w:p w:rsidR="00676CA2" w:rsidRPr="004A1553" w:rsidRDefault="00676CA2" w:rsidP="00DB2D91">
            <w:pPr>
              <w:pStyle w:val="cuadroCabe"/>
              <w:jc w:val="right"/>
              <w:rPr>
                <w:lang w:val="es-ES" w:eastAsia="es-ES"/>
              </w:rPr>
            </w:pPr>
            <w:r>
              <w:rPr>
                <w:lang w:val="es-ES" w:eastAsia="es-ES"/>
              </w:rPr>
              <w:t>6.797</w:t>
            </w:r>
          </w:p>
        </w:tc>
      </w:tr>
    </w:tbl>
    <w:p w:rsidR="0003572F" w:rsidRPr="004A1553" w:rsidRDefault="00676CA2" w:rsidP="00676CA2">
      <w:pPr>
        <w:pStyle w:val="texto"/>
        <w:spacing w:before="240" w:after="120"/>
        <w:rPr>
          <w:szCs w:val="26"/>
        </w:rPr>
      </w:pPr>
      <w:r w:rsidRPr="004A1553">
        <w:rPr>
          <w:szCs w:val="26"/>
        </w:rPr>
        <w:t>La ACFN realizó 6.</w:t>
      </w:r>
      <w:r>
        <w:rPr>
          <w:szCs w:val="26"/>
        </w:rPr>
        <w:t>797</w:t>
      </w:r>
      <w:r w:rsidRPr="004A1553">
        <w:rPr>
          <w:szCs w:val="26"/>
        </w:rPr>
        <w:t xml:space="preserve"> contratos de los cuales el 7</w:t>
      </w:r>
      <w:r>
        <w:rPr>
          <w:szCs w:val="26"/>
        </w:rPr>
        <w:t>2</w:t>
      </w:r>
      <w:r w:rsidRPr="004A1553">
        <w:rPr>
          <w:szCs w:val="26"/>
        </w:rPr>
        <w:t xml:space="preserve"> por ci</w:t>
      </w:r>
      <w:r>
        <w:rPr>
          <w:szCs w:val="26"/>
        </w:rPr>
        <w:t>ento corresponde al SNS-O, el 17</w:t>
      </w:r>
      <w:r w:rsidRPr="004A1553">
        <w:rPr>
          <w:szCs w:val="26"/>
        </w:rPr>
        <w:t xml:space="preserve"> por ciento al Departamento de Educación y</w:t>
      </w:r>
      <w:r>
        <w:rPr>
          <w:szCs w:val="26"/>
        </w:rPr>
        <w:t xml:space="preserve"> el 11</w:t>
      </w:r>
      <w:r w:rsidRPr="004A1553">
        <w:rPr>
          <w:szCs w:val="26"/>
        </w:rPr>
        <w:t xml:space="preserve"> por ciento restante al Departamento de Derechos Sociales.</w:t>
      </w:r>
      <w:r w:rsidR="0003572F">
        <w:rPr>
          <w:szCs w:val="26"/>
        </w:rPr>
        <w:t xml:space="preserve"> Esta cantidad de contratos co</w:t>
      </w:r>
      <w:r w:rsidR="0003572F">
        <w:rPr>
          <w:szCs w:val="26"/>
        </w:rPr>
        <w:t>n</w:t>
      </w:r>
      <w:r w:rsidR="0003572F">
        <w:rPr>
          <w:szCs w:val="26"/>
        </w:rPr>
        <w:t xml:space="preserve">tiene nuevos contratos </w:t>
      </w:r>
      <w:r w:rsidR="0003572F" w:rsidRPr="0003572F">
        <w:rPr>
          <w:szCs w:val="26"/>
        </w:rPr>
        <w:t>(</w:t>
      </w:r>
      <w:r w:rsidR="0003572F" w:rsidRPr="0003572F">
        <w:t>a tiempo completo o jornada parcial), así como modif</w:t>
      </w:r>
      <w:r w:rsidR="0003572F" w:rsidRPr="0003572F">
        <w:t>i</w:t>
      </w:r>
      <w:r w:rsidR="0003572F" w:rsidRPr="0003572F">
        <w:lastRenderedPageBreak/>
        <w:t>caciones de contratos ya existentes a los que se les incrementa</w:t>
      </w:r>
      <w:r w:rsidR="0003572F">
        <w:t xml:space="preserve"> la jornada y su</w:t>
      </w:r>
      <w:r w:rsidR="0003572F">
        <w:t>s</w:t>
      </w:r>
      <w:r w:rsidR="0003572F">
        <w:t>tituciones; en</w:t>
      </w:r>
      <w:r w:rsidR="00845FF6">
        <w:t xml:space="preserve"> el</w:t>
      </w:r>
      <w:r w:rsidR="0003572F">
        <w:t xml:space="preserve"> caso del Departamento de Educación se incluyen además los contratos de refuerzo para el curso escolar.</w:t>
      </w:r>
    </w:p>
    <w:p w:rsidR="00676CA2" w:rsidRDefault="00676CA2" w:rsidP="008B090B">
      <w:pPr>
        <w:pStyle w:val="texto"/>
        <w:spacing w:before="120"/>
        <w:rPr>
          <w:szCs w:val="26"/>
        </w:rPr>
      </w:pPr>
      <w:r>
        <w:rPr>
          <w:szCs w:val="26"/>
        </w:rPr>
        <w:t>Dentro del SNS-O, el número de contratos por unidad orgánica fue el s</w:t>
      </w:r>
      <w:r>
        <w:rPr>
          <w:szCs w:val="26"/>
        </w:rPr>
        <w:t>i</w:t>
      </w:r>
      <w:r>
        <w:rPr>
          <w:szCs w:val="26"/>
        </w:rPr>
        <w:t>guiente:</w:t>
      </w:r>
    </w:p>
    <w:tbl>
      <w:tblPr>
        <w:tblW w:w="8789"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3534"/>
        <w:gridCol w:w="5255"/>
      </w:tblGrid>
      <w:tr w:rsidR="00676CA2" w:rsidRPr="006642C8" w:rsidTr="009868A1">
        <w:trPr>
          <w:trHeight w:val="255"/>
        </w:trPr>
        <w:tc>
          <w:tcPr>
            <w:tcW w:w="3534" w:type="dxa"/>
            <w:shd w:val="clear" w:color="auto" w:fill="8DB3E2" w:themeFill="text2" w:themeFillTint="66"/>
            <w:noWrap/>
            <w:vAlign w:val="center"/>
            <w:hideMark/>
          </w:tcPr>
          <w:p w:rsidR="00676CA2" w:rsidRPr="006642C8" w:rsidRDefault="00676CA2" w:rsidP="00115431">
            <w:pPr>
              <w:pStyle w:val="cuadroCabe"/>
              <w:rPr>
                <w:lang w:val="es-ES" w:eastAsia="es-ES"/>
              </w:rPr>
            </w:pPr>
            <w:r w:rsidRPr="006642C8">
              <w:rPr>
                <w:lang w:val="es-ES" w:eastAsia="es-ES"/>
              </w:rPr>
              <w:t>Unidad orgánica</w:t>
            </w:r>
          </w:p>
        </w:tc>
        <w:tc>
          <w:tcPr>
            <w:tcW w:w="5255" w:type="dxa"/>
            <w:shd w:val="clear" w:color="auto" w:fill="8DB3E2" w:themeFill="text2" w:themeFillTint="66"/>
            <w:noWrap/>
            <w:vAlign w:val="center"/>
            <w:hideMark/>
          </w:tcPr>
          <w:p w:rsidR="00676CA2" w:rsidRPr="006642C8" w:rsidRDefault="00676CA2" w:rsidP="00115431">
            <w:pPr>
              <w:pStyle w:val="cuadroCabe"/>
              <w:jc w:val="right"/>
              <w:rPr>
                <w:lang w:val="es-ES" w:eastAsia="es-ES"/>
              </w:rPr>
            </w:pPr>
            <w:r w:rsidRPr="006642C8">
              <w:rPr>
                <w:lang w:val="es-ES" w:eastAsia="es-ES"/>
              </w:rPr>
              <w:t>Nº contratos</w:t>
            </w:r>
          </w:p>
        </w:tc>
      </w:tr>
      <w:tr w:rsidR="00676CA2" w:rsidRPr="006642C8" w:rsidTr="006825F8">
        <w:trPr>
          <w:trHeight w:val="198"/>
        </w:trPr>
        <w:tc>
          <w:tcPr>
            <w:tcW w:w="3534" w:type="dxa"/>
            <w:tcBorders>
              <w:bottom w:val="single" w:sz="2" w:space="0" w:color="auto"/>
            </w:tcBorders>
            <w:shd w:val="clear" w:color="auto" w:fill="auto"/>
            <w:noWrap/>
            <w:vAlign w:val="center"/>
            <w:hideMark/>
          </w:tcPr>
          <w:p w:rsidR="00676CA2" w:rsidRPr="006642C8" w:rsidRDefault="00676CA2" w:rsidP="008217D1">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Complejo Hospitalario de Navarra</w:t>
            </w:r>
          </w:p>
        </w:tc>
        <w:tc>
          <w:tcPr>
            <w:tcW w:w="5255" w:type="dxa"/>
            <w:tcBorders>
              <w:bottom w:val="single" w:sz="2" w:space="0" w:color="auto"/>
            </w:tcBorders>
            <w:shd w:val="clear" w:color="auto" w:fill="auto"/>
            <w:noWrap/>
            <w:vAlign w:val="center"/>
            <w:hideMark/>
          </w:tcPr>
          <w:p w:rsidR="00676CA2" w:rsidRDefault="00676CA2" w:rsidP="008217D1">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2.578</w:t>
            </w:r>
          </w:p>
        </w:tc>
      </w:tr>
      <w:tr w:rsidR="00676CA2" w:rsidRPr="006642C8" w:rsidTr="006825F8">
        <w:trPr>
          <w:trHeight w:val="198"/>
        </w:trPr>
        <w:tc>
          <w:tcPr>
            <w:tcW w:w="3534" w:type="dxa"/>
            <w:tcBorders>
              <w:top w:val="single" w:sz="2" w:space="0" w:color="auto"/>
              <w:bottom w:val="single" w:sz="2" w:space="0" w:color="auto"/>
            </w:tcBorders>
            <w:shd w:val="clear" w:color="auto" w:fill="auto"/>
            <w:noWrap/>
            <w:vAlign w:val="center"/>
            <w:hideMark/>
          </w:tcPr>
          <w:p w:rsidR="00676CA2" w:rsidRPr="006642C8" w:rsidRDefault="00676CA2" w:rsidP="008217D1">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Atención P</w:t>
            </w:r>
            <w:r w:rsidRPr="006642C8">
              <w:rPr>
                <w:rFonts w:ascii="Arial Narrow" w:hAnsi="Arial Narrow" w:cs="Calibri"/>
                <w:color w:val="000000"/>
                <w:lang w:val="es-ES" w:eastAsia="es-ES"/>
              </w:rPr>
              <w:t>rimaria</w:t>
            </w:r>
          </w:p>
        </w:tc>
        <w:tc>
          <w:tcPr>
            <w:tcW w:w="5255" w:type="dxa"/>
            <w:tcBorders>
              <w:top w:val="single" w:sz="2" w:space="0" w:color="auto"/>
              <w:bottom w:val="single" w:sz="2" w:space="0" w:color="auto"/>
            </w:tcBorders>
            <w:shd w:val="clear" w:color="auto" w:fill="auto"/>
            <w:noWrap/>
            <w:vAlign w:val="center"/>
            <w:hideMark/>
          </w:tcPr>
          <w:p w:rsidR="00676CA2" w:rsidRDefault="00676CA2" w:rsidP="008217D1">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1.134</w:t>
            </w:r>
          </w:p>
        </w:tc>
      </w:tr>
      <w:tr w:rsidR="00676CA2" w:rsidRPr="006642C8" w:rsidTr="006825F8">
        <w:trPr>
          <w:trHeight w:val="198"/>
        </w:trPr>
        <w:tc>
          <w:tcPr>
            <w:tcW w:w="3534" w:type="dxa"/>
            <w:tcBorders>
              <w:top w:val="single" w:sz="2" w:space="0" w:color="auto"/>
              <w:bottom w:val="single" w:sz="2" w:space="0" w:color="auto"/>
            </w:tcBorders>
            <w:shd w:val="clear" w:color="auto" w:fill="auto"/>
            <w:noWrap/>
            <w:vAlign w:val="center"/>
            <w:hideMark/>
          </w:tcPr>
          <w:p w:rsidR="00676CA2" w:rsidRPr="006642C8" w:rsidRDefault="00676CA2" w:rsidP="008217D1">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 xml:space="preserve">Hospital Reina Sofía </w:t>
            </w:r>
            <w:proofErr w:type="spellStart"/>
            <w:r>
              <w:rPr>
                <w:rFonts w:ascii="Arial Narrow" w:hAnsi="Arial Narrow" w:cs="Calibri"/>
                <w:color w:val="000000"/>
                <w:lang w:val="es-ES" w:eastAsia="es-ES"/>
              </w:rPr>
              <w:t>de</w:t>
            </w:r>
            <w:r w:rsidRPr="006642C8">
              <w:rPr>
                <w:rFonts w:ascii="Arial Narrow" w:hAnsi="Arial Narrow" w:cs="Calibri"/>
                <w:color w:val="000000"/>
                <w:lang w:val="es-ES" w:eastAsia="es-ES"/>
              </w:rPr>
              <w:t>Tudela</w:t>
            </w:r>
            <w:proofErr w:type="spellEnd"/>
          </w:p>
        </w:tc>
        <w:tc>
          <w:tcPr>
            <w:tcW w:w="5255" w:type="dxa"/>
            <w:tcBorders>
              <w:top w:val="single" w:sz="2" w:space="0" w:color="auto"/>
              <w:bottom w:val="single" w:sz="2" w:space="0" w:color="auto"/>
            </w:tcBorders>
            <w:shd w:val="clear" w:color="auto" w:fill="auto"/>
            <w:noWrap/>
            <w:vAlign w:val="center"/>
            <w:hideMark/>
          </w:tcPr>
          <w:p w:rsidR="00676CA2" w:rsidRDefault="00676CA2" w:rsidP="008217D1">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708</w:t>
            </w:r>
          </w:p>
        </w:tc>
      </w:tr>
      <w:tr w:rsidR="00676CA2" w:rsidRPr="006642C8" w:rsidTr="006825F8">
        <w:trPr>
          <w:trHeight w:val="198"/>
        </w:trPr>
        <w:tc>
          <w:tcPr>
            <w:tcW w:w="3534" w:type="dxa"/>
            <w:tcBorders>
              <w:top w:val="single" w:sz="2" w:space="0" w:color="auto"/>
              <w:bottom w:val="single" w:sz="2" w:space="0" w:color="auto"/>
            </w:tcBorders>
            <w:shd w:val="clear" w:color="auto" w:fill="auto"/>
            <w:noWrap/>
            <w:vAlign w:val="center"/>
            <w:hideMark/>
          </w:tcPr>
          <w:p w:rsidR="00676CA2" w:rsidRPr="006642C8" w:rsidRDefault="00676CA2" w:rsidP="008217D1">
            <w:pPr>
              <w:spacing w:after="0"/>
              <w:ind w:firstLine="0"/>
              <w:jc w:val="left"/>
              <w:rPr>
                <w:rFonts w:ascii="Arial Narrow" w:hAnsi="Arial Narrow" w:cs="Calibri"/>
                <w:color w:val="000000"/>
                <w:lang w:val="es-ES" w:eastAsia="es-ES"/>
              </w:rPr>
            </w:pPr>
            <w:r w:rsidRPr="006642C8">
              <w:rPr>
                <w:rFonts w:ascii="Arial Narrow" w:hAnsi="Arial Narrow" w:cs="Calibri"/>
                <w:color w:val="000000"/>
                <w:lang w:val="es-ES" w:eastAsia="es-ES"/>
              </w:rPr>
              <w:t>Tudela A</w:t>
            </w:r>
            <w:r>
              <w:rPr>
                <w:rFonts w:ascii="Arial Narrow" w:hAnsi="Arial Narrow" w:cs="Calibri"/>
                <w:color w:val="000000"/>
                <w:lang w:val="es-ES" w:eastAsia="es-ES"/>
              </w:rPr>
              <w:t xml:space="preserve">tención </w:t>
            </w:r>
            <w:r w:rsidRPr="006642C8">
              <w:rPr>
                <w:rFonts w:ascii="Arial Narrow" w:hAnsi="Arial Narrow" w:cs="Calibri"/>
                <w:color w:val="000000"/>
                <w:lang w:val="es-ES" w:eastAsia="es-ES"/>
              </w:rPr>
              <w:t>P</w:t>
            </w:r>
            <w:r>
              <w:rPr>
                <w:rFonts w:ascii="Arial Narrow" w:hAnsi="Arial Narrow" w:cs="Calibri"/>
                <w:color w:val="000000"/>
                <w:lang w:val="es-ES" w:eastAsia="es-ES"/>
              </w:rPr>
              <w:t>rimaria</w:t>
            </w:r>
          </w:p>
        </w:tc>
        <w:tc>
          <w:tcPr>
            <w:tcW w:w="5255" w:type="dxa"/>
            <w:tcBorders>
              <w:top w:val="single" w:sz="2" w:space="0" w:color="auto"/>
              <w:bottom w:val="single" w:sz="2" w:space="0" w:color="auto"/>
            </w:tcBorders>
            <w:shd w:val="clear" w:color="auto" w:fill="auto"/>
            <w:noWrap/>
            <w:vAlign w:val="center"/>
            <w:hideMark/>
          </w:tcPr>
          <w:p w:rsidR="00676CA2" w:rsidRDefault="00676CA2" w:rsidP="008217D1">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83</w:t>
            </w:r>
          </w:p>
        </w:tc>
      </w:tr>
      <w:tr w:rsidR="00676CA2" w:rsidRPr="006642C8" w:rsidTr="006825F8">
        <w:trPr>
          <w:trHeight w:val="198"/>
        </w:trPr>
        <w:tc>
          <w:tcPr>
            <w:tcW w:w="3534" w:type="dxa"/>
            <w:tcBorders>
              <w:top w:val="single" w:sz="2" w:space="0" w:color="auto"/>
              <w:bottom w:val="single" w:sz="2" w:space="0" w:color="auto"/>
            </w:tcBorders>
            <w:shd w:val="clear" w:color="auto" w:fill="auto"/>
            <w:noWrap/>
            <w:vAlign w:val="center"/>
            <w:hideMark/>
          </w:tcPr>
          <w:p w:rsidR="00676CA2" w:rsidRPr="006642C8" w:rsidRDefault="00676CA2" w:rsidP="008217D1">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 xml:space="preserve">Hospital García </w:t>
            </w:r>
            <w:proofErr w:type="spellStart"/>
            <w:r>
              <w:rPr>
                <w:rFonts w:ascii="Arial Narrow" w:hAnsi="Arial Narrow" w:cs="Calibri"/>
                <w:color w:val="000000"/>
                <w:lang w:val="es-ES" w:eastAsia="es-ES"/>
              </w:rPr>
              <w:t>Orcoyen</w:t>
            </w:r>
            <w:proofErr w:type="spellEnd"/>
            <w:r>
              <w:rPr>
                <w:rFonts w:ascii="Arial Narrow" w:hAnsi="Arial Narrow" w:cs="Calibri"/>
                <w:color w:val="000000"/>
                <w:lang w:val="es-ES" w:eastAsia="es-ES"/>
              </w:rPr>
              <w:t xml:space="preserve"> de </w:t>
            </w:r>
            <w:proofErr w:type="spellStart"/>
            <w:r w:rsidRPr="006642C8">
              <w:rPr>
                <w:rFonts w:ascii="Arial Narrow" w:hAnsi="Arial Narrow" w:cs="Calibri"/>
                <w:color w:val="000000"/>
                <w:lang w:val="es-ES" w:eastAsia="es-ES"/>
              </w:rPr>
              <w:t>Estella</w:t>
            </w:r>
            <w:proofErr w:type="spellEnd"/>
          </w:p>
        </w:tc>
        <w:tc>
          <w:tcPr>
            <w:tcW w:w="5255" w:type="dxa"/>
            <w:tcBorders>
              <w:top w:val="single" w:sz="2" w:space="0" w:color="auto"/>
              <w:bottom w:val="single" w:sz="2" w:space="0" w:color="auto"/>
            </w:tcBorders>
            <w:shd w:val="clear" w:color="auto" w:fill="auto"/>
            <w:noWrap/>
            <w:vAlign w:val="center"/>
            <w:hideMark/>
          </w:tcPr>
          <w:p w:rsidR="00676CA2" w:rsidRDefault="00676CA2" w:rsidP="008217D1">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155</w:t>
            </w:r>
          </w:p>
        </w:tc>
      </w:tr>
      <w:tr w:rsidR="00676CA2" w:rsidRPr="006642C8" w:rsidTr="006825F8">
        <w:trPr>
          <w:trHeight w:val="198"/>
        </w:trPr>
        <w:tc>
          <w:tcPr>
            <w:tcW w:w="3534" w:type="dxa"/>
            <w:tcBorders>
              <w:top w:val="single" w:sz="2" w:space="0" w:color="auto"/>
              <w:bottom w:val="single" w:sz="2" w:space="0" w:color="auto"/>
            </w:tcBorders>
            <w:shd w:val="clear" w:color="auto" w:fill="auto"/>
            <w:noWrap/>
            <w:vAlign w:val="center"/>
            <w:hideMark/>
          </w:tcPr>
          <w:p w:rsidR="00676CA2" w:rsidRPr="006642C8" w:rsidRDefault="00676CA2" w:rsidP="008217D1">
            <w:pPr>
              <w:spacing w:after="0"/>
              <w:ind w:firstLine="0"/>
              <w:jc w:val="left"/>
              <w:rPr>
                <w:rFonts w:ascii="Arial Narrow" w:hAnsi="Arial Narrow" w:cs="Calibri"/>
                <w:color w:val="000000"/>
                <w:lang w:val="es-ES" w:eastAsia="es-ES"/>
              </w:rPr>
            </w:pPr>
            <w:proofErr w:type="spellStart"/>
            <w:r w:rsidRPr="006642C8">
              <w:rPr>
                <w:rFonts w:ascii="Arial Narrow" w:hAnsi="Arial Narrow" w:cs="Calibri"/>
                <w:color w:val="000000"/>
                <w:lang w:val="es-ES" w:eastAsia="es-ES"/>
              </w:rPr>
              <w:t>Estella</w:t>
            </w:r>
            <w:proofErr w:type="spellEnd"/>
            <w:r w:rsidRPr="006642C8">
              <w:rPr>
                <w:rFonts w:ascii="Arial Narrow" w:hAnsi="Arial Narrow" w:cs="Calibri"/>
                <w:color w:val="000000"/>
                <w:lang w:val="es-ES" w:eastAsia="es-ES"/>
              </w:rPr>
              <w:t xml:space="preserve"> A</w:t>
            </w:r>
            <w:r>
              <w:rPr>
                <w:rFonts w:ascii="Arial Narrow" w:hAnsi="Arial Narrow" w:cs="Calibri"/>
                <w:color w:val="000000"/>
                <w:lang w:val="es-ES" w:eastAsia="es-ES"/>
              </w:rPr>
              <w:t xml:space="preserve">tención </w:t>
            </w:r>
            <w:r w:rsidRPr="006642C8">
              <w:rPr>
                <w:rFonts w:ascii="Arial Narrow" w:hAnsi="Arial Narrow" w:cs="Calibri"/>
                <w:color w:val="000000"/>
                <w:lang w:val="es-ES" w:eastAsia="es-ES"/>
              </w:rPr>
              <w:t>P</w:t>
            </w:r>
            <w:r>
              <w:rPr>
                <w:rFonts w:ascii="Arial Narrow" w:hAnsi="Arial Narrow" w:cs="Calibri"/>
                <w:color w:val="000000"/>
                <w:lang w:val="es-ES" w:eastAsia="es-ES"/>
              </w:rPr>
              <w:t>rimaria</w:t>
            </w:r>
          </w:p>
        </w:tc>
        <w:tc>
          <w:tcPr>
            <w:tcW w:w="5255" w:type="dxa"/>
            <w:tcBorders>
              <w:top w:val="single" w:sz="2" w:space="0" w:color="auto"/>
              <w:bottom w:val="single" w:sz="2" w:space="0" w:color="auto"/>
            </w:tcBorders>
            <w:shd w:val="clear" w:color="auto" w:fill="auto"/>
            <w:noWrap/>
            <w:vAlign w:val="center"/>
            <w:hideMark/>
          </w:tcPr>
          <w:p w:rsidR="00676CA2" w:rsidRDefault="00676CA2" w:rsidP="008217D1">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50</w:t>
            </w:r>
          </w:p>
        </w:tc>
      </w:tr>
      <w:tr w:rsidR="00676CA2" w:rsidRPr="006642C8" w:rsidTr="006825F8">
        <w:trPr>
          <w:trHeight w:val="198"/>
        </w:trPr>
        <w:tc>
          <w:tcPr>
            <w:tcW w:w="3534" w:type="dxa"/>
            <w:tcBorders>
              <w:top w:val="single" w:sz="2" w:space="0" w:color="auto"/>
              <w:bottom w:val="single" w:sz="2" w:space="0" w:color="auto"/>
            </w:tcBorders>
            <w:shd w:val="clear" w:color="auto" w:fill="auto"/>
            <w:noWrap/>
            <w:vAlign w:val="center"/>
            <w:hideMark/>
          </w:tcPr>
          <w:p w:rsidR="00676CA2" w:rsidRPr="006642C8" w:rsidRDefault="00676CA2" w:rsidP="008217D1">
            <w:pPr>
              <w:spacing w:after="0"/>
              <w:ind w:firstLine="0"/>
              <w:jc w:val="left"/>
              <w:rPr>
                <w:rFonts w:ascii="Arial Narrow" w:hAnsi="Arial Narrow" w:cs="Calibri"/>
                <w:color w:val="000000"/>
                <w:lang w:val="es-ES" w:eastAsia="es-ES"/>
              </w:rPr>
            </w:pPr>
            <w:r w:rsidRPr="006642C8">
              <w:rPr>
                <w:rFonts w:ascii="Arial Narrow" w:hAnsi="Arial Narrow" w:cs="Calibri"/>
                <w:color w:val="000000"/>
                <w:lang w:val="es-ES" w:eastAsia="es-ES"/>
              </w:rPr>
              <w:t>Salud Mental</w:t>
            </w:r>
          </w:p>
        </w:tc>
        <w:tc>
          <w:tcPr>
            <w:tcW w:w="5255" w:type="dxa"/>
            <w:tcBorders>
              <w:top w:val="single" w:sz="2" w:space="0" w:color="auto"/>
              <w:bottom w:val="single" w:sz="2" w:space="0" w:color="auto"/>
            </w:tcBorders>
            <w:shd w:val="clear" w:color="auto" w:fill="auto"/>
            <w:noWrap/>
            <w:vAlign w:val="center"/>
            <w:hideMark/>
          </w:tcPr>
          <w:p w:rsidR="00676CA2" w:rsidRDefault="00676CA2" w:rsidP="008217D1">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120</w:t>
            </w:r>
          </w:p>
        </w:tc>
      </w:tr>
      <w:tr w:rsidR="00676CA2" w:rsidRPr="006642C8" w:rsidTr="006825F8">
        <w:trPr>
          <w:trHeight w:val="198"/>
        </w:trPr>
        <w:tc>
          <w:tcPr>
            <w:tcW w:w="3534" w:type="dxa"/>
            <w:tcBorders>
              <w:top w:val="single" w:sz="2" w:space="0" w:color="auto"/>
              <w:bottom w:val="single" w:sz="2" w:space="0" w:color="auto"/>
            </w:tcBorders>
            <w:shd w:val="clear" w:color="auto" w:fill="auto"/>
            <w:noWrap/>
            <w:vAlign w:val="center"/>
            <w:hideMark/>
          </w:tcPr>
          <w:p w:rsidR="00676CA2" w:rsidRPr="006642C8" w:rsidRDefault="00676CA2" w:rsidP="008217D1">
            <w:pPr>
              <w:spacing w:after="0"/>
              <w:ind w:firstLine="0"/>
              <w:jc w:val="left"/>
              <w:rPr>
                <w:rFonts w:ascii="Arial Narrow" w:hAnsi="Arial Narrow" w:cs="Calibri"/>
                <w:color w:val="000000"/>
                <w:lang w:val="es-ES" w:eastAsia="es-ES"/>
              </w:rPr>
            </w:pPr>
            <w:r w:rsidRPr="006642C8">
              <w:rPr>
                <w:rFonts w:ascii="Arial Narrow" w:hAnsi="Arial Narrow" w:cs="Calibri"/>
                <w:color w:val="000000"/>
                <w:lang w:val="es-ES" w:eastAsia="es-ES"/>
              </w:rPr>
              <w:t>Centros provisionales</w:t>
            </w:r>
          </w:p>
        </w:tc>
        <w:tc>
          <w:tcPr>
            <w:tcW w:w="5255" w:type="dxa"/>
            <w:tcBorders>
              <w:top w:val="single" w:sz="2" w:space="0" w:color="auto"/>
              <w:bottom w:val="single" w:sz="2" w:space="0" w:color="auto"/>
            </w:tcBorders>
            <w:shd w:val="clear" w:color="auto" w:fill="auto"/>
            <w:noWrap/>
            <w:vAlign w:val="center"/>
            <w:hideMark/>
          </w:tcPr>
          <w:p w:rsidR="00676CA2" w:rsidRDefault="00676CA2" w:rsidP="008217D1">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52</w:t>
            </w:r>
          </w:p>
        </w:tc>
      </w:tr>
      <w:tr w:rsidR="00676CA2" w:rsidRPr="006642C8" w:rsidTr="006825F8">
        <w:trPr>
          <w:trHeight w:val="198"/>
        </w:trPr>
        <w:tc>
          <w:tcPr>
            <w:tcW w:w="3534" w:type="dxa"/>
            <w:tcBorders>
              <w:top w:val="single" w:sz="2" w:space="0" w:color="auto"/>
            </w:tcBorders>
            <w:shd w:val="clear" w:color="auto" w:fill="auto"/>
            <w:noWrap/>
            <w:vAlign w:val="center"/>
            <w:hideMark/>
          </w:tcPr>
          <w:p w:rsidR="00676CA2" w:rsidRPr="006642C8" w:rsidRDefault="00676CA2" w:rsidP="008217D1">
            <w:pPr>
              <w:spacing w:after="0"/>
              <w:ind w:firstLine="0"/>
              <w:jc w:val="left"/>
              <w:rPr>
                <w:rFonts w:ascii="Arial Narrow" w:hAnsi="Arial Narrow" w:cs="Calibri"/>
                <w:color w:val="000000"/>
                <w:lang w:val="es-ES" w:eastAsia="es-ES"/>
              </w:rPr>
            </w:pPr>
            <w:r w:rsidRPr="006642C8">
              <w:rPr>
                <w:rFonts w:ascii="Arial Narrow" w:hAnsi="Arial Narrow" w:cs="Calibri"/>
                <w:color w:val="000000"/>
                <w:lang w:val="es-ES" w:eastAsia="es-ES"/>
              </w:rPr>
              <w:t>Servicios Centrales</w:t>
            </w:r>
          </w:p>
        </w:tc>
        <w:tc>
          <w:tcPr>
            <w:tcW w:w="5255" w:type="dxa"/>
            <w:tcBorders>
              <w:top w:val="single" w:sz="2" w:space="0" w:color="auto"/>
            </w:tcBorders>
            <w:shd w:val="clear" w:color="auto" w:fill="auto"/>
            <w:noWrap/>
            <w:vAlign w:val="center"/>
            <w:hideMark/>
          </w:tcPr>
          <w:p w:rsidR="00676CA2" w:rsidRDefault="00676CA2" w:rsidP="008217D1">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25</w:t>
            </w:r>
          </w:p>
        </w:tc>
      </w:tr>
      <w:tr w:rsidR="00676CA2" w:rsidRPr="006642C8" w:rsidTr="009868A1">
        <w:trPr>
          <w:trHeight w:val="255"/>
        </w:trPr>
        <w:tc>
          <w:tcPr>
            <w:tcW w:w="3534" w:type="dxa"/>
            <w:shd w:val="clear" w:color="auto" w:fill="8DB3E2" w:themeFill="text2" w:themeFillTint="66"/>
            <w:noWrap/>
            <w:vAlign w:val="center"/>
            <w:hideMark/>
          </w:tcPr>
          <w:p w:rsidR="00676CA2" w:rsidRPr="006642C8" w:rsidRDefault="00676CA2" w:rsidP="00115431">
            <w:pPr>
              <w:pStyle w:val="cuadroCabe"/>
              <w:rPr>
                <w:lang w:val="es-ES" w:eastAsia="es-ES"/>
              </w:rPr>
            </w:pPr>
            <w:r w:rsidRPr="006642C8">
              <w:rPr>
                <w:lang w:val="es-ES" w:eastAsia="es-ES"/>
              </w:rPr>
              <w:t>Total</w:t>
            </w:r>
          </w:p>
        </w:tc>
        <w:tc>
          <w:tcPr>
            <w:tcW w:w="5255" w:type="dxa"/>
            <w:shd w:val="clear" w:color="auto" w:fill="8DB3E2" w:themeFill="text2" w:themeFillTint="66"/>
            <w:noWrap/>
            <w:vAlign w:val="center"/>
            <w:hideMark/>
          </w:tcPr>
          <w:p w:rsidR="00676CA2" w:rsidRDefault="00676CA2" w:rsidP="00115431">
            <w:pPr>
              <w:pStyle w:val="cuadroCabe"/>
              <w:jc w:val="right"/>
              <w:rPr>
                <w:lang w:val="es-ES" w:eastAsia="es-ES"/>
              </w:rPr>
            </w:pPr>
            <w:r>
              <w:rPr>
                <w:lang w:val="es-ES" w:eastAsia="es-ES"/>
              </w:rPr>
              <w:t>4.905</w:t>
            </w:r>
          </w:p>
        </w:tc>
      </w:tr>
    </w:tbl>
    <w:p w:rsidR="00676CA2" w:rsidRDefault="00676CA2" w:rsidP="00676CA2">
      <w:pPr>
        <w:pStyle w:val="texto"/>
        <w:spacing w:before="240" w:after="120"/>
        <w:rPr>
          <w:szCs w:val="26"/>
        </w:rPr>
      </w:pPr>
      <w:r>
        <w:rPr>
          <w:szCs w:val="26"/>
        </w:rPr>
        <w:t>El 53 por ciento de los contratos se destinaron a cubrir necesidades del Complejo Hospitalario de Navarra (2.578), el 23 por ciento de Atención Prim</w:t>
      </w:r>
      <w:r>
        <w:rPr>
          <w:szCs w:val="26"/>
        </w:rPr>
        <w:t>a</w:t>
      </w:r>
      <w:r>
        <w:rPr>
          <w:szCs w:val="26"/>
        </w:rPr>
        <w:t>ria (1.134), el 16 por ciento para el Área de Salud de Tudela (incluyendo Ate</w:t>
      </w:r>
      <w:r>
        <w:rPr>
          <w:szCs w:val="26"/>
        </w:rPr>
        <w:t>n</w:t>
      </w:r>
      <w:r>
        <w:rPr>
          <w:szCs w:val="26"/>
        </w:rPr>
        <w:t xml:space="preserve">ción Primaria un total de 791 contratos) y el cuatro por ciento para el Área de Salud de </w:t>
      </w:r>
      <w:proofErr w:type="spellStart"/>
      <w:r>
        <w:rPr>
          <w:szCs w:val="26"/>
        </w:rPr>
        <w:t>Estella</w:t>
      </w:r>
      <w:proofErr w:type="spellEnd"/>
      <w:r>
        <w:rPr>
          <w:szCs w:val="26"/>
        </w:rPr>
        <w:t xml:space="preserve"> (incluyendo Atención Primaria un total de 205 contratos).</w:t>
      </w:r>
    </w:p>
    <w:p w:rsidR="00676CA2" w:rsidRDefault="00676CA2" w:rsidP="008B090B">
      <w:pPr>
        <w:pStyle w:val="texto"/>
        <w:spacing w:before="120" w:after="240"/>
        <w:rPr>
          <w:szCs w:val="26"/>
        </w:rPr>
      </w:pPr>
      <w:r>
        <w:rPr>
          <w:szCs w:val="26"/>
        </w:rPr>
        <w:t>Las funciones desempeñadas por las personas contratadas en el SNS-O fu</w:t>
      </w:r>
      <w:r>
        <w:rPr>
          <w:szCs w:val="26"/>
        </w:rPr>
        <w:t>e</w:t>
      </w:r>
      <w:r>
        <w:rPr>
          <w:szCs w:val="26"/>
        </w:rPr>
        <w:t>ron las siguientes:</w:t>
      </w:r>
    </w:p>
    <w:tbl>
      <w:tblPr>
        <w:tblW w:w="8784"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4320"/>
        <w:gridCol w:w="4464"/>
      </w:tblGrid>
      <w:tr w:rsidR="00676CA2" w:rsidRPr="00014F7F" w:rsidTr="009868A1">
        <w:trPr>
          <w:trHeight w:val="255"/>
        </w:trPr>
        <w:tc>
          <w:tcPr>
            <w:tcW w:w="4320" w:type="dxa"/>
            <w:shd w:val="clear" w:color="auto" w:fill="8DB3E2" w:themeFill="text2" w:themeFillTint="66"/>
            <w:noWrap/>
            <w:vAlign w:val="center"/>
          </w:tcPr>
          <w:p w:rsidR="00676CA2" w:rsidRPr="00014F7F" w:rsidRDefault="00676CA2" w:rsidP="00115431">
            <w:pPr>
              <w:pStyle w:val="cuadroCabe"/>
              <w:rPr>
                <w:lang w:val="es-ES" w:eastAsia="es-ES"/>
              </w:rPr>
            </w:pPr>
            <w:r w:rsidRPr="00014F7F">
              <w:rPr>
                <w:lang w:val="es-ES" w:eastAsia="es-ES"/>
              </w:rPr>
              <w:t>Función</w:t>
            </w:r>
          </w:p>
        </w:tc>
        <w:tc>
          <w:tcPr>
            <w:tcW w:w="4464" w:type="dxa"/>
            <w:shd w:val="clear" w:color="auto" w:fill="8DB3E2" w:themeFill="text2" w:themeFillTint="66"/>
            <w:noWrap/>
            <w:vAlign w:val="center"/>
          </w:tcPr>
          <w:p w:rsidR="00676CA2" w:rsidRPr="00014F7F" w:rsidRDefault="00676CA2" w:rsidP="00115431">
            <w:pPr>
              <w:pStyle w:val="cuadroCabe"/>
              <w:jc w:val="right"/>
              <w:rPr>
                <w:lang w:val="es-ES" w:eastAsia="es-ES"/>
              </w:rPr>
            </w:pPr>
            <w:r w:rsidRPr="00014F7F">
              <w:rPr>
                <w:lang w:val="es-ES" w:eastAsia="es-ES"/>
              </w:rPr>
              <w:t>Nº contratos</w:t>
            </w:r>
          </w:p>
        </w:tc>
      </w:tr>
      <w:tr w:rsidR="00676CA2" w:rsidRPr="00C642A5" w:rsidTr="006825F8">
        <w:trPr>
          <w:trHeight w:val="198"/>
        </w:trPr>
        <w:tc>
          <w:tcPr>
            <w:tcW w:w="4320" w:type="dxa"/>
            <w:tcBorders>
              <w:bottom w:val="single" w:sz="2" w:space="0" w:color="auto"/>
            </w:tcBorders>
            <w:shd w:val="clear" w:color="auto" w:fill="auto"/>
            <w:noWrap/>
            <w:vAlign w:val="center"/>
            <w:hideMark/>
          </w:tcPr>
          <w:p w:rsidR="00676CA2" w:rsidRPr="00C642A5" w:rsidRDefault="00676CA2" w:rsidP="008217D1">
            <w:pPr>
              <w:spacing w:after="0"/>
              <w:ind w:firstLine="0"/>
              <w:jc w:val="left"/>
              <w:rPr>
                <w:rFonts w:ascii="Arial Narrow" w:hAnsi="Arial Narrow" w:cs="Arial"/>
                <w:color w:val="000000"/>
                <w:lang w:val="es-ES" w:eastAsia="es-ES"/>
              </w:rPr>
            </w:pPr>
            <w:r w:rsidRPr="00C642A5">
              <w:rPr>
                <w:rFonts w:ascii="Arial Narrow" w:hAnsi="Arial Narrow" w:cs="Arial"/>
                <w:color w:val="000000"/>
                <w:lang w:val="es-ES" w:eastAsia="es-ES"/>
              </w:rPr>
              <w:t>E</w:t>
            </w:r>
            <w:r w:rsidRPr="00014F7F">
              <w:rPr>
                <w:rFonts w:ascii="Arial Narrow" w:hAnsi="Arial Narrow" w:cs="Arial"/>
                <w:color w:val="000000"/>
                <w:lang w:val="es-ES" w:eastAsia="es-ES"/>
              </w:rPr>
              <w:t>nfermero</w:t>
            </w:r>
            <w:r>
              <w:rPr>
                <w:rFonts w:ascii="Arial Narrow" w:hAnsi="Arial Narrow" w:cs="Arial"/>
                <w:color w:val="000000"/>
                <w:lang w:val="es-ES" w:eastAsia="es-ES"/>
              </w:rPr>
              <w:t>/a</w:t>
            </w:r>
          </w:p>
        </w:tc>
        <w:tc>
          <w:tcPr>
            <w:tcW w:w="4464" w:type="dxa"/>
            <w:tcBorders>
              <w:bottom w:val="single" w:sz="2" w:space="0" w:color="auto"/>
            </w:tcBorders>
            <w:shd w:val="clear" w:color="auto" w:fill="auto"/>
            <w:noWrap/>
            <w:vAlign w:val="center"/>
            <w:hideMark/>
          </w:tcPr>
          <w:p w:rsidR="00676CA2" w:rsidRPr="009A79D9" w:rsidRDefault="00676CA2" w:rsidP="008217D1">
            <w:pPr>
              <w:pStyle w:val="texto"/>
              <w:spacing w:after="0" w:line="240" w:lineRule="atLeast"/>
              <w:ind w:firstLine="0"/>
              <w:jc w:val="right"/>
              <w:rPr>
                <w:rFonts w:ascii="Arial Narrow" w:hAnsi="Arial Narrow"/>
                <w:sz w:val="20"/>
                <w:szCs w:val="20"/>
              </w:rPr>
            </w:pPr>
            <w:r w:rsidRPr="009A79D9">
              <w:rPr>
                <w:rFonts w:ascii="Arial Narrow" w:hAnsi="Arial Narrow"/>
                <w:sz w:val="20"/>
                <w:szCs w:val="20"/>
              </w:rPr>
              <w:t>2.135</w:t>
            </w:r>
          </w:p>
        </w:tc>
      </w:tr>
      <w:tr w:rsidR="00676CA2" w:rsidRPr="00C642A5" w:rsidTr="006825F8">
        <w:trPr>
          <w:trHeight w:val="198"/>
        </w:trPr>
        <w:tc>
          <w:tcPr>
            <w:tcW w:w="4320" w:type="dxa"/>
            <w:tcBorders>
              <w:top w:val="single" w:sz="2" w:space="0" w:color="auto"/>
              <w:bottom w:val="single" w:sz="2" w:space="0" w:color="auto"/>
            </w:tcBorders>
            <w:shd w:val="clear" w:color="auto" w:fill="auto"/>
            <w:noWrap/>
            <w:vAlign w:val="center"/>
            <w:hideMark/>
          </w:tcPr>
          <w:p w:rsidR="00676CA2" w:rsidRPr="00C642A5" w:rsidRDefault="00676CA2" w:rsidP="008217D1">
            <w:pPr>
              <w:spacing w:after="0"/>
              <w:ind w:firstLine="0"/>
              <w:jc w:val="left"/>
              <w:rPr>
                <w:rFonts w:ascii="Arial Narrow" w:hAnsi="Arial Narrow" w:cs="Arial"/>
                <w:color w:val="000000"/>
                <w:lang w:val="es-ES" w:eastAsia="es-ES"/>
              </w:rPr>
            </w:pPr>
            <w:r w:rsidRPr="00C642A5">
              <w:rPr>
                <w:rFonts w:ascii="Arial Narrow" w:hAnsi="Arial Narrow" w:cs="Arial"/>
                <w:color w:val="000000"/>
                <w:lang w:val="es-ES" w:eastAsia="es-ES"/>
              </w:rPr>
              <w:t>T</w:t>
            </w:r>
            <w:r w:rsidRPr="00014F7F">
              <w:rPr>
                <w:rFonts w:ascii="Arial Narrow" w:hAnsi="Arial Narrow" w:cs="Arial"/>
                <w:color w:val="000000"/>
                <w:lang w:val="es-ES" w:eastAsia="es-ES"/>
              </w:rPr>
              <w:t>écnico</w:t>
            </w:r>
            <w:r>
              <w:rPr>
                <w:rFonts w:ascii="Arial Narrow" w:hAnsi="Arial Narrow" w:cs="Arial"/>
                <w:color w:val="000000"/>
                <w:lang w:val="es-ES" w:eastAsia="es-ES"/>
              </w:rPr>
              <w:t>/a</w:t>
            </w:r>
            <w:r w:rsidRPr="00014F7F">
              <w:rPr>
                <w:rFonts w:ascii="Arial Narrow" w:hAnsi="Arial Narrow" w:cs="Arial"/>
                <w:color w:val="000000"/>
                <w:lang w:val="es-ES" w:eastAsia="es-ES"/>
              </w:rPr>
              <w:t xml:space="preserve"> en cuidados auxiliares de enfermería</w:t>
            </w:r>
          </w:p>
        </w:tc>
        <w:tc>
          <w:tcPr>
            <w:tcW w:w="4464" w:type="dxa"/>
            <w:tcBorders>
              <w:top w:val="single" w:sz="2" w:space="0" w:color="auto"/>
              <w:bottom w:val="single" w:sz="2" w:space="0" w:color="auto"/>
            </w:tcBorders>
            <w:shd w:val="clear" w:color="auto" w:fill="auto"/>
            <w:noWrap/>
            <w:vAlign w:val="center"/>
            <w:hideMark/>
          </w:tcPr>
          <w:p w:rsidR="00676CA2" w:rsidRPr="009A79D9" w:rsidRDefault="00676CA2" w:rsidP="008217D1">
            <w:pPr>
              <w:pStyle w:val="texto"/>
              <w:spacing w:after="0" w:line="240" w:lineRule="atLeast"/>
              <w:ind w:firstLine="0"/>
              <w:jc w:val="right"/>
              <w:rPr>
                <w:rFonts w:ascii="Arial Narrow" w:hAnsi="Arial Narrow"/>
                <w:sz w:val="20"/>
                <w:szCs w:val="20"/>
              </w:rPr>
            </w:pPr>
            <w:r w:rsidRPr="009A79D9">
              <w:rPr>
                <w:rFonts w:ascii="Arial Narrow" w:hAnsi="Arial Narrow"/>
                <w:sz w:val="20"/>
                <w:szCs w:val="20"/>
              </w:rPr>
              <w:t>1.256</w:t>
            </w:r>
          </w:p>
        </w:tc>
      </w:tr>
      <w:tr w:rsidR="00676CA2" w:rsidRPr="00C642A5" w:rsidTr="006825F8">
        <w:trPr>
          <w:trHeight w:val="198"/>
        </w:trPr>
        <w:tc>
          <w:tcPr>
            <w:tcW w:w="4320" w:type="dxa"/>
            <w:tcBorders>
              <w:top w:val="single" w:sz="2" w:space="0" w:color="auto"/>
              <w:bottom w:val="single" w:sz="2" w:space="0" w:color="auto"/>
            </w:tcBorders>
            <w:shd w:val="clear" w:color="auto" w:fill="auto"/>
            <w:noWrap/>
            <w:vAlign w:val="center"/>
            <w:hideMark/>
          </w:tcPr>
          <w:p w:rsidR="00676CA2" w:rsidRPr="00C642A5" w:rsidRDefault="00676CA2" w:rsidP="008217D1">
            <w:pPr>
              <w:spacing w:after="0"/>
              <w:ind w:firstLine="0"/>
              <w:jc w:val="left"/>
              <w:rPr>
                <w:rFonts w:ascii="Arial Narrow" w:hAnsi="Arial Narrow" w:cs="Arial"/>
                <w:color w:val="000000"/>
                <w:lang w:val="es-ES" w:eastAsia="es-ES"/>
              </w:rPr>
            </w:pPr>
            <w:r w:rsidRPr="00014F7F">
              <w:rPr>
                <w:rFonts w:ascii="Arial Narrow" w:hAnsi="Arial Narrow" w:cs="Arial"/>
                <w:color w:val="000000"/>
                <w:lang w:val="es-ES" w:eastAsia="es-ES"/>
              </w:rPr>
              <w:t>Celador</w:t>
            </w:r>
            <w:r>
              <w:rPr>
                <w:rFonts w:ascii="Arial Narrow" w:hAnsi="Arial Narrow" w:cs="Arial"/>
                <w:color w:val="000000"/>
                <w:lang w:val="es-ES" w:eastAsia="es-ES"/>
              </w:rPr>
              <w:t>/a</w:t>
            </w:r>
          </w:p>
        </w:tc>
        <w:tc>
          <w:tcPr>
            <w:tcW w:w="4464" w:type="dxa"/>
            <w:tcBorders>
              <w:top w:val="single" w:sz="2" w:space="0" w:color="auto"/>
              <w:bottom w:val="single" w:sz="2" w:space="0" w:color="auto"/>
            </w:tcBorders>
            <w:shd w:val="clear" w:color="auto" w:fill="auto"/>
            <w:noWrap/>
            <w:vAlign w:val="center"/>
            <w:hideMark/>
          </w:tcPr>
          <w:p w:rsidR="00676CA2" w:rsidRPr="009A79D9" w:rsidRDefault="00676CA2" w:rsidP="008217D1">
            <w:pPr>
              <w:pStyle w:val="texto"/>
              <w:spacing w:after="0" w:line="240" w:lineRule="atLeast"/>
              <w:ind w:firstLine="0"/>
              <w:jc w:val="right"/>
              <w:rPr>
                <w:rFonts w:ascii="Arial Narrow" w:hAnsi="Arial Narrow"/>
                <w:sz w:val="20"/>
                <w:szCs w:val="20"/>
              </w:rPr>
            </w:pPr>
            <w:r w:rsidRPr="009A79D9">
              <w:rPr>
                <w:rFonts w:ascii="Arial Narrow" w:hAnsi="Arial Narrow"/>
                <w:sz w:val="20"/>
                <w:szCs w:val="20"/>
              </w:rPr>
              <w:t>431</w:t>
            </w:r>
          </w:p>
        </w:tc>
      </w:tr>
      <w:tr w:rsidR="00676CA2" w:rsidRPr="00C642A5" w:rsidTr="006825F8">
        <w:trPr>
          <w:trHeight w:val="198"/>
        </w:trPr>
        <w:tc>
          <w:tcPr>
            <w:tcW w:w="4320" w:type="dxa"/>
            <w:tcBorders>
              <w:top w:val="single" w:sz="2" w:space="0" w:color="auto"/>
              <w:bottom w:val="single" w:sz="2" w:space="0" w:color="auto"/>
            </w:tcBorders>
            <w:shd w:val="clear" w:color="auto" w:fill="auto"/>
            <w:noWrap/>
            <w:vAlign w:val="center"/>
            <w:hideMark/>
          </w:tcPr>
          <w:p w:rsidR="00676CA2" w:rsidRPr="00C642A5" w:rsidRDefault="00676CA2" w:rsidP="008217D1">
            <w:pPr>
              <w:spacing w:after="0"/>
              <w:ind w:firstLine="0"/>
              <w:jc w:val="left"/>
              <w:rPr>
                <w:rFonts w:ascii="Arial Narrow" w:hAnsi="Arial Narrow" w:cs="Arial"/>
                <w:color w:val="000000"/>
                <w:lang w:val="es-ES" w:eastAsia="es-ES"/>
              </w:rPr>
            </w:pPr>
            <w:r w:rsidRPr="00014F7F">
              <w:rPr>
                <w:rFonts w:ascii="Arial Narrow" w:hAnsi="Arial Narrow" w:cs="Arial"/>
                <w:color w:val="000000"/>
                <w:lang w:val="es-ES" w:eastAsia="es-ES"/>
              </w:rPr>
              <w:t>Administrativo</w:t>
            </w:r>
            <w:r>
              <w:rPr>
                <w:rFonts w:ascii="Arial Narrow" w:hAnsi="Arial Narrow" w:cs="Arial"/>
                <w:color w:val="000000"/>
                <w:lang w:val="es-ES" w:eastAsia="es-ES"/>
              </w:rPr>
              <w:t>/a</w:t>
            </w:r>
          </w:p>
        </w:tc>
        <w:tc>
          <w:tcPr>
            <w:tcW w:w="4464" w:type="dxa"/>
            <w:tcBorders>
              <w:top w:val="single" w:sz="2" w:space="0" w:color="auto"/>
              <w:bottom w:val="single" w:sz="2" w:space="0" w:color="auto"/>
            </w:tcBorders>
            <w:shd w:val="clear" w:color="auto" w:fill="auto"/>
            <w:noWrap/>
            <w:vAlign w:val="center"/>
            <w:hideMark/>
          </w:tcPr>
          <w:p w:rsidR="00676CA2" w:rsidRPr="009A79D9" w:rsidRDefault="00676CA2" w:rsidP="008217D1">
            <w:pPr>
              <w:pStyle w:val="texto"/>
              <w:spacing w:after="0" w:line="240" w:lineRule="atLeast"/>
              <w:ind w:firstLine="0"/>
              <w:jc w:val="right"/>
              <w:rPr>
                <w:rFonts w:ascii="Arial Narrow" w:hAnsi="Arial Narrow"/>
                <w:sz w:val="20"/>
                <w:szCs w:val="20"/>
              </w:rPr>
            </w:pPr>
            <w:r w:rsidRPr="009A79D9">
              <w:rPr>
                <w:rFonts w:ascii="Arial Narrow" w:hAnsi="Arial Narrow"/>
                <w:sz w:val="20"/>
                <w:szCs w:val="20"/>
              </w:rPr>
              <w:t>336</w:t>
            </w:r>
          </w:p>
        </w:tc>
      </w:tr>
      <w:tr w:rsidR="00676CA2" w:rsidRPr="00C642A5" w:rsidTr="006825F8">
        <w:trPr>
          <w:trHeight w:val="198"/>
        </w:trPr>
        <w:tc>
          <w:tcPr>
            <w:tcW w:w="4320" w:type="dxa"/>
            <w:tcBorders>
              <w:top w:val="single" w:sz="2" w:space="0" w:color="auto"/>
              <w:bottom w:val="single" w:sz="2" w:space="0" w:color="auto"/>
            </w:tcBorders>
            <w:shd w:val="clear" w:color="auto" w:fill="auto"/>
            <w:noWrap/>
            <w:vAlign w:val="center"/>
            <w:hideMark/>
          </w:tcPr>
          <w:p w:rsidR="00676CA2" w:rsidRPr="00C642A5" w:rsidRDefault="00676CA2" w:rsidP="008217D1">
            <w:pPr>
              <w:spacing w:after="0"/>
              <w:ind w:firstLine="0"/>
              <w:jc w:val="left"/>
              <w:rPr>
                <w:rFonts w:ascii="Arial Narrow" w:hAnsi="Arial Narrow" w:cs="Arial"/>
                <w:color w:val="000000"/>
                <w:lang w:val="es-ES" w:eastAsia="es-ES"/>
              </w:rPr>
            </w:pPr>
            <w:r w:rsidRPr="00014F7F">
              <w:rPr>
                <w:rFonts w:ascii="Arial Narrow" w:hAnsi="Arial Narrow" w:cs="Arial"/>
                <w:color w:val="000000"/>
                <w:lang w:val="es-ES" w:eastAsia="es-ES"/>
              </w:rPr>
              <w:t>Personal servicios generales</w:t>
            </w:r>
          </w:p>
        </w:tc>
        <w:tc>
          <w:tcPr>
            <w:tcW w:w="4464" w:type="dxa"/>
            <w:tcBorders>
              <w:top w:val="single" w:sz="2" w:space="0" w:color="auto"/>
              <w:bottom w:val="single" w:sz="2" w:space="0" w:color="auto"/>
            </w:tcBorders>
            <w:shd w:val="clear" w:color="auto" w:fill="auto"/>
            <w:noWrap/>
            <w:vAlign w:val="center"/>
            <w:hideMark/>
          </w:tcPr>
          <w:p w:rsidR="00676CA2" w:rsidRPr="009A79D9" w:rsidRDefault="00676CA2" w:rsidP="008217D1">
            <w:pPr>
              <w:pStyle w:val="texto"/>
              <w:spacing w:after="0" w:line="240" w:lineRule="atLeast"/>
              <w:ind w:firstLine="0"/>
              <w:jc w:val="right"/>
              <w:rPr>
                <w:rFonts w:ascii="Arial Narrow" w:hAnsi="Arial Narrow"/>
                <w:sz w:val="20"/>
                <w:szCs w:val="20"/>
              </w:rPr>
            </w:pPr>
            <w:r w:rsidRPr="009A79D9">
              <w:rPr>
                <w:rFonts w:ascii="Arial Narrow" w:hAnsi="Arial Narrow"/>
                <w:sz w:val="20"/>
                <w:szCs w:val="20"/>
              </w:rPr>
              <w:t>224</w:t>
            </w:r>
          </w:p>
        </w:tc>
      </w:tr>
      <w:tr w:rsidR="00676CA2" w:rsidRPr="00C642A5" w:rsidTr="006825F8">
        <w:trPr>
          <w:trHeight w:val="198"/>
        </w:trPr>
        <w:tc>
          <w:tcPr>
            <w:tcW w:w="4320" w:type="dxa"/>
            <w:tcBorders>
              <w:top w:val="single" w:sz="2" w:space="0" w:color="auto"/>
              <w:bottom w:val="single" w:sz="2" w:space="0" w:color="auto"/>
            </w:tcBorders>
            <w:shd w:val="clear" w:color="auto" w:fill="auto"/>
            <w:noWrap/>
            <w:vAlign w:val="center"/>
            <w:hideMark/>
          </w:tcPr>
          <w:p w:rsidR="00676CA2" w:rsidRPr="00C642A5" w:rsidRDefault="00676CA2" w:rsidP="008217D1">
            <w:pPr>
              <w:spacing w:after="0"/>
              <w:ind w:firstLine="0"/>
              <w:jc w:val="left"/>
              <w:rPr>
                <w:rFonts w:ascii="Arial Narrow" w:hAnsi="Arial Narrow" w:cs="Arial"/>
                <w:color w:val="000000"/>
                <w:lang w:val="es-ES" w:eastAsia="es-ES"/>
              </w:rPr>
            </w:pPr>
            <w:r w:rsidRPr="00014F7F">
              <w:rPr>
                <w:rFonts w:ascii="Arial Narrow" w:hAnsi="Arial Narrow" w:cs="Arial"/>
                <w:color w:val="000000"/>
                <w:lang w:val="es-ES" w:eastAsia="es-ES"/>
              </w:rPr>
              <w:t>Técnico</w:t>
            </w:r>
            <w:r>
              <w:rPr>
                <w:rFonts w:ascii="Arial Narrow" w:hAnsi="Arial Narrow" w:cs="Arial"/>
                <w:color w:val="000000"/>
                <w:lang w:val="es-ES" w:eastAsia="es-ES"/>
              </w:rPr>
              <w:t>/a</w:t>
            </w:r>
            <w:r w:rsidRPr="00014F7F">
              <w:rPr>
                <w:rFonts w:ascii="Arial Narrow" w:hAnsi="Arial Narrow" w:cs="Arial"/>
                <w:color w:val="000000"/>
                <w:lang w:val="es-ES" w:eastAsia="es-ES"/>
              </w:rPr>
              <w:t xml:space="preserve"> emergencias sanitarias</w:t>
            </w:r>
          </w:p>
        </w:tc>
        <w:tc>
          <w:tcPr>
            <w:tcW w:w="4464" w:type="dxa"/>
            <w:tcBorders>
              <w:top w:val="single" w:sz="2" w:space="0" w:color="auto"/>
              <w:bottom w:val="single" w:sz="2" w:space="0" w:color="auto"/>
            </w:tcBorders>
            <w:shd w:val="clear" w:color="auto" w:fill="auto"/>
            <w:noWrap/>
            <w:vAlign w:val="center"/>
            <w:hideMark/>
          </w:tcPr>
          <w:p w:rsidR="00676CA2" w:rsidRPr="009A79D9" w:rsidRDefault="00676CA2" w:rsidP="008217D1">
            <w:pPr>
              <w:pStyle w:val="texto"/>
              <w:spacing w:after="0" w:line="240" w:lineRule="atLeast"/>
              <w:ind w:firstLine="0"/>
              <w:jc w:val="right"/>
              <w:rPr>
                <w:rFonts w:ascii="Arial Narrow" w:hAnsi="Arial Narrow"/>
                <w:sz w:val="20"/>
                <w:szCs w:val="20"/>
              </w:rPr>
            </w:pPr>
            <w:r w:rsidRPr="009A79D9">
              <w:rPr>
                <w:rFonts w:ascii="Arial Narrow" w:hAnsi="Arial Narrow"/>
                <w:sz w:val="20"/>
                <w:szCs w:val="20"/>
              </w:rPr>
              <w:t>112</w:t>
            </w:r>
          </w:p>
        </w:tc>
      </w:tr>
      <w:tr w:rsidR="00676CA2" w:rsidRPr="00C642A5" w:rsidTr="006825F8">
        <w:trPr>
          <w:trHeight w:val="198"/>
        </w:trPr>
        <w:tc>
          <w:tcPr>
            <w:tcW w:w="4320" w:type="dxa"/>
            <w:tcBorders>
              <w:top w:val="single" w:sz="2" w:space="0" w:color="auto"/>
              <w:bottom w:val="single" w:sz="2" w:space="0" w:color="auto"/>
            </w:tcBorders>
            <w:shd w:val="clear" w:color="auto" w:fill="auto"/>
            <w:noWrap/>
            <w:vAlign w:val="center"/>
            <w:hideMark/>
          </w:tcPr>
          <w:p w:rsidR="00676CA2" w:rsidRPr="00C642A5" w:rsidRDefault="00676CA2" w:rsidP="008217D1">
            <w:pPr>
              <w:spacing w:after="0"/>
              <w:ind w:firstLine="0"/>
              <w:jc w:val="left"/>
              <w:rPr>
                <w:rFonts w:ascii="Arial Narrow" w:hAnsi="Arial Narrow" w:cs="Arial"/>
                <w:color w:val="000000"/>
                <w:lang w:val="es-ES" w:eastAsia="es-ES"/>
              </w:rPr>
            </w:pPr>
            <w:r w:rsidRPr="00014F7F">
              <w:rPr>
                <w:rFonts w:ascii="Arial Narrow" w:hAnsi="Arial Narrow" w:cs="Arial"/>
                <w:color w:val="000000"/>
                <w:lang w:val="es-ES" w:eastAsia="es-ES"/>
              </w:rPr>
              <w:t>Técnico</w:t>
            </w:r>
            <w:r>
              <w:rPr>
                <w:rFonts w:ascii="Arial Narrow" w:hAnsi="Arial Narrow" w:cs="Arial"/>
                <w:color w:val="000000"/>
                <w:lang w:val="es-ES" w:eastAsia="es-ES"/>
              </w:rPr>
              <w:t>/a</w:t>
            </w:r>
            <w:r w:rsidRPr="00014F7F">
              <w:rPr>
                <w:rFonts w:ascii="Arial Narrow" w:hAnsi="Arial Narrow" w:cs="Arial"/>
                <w:color w:val="000000"/>
                <w:lang w:val="es-ES" w:eastAsia="es-ES"/>
              </w:rPr>
              <w:t xml:space="preserve"> Especialista en Laboratorio</w:t>
            </w:r>
          </w:p>
        </w:tc>
        <w:tc>
          <w:tcPr>
            <w:tcW w:w="4464" w:type="dxa"/>
            <w:tcBorders>
              <w:top w:val="single" w:sz="2" w:space="0" w:color="auto"/>
              <w:bottom w:val="single" w:sz="2" w:space="0" w:color="auto"/>
            </w:tcBorders>
            <w:shd w:val="clear" w:color="auto" w:fill="auto"/>
            <w:noWrap/>
            <w:vAlign w:val="center"/>
            <w:hideMark/>
          </w:tcPr>
          <w:p w:rsidR="00676CA2" w:rsidRPr="009A79D9" w:rsidRDefault="00676CA2" w:rsidP="008217D1">
            <w:pPr>
              <w:pStyle w:val="texto"/>
              <w:spacing w:after="0" w:line="240" w:lineRule="atLeast"/>
              <w:ind w:firstLine="0"/>
              <w:jc w:val="right"/>
              <w:rPr>
                <w:rFonts w:ascii="Arial Narrow" w:hAnsi="Arial Narrow"/>
                <w:sz w:val="20"/>
                <w:szCs w:val="20"/>
              </w:rPr>
            </w:pPr>
            <w:r w:rsidRPr="009A79D9">
              <w:rPr>
                <w:rFonts w:ascii="Arial Narrow" w:hAnsi="Arial Narrow"/>
                <w:sz w:val="20"/>
                <w:szCs w:val="20"/>
              </w:rPr>
              <w:t>112</w:t>
            </w:r>
          </w:p>
        </w:tc>
      </w:tr>
      <w:tr w:rsidR="00676CA2" w:rsidRPr="00C642A5" w:rsidTr="006825F8">
        <w:trPr>
          <w:trHeight w:val="198"/>
        </w:trPr>
        <w:tc>
          <w:tcPr>
            <w:tcW w:w="4320" w:type="dxa"/>
            <w:tcBorders>
              <w:top w:val="single" w:sz="2" w:space="0" w:color="auto"/>
              <w:bottom w:val="single" w:sz="2" w:space="0" w:color="auto"/>
            </w:tcBorders>
            <w:shd w:val="clear" w:color="auto" w:fill="auto"/>
            <w:noWrap/>
            <w:vAlign w:val="center"/>
            <w:hideMark/>
          </w:tcPr>
          <w:p w:rsidR="00676CA2" w:rsidRPr="00C642A5" w:rsidRDefault="00676CA2" w:rsidP="008217D1">
            <w:pPr>
              <w:spacing w:after="0"/>
              <w:ind w:firstLine="0"/>
              <w:jc w:val="left"/>
              <w:rPr>
                <w:rFonts w:ascii="Arial Narrow" w:hAnsi="Arial Narrow" w:cs="Arial"/>
                <w:color w:val="000000"/>
                <w:lang w:val="es-ES" w:eastAsia="es-ES"/>
              </w:rPr>
            </w:pPr>
            <w:r>
              <w:rPr>
                <w:rFonts w:ascii="Arial Narrow" w:hAnsi="Arial Narrow" w:cs="Arial"/>
                <w:color w:val="000000"/>
                <w:lang w:val="es-ES" w:eastAsia="es-ES"/>
              </w:rPr>
              <w:t xml:space="preserve">Trabajador/a </w:t>
            </w:r>
            <w:r w:rsidRPr="00014F7F">
              <w:rPr>
                <w:rFonts w:ascii="Arial Narrow" w:hAnsi="Arial Narrow" w:cs="Arial"/>
                <w:color w:val="000000"/>
                <w:lang w:val="es-ES" w:eastAsia="es-ES"/>
              </w:rPr>
              <w:t>social</w:t>
            </w:r>
          </w:p>
        </w:tc>
        <w:tc>
          <w:tcPr>
            <w:tcW w:w="4464" w:type="dxa"/>
            <w:tcBorders>
              <w:top w:val="single" w:sz="2" w:space="0" w:color="auto"/>
              <w:bottom w:val="single" w:sz="2" w:space="0" w:color="auto"/>
            </w:tcBorders>
            <w:shd w:val="clear" w:color="auto" w:fill="auto"/>
            <w:noWrap/>
            <w:vAlign w:val="center"/>
            <w:hideMark/>
          </w:tcPr>
          <w:p w:rsidR="00676CA2" w:rsidRPr="009A79D9" w:rsidRDefault="00676CA2" w:rsidP="008217D1">
            <w:pPr>
              <w:pStyle w:val="texto"/>
              <w:spacing w:after="0" w:line="240" w:lineRule="atLeast"/>
              <w:ind w:firstLine="0"/>
              <w:jc w:val="right"/>
              <w:rPr>
                <w:rFonts w:ascii="Arial Narrow" w:hAnsi="Arial Narrow"/>
                <w:sz w:val="20"/>
                <w:szCs w:val="20"/>
              </w:rPr>
            </w:pPr>
            <w:r w:rsidRPr="009A79D9">
              <w:rPr>
                <w:rFonts w:ascii="Arial Narrow" w:hAnsi="Arial Narrow"/>
                <w:sz w:val="20"/>
                <w:szCs w:val="20"/>
              </w:rPr>
              <w:t>45</w:t>
            </w:r>
          </w:p>
        </w:tc>
      </w:tr>
      <w:tr w:rsidR="00676CA2" w:rsidRPr="00C642A5" w:rsidTr="006825F8">
        <w:trPr>
          <w:trHeight w:val="198"/>
        </w:trPr>
        <w:tc>
          <w:tcPr>
            <w:tcW w:w="4320" w:type="dxa"/>
            <w:tcBorders>
              <w:top w:val="single" w:sz="2" w:space="0" w:color="auto"/>
              <w:bottom w:val="single" w:sz="2" w:space="0" w:color="auto"/>
            </w:tcBorders>
            <w:shd w:val="clear" w:color="auto" w:fill="auto"/>
            <w:noWrap/>
            <w:vAlign w:val="center"/>
            <w:hideMark/>
          </w:tcPr>
          <w:p w:rsidR="00676CA2" w:rsidRPr="00C642A5" w:rsidRDefault="00676CA2" w:rsidP="008217D1">
            <w:pPr>
              <w:spacing w:after="0"/>
              <w:ind w:firstLine="0"/>
              <w:jc w:val="left"/>
              <w:rPr>
                <w:rFonts w:ascii="Arial Narrow" w:hAnsi="Arial Narrow" w:cs="Arial"/>
                <w:color w:val="000000"/>
                <w:lang w:val="es-ES" w:eastAsia="es-ES"/>
              </w:rPr>
            </w:pPr>
            <w:r w:rsidRPr="00014F7F">
              <w:rPr>
                <w:rFonts w:ascii="Arial Narrow" w:hAnsi="Arial Narrow" w:cs="Arial"/>
                <w:color w:val="000000"/>
                <w:lang w:val="es-ES" w:eastAsia="es-ES"/>
              </w:rPr>
              <w:t>Técnico</w:t>
            </w:r>
            <w:r>
              <w:rPr>
                <w:rFonts w:ascii="Arial Narrow" w:hAnsi="Arial Narrow" w:cs="Arial"/>
                <w:color w:val="000000"/>
                <w:lang w:val="es-ES" w:eastAsia="es-ES"/>
              </w:rPr>
              <w:t>/a</w:t>
            </w:r>
            <w:r w:rsidRPr="00014F7F">
              <w:rPr>
                <w:rFonts w:ascii="Arial Narrow" w:hAnsi="Arial Narrow" w:cs="Arial"/>
                <w:color w:val="000000"/>
                <w:lang w:val="es-ES" w:eastAsia="es-ES"/>
              </w:rPr>
              <w:t xml:space="preserve"> Especialista en Radiología</w:t>
            </w:r>
          </w:p>
        </w:tc>
        <w:tc>
          <w:tcPr>
            <w:tcW w:w="4464" w:type="dxa"/>
            <w:tcBorders>
              <w:top w:val="single" w:sz="2" w:space="0" w:color="auto"/>
              <w:bottom w:val="single" w:sz="2" w:space="0" w:color="auto"/>
            </w:tcBorders>
            <w:shd w:val="clear" w:color="auto" w:fill="auto"/>
            <w:noWrap/>
            <w:vAlign w:val="center"/>
            <w:hideMark/>
          </w:tcPr>
          <w:p w:rsidR="00676CA2" w:rsidRPr="009A79D9" w:rsidRDefault="00676CA2" w:rsidP="008217D1">
            <w:pPr>
              <w:pStyle w:val="texto"/>
              <w:spacing w:after="0" w:line="240" w:lineRule="atLeast"/>
              <w:ind w:firstLine="0"/>
              <w:jc w:val="right"/>
              <w:rPr>
                <w:rFonts w:ascii="Arial Narrow" w:hAnsi="Arial Narrow"/>
                <w:sz w:val="20"/>
                <w:szCs w:val="20"/>
              </w:rPr>
            </w:pPr>
            <w:r w:rsidRPr="009A79D9">
              <w:rPr>
                <w:rFonts w:ascii="Arial Narrow" w:hAnsi="Arial Narrow"/>
                <w:sz w:val="20"/>
                <w:szCs w:val="20"/>
              </w:rPr>
              <w:t>53</w:t>
            </w:r>
          </w:p>
        </w:tc>
      </w:tr>
      <w:tr w:rsidR="00676CA2" w:rsidRPr="00C642A5" w:rsidTr="006825F8">
        <w:trPr>
          <w:trHeight w:val="198"/>
        </w:trPr>
        <w:tc>
          <w:tcPr>
            <w:tcW w:w="4320" w:type="dxa"/>
            <w:tcBorders>
              <w:top w:val="single" w:sz="2" w:space="0" w:color="auto"/>
              <w:bottom w:val="single" w:sz="2" w:space="0" w:color="auto"/>
            </w:tcBorders>
            <w:shd w:val="clear" w:color="auto" w:fill="auto"/>
            <w:noWrap/>
            <w:vAlign w:val="center"/>
            <w:hideMark/>
          </w:tcPr>
          <w:p w:rsidR="00676CA2" w:rsidRPr="00C642A5" w:rsidRDefault="00676CA2" w:rsidP="008217D1">
            <w:pPr>
              <w:spacing w:after="0"/>
              <w:ind w:firstLine="0"/>
              <w:jc w:val="left"/>
              <w:rPr>
                <w:rFonts w:ascii="Arial Narrow" w:hAnsi="Arial Narrow" w:cs="Arial"/>
                <w:color w:val="000000"/>
                <w:lang w:val="es-ES" w:eastAsia="es-ES"/>
              </w:rPr>
            </w:pPr>
            <w:r w:rsidRPr="00014F7F">
              <w:rPr>
                <w:rFonts w:ascii="Arial Narrow" w:hAnsi="Arial Narrow" w:cs="Arial"/>
                <w:color w:val="000000"/>
                <w:lang w:val="es-ES" w:eastAsia="es-ES"/>
              </w:rPr>
              <w:t>Facultativo</w:t>
            </w:r>
            <w:r>
              <w:rPr>
                <w:rFonts w:ascii="Arial Narrow" w:hAnsi="Arial Narrow" w:cs="Arial"/>
                <w:color w:val="000000"/>
                <w:lang w:val="es-ES" w:eastAsia="es-ES"/>
              </w:rPr>
              <w:t>/a</w:t>
            </w:r>
            <w:r w:rsidRPr="00014F7F">
              <w:rPr>
                <w:rFonts w:ascii="Arial Narrow" w:hAnsi="Arial Narrow" w:cs="Arial"/>
                <w:color w:val="000000"/>
                <w:lang w:val="es-ES" w:eastAsia="es-ES"/>
              </w:rPr>
              <w:t xml:space="preserve"> Especialista Adjunto</w:t>
            </w:r>
          </w:p>
        </w:tc>
        <w:tc>
          <w:tcPr>
            <w:tcW w:w="4464" w:type="dxa"/>
            <w:tcBorders>
              <w:top w:val="single" w:sz="2" w:space="0" w:color="auto"/>
              <w:bottom w:val="single" w:sz="2" w:space="0" w:color="auto"/>
            </w:tcBorders>
            <w:shd w:val="clear" w:color="auto" w:fill="auto"/>
            <w:noWrap/>
            <w:vAlign w:val="center"/>
            <w:hideMark/>
          </w:tcPr>
          <w:p w:rsidR="00676CA2" w:rsidRPr="009A79D9" w:rsidRDefault="00676CA2" w:rsidP="008217D1">
            <w:pPr>
              <w:pStyle w:val="texto"/>
              <w:spacing w:after="0" w:line="240" w:lineRule="atLeast"/>
              <w:ind w:firstLine="0"/>
              <w:jc w:val="right"/>
              <w:rPr>
                <w:rFonts w:ascii="Arial Narrow" w:hAnsi="Arial Narrow"/>
                <w:sz w:val="20"/>
                <w:szCs w:val="20"/>
              </w:rPr>
            </w:pPr>
            <w:r w:rsidRPr="009A79D9">
              <w:rPr>
                <w:rFonts w:ascii="Arial Narrow" w:hAnsi="Arial Narrow"/>
                <w:sz w:val="20"/>
                <w:szCs w:val="20"/>
              </w:rPr>
              <w:t>32</w:t>
            </w:r>
          </w:p>
        </w:tc>
      </w:tr>
      <w:tr w:rsidR="00676CA2" w:rsidRPr="00C642A5" w:rsidTr="006825F8">
        <w:trPr>
          <w:trHeight w:val="198"/>
        </w:trPr>
        <w:tc>
          <w:tcPr>
            <w:tcW w:w="4320" w:type="dxa"/>
            <w:tcBorders>
              <w:top w:val="single" w:sz="2" w:space="0" w:color="auto"/>
              <w:bottom w:val="single" w:sz="2" w:space="0" w:color="auto"/>
            </w:tcBorders>
            <w:shd w:val="clear" w:color="auto" w:fill="auto"/>
            <w:noWrap/>
            <w:vAlign w:val="center"/>
          </w:tcPr>
          <w:p w:rsidR="00676CA2" w:rsidRPr="00014F7F" w:rsidRDefault="00676CA2" w:rsidP="008217D1">
            <w:pPr>
              <w:spacing w:after="0"/>
              <w:ind w:firstLine="0"/>
              <w:jc w:val="left"/>
              <w:rPr>
                <w:rFonts w:ascii="Arial Narrow" w:hAnsi="Arial Narrow" w:cs="Arial"/>
                <w:color w:val="000000"/>
                <w:lang w:val="es-ES" w:eastAsia="es-ES"/>
              </w:rPr>
            </w:pPr>
            <w:r>
              <w:rPr>
                <w:rFonts w:ascii="Arial Narrow" w:hAnsi="Arial Narrow" w:cs="Arial"/>
                <w:color w:val="000000"/>
                <w:lang w:val="es-ES" w:eastAsia="es-ES"/>
              </w:rPr>
              <w:t>Educador/a sanitario</w:t>
            </w:r>
          </w:p>
        </w:tc>
        <w:tc>
          <w:tcPr>
            <w:tcW w:w="4464" w:type="dxa"/>
            <w:tcBorders>
              <w:top w:val="single" w:sz="2" w:space="0" w:color="auto"/>
              <w:bottom w:val="single" w:sz="2" w:space="0" w:color="auto"/>
            </w:tcBorders>
            <w:shd w:val="clear" w:color="auto" w:fill="auto"/>
            <w:noWrap/>
            <w:vAlign w:val="center"/>
          </w:tcPr>
          <w:p w:rsidR="00676CA2" w:rsidRPr="009A79D9" w:rsidRDefault="00676CA2" w:rsidP="008217D1">
            <w:pPr>
              <w:pStyle w:val="texto"/>
              <w:spacing w:after="0" w:line="240" w:lineRule="atLeast"/>
              <w:ind w:firstLine="0"/>
              <w:jc w:val="right"/>
              <w:rPr>
                <w:rFonts w:ascii="Arial Narrow" w:hAnsi="Arial Narrow"/>
                <w:sz w:val="20"/>
                <w:szCs w:val="20"/>
              </w:rPr>
            </w:pPr>
            <w:r w:rsidRPr="009A79D9">
              <w:rPr>
                <w:rFonts w:ascii="Arial Narrow" w:hAnsi="Arial Narrow"/>
                <w:sz w:val="20"/>
                <w:szCs w:val="20"/>
              </w:rPr>
              <w:t>33</w:t>
            </w:r>
          </w:p>
        </w:tc>
      </w:tr>
      <w:tr w:rsidR="00676CA2" w:rsidRPr="00C642A5" w:rsidTr="006825F8">
        <w:trPr>
          <w:trHeight w:val="198"/>
        </w:trPr>
        <w:tc>
          <w:tcPr>
            <w:tcW w:w="4320" w:type="dxa"/>
            <w:tcBorders>
              <w:top w:val="single" w:sz="2" w:space="0" w:color="auto"/>
              <w:bottom w:val="single" w:sz="2" w:space="0" w:color="auto"/>
            </w:tcBorders>
            <w:shd w:val="clear" w:color="auto" w:fill="auto"/>
            <w:noWrap/>
            <w:vAlign w:val="center"/>
            <w:hideMark/>
          </w:tcPr>
          <w:p w:rsidR="00676CA2" w:rsidRPr="00C642A5" w:rsidRDefault="00676CA2" w:rsidP="008217D1">
            <w:pPr>
              <w:spacing w:after="0"/>
              <w:ind w:firstLine="0"/>
              <w:jc w:val="left"/>
              <w:rPr>
                <w:rFonts w:ascii="Arial Narrow" w:hAnsi="Arial Narrow" w:cs="Arial"/>
                <w:color w:val="000000"/>
                <w:lang w:val="es-ES" w:eastAsia="es-ES"/>
              </w:rPr>
            </w:pPr>
            <w:r w:rsidRPr="00014F7F">
              <w:rPr>
                <w:rFonts w:ascii="Arial Narrow" w:hAnsi="Arial Narrow" w:cs="Arial"/>
                <w:color w:val="000000"/>
                <w:lang w:val="es-ES" w:eastAsia="es-ES"/>
              </w:rPr>
              <w:t>Médico</w:t>
            </w:r>
            <w:r>
              <w:rPr>
                <w:rFonts w:ascii="Arial Narrow" w:hAnsi="Arial Narrow" w:cs="Arial"/>
                <w:color w:val="000000"/>
                <w:lang w:val="es-ES" w:eastAsia="es-ES"/>
              </w:rPr>
              <w:t>/a</w:t>
            </w:r>
            <w:r w:rsidRPr="00014F7F">
              <w:rPr>
                <w:rFonts w:ascii="Arial Narrow" w:hAnsi="Arial Narrow" w:cs="Arial"/>
                <w:color w:val="000000"/>
                <w:lang w:val="es-ES" w:eastAsia="es-ES"/>
              </w:rPr>
              <w:t xml:space="preserve"> Atención Primaria</w:t>
            </w:r>
          </w:p>
        </w:tc>
        <w:tc>
          <w:tcPr>
            <w:tcW w:w="4464" w:type="dxa"/>
            <w:tcBorders>
              <w:top w:val="single" w:sz="2" w:space="0" w:color="auto"/>
              <w:bottom w:val="single" w:sz="2" w:space="0" w:color="auto"/>
            </w:tcBorders>
            <w:shd w:val="clear" w:color="auto" w:fill="auto"/>
            <w:noWrap/>
            <w:vAlign w:val="center"/>
            <w:hideMark/>
          </w:tcPr>
          <w:p w:rsidR="00676CA2" w:rsidRPr="009A79D9" w:rsidRDefault="00676CA2" w:rsidP="008217D1">
            <w:pPr>
              <w:pStyle w:val="texto"/>
              <w:spacing w:after="0" w:line="240" w:lineRule="atLeast"/>
              <w:ind w:firstLine="0"/>
              <w:jc w:val="right"/>
              <w:rPr>
                <w:rFonts w:ascii="Arial Narrow" w:hAnsi="Arial Narrow"/>
                <w:sz w:val="20"/>
                <w:szCs w:val="20"/>
              </w:rPr>
            </w:pPr>
            <w:r w:rsidRPr="009A79D9">
              <w:rPr>
                <w:rFonts w:ascii="Arial Narrow" w:hAnsi="Arial Narrow"/>
                <w:sz w:val="20"/>
                <w:szCs w:val="20"/>
              </w:rPr>
              <w:t>29</w:t>
            </w:r>
          </w:p>
        </w:tc>
      </w:tr>
      <w:tr w:rsidR="00676CA2" w:rsidRPr="00C642A5" w:rsidTr="006825F8">
        <w:trPr>
          <w:trHeight w:val="198"/>
        </w:trPr>
        <w:tc>
          <w:tcPr>
            <w:tcW w:w="4320" w:type="dxa"/>
            <w:tcBorders>
              <w:top w:val="single" w:sz="2" w:space="0" w:color="auto"/>
              <w:bottom w:val="single" w:sz="2" w:space="0" w:color="auto"/>
            </w:tcBorders>
            <w:shd w:val="clear" w:color="auto" w:fill="auto"/>
            <w:noWrap/>
            <w:vAlign w:val="center"/>
            <w:hideMark/>
          </w:tcPr>
          <w:p w:rsidR="00676CA2" w:rsidRPr="00C642A5" w:rsidRDefault="00676CA2" w:rsidP="008217D1">
            <w:pPr>
              <w:spacing w:after="0"/>
              <w:ind w:firstLine="0"/>
              <w:jc w:val="left"/>
              <w:rPr>
                <w:rFonts w:ascii="Arial Narrow" w:hAnsi="Arial Narrow" w:cs="Arial"/>
                <w:color w:val="000000"/>
                <w:lang w:val="es-ES" w:eastAsia="es-ES"/>
              </w:rPr>
            </w:pPr>
            <w:r w:rsidRPr="00014F7F">
              <w:rPr>
                <w:rFonts w:ascii="Arial Narrow" w:hAnsi="Arial Narrow" w:cs="Arial"/>
                <w:color w:val="000000"/>
                <w:lang w:val="es-ES" w:eastAsia="es-ES"/>
              </w:rPr>
              <w:t>Técnico</w:t>
            </w:r>
            <w:r>
              <w:rPr>
                <w:rFonts w:ascii="Arial Narrow" w:hAnsi="Arial Narrow" w:cs="Arial"/>
                <w:color w:val="000000"/>
                <w:lang w:val="es-ES" w:eastAsia="es-ES"/>
              </w:rPr>
              <w:t>/a</w:t>
            </w:r>
            <w:r w:rsidRPr="00014F7F">
              <w:rPr>
                <w:rFonts w:ascii="Arial Narrow" w:hAnsi="Arial Narrow" w:cs="Arial"/>
                <w:color w:val="000000"/>
                <w:lang w:val="es-ES" w:eastAsia="es-ES"/>
              </w:rPr>
              <w:t xml:space="preserve"> en Farmacia</w:t>
            </w:r>
          </w:p>
        </w:tc>
        <w:tc>
          <w:tcPr>
            <w:tcW w:w="4464" w:type="dxa"/>
            <w:tcBorders>
              <w:top w:val="single" w:sz="2" w:space="0" w:color="auto"/>
              <w:bottom w:val="single" w:sz="2" w:space="0" w:color="auto"/>
            </w:tcBorders>
            <w:shd w:val="clear" w:color="auto" w:fill="auto"/>
            <w:noWrap/>
            <w:vAlign w:val="center"/>
            <w:hideMark/>
          </w:tcPr>
          <w:p w:rsidR="00676CA2" w:rsidRPr="009A79D9" w:rsidRDefault="00676CA2" w:rsidP="008217D1">
            <w:pPr>
              <w:pStyle w:val="texto"/>
              <w:spacing w:after="0" w:line="240" w:lineRule="atLeast"/>
              <w:ind w:firstLine="0"/>
              <w:jc w:val="right"/>
              <w:rPr>
                <w:rFonts w:ascii="Arial Narrow" w:hAnsi="Arial Narrow"/>
                <w:sz w:val="20"/>
                <w:szCs w:val="20"/>
              </w:rPr>
            </w:pPr>
            <w:r w:rsidRPr="009A79D9">
              <w:rPr>
                <w:rFonts w:ascii="Arial Narrow" w:hAnsi="Arial Narrow"/>
                <w:sz w:val="20"/>
                <w:szCs w:val="20"/>
              </w:rPr>
              <w:t>22</w:t>
            </w:r>
          </w:p>
        </w:tc>
      </w:tr>
      <w:tr w:rsidR="00676CA2" w:rsidRPr="00C642A5" w:rsidTr="006825F8">
        <w:trPr>
          <w:trHeight w:val="198"/>
        </w:trPr>
        <w:tc>
          <w:tcPr>
            <w:tcW w:w="4320" w:type="dxa"/>
            <w:tcBorders>
              <w:top w:val="single" w:sz="2" w:space="0" w:color="auto"/>
              <w:bottom w:val="single" w:sz="2" w:space="0" w:color="auto"/>
            </w:tcBorders>
            <w:shd w:val="clear" w:color="auto" w:fill="auto"/>
            <w:noWrap/>
            <w:vAlign w:val="center"/>
            <w:hideMark/>
          </w:tcPr>
          <w:p w:rsidR="00676CA2" w:rsidRPr="00C642A5" w:rsidRDefault="00676CA2" w:rsidP="008217D1">
            <w:pPr>
              <w:spacing w:after="0"/>
              <w:ind w:firstLine="0"/>
              <w:jc w:val="left"/>
              <w:rPr>
                <w:rFonts w:ascii="Arial Narrow" w:hAnsi="Arial Narrow" w:cs="Arial"/>
                <w:color w:val="000000"/>
                <w:lang w:val="es-ES" w:eastAsia="es-ES"/>
              </w:rPr>
            </w:pPr>
            <w:r w:rsidRPr="00014F7F">
              <w:rPr>
                <w:rFonts w:ascii="Arial Narrow" w:hAnsi="Arial Narrow" w:cs="Arial"/>
                <w:color w:val="000000"/>
                <w:lang w:val="es-ES" w:eastAsia="es-ES"/>
              </w:rPr>
              <w:t>Cocinero</w:t>
            </w:r>
            <w:r>
              <w:rPr>
                <w:rFonts w:ascii="Arial Narrow" w:hAnsi="Arial Narrow" w:cs="Arial"/>
                <w:color w:val="000000"/>
                <w:lang w:val="es-ES" w:eastAsia="es-ES"/>
              </w:rPr>
              <w:t>/a</w:t>
            </w:r>
          </w:p>
        </w:tc>
        <w:tc>
          <w:tcPr>
            <w:tcW w:w="4464" w:type="dxa"/>
            <w:tcBorders>
              <w:top w:val="single" w:sz="2" w:space="0" w:color="auto"/>
              <w:bottom w:val="single" w:sz="2" w:space="0" w:color="auto"/>
            </w:tcBorders>
            <w:shd w:val="clear" w:color="auto" w:fill="auto"/>
            <w:noWrap/>
            <w:vAlign w:val="center"/>
            <w:hideMark/>
          </w:tcPr>
          <w:p w:rsidR="00676CA2" w:rsidRPr="009A79D9" w:rsidRDefault="00676CA2" w:rsidP="008217D1">
            <w:pPr>
              <w:pStyle w:val="texto"/>
              <w:spacing w:after="0" w:line="240" w:lineRule="atLeast"/>
              <w:ind w:firstLine="0"/>
              <w:jc w:val="right"/>
              <w:rPr>
                <w:rFonts w:ascii="Arial Narrow" w:hAnsi="Arial Narrow"/>
                <w:sz w:val="20"/>
                <w:szCs w:val="20"/>
              </w:rPr>
            </w:pPr>
            <w:r w:rsidRPr="009A79D9">
              <w:rPr>
                <w:rFonts w:ascii="Arial Narrow" w:hAnsi="Arial Narrow"/>
                <w:sz w:val="20"/>
                <w:szCs w:val="20"/>
              </w:rPr>
              <w:t>11</w:t>
            </w:r>
          </w:p>
        </w:tc>
      </w:tr>
      <w:tr w:rsidR="00676CA2" w:rsidRPr="00C642A5" w:rsidTr="006825F8">
        <w:trPr>
          <w:trHeight w:val="198"/>
        </w:trPr>
        <w:tc>
          <w:tcPr>
            <w:tcW w:w="4320" w:type="dxa"/>
            <w:tcBorders>
              <w:top w:val="single" w:sz="2" w:space="0" w:color="auto"/>
              <w:bottom w:val="single" w:sz="2" w:space="0" w:color="auto"/>
            </w:tcBorders>
            <w:shd w:val="clear" w:color="auto" w:fill="auto"/>
            <w:noWrap/>
            <w:vAlign w:val="center"/>
            <w:hideMark/>
          </w:tcPr>
          <w:p w:rsidR="00676CA2" w:rsidRPr="00C642A5" w:rsidRDefault="00676CA2" w:rsidP="008217D1">
            <w:pPr>
              <w:spacing w:after="0"/>
              <w:ind w:firstLine="0"/>
              <w:jc w:val="left"/>
              <w:rPr>
                <w:rFonts w:ascii="Arial Narrow" w:hAnsi="Arial Narrow" w:cs="Arial"/>
                <w:color w:val="000000"/>
                <w:lang w:val="es-ES" w:eastAsia="es-ES"/>
              </w:rPr>
            </w:pPr>
            <w:r>
              <w:rPr>
                <w:rFonts w:ascii="Arial Narrow" w:hAnsi="Arial Narrow" w:cs="Arial"/>
                <w:color w:val="000000"/>
                <w:lang w:val="es-ES" w:eastAsia="es-ES"/>
              </w:rPr>
              <w:t>Enfermero/a especialista</w:t>
            </w:r>
          </w:p>
        </w:tc>
        <w:tc>
          <w:tcPr>
            <w:tcW w:w="4464" w:type="dxa"/>
            <w:tcBorders>
              <w:top w:val="single" w:sz="2" w:space="0" w:color="auto"/>
              <w:bottom w:val="single" w:sz="2" w:space="0" w:color="auto"/>
            </w:tcBorders>
            <w:shd w:val="clear" w:color="auto" w:fill="auto"/>
            <w:noWrap/>
            <w:vAlign w:val="center"/>
            <w:hideMark/>
          </w:tcPr>
          <w:p w:rsidR="00676CA2" w:rsidRPr="009A79D9" w:rsidRDefault="00676CA2" w:rsidP="008217D1">
            <w:pPr>
              <w:pStyle w:val="texto"/>
              <w:spacing w:after="0" w:line="240" w:lineRule="atLeast"/>
              <w:ind w:firstLine="0"/>
              <w:jc w:val="right"/>
              <w:rPr>
                <w:rFonts w:ascii="Arial Narrow" w:hAnsi="Arial Narrow"/>
                <w:sz w:val="20"/>
                <w:szCs w:val="20"/>
              </w:rPr>
            </w:pPr>
            <w:r w:rsidRPr="009A79D9">
              <w:rPr>
                <w:rFonts w:ascii="Arial Narrow" w:hAnsi="Arial Narrow"/>
                <w:sz w:val="20"/>
                <w:szCs w:val="20"/>
              </w:rPr>
              <w:t>11</w:t>
            </w:r>
          </w:p>
        </w:tc>
      </w:tr>
      <w:tr w:rsidR="00676CA2" w:rsidRPr="00C642A5" w:rsidTr="006825F8">
        <w:trPr>
          <w:trHeight w:val="198"/>
        </w:trPr>
        <w:tc>
          <w:tcPr>
            <w:tcW w:w="4320" w:type="dxa"/>
            <w:tcBorders>
              <w:top w:val="single" w:sz="2" w:space="0" w:color="auto"/>
              <w:bottom w:val="single" w:sz="2" w:space="0" w:color="auto"/>
            </w:tcBorders>
            <w:shd w:val="clear" w:color="auto" w:fill="auto"/>
            <w:noWrap/>
            <w:vAlign w:val="center"/>
            <w:hideMark/>
          </w:tcPr>
          <w:p w:rsidR="00676CA2" w:rsidRPr="00C642A5" w:rsidRDefault="00676CA2" w:rsidP="008217D1">
            <w:pPr>
              <w:spacing w:after="0"/>
              <w:ind w:firstLine="0"/>
              <w:jc w:val="left"/>
              <w:rPr>
                <w:rFonts w:ascii="Arial Narrow" w:hAnsi="Arial Narrow" w:cs="Arial"/>
                <w:color w:val="000000"/>
                <w:lang w:val="es-ES" w:eastAsia="es-ES"/>
              </w:rPr>
            </w:pPr>
            <w:r w:rsidRPr="00014F7F">
              <w:rPr>
                <w:rFonts w:ascii="Arial Narrow" w:hAnsi="Arial Narrow" w:cs="Arial"/>
                <w:color w:val="000000"/>
                <w:lang w:val="es-ES" w:eastAsia="es-ES"/>
              </w:rPr>
              <w:t>Médico</w:t>
            </w:r>
            <w:r>
              <w:rPr>
                <w:rFonts w:ascii="Arial Narrow" w:hAnsi="Arial Narrow" w:cs="Arial"/>
                <w:color w:val="000000"/>
                <w:lang w:val="es-ES" w:eastAsia="es-ES"/>
              </w:rPr>
              <w:t>/a</w:t>
            </w:r>
            <w:r w:rsidRPr="00014F7F">
              <w:rPr>
                <w:rFonts w:ascii="Arial Narrow" w:hAnsi="Arial Narrow" w:cs="Arial"/>
                <w:color w:val="000000"/>
                <w:lang w:val="es-ES" w:eastAsia="es-ES"/>
              </w:rPr>
              <w:t xml:space="preserve"> adjunto urgencias</w:t>
            </w:r>
          </w:p>
        </w:tc>
        <w:tc>
          <w:tcPr>
            <w:tcW w:w="4464" w:type="dxa"/>
            <w:tcBorders>
              <w:top w:val="single" w:sz="2" w:space="0" w:color="auto"/>
              <w:bottom w:val="single" w:sz="2" w:space="0" w:color="auto"/>
            </w:tcBorders>
            <w:shd w:val="clear" w:color="auto" w:fill="auto"/>
            <w:noWrap/>
            <w:vAlign w:val="center"/>
            <w:hideMark/>
          </w:tcPr>
          <w:p w:rsidR="00676CA2" w:rsidRPr="009A79D9" w:rsidRDefault="00676CA2" w:rsidP="008217D1">
            <w:pPr>
              <w:pStyle w:val="texto"/>
              <w:spacing w:after="0" w:line="240" w:lineRule="atLeast"/>
              <w:ind w:firstLine="0"/>
              <w:jc w:val="right"/>
              <w:rPr>
                <w:rFonts w:ascii="Arial Narrow" w:hAnsi="Arial Narrow"/>
                <w:sz w:val="20"/>
                <w:szCs w:val="20"/>
              </w:rPr>
            </w:pPr>
            <w:r w:rsidRPr="009A79D9">
              <w:rPr>
                <w:rFonts w:ascii="Arial Narrow" w:hAnsi="Arial Narrow"/>
                <w:sz w:val="20"/>
                <w:szCs w:val="20"/>
              </w:rPr>
              <w:t>10</w:t>
            </w:r>
          </w:p>
        </w:tc>
      </w:tr>
      <w:tr w:rsidR="00676CA2" w:rsidRPr="00C642A5" w:rsidTr="006825F8">
        <w:trPr>
          <w:trHeight w:val="198"/>
        </w:trPr>
        <w:tc>
          <w:tcPr>
            <w:tcW w:w="4320" w:type="dxa"/>
            <w:tcBorders>
              <w:top w:val="single" w:sz="2" w:space="0" w:color="auto"/>
            </w:tcBorders>
            <w:shd w:val="clear" w:color="auto" w:fill="auto"/>
            <w:noWrap/>
            <w:vAlign w:val="center"/>
          </w:tcPr>
          <w:p w:rsidR="00676CA2" w:rsidRPr="00014F7F" w:rsidRDefault="00676CA2" w:rsidP="008217D1">
            <w:pPr>
              <w:spacing w:after="0"/>
              <w:ind w:firstLine="0"/>
              <w:jc w:val="left"/>
              <w:rPr>
                <w:rFonts w:ascii="Arial Narrow" w:hAnsi="Arial Narrow" w:cs="Arial"/>
                <w:color w:val="000000"/>
                <w:lang w:val="es-ES" w:eastAsia="es-ES"/>
              </w:rPr>
            </w:pPr>
            <w:r w:rsidRPr="00014F7F">
              <w:rPr>
                <w:rFonts w:ascii="Arial Narrow" w:hAnsi="Arial Narrow" w:cs="Arial"/>
                <w:color w:val="000000"/>
                <w:lang w:val="es-ES" w:eastAsia="es-ES"/>
              </w:rPr>
              <w:t>Otras</w:t>
            </w:r>
          </w:p>
        </w:tc>
        <w:tc>
          <w:tcPr>
            <w:tcW w:w="4464" w:type="dxa"/>
            <w:tcBorders>
              <w:top w:val="single" w:sz="2" w:space="0" w:color="auto"/>
            </w:tcBorders>
            <w:shd w:val="clear" w:color="auto" w:fill="auto"/>
            <w:noWrap/>
            <w:vAlign w:val="center"/>
          </w:tcPr>
          <w:p w:rsidR="00676CA2" w:rsidRPr="009A79D9" w:rsidRDefault="00676CA2" w:rsidP="008217D1">
            <w:pPr>
              <w:autoSpaceDE w:val="0"/>
              <w:autoSpaceDN w:val="0"/>
              <w:adjustRightInd w:val="0"/>
              <w:spacing w:after="0"/>
              <w:ind w:firstLine="0"/>
              <w:jc w:val="right"/>
              <w:rPr>
                <w:rFonts w:ascii="Arial Narrow" w:hAnsi="Arial Narrow" w:cs="Arial"/>
                <w:color w:val="000000"/>
                <w:lang w:val="es-ES" w:eastAsia="es-ES"/>
              </w:rPr>
            </w:pPr>
            <w:r w:rsidRPr="009A79D9">
              <w:rPr>
                <w:rFonts w:ascii="Arial Narrow" w:hAnsi="Arial Narrow" w:cs="Arial"/>
                <w:color w:val="000000"/>
                <w:lang w:val="es-ES" w:eastAsia="es-ES"/>
              </w:rPr>
              <w:t>53</w:t>
            </w:r>
          </w:p>
        </w:tc>
      </w:tr>
      <w:tr w:rsidR="00676CA2" w:rsidRPr="009A79D9" w:rsidTr="009868A1">
        <w:trPr>
          <w:trHeight w:val="255"/>
        </w:trPr>
        <w:tc>
          <w:tcPr>
            <w:tcW w:w="4320" w:type="dxa"/>
            <w:shd w:val="clear" w:color="auto" w:fill="8DB3E2" w:themeFill="text2" w:themeFillTint="66"/>
            <w:noWrap/>
            <w:vAlign w:val="center"/>
          </w:tcPr>
          <w:p w:rsidR="00676CA2" w:rsidRPr="00014F7F" w:rsidRDefault="00676CA2" w:rsidP="00115431">
            <w:pPr>
              <w:pStyle w:val="cuadroCabe"/>
              <w:rPr>
                <w:lang w:val="es-ES" w:eastAsia="es-ES"/>
              </w:rPr>
            </w:pPr>
            <w:r w:rsidRPr="00014F7F">
              <w:rPr>
                <w:lang w:val="es-ES" w:eastAsia="es-ES"/>
              </w:rPr>
              <w:t>Total</w:t>
            </w:r>
          </w:p>
        </w:tc>
        <w:tc>
          <w:tcPr>
            <w:tcW w:w="4464" w:type="dxa"/>
            <w:shd w:val="clear" w:color="auto" w:fill="8DB3E2" w:themeFill="text2" w:themeFillTint="66"/>
            <w:noWrap/>
            <w:vAlign w:val="center"/>
          </w:tcPr>
          <w:p w:rsidR="00676CA2" w:rsidRPr="009A79D9" w:rsidRDefault="00676CA2" w:rsidP="00115431">
            <w:pPr>
              <w:pStyle w:val="cuadroCabe"/>
              <w:jc w:val="right"/>
              <w:rPr>
                <w:lang w:val="es-ES" w:eastAsia="es-ES"/>
              </w:rPr>
            </w:pPr>
            <w:r>
              <w:rPr>
                <w:lang w:val="es-ES" w:eastAsia="es-ES"/>
              </w:rPr>
              <w:t>4.905</w:t>
            </w:r>
          </w:p>
        </w:tc>
      </w:tr>
    </w:tbl>
    <w:p w:rsidR="00676CA2" w:rsidRDefault="00676CA2" w:rsidP="00676CA2">
      <w:pPr>
        <w:pStyle w:val="texto"/>
        <w:spacing w:before="240" w:after="120"/>
        <w:rPr>
          <w:szCs w:val="26"/>
        </w:rPr>
      </w:pPr>
      <w:r>
        <w:rPr>
          <w:szCs w:val="26"/>
        </w:rPr>
        <w:t xml:space="preserve">La función en el 44 por ciento de los contratos era la de enfermería y el 26 por ciento estaba relacionada con cuidados auxiliares de enfermería. El nueve </w:t>
      </w:r>
      <w:r>
        <w:rPr>
          <w:szCs w:val="26"/>
        </w:rPr>
        <w:lastRenderedPageBreak/>
        <w:t xml:space="preserve">por ciento se destinaron a ocupar puestos de celador/a y el siete por ciento a desempeñar funciones administrativas. </w:t>
      </w:r>
    </w:p>
    <w:p w:rsidR="00676CA2" w:rsidRDefault="00676CA2" w:rsidP="00676CA2">
      <w:pPr>
        <w:pStyle w:val="texto"/>
        <w:spacing w:before="120" w:after="240"/>
        <w:rPr>
          <w:szCs w:val="26"/>
        </w:rPr>
      </w:pPr>
      <w:r>
        <w:rPr>
          <w:szCs w:val="26"/>
        </w:rPr>
        <w:t>El total de contratos realizado por la ACFN no se realiza a personas difere</w:t>
      </w:r>
      <w:r>
        <w:rPr>
          <w:szCs w:val="26"/>
        </w:rPr>
        <w:t>n</w:t>
      </w:r>
      <w:r>
        <w:rPr>
          <w:szCs w:val="26"/>
        </w:rPr>
        <w:t>tes, sino que las personas pueden haber sido contratadas en más de una ocasión tal y como se muestra a continuación:</w:t>
      </w:r>
    </w:p>
    <w:tbl>
      <w:tblPr>
        <w:tblStyle w:val="Tablaconcuadrcula"/>
        <w:tblW w:w="8833"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5"/>
        <w:gridCol w:w="1086"/>
        <w:gridCol w:w="2486"/>
        <w:gridCol w:w="973"/>
        <w:gridCol w:w="993"/>
      </w:tblGrid>
      <w:tr w:rsidR="00676CA2" w:rsidRPr="008217D1" w:rsidTr="009868A1">
        <w:trPr>
          <w:trHeight w:val="247"/>
          <w:jc w:val="center"/>
        </w:trPr>
        <w:tc>
          <w:tcPr>
            <w:tcW w:w="3295" w:type="dxa"/>
            <w:tcBorders>
              <w:top w:val="single" w:sz="4" w:space="0" w:color="auto"/>
              <w:bottom w:val="single" w:sz="4" w:space="0" w:color="auto"/>
            </w:tcBorders>
            <w:shd w:val="clear" w:color="auto" w:fill="8DB3E2" w:themeFill="text2" w:themeFillTint="66"/>
          </w:tcPr>
          <w:p w:rsidR="00676CA2" w:rsidRPr="008217D1" w:rsidRDefault="00676CA2" w:rsidP="008217D1">
            <w:pPr>
              <w:pStyle w:val="cuadroCabe"/>
            </w:pPr>
          </w:p>
        </w:tc>
        <w:tc>
          <w:tcPr>
            <w:tcW w:w="1086" w:type="dxa"/>
            <w:tcBorders>
              <w:top w:val="single" w:sz="4" w:space="0" w:color="auto"/>
              <w:bottom w:val="single" w:sz="4" w:space="0" w:color="auto"/>
            </w:tcBorders>
            <w:shd w:val="clear" w:color="auto" w:fill="8DB3E2" w:themeFill="text2" w:themeFillTint="66"/>
            <w:vAlign w:val="center"/>
          </w:tcPr>
          <w:p w:rsidR="00676CA2" w:rsidRPr="008217D1" w:rsidRDefault="00676CA2" w:rsidP="008217D1">
            <w:pPr>
              <w:pStyle w:val="cuadroCabe"/>
              <w:jc w:val="right"/>
            </w:pPr>
            <w:r w:rsidRPr="008217D1">
              <w:t>SNS-O</w:t>
            </w:r>
          </w:p>
        </w:tc>
        <w:tc>
          <w:tcPr>
            <w:tcW w:w="2486" w:type="dxa"/>
            <w:tcBorders>
              <w:top w:val="single" w:sz="4" w:space="0" w:color="auto"/>
              <w:bottom w:val="single" w:sz="4" w:space="0" w:color="auto"/>
            </w:tcBorders>
            <w:shd w:val="clear" w:color="auto" w:fill="8DB3E2" w:themeFill="text2" w:themeFillTint="66"/>
            <w:vAlign w:val="center"/>
          </w:tcPr>
          <w:p w:rsidR="00676CA2" w:rsidRPr="008217D1" w:rsidRDefault="00676CA2" w:rsidP="008217D1">
            <w:pPr>
              <w:pStyle w:val="cuadroCabe"/>
              <w:jc w:val="right"/>
            </w:pPr>
            <w:r w:rsidRPr="008217D1">
              <w:t>Departamento Educación</w:t>
            </w:r>
          </w:p>
        </w:tc>
        <w:tc>
          <w:tcPr>
            <w:tcW w:w="973" w:type="dxa"/>
            <w:tcBorders>
              <w:top w:val="single" w:sz="4" w:space="0" w:color="auto"/>
              <w:bottom w:val="single" w:sz="4" w:space="0" w:color="auto"/>
            </w:tcBorders>
            <w:shd w:val="clear" w:color="auto" w:fill="8DB3E2" w:themeFill="text2" w:themeFillTint="66"/>
            <w:vAlign w:val="center"/>
          </w:tcPr>
          <w:p w:rsidR="00676CA2" w:rsidRPr="008217D1" w:rsidRDefault="00676CA2" w:rsidP="008217D1">
            <w:pPr>
              <w:pStyle w:val="cuadroCabe"/>
              <w:jc w:val="right"/>
            </w:pPr>
            <w:r w:rsidRPr="008217D1">
              <w:t>ANADP</w:t>
            </w:r>
          </w:p>
        </w:tc>
        <w:tc>
          <w:tcPr>
            <w:tcW w:w="993" w:type="dxa"/>
            <w:tcBorders>
              <w:top w:val="single" w:sz="4" w:space="0" w:color="auto"/>
              <w:bottom w:val="single" w:sz="4" w:space="0" w:color="auto"/>
            </w:tcBorders>
            <w:shd w:val="clear" w:color="auto" w:fill="8DB3E2" w:themeFill="text2" w:themeFillTint="66"/>
            <w:vAlign w:val="center"/>
          </w:tcPr>
          <w:p w:rsidR="00676CA2" w:rsidRPr="008217D1" w:rsidRDefault="00676CA2" w:rsidP="008217D1">
            <w:pPr>
              <w:pStyle w:val="cuadroCabe"/>
              <w:jc w:val="right"/>
            </w:pPr>
            <w:r w:rsidRPr="008217D1">
              <w:t>Total</w:t>
            </w:r>
          </w:p>
        </w:tc>
      </w:tr>
      <w:tr w:rsidR="00676CA2" w:rsidRPr="004A1553" w:rsidTr="009868A1">
        <w:trPr>
          <w:trHeight w:val="198"/>
          <w:jc w:val="center"/>
        </w:trPr>
        <w:tc>
          <w:tcPr>
            <w:tcW w:w="3295" w:type="dxa"/>
            <w:tcBorders>
              <w:top w:val="single" w:sz="4" w:space="0" w:color="auto"/>
              <w:bottom w:val="single" w:sz="2" w:space="0" w:color="auto"/>
            </w:tcBorders>
            <w:vAlign w:val="center"/>
          </w:tcPr>
          <w:p w:rsidR="00676CA2" w:rsidRPr="004A1553" w:rsidRDefault="00676CA2" w:rsidP="008217D1">
            <w:pPr>
              <w:pStyle w:val="texto"/>
              <w:spacing w:after="0" w:line="240" w:lineRule="atLeast"/>
              <w:ind w:firstLine="0"/>
              <w:jc w:val="left"/>
              <w:rPr>
                <w:rFonts w:ascii="Arial Narrow" w:hAnsi="Arial Narrow"/>
                <w:sz w:val="20"/>
                <w:szCs w:val="20"/>
              </w:rPr>
            </w:pPr>
            <w:r w:rsidRPr="004A1553">
              <w:rPr>
                <w:rFonts w:ascii="Arial Narrow" w:hAnsi="Arial Narrow"/>
                <w:sz w:val="20"/>
                <w:szCs w:val="20"/>
              </w:rPr>
              <w:t>Nº contratos</w:t>
            </w:r>
          </w:p>
        </w:tc>
        <w:tc>
          <w:tcPr>
            <w:tcW w:w="1086" w:type="dxa"/>
            <w:tcBorders>
              <w:top w:val="single" w:sz="4" w:space="0" w:color="auto"/>
              <w:bottom w:val="single" w:sz="2" w:space="0" w:color="auto"/>
            </w:tcBorders>
            <w:vAlign w:val="center"/>
          </w:tcPr>
          <w:p w:rsidR="00676CA2" w:rsidRPr="004A1553" w:rsidRDefault="00676CA2" w:rsidP="008217D1">
            <w:pPr>
              <w:pStyle w:val="texto"/>
              <w:spacing w:after="0" w:line="240" w:lineRule="atLeast"/>
              <w:ind w:firstLine="0"/>
              <w:jc w:val="right"/>
              <w:rPr>
                <w:rFonts w:ascii="Arial Narrow" w:hAnsi="Arial Narrow"/>
                <w:sz w:val="20"/>
                <w:szCs w:val="20"/>
              </w:rPr>
            </w:pPr>
            <w:r w:rsidRPr="004A1553">
              <w:rPr>
                <w:rFonts w:ascii="Arial Narrow" w:hAnsi="Arial Narrow"/>
                <w:sz w:val="20"/>
                <w:szCs w:val="20"/>
              </w:rPr>
              <w:t>4.905</w:t>
            </w:r>
          </w:p>
        </w:tc>
        <w:tc>
          <w:tcPr>
            <w:tcW w:w="2486" w:type="dxa"/>
            <w:tcBorders>
              <w:top w:val="single" w:sz="4" w:space="0" w:color="auto"/>
              <w:bottom w:val="single" w:sz="2" w:space="0" w:color="auto"/>
            </w:tcBorders>
            <w:vAlign w:val="center"/>
          </w:tcPr>
          <w:p w:rsidR="00676CA2" w:rsidRPr="004A1553" w:rsidRDefault="00676CA2" w:rsidP="008217D1">
            <w:pPr>
              <w:pStyle w:val="texto"/>
              <w:spacing w:after="0" w:line="240" w:lineRule="atLeast"/>
              <w:ind w:firstLine="0"/>
              <w:jc w:val="right"/>
              <w:rPr>
                <w:rFonts w:ascii="Arial Narrow" w:hAnsi="Arial Narrow"/>
                <w:sz w:val="20"/>
                <w:szCs w:val="20"/>
              </w:rPr>
            </w:pPr>
            <w:r w:rsidRPr="004A1553">
              <w:rPr>
                <w:rFonts w:ascii="Arial Narrow" w:hAnsi="Arial Narrow"/>
                <w:sz w:val="20"/>
                <w:szCs w:val="20"/>
              </w:rPr>
              <w:t>1.201</w:t>
            </w:r>
          </w:p>
        </w:tc>
        <w:tc>
          <w:tcPr>
            <w:tcW w:w="973" w:type="dxa"/>
            <w:tcBorders>
              <w:top w:val="single" w:sz="4" w:space="0" w:color="auto"/>
              <w:bottom w:val="single" w:sz="2" w:space="0" w:color="auto"/>
            </w:tcBorders>
            <w:vAlign w:val="center"/>
          </w:tcPr>
          <w:p w:rsidR="00676CA2" w:rsidRPr="004A1553" w:rsidRDefault="00676CA2" w:rsidP="008217D1">
            <w:pPr>
              <w:pStyle w:val="texto"/>
              <w:spacing w:after="0" w:line="240" w:lineRule="atLeast"/>
              <w:ind w:firstLine="0"/>
              <w:jc w:val="right"/>
              <w:rPr>
                <w:rFonts w:ascii="Arial Narrow" w:hAnsi="Arial Narrow"/>
                <w:sz w:val="20"/>
                <w:szCs w:val="20"/>
              </w:rPr>
            </w:pPr>
            <w:r w:rsidRPr="004A1553">
              <w:rPr>
                <w:rFonts w:ascii="Arial Narrow" w:hAnsi="Arial Narrow"/>
                <w:sz w:val="20"/>
                <w:szCs w:val="20"/>
              </w:rPr>
              <w:t>691</w:t>
            </w:r>
          </w:p>
        </w:tc>
        <w:tc>
          <w:tcPr>
            <w:tcW w:w="993" w:type="dxa"/>
            <w:tcBorders>
              <w:top w:val="single" w:sz="4" w:space="0" w:color="auto"/>
              <w:bottom w:val="single" w:sz="2" w:space="0" w:color="auto"/>
            </w:tcBorders>
            <w:vAlign w:val="center"/>
          </w:tcPr>
          <w:p w:rsidR="00676CA2" w:rsidRPr="004A1553" w:rsidRDefault="00676CA2" w:rsidP="008217D1">
            <w:pPr>
              <w:pStyle w:val="texto"/>
              <w:spacing w:after="0" w:line="240" w:lineRule="atLeast"/>
              <w:ind w:firstLine="0"/>
              <w:jc w:val="right"/>
              <w:rPr>
                <w:rFonts w:ascii="Arial Narrow" w:hAnsi="Arial Narrow"/>
                <w:sz w:val="20"/>
                <w:szCs w:val="20"/>
              </w:rPr>
            </w:pPr>
            <w:r w:rsidRPr="004A1553">
              <w:rPr>
                <w:rFonts w:ascii="Arial Narrow" w:hAnsi="Arial Narrow"/>
                <w:sz w:val="20"/>
                <w:szCs w:val="20"/>
              </w:rPr>
              <w:t>6.797</w:t>
            </w:r>
          </w:p>
        </w:tc>
      </w:tr>
      <w:tr w:rsidR="00676CA2" w:rsidRPr="004A1553" w:rsidTr="009868A1">
        <w:trPr>
          <w:trHeight w:val="198"/>
          <w:jc w:val="center"/>
        </w:trPr>
        <w:tc>
          <w:tcPr>
            <w:tcW w:w="3295" w:type="dxa"/>
            <w:tcBorders>
              <w:top w:val="single" w:sz="2" w:space="0" w:color="auto"/>
              <w:bottom w:val="single" w:sz="4" w:space="0" w:color="auto"/>
            </w:tcBorders>
            <w:vAlign w:val="center"/>
          </w:tcPr>
          <w:p w:rsidR="00676CA2" w:rsidRPr="004A1553" w:rsidRDefault="00676CA2" w:rsidP="008217D1">
            <w:pPr>
              <w:pStyle w:val="texto"/>
              <w:spacing w:after="0" w:line="240" w:lineRule="atLeast"/>
              <w:ind w:firstLine="0"/>
              <w:jc w:val="left"/>
              <w:rPr>
                <w:rFonts w:ascii="Arial Narrow" w:hAnsi="Arial Narrow"/>
                <w:sz w:val="20"/>
                <w:szCs w:val="20"/>
              </w:rPr>
            </w:pPr>
            <w:r w:rsidRPr="004A1553">
              <w:rPr>
                <w:rFonts w:ascii="Arial Narrow" w:hAnsi="Arial Narrow"/>
                <w:sz w:val="20"/>
                <w:szCs w:val="20"/>
              </w:rPr>
              <w:t>Nº personas</w:t>
            </w:r>
          </w:p>
        </w:tc>
        <w:tc>
          <w:tcPr>
            <w:tcW w:w="1086" w:type="dxa"/>
            <w:tcBorders>
              <w:top w:val="single" w:sz="2" w:space="0" w:color="auto"/>
              <w:bottom w:val="single" w:sz="4" w:space="0" w:color="auto"/>
            </w:tcBorders>
            <w:vAlign w:val="center"/>
          </w:tcPr>
          <w:p w:rsidR="00676CA2" w:rsidRPr="004A1553" w:rsidRDefault="00676CA2" w:rsidP="008217D1">
            <w:pPr>
              <w:pStyle w:val="texto"/>
              <w:spacing w:after="0" w:line="240" w:lineRule="atLeast"/>
              <w:ind w:firstLine="0"/>
              <w:jc w:val="right"/>
              <w:rPr>
                <w:rFonts w:ascii="Arial Narrow" w:hAnsi="Arial Narrow"/>
                <w:sz w:val="20"/>
                <w:szCs w:val="20"/>
              </w:rPr>
            </w:pPr>
            <w:r w:rsidRPr="004A1553">
              <w:rPr>
                <w:rFonts w:ascii="Arial Narrow" w:hAnsi="Arial Narrow"/>
                <w:sz w:val="20"/>
                <w:szCs w:val="20"/>
              </w:rPr>
              <w:t>2.234</w:t>
            </w:r>
          </w:p>
        </w:tc>
        <w:tc>
          <w:tcPr>
            <w:tcW w:w="2486" w:type="dxa"/>
            <w:tcBorders>
              <w:top w:val="single" w:sz="2" w:space="0" w:color="auto"/>
              <w:bottom w:val="single" w:sz="4" w:space="0" w:color="auto"/>
            </w:tcBorders>
            <w:vAlign w:val="center"/>
          </w:tcPr>
          <w:p w:rsidR="00676CA2" w:rsidRPr="004A1553" w:rsidRDefault="00676CA2" w:rsidP="008217D1">
            <w:pPr>
              <w:pStyle w:val="texto"/>
              <w:spacing w:after="0" w:line="240" w:lineRule="atLeast"/>
              <w:ind w:firstLine="0"/>
              <w:jc w:val="right"/>
              <w:rPr>
                <w:rFonts w:ascii="Arial Narrow" w:hAnsi="Arial Narrow"/>
                <w:sz w:val="20"/>
                <w:szCs w:val="20"/>
              </w:rPr>
            </w:pPr>
            <w:r w:rsidRPr="004A1553">
              <w:rPr>
                <w:rFonts w:ascii="Arial Narrow" w:hAnsi="Arial Narrow"/>
                <w:sz w:val="20"/>
                <w:szCs w:val="20"/>
              </w:rPr>
              <w:t>918</w:t>
            </w:r>
          </w:p>
        </w:tc>
        <w:tc>
          <w:tcPr>
            <w:tcW w:w="973" w:type="dxa"/>
            <w:tcBorders>
              <w:top w:val="single" w:sz="2" w:space="0" w:color="auto"/>
              <w:bottom w:val="single" w:sz="4" w:space="0" w:color="auto"/>
            </w:tcBorders>
            <w:vAlign w:val="center"/>
          </w:tcPr>
          <w:p w:rsidR="00676CA2" w:rsidRPr="004A1553" w:rsidRDefault="00676CA2" w:rsidP="008217D1">
            <w:pPr>
              <w:pStyle w:val="texto"/>
              <w:spacing w:after="0" w:line="240" w:lineRule="atLeast"/>
              <w:ind w:firstLine="0"/>
              <w:jc w:val="right"/>
              <w:rPr>
                <w:rFonts w:ascii="Arial Narrow" w:hAnsi="Arial Narrow"/>
                <w:sz w:val="20"/>
                <w:szCs w:val="20"/>
              </w:rPr>
            </w:pPr>
            <w:r w:rsidRPr="004A1553">
              <w:rPr>
                <w:rFonts w:ascii="Arial Narrow" w:hAnsi="Arial Narrow"/>
                <w:sz w:val="20"/>
                <w:szCs w:val="20"/>
              </w:rPr>
              <w:t>255</w:t>
            </w:r>
          </w:p>
        </w:tc>
        <w:tc>
          <w:tcPr>
            <w:tcW w:w="993" w:type="dxa"/>
            <w:tcBorders>
              <w:top w:val="single" w:sz="2" w:space="0" w:color="auto"/>
              <w:bottom w:val="single" w:sz="4" w:space="0" w:color="auto"/>
            </w:tcBorders>
            <w:vAlign w:val="center"/>
          </w:tcPr>
          <w:p w:rsidR="00676CA2" w:rsidRPr="004A1553" w:rsidRDefault="00676CA2" w:rsidP="008217D1">
            <w:pPr>
              <w:pStyle w:val="texto"/>
              <w:spacing w:after="0" w:line="240" w:lineRule="atLeast"/>
              <w:ind w:firstLine="0"/>
              <w:jc w:val="right"/>
              <w:rPr>
                <w:rFonts w:ascii="Arial Narrow" w:hAnsi="Arial Narrow"/>
                <w:sz w:val="20"/>
                <w:szCs w:val="20"/>
              </w:rPr>
            </w:pPr>
            <w:r w:rsidRPr="004A1553">
              <w:rPr>
                <w:rFonts w:ascii="Arial Narrow" w:hAnsi="Arial Narrow"/>
                <w:sz w:val="20"/>
                <w:szCs w:val="20"/>
              </w:rPr>
              <w:t>3.407</w:t>
            </w:r>
          </w:p>
        </w:tc>
      </w:tr>
    </w:tbl>
    <w:p w:rsidR="00676CA2" w:rsidRDefault="00676CA2" w:rsidP="00676CA2">
      <w:pPr>
        <w:pStyle w:val="texto"/>
        <w:spacing w:before="240" w:after="240"/>
        <w:rPr>
          <w:szCs w:val="26"/>
        </w:rPr>
      </w:pPr>
      <w:r>
        <w:rPr>
          <w:szCs w:val="26"/>
        </w:rPr>
        <w:t>El tipo de contrato celebrado en función de la relación laboral es el siguie</w:t>
      </w:r>
      <w:r>
        <w:rPr>
          <w:szCs w:val="26"/>
        </w:rPr>
        <w:t>n</w:t>
      </w:r>
      <w:r>
        <w:rPr>
          <w:szCs w:val="26"/>
        </w:rPr>
        <w:t>te:</w:t>
      </w:r>
    </w:p>
    <w:tbl>
      <w:tblPr>
        <w:tblStyle w:val="Tablaconcuadrcula"/>
        <w:tblW w:w="8833"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3295"/>
        <w:gridCol w:w="1086"/>
        <w:gridCol w:w="2486"/>
        <w:gridCol w:w="973"/>
        <w:gridCol w:w="993"/>
      </w:tblGrid>
      <w:tr w:rsidR="00676CA2" w:rsidRPr="008217D1" w:rsidTr="009573C3">
        <w:trPr>
          <w:trHeight w:val="272"/>
          <w:jc w:val="center"/>
        </w:trPr>
        <w:tc>
          <w:tcPr>
            <w:tcW w:w="3295" w:type="dxa"/>
            <w:shd w:val="clear" w:color="auto" w:fill="8DB3E2" w:themeFill="text2" w:themeFillTint="66"/>
          </w:tcPr>
          <w:p w:rsidR="00676CA2" w:rsidRPr="008217D1" w:rsidRDefault="00676CA2" w:rsidP="008217D1">
            <w:pPr>
              <w:pStyle w:val="cuadroCabe"/>
            </w:pPr>
          </w:p>
        </w:tc>
        <w:tc>
          <w:tcPr>
            <w:tcW w:w="1086" w:type="dxa"/>
            <w:shd w:val="clear" w:color="auto" w:fill="8DB3E2" w:themeFill="text2" w:themeFillTint="66"/>
            <w:vAlign w:val="center"/>
          </w:tcPr>
          <w:p w:rsidR="00676CA2" w:rsidRPr="008217D1" w:rsidRDefault="00676CA2" w:rsidP="008217D1">
            <w:pPr>
              <w:pStyle w:val="cuadroCabe"/>
              <w:jc w:val="right"/>
            </w:pPr>
            <w:r w:rsidRPr="008217D1">
              <w:t>SNS-O</w:t>
            </w:r>
          </w:p>
        </w:tc>
        <w:tc>
          <w:tcPr>
            <w:tcW w:w="2486" w:type="dxa"/>
            <w:shd w:val="clear" w:color="auto" w:fill="8DB3E2" w:themeFill="text2" w:themeFillTint="66"/>
            <w:vAlign w:val="center"/>
          </w:tcPr>
          <w:p w:rsidR="00676CA2" w:rsidRPr="008217D1" w:rsidRDefault="00676CA2" w:rsidP="008217D1">
            <w:pPr>
              <w:pStyle w:val="cuadroCabe"/>
              <w:jc w:val="right"/>
            </w:pPr>
            <w:r w:rsidRPr="008217D1">
              <w:t>Departamento Educación</w:t>
            </w:r>
          </w:p>
        </w:tc>
        <w:tc>
          <w:tcPr>
            <w:tcW w:w="973" w:type="dxa"/>
            <w:shd w:val="clear" w:color="auto" w:fill="8DB3E2" w:themeFill="text2" w:themeFillTint="66"/>
            <w:vAlign w:val="center"/>
          </w:tcPr>
          <w:p w:rsidR="00676CA2" w:rsidRPr="008217D1" w:rsidRDefault="00676CA2" w:rsidP="008217D1">
            <w:pPr>
              <w:pStyle w:val="cuadroCabe"/>
              <w:jc w:val="right"/>
            </w:pPr>
            <w:r w:rsidRPr="008217D1">
              <w:t>ANADP</w:t>
            </w:r>
          </w:p>
        </w:tc>
        <w:tc>
          <w:tcPr>
            <w:tcW w:w="993" w:type="dxa"/>
            <w:shd w:val="clear" w:color="auto" w:fill="8DB3E2" w:themeFill="text2" w:themeFillTint="66"/>
            <w:vAlign w:val="center"/>
          </w:tcPr>
          <w:p w:rsidR="00676CA2" w:rsidRPr="008217D1" w:rsidRDefault="00676CA2" w:rsidP="008217D1">
            <w:pPr>
              <w:pStyle w:val="cuadroCabe"/>
              <w:jc w:val="right"/>
            </w:pPr>
            <w:r w:rsidRPr="008217D1">
              <w:t>Total</w:t>
            </w:r>
          </w:p>
        </w:tc>
      </w:tr>
      <w:tr w:rsidR="00676CA2" w:rsidRPr="00610E18" w:rsidTr="009868A1">
        <w:trPr>
          <w:trHeight w:val="198"/>
          <w:jc w:val="center"/>
        </w:trPr>
        <w:tc>
          <w:tcPr>
            <w:tcW w:w="3295" w:type="dxa"/>
            <w:vAlign w:val="center"/>
          </w:tcPr>
          <w:p w:rsidR="00676CA2" w:rsidRPr="00610E18" w:rsidRDefault="00676CA2" w:rsidP="008217D1">
            <w:pPr>
              <w:pStyle w:val="texto"/>
              <w:spacing w:after="0" w:line="240" w:lineRule="atLeast"/>
              <w:ind w:firstLine="0"/>
              <w:jc w:val="left"/>
              <w:rPr>
                <w:rFonts w:ascii="Arial Narrow" w:hAnsi="Arial Narrow"/>
                <w:sz w:val="20"/>
                <w:szCs w:val="20"/>
              </w:rPr>
            </w:pPr>
            <w:r w:rsidRPr="00610E18">
              <w:rPr>
                <w:rFonts w:ascii="Arial Narrow" w:hAnsi="Arial Narrow"/>
                <w:sz w:val="20"/>
                <w:szCs w:val="20"/>
              </w:rPr>
              <w:t>Contrato estructural</w:t>
            </w:r>
          </w:p>
        </w:tc>
        <w:tc>
          <w:tcPr>
            <w:tcW w:w="1086" w:type="dxa"/>
            <w:vAlign w:val="center"/>
          </w:tcPr>
          <w:p w:rsidR="00676CA2" w:rsidRPr="00610E18" w:rsidRDefault="00676CA2" w:rsidP="008217D1">
            <w:pPr>
              <w:pStyle w:val="texto"/>
              <w:spacing w:after="0" w:line="240" w:lineRule="atLeast"/>
              <w:ind w:firstLine="0"/>
              <w:jc w:val="right"/>
              <w:rPr>
                <w:rFonts w:ascii="Arial Narrow" w:hAnsi="Arial Narrow"/>
                <w:sz w:val="20"/>
                <w:szCs w:val="20"/>
              </w:rPr>
            </w:pPr>
            <w:r w:rsidRPr="00610E18">
              <w:rPr>
                <w:rFonts w:ascii="Arial Narrow" w:hAnsi="Arial Narrow"/>
                <w:sz w:val="20"/>
                <w:szCs w:val="20"/>
              </w:rPr>
              <w:t>4.004</w:t>
            </w:r>
          </w:p>
        </w:tc>
        <w:tc>
          <w:tcPr>
            <w:tcW w:w="2486" w:type="dxa"/>
            <w:vAlign w:val="center"/>
          </w:tcPr>
          <w:p w:rsidR="00676CA2" w:rsidRPr="00610E18" w:rsidRDefault="00676CA2" w:rsidP="008217D1">
            <w:pPr>
              <w:pStyle w:val="texto"/>
              <w:spacing w:after="0" w:line="240" w:lineRule="atLeast"/>
              <w:ind w:firstLine="0"/>
              <w:jc w:val="right"/>
              <w:rPr>
                <w:rFonts w:ascii="Arial Narrow" w:hAnsi="Arial Narrow"/>
                <w:sz w:val="20"/>
                <w:szCs w:val="20"/>
              </w:rPr>
            </w:pPr>
            <w:r w:rsidRPr="00610E18">
              <w:rPr>
                <w:rFonts w:ascii="Arial Narrow" w:hAnsi="Arial Narrow"/>
                <w:sz w:val="20"/>
                <w:szCs w:val="20"/>
              </w:rPr>
              <w:t>533</w:t>
            </w:r>
          </w:p>
        </w:tc>
        <w:tc>
          <w:tcPr>
            <w:tcW w:w="973" w:type="dxa"/>
            <w:vAlign w:val="center"/>
          </w:tcPr>
          <w:p w:rsidR="00676CA2" w:rsidRPr="00610E18" w:rsidRDefault="00676CA2" w:rsidP="008217D1">
            <w:pPr>
              <w:pStyle w:val="texto"/>
              <w:spacing w:after="0" w:line="240" w:lineRule="atLeast"/>
              <w:ind w:firstLine="0"/>
              <w:jc w:val="right"/>
              <w:rPr>
                <w:rFonts w:ascii="Arial Narrow" w:hAnsi="Arial Narrow"/>
                <w:sz w:val="20"/>
                <w:szCs w:val="20"/>
              </w:rPr>
            </w:pPr>
            <w:r w:rsidRPr="00610E18">
              <w:rPr>
                <w:rFonts w:ascii="Arial Narrow" w:hAnsi="Arial Narrow"/>
                <w:sz w:val="20"/>
                <w:szCs w:val="20"/>
              </w:rPr>
              <w:t>476</w:t>
            </w:r>
          </w:p>
        </w:tc>
        <w:tc>
          <w:tcPr>
            <w:tcW w:w="993" w:type="dxa"/>
            <w:vAlign w:val="center"/>
          </w:tcPr>
          <w:p w:rsidR="00676CA2" w:rsidRPr="00610E18" w:rsidRDefault="00676CA2" w:rsidP="008217D1">
            <w:pPr>
              <w:pStyle w:val="texto"/>
              <w:spacing w:after="0" w:line="240" w:lineRule="atLeast"/>
              <w:ind w:firstLine="0"/>
              <w:jc w:val="right"/>
              <w:rPr>
                <w:rFonts w:ascii="Arial Narrow" w:hAnsi="Arial Narrow"/>
                <w:sz w:val="20"/>
                <w:szCs w:val="20"/>
              </w:rPr>
            </w:pPr>
            <w:r w:rsidRPr="00610E18">
              <w:rPr>
                <w:rFonts w:ascii="Arial Narrow" w:hAnsi="Arial Narrow"/>
                <w:sz w:val="20"/>
                <w:szCs w:val="20"/>
              </w:rPr>
              <w:t>5.013</w:t>
            </w:r>
          </w:p>
        </w:tc>
      </w:tr>
      <w:tr w:rsidR="00676CA2" w:rsidRPr="00610E18" w:rsidTr="009868A1">
        <w:trPr>
          <w:trHeight w:val="198"/>
          <w:jc w:val="center"/>
        </w:trPr>
        <w:tc>
          <w:tcPr>
            <w:tcW w:w="3295" w:type="dxa"/>
            <w:tcBorders>
              <w:bottom w:val="single" w:sz="4" w:space="0" w:color="auto"/>
            </w:tcBorders>
            <w:vAlign w:val="center"/>
          </w:tcPr>
          <w:p w:rsidR="00676CA2" w:rsidRPr="00610E18" w:rsidRDefault="00676CA2" w:rsidP="008217D1">
            <w:pPr>
              <w:pStyle w:val="texto"/>
              <w:spacing w:after="0" w:line="240" w:lineRule="atLeast"/>
              <w:ind w:firstLine="0"/>
              <w:jc w:val="left"/>
              <w:rPr>
                <w:rFonts w:ascii="Arial Narrow" w:hAnsi="Arial Narrow"/>
                <w:sz w:val="20"/>
                <w:szCs w:val="20"/>
                <w:lang w:val="es-ES"/>
              </w:rPr>
            </w:pPr>
            <w:r w:rsidRPr="00610E18">
              <w:rPr>
                <w:rFonts w:ascii="Arial Narrow" w:hAnsi="Arial Narrow"/>
                <w:sz w:val="20"/>
                <w:szCs w:val="20"/>
              </w:rPr>
              <w:t>Contratos sustituciones</w:t>
            </w:r>
          </w:p>
        </w:tc>
        <w:tc>
          <w:tcPr>
            <w:tcW w:w="1086" w:type="dxa"/>
            <w:tcBorders>
              <w:bottom w:val="single" w:sz="4" w:space="0" w:color="auto"/>
            </w:tcBorders>
            <w:vAlign w:val="center"/>
          </w:tcPr>
          <w:p w:rsidR="00676CA2" w:rsidRPr="00610E18" w:rsidRDefault="00676CA2" w:rsidP="008217D1">
            <w:pPr>
              <w:pStyle w:val="texto"/>
              <w:spacing w:after="0" w:line="240" w:lineRule="atLeast"/>
              <w:ind w:firstLine="0"/>
              <w:jc w:val="right"/>
              <w:rPr>
                <w:rFonts w:ascii="Arial Narrow" w:hAnsi="Arial Narrow"/>
                <w:sz w:val="20"/>
                <w:szCs w:val="20"/>
              </w:rPr>
            </w:pPr>
            <w:r w:rsidRPr="00610E18">
              <w:rPr>
                <w:rFonts w:ascii="Arial Narrow" w:hAnsi="Arial Narrow"/>
                <w:sz w:val="20"/>
                <w:szCs w:val="20"/>
              </w:rPr>
              <w:t>901</w:t>
            </w:r>
          </w:p>
        </w:tc>
        <w:tc>
          <w:tcPr>
            <w:tcW w:w="2486" w:type="dxa"/>
            <w:tcBorders>
              <w:bottom w:val="single" w:sz="4" w:space="0" w:color="auto"/>
            </w:tcBorders>
            <w:vAlign w:val="center"/>
          </w:tcPr>
          <w:p w:rsidR="00676CA2" w:rsidRPr="00610E18" w:rsidRDefault="00676CA2" w:rsidP="008217D1">
            <w:pPr>
              <w:pStyle w:val="texto"/>
              <w:spacing w:after="0" w:line="240" w:lineRule="atLeast"/>
              <w:ind w:firstLine="0"/>
              <w:jc w:val="right"/>
              <w:rPr>
                <w:rFonts w:ascii="Arial Narrow" w:hAnsi="Arial Narrow"/>
                <w:sz w:val="20"/>
                <w:szCs w:val="20"/>
              </w:rPr>
            </w:pPr>
            <w:r w:rsidRPr="00610E18">
              <w:rPr>
                <w:rFonts w:ascii="Arial Narrow" w:hAnsi="Arial Narrow"/>
                <w:sz w:val="20"/>
                <w:szCs w:val="20"/>
              </w:rPr>
              <w:t>668</w:t>
            </w:r>
          </w:p>
        </w:tc>
        <w:tc>
          <w:tcPr>
            <w:tcW w:w="973" w:type="dxa"/>
            <w:tcBorders>
              <w:bottom w:val="single" w:sz="4" w:space="0" w:color="auto"/>
            </w:tcBorders>
            <w:vAlign w:val="center"/>
          </w:tcPr>
          <w:p w:rsidR="00676CA2" w:rsidRPr="00610E18" w:rsidRDefault="00676CA2" w:rsidP="008217D1">
            <w:pPr>
              <w:pStyle w:val="texto"/>
              <w:spacing w:after="0" w:line="240" w:lineRule="atLeast"/>
              <w:ind w:firstLine="0"/>
              <w:jc w:val="right"/>
              <w:rPr>
                <w:rFonts w:ascii="Arial Narrow" w:hAnsi="Arial Narrow"/>
                <w:sz w:val="20"/>
                <w:szCs w:val="20"/>
              </w:rPr>
            </w:pPr>
            <w:r w:rsidRPr="00610E18">
              <w:rPr>
                <w:rFonts w:ascii="Arial Narrow" w:hAnsi="Arial Narrow"/>
                <w:sz w:val="20"/>
                <w:szCs w:val="20"/>
              </w:rPr>
              <w:t>215</w:t>
            </w:r>
          </w:p>
        </w:tc>
        <w:tc>
          <w:tcPr>
            <w:tcW w:w="993" w:type="dxa"/>
            <w:tcBorders>
              <w:bottom w:val="single" w:sz="4" w:space="0" w:color="auto"/>
            </w:tcBorders>
            <w:vAlign w:val="center"/>
          </w:tcPr>
          <w:p w:rsidR="00676CA2" w:rsidRPr="00610E18" w:rsidRDefault="00676CA2" w:rsidP="008217D1">
            <w:pPr>
              <w:pStyle w:val="texto"/>
              <w:spacing w:after="0" w:line="240" w:lineRule="atLeast"/>
              <w:ind w:firstLine="0"/>
              <w:jc w:val="right"/>
              <w:rPr>
                <w:rFonts w:ascii="Arial Narrow" w:hAnsi="Arial Narrow"/>
                <w:sz w:val="20"/>
                <w:szCs w:val="20"/>
              </w:rPr>
            </w:pPr>
            <w:r w:rsidRPr="00610E18">
              <w:rPr>
                <w:rFonts w:ascii="Arial Narrow" w:hAnsi="Arial Narrow"/>
                <w:sz w:val="20"/>
                <w:szCs w:val="20"/>
              </w:rPr>
              <w:t>1.784</w:t>
            </w:r>
          </w:p>
        </w:tc>
      </w:tr>
      <w:tr w:rsidR="00676CA2" w:rsidRPr="00610E18" w:rsidTr="008217D1">
        <w:trPr>
          <w:trHeight w:val="257"/>
          <w:jc w:val="center"/>
        </w:trPr>
        <w:tc>
          <w:tcPr>
            <w:tcW w:w="3295" w:type="dxa"/>
            <w:shd w:val="clear" w:color="auto" w:fill="8DB3E2" w:themeFill="text2" w:themeFillTint="66"/>
            <w:vAlign w:val="center"/>
          </w:tcPr>
          <w:p w:rsidR="00676CA2" w:rsidRPr="00610E18" w:rsidRDefault="00676CA2" w:rsidP="008217D1">
            <w:pPr>
              <w:pStyle w:val="cuadroCabe"/>
            </w:pPr>
            <w:r w:rsidRPr="00610E18">
              <w:t>Total</w:t>
            </w:r>
          </w:p>
        </w:tc>
        <w:tc>
          <w:tcPr>
            <w:tcW w:w="1086" w:type="dxa"/>
            <w:shd w:val="clear" w:color="auto" w:fill="8DB3E2" w:themeFill="text2" w:themeFillTint="66"/>
            <w:vAlign w:val="center"/>
          </w:tcPr>
          <w:p w:rsidR="00676CA2" w:rsidRPr="00610E18" w:rsidRDefault="00676CA2" w:rsidP="008217D1">
            <w:pPr>
              <w:pStyle w:val="cuadroCabe"/>
              <w:jc w:val="right"/>
            </w:pPr>
            <w:r w:rsidRPr="00610E18">
              <w:t>4.905</w:t>
            </w:r>
          </w:p>
        </w:tc>
        <w:tc>
          <w:tcPr>
            <w:tcW w:w="2486" w:type="dxa"/>
            <w:shd w:val="clear" w:color="auto" w:fill="8DB3E2" w:themeFill="text2" w:themeFillTint="66"/>
            <w:vAlign w:val="center"/>
          </w:tcPr>
          <w:p w:rsidR="00676CA2" w:rsidRPr="00610E18" w:rsidRDefault="00676CA2" w:rsidP="008217D1">
            <w:pPr>
              <w:pStyle w:val="cuadroCabe"/>
              <w:jc w:val="right"/>
            </w:pPr>
            <w:r w:rsidRPr="00610E18">
              <w:t>1.201</w:t>
            </w:r>
          </w:p>
        </w:tc>
        <w:tc>
          <w:tcPr>
            <w:tcW w:w="973" w:type="dxa"/>
            <w:shd w:val="clear" w:color="auto" w:fill="8DB3E2" w:themeFill="text2" w:themeFillTint="66"/>
            <w:vAlign w:val="center"/>
          </w:tcPr>
          <w:p w:rsidR="00676CA2" w:rsidRPr="00610E18" w:rsidRDefault="00676CA2" w:rsidP="008217D1">
            <w:pPr>
              <w:pStyle w:val="cuadroCabe"/>
              <w:jc w:val="right"/>
            </w:pPr>
            <w:r w:rsidRPr="00610E18">
              <w:t>691</w:t>
            </w:r>
          </w:p>
        </w:tc>
        <w:tc>
          <w:tcPr>
            <w:tcW w:w="993" w:type="dxa"/>
            <w:shd w:val="clear" w:color="auto" w:fill="8DB3E2" w:themeFill="text2" w:themeFillTint="66"/>
            <w:vAlign w:val="center"/>
          </w:tcPr>
          <w:p w:rsidR="00676CA2" w:rsidRPr="00610E18" w:rsidRDefault="00676CA2" w:rsidP="008217D1">
            <w:pPr>
              <w:pStyle w:val="cuadroCabe"/>
              <w:jc w:val="right"/>
            </w:pPr>
            <w:r w:rsidRPr="00610E18">
              <w:t>6.797</w:t>
            </w:r>
          </w:p>
        </w:tc>
      </w:tr>
    </w:tbl>
    <w:p w:rsidR="00676CA2" w:rsidRDefault="00676CA2" w:rsidP="00676CA2">
      <w:pPr>
        <w:pStyle w:val="texto"/>
        <w:spacing w:before="240" w:after="120"/>
        <w:rPr>
          <w:szCs w:val="26"/>
        </w:rPr>
      </w:pPr>
      <w:r w:rsidRPr="00610E18">
        <w:rPr>
          <w:szCs w:val="26"/>
        </w:rPr>
        <w:t>El 73 por ciento del total de contratos celebrados tenían carácter estructural y el 27 por ciento se realizaron para hacer sustituciones.</w:t>
      </w:r>
    </w:p>
    <w:p w:rsidR="00676CA2" w:rsidRDefault="00676CA2" w:rsidP="00676CA2">
      <w:pPr>
        <w:pStyle w:val="texto"/>
        <w:spacing w:before="120" w:after="200"/>
        <w:rPr>
          <w:szCs w:val="26"/>
        </w:rPr>
      </w:pPr>
      <w:r>
        <w:rPr>
          <w:szCs w:val="26"/>
        </w:rPr>
        <w:t>La duración de los contratos por ámbito de actuación fue la siguiente:</w:t>
      </w:r>
    </w:p>
    <w:tbl>
      <w:tblPr>
        <w:tblW w:w="8781"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824"/>
        <w:gridCol w:w="1588"/>
        <w:gridCol w:w="1701"/>
        <w:gridCol w:w="1606"/>
        <w:gridCol w:w="1062"/>
      </w:tblGrid>
      <w:tr w:rsidR="006825F8" w:rsidRPr="000C5337" w:rsidTr="006825F8">
        <w:trPr>
          <w:trHeight w:val="255"/>
        </w:trPr>
        <w:tc>
          <w:tcPr>
            <w:tcW w:w="3045" w:type="dxa"/>
            <w:tcBorders>
              <w:top w:val="single" w:sz="4" w:space="0" w:color="auto"/>
              <w:bottom w:val="nil"/>
            </w:tcBorders>
            <w:shd w:val="clear" w:color="auto" w:fill="8DB3E2" w:themeFill="text2" w:themeFillTint="66"/>
            <w:vAlign w:val="center"/>
          </w:tcPr>
          <w:p w:rsidR="006825F8" w:rsidRPr="000C5337" w:rsidRDefault="006825F8" w:rsidP="008217D1">
            <w:pPr>
              <w:pStyle w:val="cuadroCabe"/>
              <w:rPr>
                <w:lang w:val="es-ES" w:eastAsia="es-ES"/>
              </w:rPr>
            </w:pPr>
            <w:r w:rsidRPr="000C5337">
              <w:rPr>
                <w:lang w:val="es-ES" w:eastAsia="es-ES"/>
              </w:rPr>
              <w:t>Duración contratos</w:t>
            </w:r>
          </w:p>
        </w:tc>
        <w:tc>
          <w:tcPr>
            <w:tcW w:w="1701" w:type="dxa"/>
            <w:gridSpan w:val="4"/>
            <w:tcBorders>
              <w:top w:val="single" w:sz="4" w:space="0" w:color="auto"/>
              <w:bottom w:val="single" w:sz="2" w:space="0" w:color="auto"/>
            </w:tcBorders>
            <w:shd w:val="clear" w:color="auto" w:fill="8DB3E2" w:themeFill="text2" w:themeFillTint="66"/>
            <w:vAlign w:val="center"/>
          </w:tcPr>
          <w:p w:rsidR="006825F8" w:rsidRPr="00D04AEE" w:rsidRDefault="006825F8" w:rsidP="006825F8">
            <w:pPr>
              <w:pStyle w:val="cuadroCabe"/>
              <w:jc w:val="center"/>
            </w:pPr>
            <w:r>
              <w:t>Número de contratos</w:t>
            </w:r>
          </w:p>
        </w:tc>
      </w:tr>
      <w:tr w:rsidR="00E77652" w:rsidRPr="000C5337" w:rsidTr="006825F8">
        <w:trPr>
          <w:trHeight w:val="255"/>
        </w:trPr>
        <w:tc>
          <w:tcPr>
            <w:tcW w:w="3045" w:type="dxa"/>
            <w:tcBorders>
              <w:top w:val="nil"/>
            </w:tcBorders>
            <w:shd w:val="clear" w:color="auto" w:fill="8DB3E2" w:themeFill="text2" w:themeFillTint="66"/>
            <w:vAlign w:val="center"/>
            <w:hideMark/>
          </w:tcPr>
          <w:p w:rsidR="00E77652" w:rsidRPr="000C5337" w:rsidRDefault="00E77652" w:rsidP="008217D1">
            <w:pPr>
              <w:pStyle w:val="cuadroCabe"/>
              <w:rPr>
                <w:lang w:val="es-ES" w:eastAsia="es-ES"/>
              </w:rPr>
            </w:pPr>
          </w:p>
        </w:tc>
        <w:tc>
          <w:tcPr>
            <w:tcW w:w="1701" w:type="dxa"/>
            <w:tcBorders>
              <w:top w:val="single" w:sz="2" w:space="0" w:color="auto"/>
            </w:tcBorders>
            <w:shd w:val="clear" w:color="auto" w:fill="8DB3E2" w:themeFill="text2" w:themeFillTint="66"/>
            <w:vAlign w:val="center"/>
            <w:hideMark/>
          </w:tcPr>
          <w:p w:rsidR="00E77652" w:rsidRPr="00D04AEE" w:rsidRDefault="00E77652" w:rsidP="008217D1">
            <w:pPr>
              <w:pStyle w:val="cuadroCabe"/>
              <w:jc w:val="right"/>
            </w:pPr>
            <w:r w:rsidRPr="00D04AEE">
              <w:t>SNS-O</w:t>
            </w:r>
          </w:p>
        </w:tc>
        <w:tc>
          <w:tcPr>
            <w:tcW w:w="1701" w:type="dxa"/>
            <w:tcBorders>
              <w:top w:val="single" w:sz="4" w:space="0" w:color="auto"/>
            </w:tcBorders>
            <w:shd w:val="clear" w:color="auto" w:fill="8DB3E2" w:themeFill="text2" w:themeFillTint="66"/>
            <w:vAlign w:val="center"/>
            <w:hideMark/>
          </w:tcPr>
          <w:p w:rsidR="00E77652" w:rsidRPr="00D04AEE" w:rsidRDefault="00E77652" w:rsidP="006825F8">
            <w:pPr>
              <w:pStyle w:val="cuadroCabe"/>
              <w:jc w:val="right"/>
            </w:pPr>
            <w:r w:rsidRPr="00D04AEE">
              <w:t>Dpt</w:t>
            </w:r>
            <w:r>
              <w:t>o</w:t>
            </w:r>
            <w:r w:rsidR="006825F8">
              <w:t>.</w:t>
            </w:r>
            <w:r>
              <w:t xml:space="preserve"> </w:t>
            </w:r>
            <w:r w:rsidRPr="00D04AEE">
              <w:t>Educación</w:t>
            </w:r>
          </w:p>
        </w:tc>
        <w:tc>
          <w:tcPr>
            <w:tcW w:w="1701" w:type="dxa"/>
            <w:tcBorders>
              <w:top w:val="single" w:sz="4" w:space="0" w:color="auto"/>
            </w:tcBorders>
            <w:shd w:val="clear" w:color="auto" w:fill="8DB3E2" w:themeFill="text2" w:themeFillTint="66"/>
            <w:vAlign w:val="center"/>
            <w:hideMark/>
          </w:tcPr>
          <w:p w:rsidR="00E77652" w:rsidRPr="005D70ED" w:rsidRDefault="00E77652" w:rsidP="008217D1">
            <w:pPr>
              <w:pStyle w:val="cuadroCabe"/>
              <w:jc w:val="right"/>
              <w:rPr>
                <w:color w:val="FF0000"/>
              </w:rPr>
            </w:pPr>
            <w:r w:rsidRPr="00AC3FB6">
              <w:t>ANADP</w:t>
            </w:r>
          </w:p>
        </w:tc>
        <w:tc>
          <w:tcPr>
            <w:tcW w:w="1062" w:type="dxa"/>
            <w:tcBorders>
              <w:top w:val="single" w:sz="4" w:space="0" w:color="auto"/>
            </w:tcBorders>
            <w:shd w:val="clear" w:color="auto" w:fill="8DB3E2" w:themeFill="text2" w:themeFillTint="66"/>
            <w:noWrap/>
            <w:vAlign w:val="center"/>
            <w:hideMark/>
          </w:tcPr>
          <w:p w:rsidR="00E77652" w:rsidRPr="00D04AEE" w:rsidRDefault="00E77652" w:rsidP="008217D1">
            <w:pPr>
              <w:pStyle w:val="cuadroCabe"/>
              <w:jc w:val="right"/>
            </w:pPr>
            <w:r w:rsidRPr="00D04AEE">
              <w:t>Total</w:t>
            </w:r>
          </w:p>
        </w:tc>
      </w:tr>
      <w:tr w:rsidR="00E77652" w:rsidRPr="000C5337" w:rsidTr="006825F8">
        <w:trPr>
          <w:trHeight w:val="198"/>
        </w:trPr>
        <w:tc>
          <w:tcPr>
            <w:tcW w:w="3045" w:type="dxa"/>
            <w:tcBorders>
              <w:bottom w:val="single" w:sz="2" w:space="0" w:color="auto"/>
            </w:tcBorders>
            <w:shd w:val="clear" w:color="auto" w:fill="auto"/>
            <w:vAlign w:val="center"/>
            <w:hideMark/>
          </w:tcPr>
          <w:p w:rsidR="00E77652" w:rsidRPr="000C5337" w:rsidRDefault="00E77652" w:rsidP="006825F8">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Más de un año</w:t>
            </w:r>
          </w:p>
        </w:tc>
        <w:tc>
          <w:tcPr>
            <w:tcW w:w="1701" w:type="dxa"/>
            <w:tcBorders>
              <w:bottom w:val="single" w:sz="2" w:space="0" w:color="auto"/>
            </w:tcBorders>
            <w:shd w:val="clear" w:color="auto" w:fill="auto"/>
            <w:vAlign w:val="center"/>
            <w:hideMark/>
          </w:tcPr>
          <w:p w:rsidR="00E77652" w:rsidRPr="005F4B08" w:rsidRDefault="00E77652" w:rsidP="006825F8">
            <w:pPr>
              <w:pStyle w:val="texto"/>
              <w:spacing w:after="0" w:line="240" w:lineRule="atLeast"/>
              <w:ind w:firstLine="0"/>
              <w:jc w:val="right"/>
              <w:rPr>
                <w:rFonts w:ascii="Arial Narrow" w:hAnsi="Arial Narrow"/>
                <w:sz w:val="20"/>
                <w:szCs w:val="20"/>
              </w:rPr>
            </w:pPr>
            <w:r w:rsidRPr="005F4B08">
              <w:rPr>
                <w:rFonts w:ascii="Arial Narrow" w:hAnsi="Arial Narrow"/>
                <w:sz w:val="20"/>
                <w:szCs w:val="20"/>
              </w:rPr>
              <w:t>1</w:t>
            </w:r>
          </w:p>
        </w:tc>
        <w:tc>
          <w:tcPr>
            <w:tcW w:w="1701" w:type="dxa"/>
            <w:tcBorders>
              <w:bottom w:val="single" w:sz="2" w:space="0" w:color="auto"/>
            </w:tcBorders>
            <w:shd w:val="clear" w:color="auto" w:fill="auto"/>
            <w:noWrap/>
            <w:vAlign w:val="center"/>
          </w:tcPr>
          <w:p w:rsidR="00E77652" w:rsidRPr="005F4B08" w:rsidRDefault="00E77652" w:rsidP="006825F8">
            <w:pPr>
              <w:pStyle w:val="texto"/>
              <w:spacing w:after="0" w:line="240" w:lineRule="atLeast"/>
              <w:ind w:firstLine="0"/>
              <w:jc w:val="right"/>
              <w:rPr>
                <w:rFonts w:ascii="Arial Narrow" w:hAnsi="Arial Narrow"/>
                <w:sz w:val="20"/>
                <w:szCs w:val="20"/>
              </w:rPr>
            </w:pPr>
            <w:r>
              <w:rPr>
                <w:rFonts w:ascii="Arial Narrow" w:hAnsi="Arial Narrow"/>
                <w:sz w:val="20"/>
                <w:szCs w:val="20"/>
              </w:rPr>
              <w:t>-</w:t>
            </w:r>
            <w:r w:rsidRPr="005F4B08">
              <w:rPr>
                <w:rFonts w:ascii="Arial Narrow" w:hAnsi="Arial Narrow"/>
                <w:sz w:val="20"/>
                <w:szCs w:val="20"/>
              </w:rPr>
              <w:t> </w:t>
            </w:r>
          </w:p>
        </w:tc>
        <w:tc>
          <w:tcPr>
            <w:tcW w:w="1701" w:type="dxa"/>
            <w:tcBorders>
              <w:bottom w:val="single" w:sz="2" w:space="0" w:color="auto"/>
            </w:tcBorders>
            <w:shd w:val="clear" w:color="auto" w:fill="auto"/>
            <w:vAlign w:val="center"/>
          </w:tcPr>
          <w:p w:rsidR="00E77652" w:rsidRPr="005F4B08" w:rsidRDefault="00E77652" w:rsidP="006825F8">
            <w:pPr>
              <w:pStyle w:val="texto"/>
              <w:spacing w:after="0" w:line="240" w:lineRule="atLeast"/>
              <w:ind w:firstLine="0"/>
              <w:jc w:val="right"/>
              <w:rPr>
                <w:rFonts w:ascii="Arial Narrow" w:hAnsi="Arial Narrow"/>
                <w:sz w:val="20"/>
                <w:szCs w:val="20"/>
              </w:rPr>
            </w:pPr>
            <w:r>
              <w:rPr>
                <w:rFonts w:ascii="Arial Narrow" w:hAnsi="Arial Narrow"/>
                <w:sz w:val="20"/>
                <w:szCs w:val="20"/>
              </w:rPr>
              <w:t>-</w:t>
            </w:r>
          </w:p>
        </w:tc>
        <w:tc>
          <w:tcPr>
            <w:tcW w:w="1062" w:type="dxa"/>
            <w:tcBorders>
              <w:bottom w:val="single" w:sz="2" w:space="0" w:color="auto"/>
            </w:tcBorders>
            <w:shd w:val="clear" w:color="auto" w:fill="auto"/>
            <w:noWrap/>
            <w:vAlign w:val="center"/>
            <w:hideMark/>
          </w:tcPr>
          <w:p w:rsidR="00E77652" w:rsidRPr="005F4B08" w:rsidRDefault="00E77652" w:rsidP="006825F8">
            <w:pPr>
              <w:pStyle w:val="texto"/>
              <w:spacing w:after="0" w:line="240" w:lineRule="atLeast"/>
              <w:ind w:firstLine="0"/>
              <w:jc w:val="right"/>
              <w:rPr>
                <w:rFonts w:ascii="Arial Narrow" w:hAnsi="Arial Narrow"/>
                <w:sz w:val="20"/>
                <w:szCs w:val="20"/>
              </w:rPr>
            </w:pPr>
            <w:r w:rsidRPr="005F4B08">
              <w:rPr>
                <w:rFonts w:ascii="Arial Narrow" w:hAnsi="Arial Narrow"/>
                <w:sz w:val="20"/>
                <w:szCs w:val="20"/>
              </w:rPr>
              <w:t>1</w:t>
            </w:r>
          </w:p>
        </w:tc>
      </w:tr>
      <w:tr w:rsidR="00E77652" w:rsidRPr="000C5337" w:rsidTr="006825F8">
        <w:trPr>
          <w:trHeight w:val="198"/>
        </w:trPr>
        <w:tc>
          <w:tcPr>
            <w:tcW w:w="3045" w:type="dxa"/>
            <w:tcBorders>
              <w:top w:val="single" w:sz="2" w:space="0" w:color="auto"/>
              <w:bottom w:val="single" w:sz="2" w:space="0" w:color="auto"/>
            </w:tcBorders>
            <w:shd w:val="clear" w:color="auto" w:fill="auto"/>
            <w:vAlign w:val="center"/>
            <w:hideMark/>
          </w:tcPr>
          <w:p w:rsidR="00E77652" w:rsidRPr="000C5337" w:rsidRDefault="00E77652" w:rsidP="006825F8">
            <w:pPr>
              <w:spacing w:after="0"/>
              <w:ind w:firstLine="0"/>
              <w:jc w:val="left"/>
              <w:rPr>
                <w:rFonts w:ascii="Arial Narrow" w:hAnsi="Arial Narrow" w:cs="Calibri"/>
                <w:color w:val="000000"/>
                <w:lang w:val="es-ES" w:eastAsia="es-ES"/>
              </w:rPr>
            </w:pPr>
            <w:r w:rsidRPr="000C5337">
              <w:rPr>
                <w:rFonts w:ascii="Arial Narrow" w:hAnsi="Arial Narrow" w:cs="Calibri"/>
                <w:color w:val="000000"/>
                <w:lang w:val="es-ES" w:eastAsia="es-ES"/>
              </w:rPr>
              <w:t xml:space="preserve">Más de </w:t>
            </w:r>
            <w:r>
              <w:rPr>
                <w:rFonts w:ascii="Arial Narrow" w:hAnsi="Arial Narrow" w:cs="Calibri"/>
                <w:color w:val="000000"/>
                <w:lang w:val="es-ES" w:eastAsia="es-ES"/>
              </w:rPr>
              <w:t>seis meses</w:t>
            </w:r>
            <w:r w:rsidRPr="000C5337">
              <w:rPr>
                <w:rFonts w:ascii="Arial Narrow" w:hAnsi="Arial Narrow" w:cs="Calibri"/>
                <w:color w:val="000000"/>
                <w:lang w:val="es-ES" w:eastAsia="es-ES"/>
              </w:rPr>
              <w:t xml:space="preserve"> y menos de un año</w:t>
            </w:r>
          </w:p>
        </w:tc>
        <w:tc>
          <w:tcPr>
            <w:tcW w:w="1701" w:type="dxa"/>
            <w:tcBorders>
              <w:top w:val="single" w:sz="2" w:space="0" w:color="auto"/>
              <w:bottom w:val="single" w:sz="2" w:space="0" w:color="auto"/>
            </w:tcBorders>
            <w:shd w:val="clear" w:color="auto" w:fill="auto"/>
            <w:vAlign w:val="center"/>
            <w:hideMark/>
          </w:tcPr>
          <w:p w:rsidR="00E77652" w:rsidRPr="005F4B08" w:rsidRDefault="00E77652" w:rsidP="006825F8">
            <w:pPr>
              <w:pStyle w:val="texto"/>
              <w:spacing w:after="0" w:line="240" w:lineRule="atLeast"/>
              <w:ind w:firstLine="0"/>
              <w:jc w:val="right"/>
              <w:rPr>
                <w:rFonts w:ascii="Arial Narrow" w:hAnsi="Arial Narrow"/>
                <w:sz w:val="20"/>
                <w:szCs w:val="20"/>
              </w:rPr>
            </w:pPr>
            <w:r w:rsidRPr="005F4B08">
              <w:rPr>
                <w:rFonts w:ascii="Arial Narrow" w:hAnsi="Arial Narrow"/>
                <w:sz w:val="20"/>
                <w:szCs w:val="20"/>
              </w:rPr>
              <w:t>24</w:t>
            </w:r>
          </w:p>
        </w:tc>
        <w:tc>
          <w:tcPr>
            <w:tcW w:w="1701" w:type="dxa"/>
            <w:tcBorders>
              <w:top w:val="single" w:sz="2" w:space="0" w:color="auto"/>
              <w:bottom w:val="single" w:sz="2" w:space="0" w:color="auto"/>
            </w:tcBorders>
            <w:shd w:val="clear" w:color="auto" w:fill="auto"/>
            <w:noWrap/>
            <w:vAlign w:val="center"/>
          </w:tcPr>
          <w:p w:rsidR="00E77652" w:rsidRPr="005F4B08" w:rsidRDefault="00E77652" w:rsidP="006825F8">
            <w:pPr>
              <w:pStyle w:val="texto"/>
              <w:spacing w:after="0" w:line="240" w:lineRule="atLeast"/>
              <w:ind w:firstLine="0"/>
              <w:jc w:val="right"/>
              <w:rPr>
                <w:rFonts w:ascii="Arial Narrow" w:hAnsi="Arial Narrow"/>
                <w:sz w:val="20"/>
                <w:szCs w:val="20"/>
              </w:rPr>
            </w:pPr>
            <w:r w:rsidRPr="005F4B08">
              <w:rPr>
                <w:rFonts w:ascii="Arial Narrow" w:hAnsi="Arial Narrow"/>
                <w:sz w:val="20"/>
                <w:szCs w:val="20"/>
              </w:rPr>
              <w:t>524</w:t>
            </w:r>
          </w:p>
        </w:tc>
        <w:tc>
          <w:tcPr>
            <w:tcW w:w="1701" w:type="dxa"/>
            <w:tcBorders>
              <w:top w:val="single" w:sz="2" w:space="0" w:color="auto"/>
              <w:bottom w:val="single" w:sz="2" w:space="0" w:color="auto"/>
            </w:tcBorders>
            <w:shd w:val="clear" w:color="auto" w:fill="auto"/>
            <w:vAlign w:val="center"/>
          </w:tcPr>
          <w:p w:rsidR="00E77652" w:rsidRPr="005F4B08" w:rsidRDefault="00E77652" w:rsidP="006825F8">
            <w:pPr>
              <w:pStyle w:val="texto"/>
              <w:spacing w:after="0" w:line="240" w:lineRule="atLeast"/>
              <w:ind w:firstLine="0"/>
              <w:jc w:val="right"/>
              <w:rPr>
                <w:rFonts w:ascii="Arial Narrow" w:hAnsi="Arial Narrow"/>
                <w:sz w:val="20"/>
                <w:szCs w:val="20"/>
              </w:rPr>
            </w:pPr>
            <w:r w:rsidRPr="005F4B08">
              <w:rPr>
                <w:rFonts w:ascii="Arial Narrow" w:hAnsi="Arial Narrow"/>
                <w:sz w:val="20"/>
                <w:szCs w:val="20"/>
              </w:rPr>
              <w:t>2</w:t>
            </w:r>
          </w:p>
        </w:tc>
        <w:tc>
          <w:tcPr>
            <w:tcW w:w="1062" w:type="dxa"/>
            <w:tcBorders>
              <w:top w:val="single" w:sz="2" w:space="0" w:color="auto"/>
              <w:bottom w:val="single" w:sz="2" w:space="0" w:color="auto"/>
            </w:tcBorders>
            <w:shd w:val="clear" w:color="auto" w:fill="auto"/>
            <w:noWrap/>
            <w:vAlign w:val="center"/>
            <w:hideMark/>
          </w:tcPr>
          <w:p w:rsidR="00E77652" w:rsidRPr="005F4B08" w:rsidRDefault="00E77652" w:rsidP="006825F8">
            <w:pPr>
              <w:pStyle w:val="texto"/>
              <w:spacing w:after="0" w:line="240" w:lineRule="atLeast"/>
              <w:ind w:firstLine="0"/>
              <w:jc w:val="right"/>
              <w:rPr>
                <w:rFonts w:ascii="Arial Narrow" w:hAnsi="Arial Narrow"/>
                <w:sz w:val="20"/>
                <w:szCs w:val="20"/>
              </w:rPr>
            </w:pPr>
            <w:r w:rsidRPr="005F4B08">
              <w:rPr>
                <w:rFonts w:ascii="Arial Narrow" w:hAnsi="Arial Narrow"/>
                <w:sz w:val="20"/>
                <w:szCs w:val="20"/>
              </w:rPr>
              <w:t>550</w:t>
            </w:r>
          </w:p>
        </w:tc>
      </w:tr>
      <w:tr w:rsidR="00E77652" w:rsidRPr="000C5337" w:rsidTr="006825F8">
        <w:trPr>
          <w:trHeight w:val="198"/>
        </w:trPr>
        <w:tc>
          <w:tcPr>
            <w:tcW w:w="3045" w:type="dxa"/>
            <w:tcBorders>
              <w:top w:val="single" w:sz="2" w:space="0" w:color="auto"/>
              <w:bottom w:val="single" w:sz="2" w:space="0" w:color="auto"/>
            </w:tcBorders>
            <w:shd w:val="clear" w:color="auto" w:fill="auto"/>
            <w:vAlign w:val="center"/>
            <w:hideMark/>
          </w:tcPr>
          <w:p w:rsidR="00E77652" w:rsidRPr="000C5337" w:rsidRDefault="00E77652" w:rsidP="006825F8">
            <w:pPr>
              <w:spacing w:after="0"/>
              <w:ind w:firstLine="0"/>
              <w:jc w:val="left"/>
              <w:rPr>
                <w:rFonts w:ascii="Arial Narrow" w:hAnsi="Arial Narrow" w:cs="Calibri"/>
                <w:color w:val="000000"/>
                <w:lang w:val="es-ES" w:eastAsia="es-ES"/>
              </w:rPr>
            </w:pPr>
            <w:r w:rsidRPr="000C5337">
              <w:rPr>
                <w:rFonts w:ascii="Arial Narrow" w:hAnsi="Arial Narrow" w:cs="Calibri"/>
                <w:color w:val="000000"/>
                <w:lang w:val="es-ES" w:eastAsia="es-ES"/>
              </w:rPr>
              <w:t xml:space="preserve">Entre </w:t>
            </w:r>
            <w:r>
              <w:rPr>
                <w:rFonts w:ascii="Arial Narrow" w:hAnsi="Arial Narrow" w:cs="Calibri"/>
                <w:color w:val="000000"/>
                <w:lang w:val="es-ES" w:eastAsia="es-ES"/>
              </w:rPr>
              <w:t>tres y seis meses</w:t>
            </w:r>
          </w:p>
        </w:tc>
        <w:tc>
          <w:tcPr>
            <w:tcW w:w="1701" w:type="dxa"/>
            <w:tcBorders>
              <w:top w:val="single" w:sz="2" w:space="0" w:color="auto"/>
              <w:bottom w:val="single" w:sz="2" w:space="0" w:color="auto"/>
            </w:tcBorders>
            <w:shd w:val="clear" w:color="auto" w:fill="auto"/>
            <w:vAlign w:val="center"/>
            <w:hideMark/>
          </w:tcPr>
          <w:p w:rsidR="00E77652" w:rsidRPr="005F4B08" w:rsidRDefault="00E77652" w:rsidP="006825F8">
            <w:pPr>
              <w:pStyle w:val="texto"/>
              <w:spacing w:after="0" w:line="240" w:lineRule="atLeast"/>
              <w:ind w:firstLine="0"/>
              <w:jc w:val="right"/>
              <w:rPr>
                <w:rFonts w:ascii="Arial Narrow" w:hAnsi="Arial Narrow"/>
                <w:sz w:val="20"/>
                <w:szCs w:val="20"/>
              </w:rPr>
            </w:pPr>
            <w:r w:rsidRPr="005F4B08">
              <w:rPr>
                <w:rFonts w:ascii="Arial Narrow" w:hAnsi="Arial Narrow"/>
                <w:sz w:val="20"/>
                <w:szCs w:val="20"/>
              </w:rPr>
              <w:t>1.716</w:t>
            </w:r>
          </w:p>
        </w:tc>
        <w:tc>
          <w:tcPr>
            <w:tcW w:w="1701" w:type="dxa"/>
            <w:tcBorders>
              <w:top w:val="single" w:sz="2" w:space="0" w:color="auto"/>
              <w:bottom w:val="single" w:sz="2" w:space="0" w:color="auto"/>
            </w:tcBorders>
            <w:shd w:val="clear" w:color="auto" w:fill="auto"/>
            <w:noWrap/>
            <w:vAlign w:val="center"/>
          </w:tcPr>
          <w:p w:rsidR="00E77652" w:rsidRPr="005F4B08" w:rsidRDefault="00E77652" w:rsidP="006825F8">
            <w:pPr>
              <w:pStyle w:val="texto"/>
              <w:spacing w:after="0" w:line="240" w:lineRule="atLeast"/>
              <w:ind w:firstLine="0"/>
              <w:jc w:val="right"/>
              <w:rPr>
                <w:rFonts w:ascii="Arial Narrow" w:hAnsi="Arial Narrow"/>
                <w:sz w:val="20"/>
                <w:szCs w:val="20"/>
              </w:rPr>
            </w:pPr>
            <w:r w:rsidRPr="005F4B08">
              <w:rPr>
                <w:rFonts w:ascii="Arial Narrow" w:hAnsi="Arial Narrow"/>
                <w:sz w:val="20"/>
                <w:szCs w:val="20"/>
              </w:rPr>
              <w:t>16</w:t>
            </w:r>
          </w:p>
        </w:tc>
        <w:tc>
          <w:tcPr>
            <w:tcW w:w="1701" w:type="dxa"/>
            <w:tcBorders>
              <w:top w:val="single" w:sz="2" w:space="0" w:color="auto"/>
              <w:bottom w:val="single" w:sz="2" w:space="0" w:color="auto"/>
            </w:tcBorders>
            <w:shd w:val="clear" w:color="auto" w:fill="auto"/>
            <w:vAlign w:val="center"/>
          </w:tcPr>
          <w:p w:rsidR="00E77652" w:rsidRPr="005F4B08" w:rsidRDefault="00E77652" w:rsidP="006825F8">
            <w:pPr>
              <w:pStyle w:val="texto"/>
              <w:spacing w:after="0" w:line="240" w:lineRule="atLeast"/>
              <w:ind w:firstLine="0"/>
              <w:jc w:val="right"/>
              <w:rPr>
                <w:rFonts w:ascii="Arial Narrow" w:hAnsi="Arial Narrow"/>
                <w:sz w:val="20"/>
                <w:szCs w:val="20"/>
              </w:rPr>
            </w:pPr>
            <w:r w:rsidRPr="005F4B08">
              <w:rPr>
                <w:rFonts w:ascii="Arial Narrow" w:hAnsi="Arial Narrow"/>
                <w:sz w:val="20"/>
                <w:szCs w:val="20"/>
              </w:rPr>
              <w:t>15</w:t>
            </w:r>
          </w:p>
        </w:tc>
        <w:tc>
          <w:tcPr>
            <w:tcW w:w="1062" w:type="dxa"/>
            <w:tcBorders>
              <w:top w:val="single" w:sz="2" w:space="0" w:color="auto"/>
              <w:bottom w:val="single" w:sz="2" w:space="0" w:color="auto"/>
            </w:tcBorders>
            <w:shd w:val="clear" w:color="auto" w:fill="auto"/>
            <w:noWrap/>
            <w:vAlign w:val="center"/>
            <w:hideMark/>
          </w:tcPr>
          <w:p w:rsidR="00E77652" w:rsidRPr="005F4B08" w:rsidRDefault="00E77652" w:rsidP="006825F8">
            <w:pPr>
              <w:pStyle w:val="texto"/>
              <w:spacing w:after="0" w:line="240" w:lineRule="atLeast"/>
              <w:ind w:firstLine="0"/>
              <w:jc w:val="right"/>
              <w:rPr>
                <w:rFonts w:ascii="Arial Narrow" w:hAnsi="Arial Narrow"/>
                <w:sz w:val="20"/>
                <w:szCs w:val="20"/>
              </w:rPr>
            </w:pPr>
            <w:r w:rsidRPr="005F4B08">
              <w:rPr>
                <w:rFonts w:ascii="Arial Narrow" w:hAnsi="Arial Narrow"/>
                <w:sz w:val="20"/>
                <w:szCs w:val="20"/>
              </w:rPr>
              <w:t>1.747</w:t>
            </w:r>
          </w:p>
        </w:tc>
      </w:tr>
      <w:tr w:rsidR="00E77652" w:rsidRPr="000C5337" w:rsidTr="006825F8">
        <w:trPr>
          <w:trHeight w:val="198"/>
        </w:trPr>
        <w:tc>
          <w:tcPr>
            <w:tcW w:w="3045" w:type="dxa"/>
            <w:tcBorders>
              <w:top w:val="single" w:sz="2" w:space="0" w:color="auto"/>
              <w:bottom w:val="single" w:sz="2" w:space="0" w:color="auto"/>
            </w:tcBorders>
            <w:shd w:val="clear" w:color="auto" w:fill="auto"/>
            <w:vAlign w:val="center"/>
            <w:hideMark/>
          </w:tcPr>
          <w:p w:rsidR="00E77652" w:rsidRPr="000C5337" w:rsidRDefault="00E77652" w:rsidP="006825F8">
            <w:pPr>
              <w:spacing w:after="0"/>
              <w:ind w:firstLine="0"/>
              <w:jc w:val="left"/>
              <w:rPr>
                <w:rFonts w:ascii="Arial Narrow" w:hAnsi="Arial Narrow" w:cs="Calibri"/>
                <w:color w:val="000000"/>
                <w:lang w:val="es-ES" w:eastAsia="es-ES"/>
              </w:rPr>
            </w:pPr>
            <w:r w:rsidRPr="000C5337">
              <w:rPr>
                <w:rFonts w:ascii="Arial Narrow" w:hAnsi="Arial Narrow" w:cs="Calibri"/>
                <w:color w:val="000000"/>
                <w:lang w:val="es-ES" w:eastAsia="es-ES"/>
              </w:rPr>
              <w:t xml:space="preserve">Entre </w:t>
            </w:r>
            <w:r>
              <w:rPr>
                <w:rFonts w:ascii="Arial Narrow" w:hAnsi="Arial Narrow" w:cs="Calibri"/>
                <w:color w:val="000000"/>
                <w:lang w:val="es-ES" w:eastAsia="es-ES"/>
              </w:rPr>
              <w:t>dos y tres meses</w:t>
            </w:r>
          </w:p>
        </w:tc>
        <w:tc>
          <w:tcPr>
            <w:tcW w:w="1701" w:type="dxa"/>
            <w:tcBorders>
              <w:top w:val="single" w:sz="2" w:space="0" w:color="auto"/>
              <w:bottom w:val="single" w:sz="2" w:space="0" w:color="auto"/>
            </w:tcBorders>
            <w:shd w:val="clear" w:color="auto" w:fill="auto"/>
            <w:vAlign w:val="center"/>
            <w:hideMark/>
          </w:tcPr>
          <w:p w:rsidR="00E77652" w:rsidRPr="005F4B08" w:rsidRDefault="00E77652" w:rsidP="006825F8">
            <w:pPr>
              <w:pStyle w:val="texto"/>
              <w:spacing w:after="0" w:line="240" w:lineRule="atLeast"/>
              <w:ind w:firstLine="0"/>
              <w:jc w:val="right"/>
              <w:rPr>
                <w:rFonts w:ascii="Arial Narrow" w:hAnsi="Arial Narrow"/>
                <w:sz w:val="20"/>
                <w:szCs w:val="20"/>
              </w:rPr>
            </w:pPr>
            <w:r w:rsidRPr="005F4B08">
              <w:rPr>
                <w:rFonts w:ascii="Arial Narrow" w:hAnsi="Arial Narrow"/>
                <w:sz w:val="20"/>
                <w:szCs w:val="20"/>
              </w:rPr>
              <w:t>479</w:t>
            </w:r>
          </w:p>
        </w:tc>
        <w:tc>
          <w:tcPr>
            <w:tcW w:w="1701" w:type="dxa"/>
            <w:tcBorders>
              <w:top w:val="single" w:sz="2" w:space="0" w:color="auto"/>
              <w:bottom w:val="single" w:sz="2" w:space="0" w:color="auto"/>
            </w:tcBorders>
            <w:shd w:val="clear" w:color="auto" w:fill="auto"/>
            <w:noWrap/>
            <w:vAlign w:val="center"/>
          </w:tcPr>
          <w:p w:rsidR="00E77652" w:rsidRPr="005F4B08" w:rsidRDefault="00E77652" w:rsidP="006825F8">
            <w:pPr>
              <w:pStyle w:val="texto"/>
              <w:spacing w:after="0" w:line="240" w:lineRule="atLeast"/>
              <w:ind w:firstLine="0"/>
              <w:jc w:val="right"/>
              <w:rPr>
                <w:rFonts w:ascii="Arial Narrow" w:hAnsi="Arial Narrow"/>
                <w:sz w:val="20"/>
                <w:szCs w:val="20"/>
              </w:rPr>
            </w:pPr>
            <w:r w:rsidRPr="005F4B08">
              <w:rPr>
                <w:rFonts w:ascii="Arial Narrow" w:hAnsi="Arial Narrow"/>
                <w:sz w:val="20"/>
                <w:szCs w:val="20"/>
              </w:rPr>
              <w:t>17</w:t>
            </w:r>
          </w:p>
        </w:tc>
        <w:tc>
          <w:tcPr>
            <w:tcW w:w="1701" w:type="dxa"/>
            <w:tcBorders>
              <w:top w:val="single" w:sz="2" w:space="0" w:color="auto"/>
              <w:bottom w:val="single" w:sz="2" w:space="0" w:color="auto"/>
            </w:tcBorders>
            <w:shd w:val="clear" w:color="auto" w:fill="auto"/>
            <w:vAlign w:val="center"/>
          </w:tcPr>
          <w:p w:rsidR="00E77652" w:rsidRPr="005F4B08" w:rsidRDefault="00E77652" w:rsidP="006825F8">
            <w:pPr>
              <w:pStyle w:val="texto"/>
              <w:spacing w:after="0" w:line="240" w:lineRule="atLeast"/>
              <w:ind w:firstLine="0"/>
              <w:jc w:val="right"/>
              <w:rPr>
                <w:rFonts w:ascii="Arial Narrow" w:hAnsi="Arial Narrow"/>
                <w:sz w:val="20"/>
                <w:szCs w:val="20"/>
              </w:rPr>
            </w:pPr>
            <w:r w:rsidRPr="005F4B08">
              <w:rPr>
                <w:rFonts w:ascii="Arial Narrow" w:hAnsi="Arial Narrow"/>
                <w:sz w:val="20"/>
                <w:szCs w:val="20"/>
              </w:rPr>
              <w:t>10</w:t>
            </w:r>
          </w:p>
        </w:tc>
        <w:tc>
          <w:tcPr>
            <w:tcW w:w="1062" w:type="dxa"/>
            <w:tcBorders>
              <w:top w:val="single" w:sz="2" w:space="0" w:color="auto"/>
              <w:bottom w:val="single" w:sz="2" w:space="0" w:color="auto"/>
            </w:tcBorders>
            <w:shd w:val="clear" w:color="auto" w:fill="auto"/>
            <w:noWrap/>
            <w:vAlign w:val="center"/>
            <w:hideMark/>
          </w:tcPr>
          <w:p w:rsidR="00E77652" w:rsidRPr="005F4B08" w:rsidRDefault="00E77652" w:rsidP="006825F8">
            <w:pPr>
              <w:pStyle w:val="texto"/>
              <w:spacing w:after="0" w:line="240" w:lineRule="atLeast"/>
              <w:ind w:firstLine="0"/>
              <w:jc w:val="right"/>
              <w:rPr>
                <w:rFonts w:ascii="Arial Narrow" w:hAnsi="Arial Narrow"/>
                <w:sz w:val="20"/>
                <w:szCs w:val="20"/>
              </w:rPr>
            </w:pPr>
            <w:r w:rsidRPr="005F4B08">
              <w:rPr>
                <w:rFonts w:ascii="Arial Narrow" w:hAnsi="Arial Narrow"/>
                <w:sz w:val="20"/>
                <w:szCs w:val="20"/>
              </w:rPr>
              <w:t>506</w:t>
            </w:r>
          </w:p>
        </w:tc>
      </w:tr>
      <w:tr w:rsidR="00E77652" w:rsidRPr="000C5337" w:rsidTr="006825F8">
        <w:trPr>
          <w:trHeight w:val="198"/>
        </w:trPr>
        <w:tc>
          <w:tcPr>
            <w:tcW w:w="3045" w:type="dxa"/>
            <w:tcBorders>
              <w:top w:val="single" w:sz="2" w:space="0" w:color="auto"/>
              <w:bottom w:val="single" w:sz="2" w:space="0" w:color="auto"/>
            </w:tcBorders>
            <w:shd w:val="clear" w:color="auto" w:fill="auto"/>
            <w:vAlign w:val="center"/>
            <w:hideMark/>
          </w:tcPr>
          <w:p w:rsidR="00E77652" w:rsidRPr="000C5337" w:rsidRDefault="00E77652" w:rsidP="006825F8">
            <w:pPr>
              <w:spacing w:after="0"/>
              <w:ind w:firstLine="0"/>
              <w:jc w:val="left"/>
              <w:rPr>
                <w:rFonts w:ascii="Arial Narrow" w:hAnsi="Arial Narrow" w:cs="Calibri"/>
                <w:color w:val="000000"/>
                <w:lang w:val="es-ES" w:eastAsia="es-ES"/>
              </w:rPr>
            </w:pPr>
            <w:r w:rsidRPr="000C5337">
              <w:rPr>
                <w:rFonts w:ascii="Arial Narrow" w:hAnsi="Arial Narrow" w:cs="Calibri"/>
                <w:color w:val="000000"/>
                <w:lang w:val="es-ES" w:eastAsia="es-ES"/>
              </w:rPr>
              <w:t xml:space="preserve">Entre </w:t>
            </w:r>
            <w:r>
              <w:rPr>
                <w:rFonts w:ascii="Arial Narrow" w:hAnsi="Arial Narrow" w:cs="Calibri"/>
                <w:color w:val="000000"/>
                <w:lang w:val="es-ES" w:eastAsia="es-ES"/>
              </w:rPr>
              <w:t>uno y dos meses</w:t>
            </w:r>
          </w:p>
        </w:tc>
        <w:tc>
          <w:tcPr>
            <w:tcW w:w="1701" w:type="dxa"/>
            <w:tcBorders>
              <w:top w:val="single" w:sz="2" w:space="0" w:color="auto"/>
              <w:bottom w:val="single" w:sz="2" w:space="0" w:color="auto"/>
            </w:tcBorders>
            <w:shd w:val="clear" w:color="auto" w:fill="auto"/>
            <w:vAlign w:val="center"/>
            <w:hideMark/>
          </w:tcPr>
          <w:p w:rsidR="00E77652" w:rsidRPr="005F4B08" w:rsidRDefault="00E77652" w:rsidP="006825F8">
            <w:pPr>
              <w:pStyle w:val="texto"/>
              <w:spacing w:after="0" w:line="240" w:lineRule="atLeast"/>
              <w:ind w:firstLine="0"/>
              <w:jc w:val="right"/>
              <w:rPr>
                <w:rFonts w:ascii="Arial Narrow" w:hAnsi="Arial Narrow"/>
                <w:sz w:val="20"/>
                <w:szCs w:val="20"/>
              </w:rPr>
            </w:pPr>
            <w:r w:rsidRPr="005F4B08">
              <w:rPr>
                <w:rFonts w:ascii="Arial Narrow" w:hAnsi="Arial Narrow"/>
                <w:sz w:val="20"/>
                <w:szCs w:val="20"/>
              </w:rPr>
              <w:t>1.299</w:t>
            </w:r>
          </w:p>
        </w:tc>
        <w:tc>
          <w:tcPr>
            <w:tcW w:w="1701" w:type="dxa"/>
            <w:tcBorders>
              <w:top w:val="single" w:sz="2" w:space="0" w:color="auto"/>
              <w:bottom w:val="single" w:sz="2" w:space="0" w:color="auto"/>
            </w:tcBorders>
            <w:shd w:val="clear" w:color="auto" w:fill="auto"/>
            <w:noWrap/>
            <w:vAlign w:val="center"/>
          </w:tcPr>
          <w:p w:rsidR="00E77652" w:rsidRPr="005F4B08" w:rsidRDefault="00E77652" w:rsidP="006825F8">
            <w:pPr>
              <w:pStyle w:val="texto"/>
              <w:spacing w:after="0" w:line="240" w:lineRule="atLeast"/>
              <w:ind w:firstLine="0"/>
              <w:jc w:val="right"/>
              <w:rPr>
                <w:rFonts w:ascii="Arial Narrow" w:hAnsi="Arial Narrow"/>
                <w:sz w:val="20"/>
                <w:szCs w:val="20"/>
              </w:rPr>
            </w:pPr>
            <w:r w:rsidRPr="005F4B08">
              <w:rPr>
                <w:rFonts w:ascii="Arial Narrow" w:hAnsi="Arial Narrow"/>
                <w:sz w:val="20"/>
                <w:szCs w:val="20"/>
              </w:rPr>
              <w:t>50</w:t>
            </w:r>
          </w:p>
        </w:tc>
        <w:tc>
          <w:tcPr>
            <w:tcW w:w="1701" w:type="dxa"/>
            <w:tcBorders>
              <w:top w:val="single" w:sz="2" w:space="0" w:color="auto"/>
              <w:bottom w:val="single" w:sz="2" w:space="0" w:color="auto"/>
            </w:tcBorders>
            <w:shd w:val="clear" w:color="auto" w:fill="auto"/>
            <w:vAlign w:val="center"/>
          </w:tcPr>
          <w:p w:rsidR="00E77652" w:rsidRPr="005F4B08" w:rsidRDefault="00E77652" w:rsidP="006825F8">
            <w:pPr>
              <w:pStyle w:val="texto"/>
              <w:spacing w:after="0" w:line="240" w:lineRule="atLeast"/>
              <w:ind w:firstLine="0"/>
              <w:jc w:val="right"/>
              <w:rPr>
                <w:rFonts w:ascii="Arial Narrow" w:hAnsi="Arial Narrow"/>
                <w:sz w:val="20"/>
                <w:szCs w:val="20"/>
              </w:rPr>
            </w:pPr>
            <w:r w:rsidRPr="005F4B08">
              <w:rPr>
                <w:rFonts w:ascii="Arial Narrow" w:hAnsi="Arial Narrow"/>
                <w:sz w:val="20"/>
                <w:szCs w:val="20"/>
              </w:rPr>
              <w:t>305</w:t>
            </w:r>
          </w:p>
        </w:tc>
        <w:tc>
          <w:tcPr>
            <w:tcW w:w="1062" w:type="dxa"/>
            <w:tcBorders>
              <w:top w:val="single" w:sz="2" w:space="0" w:color="auto"/>
              <w:bottom w:val="single" w:sz="2" w:space="0" w:color="auto"/>
            </w:tcBorders>
            <w:shd w:val="clear" w:color="auto" w:fill="auto"/>
            <w:noWrap/>
            <w:vAlign w:val="center"/>
            <w:hideMark/>
          </w:tcPr>
          <w:p w:rsidR="00E77652" w:rsidRPr="005F4B08" w:rsidRDefault="00E77652" w:rsidP="006825F8">
            <w:pPr>
              <w:pStyle w:val="texto"/>
              <w:spacing w:after="0" w:line="240" w:lineRule="atLeast"/>
              <w:ind w:firstLine="0"/>
              <w:jc w:val="right"/>
              <w:rPr>
                <w:rFonts w:ascii="Arial Narrow" w:hAnsi="Arial Narrow"/>
                <w:sz w:val="20"/>
                <w:szCs w:val="20"/>
              </w:rPr>
            </w:pPr>
            <w:r w:rsidRPr="005F4B08">
              <w:rPr>
                <w:rFonts w:ascii="Arial Narrow" w:hAnsi="Arial Narrow"/>
                <w:sz w:val="20"/>
                <w:szCs w:val="20"/>
              </w:rPr>
              <w:t>1.654</w:t>
            </w:r>
          </w:p>
        </w:tc>
      </w:tr>
      <w:tr w:rsidR="00E77652" w:rsidRPr="000C5337" w:rsidTr="006825F8">
        <w:trPr>
          <w:trHeight w:val="198"/>
        </w:trPr>
        <w:tc>
          <w:tcPr>
            <w:tcW w:w="3045" w:type="dxa"/>
            <w:tcBorders>
              <w:top w:val="single" w:sz="2" w:space="0" w:color="auto"/>
              <w:bottom w:val="single" w:sz="2" w:space="0" w:color="auto"/>
            </w:tcBorders>
            <w:shd w:val="clear" w:color="auto" w:fill="auto"/>
            <w:vAlign w:val="center"/>
            <w:hideMark/>
          </w:tcPr>
          <w:p w:rsidR="00E77652" w:rsidRPr="000C5337" w:rsidRDefault="00E77652" w:rsidP="006825F8">
            <w:pPr>
              <w:spacing w:after="0"/>
              <w:ind w:firstLine="0"/>
              <w:jc w:val="left"/>
              <w:rPr>
                <w:rFonts w:ascii="Arial Narrow" w:hAnsi="Arial Narrow" w:cs="Calibri"/>
                <w:color w:val="000000"/>
                <w:lang w:val="es-ES" w:eastAsia="es-ES"/>
              </w:rPr>
            </w:pPr>
            <w:r w:rsidRPr="000C5337">
              <w:rPr>
                <w:rFonts w:ascii="Arial Narrow" w:hAnsi="Arial Narrow" w:cs="Calibri"/>
                <w:color w:val="000000"/>
                <w:lang w:val="es-ES" w:eastAsia="es-ES"/>
              </w:rPr>
              <w:t>Entre 15 y 29 días</w:t>
            </w:r>
          </w:p>
        </w:tc>
        <w:tc>
          <w:tcPr>
            <w:tcW w:w="1701" w:type="dxa"/>
            <w:tcBorders>
              <w:top w:val="single" w:sz="2" w:space="0" w:color="auto"/>
              <w:bottom w:val="single" w:sz="2" w:space="0" w:color="auto"/>
            </w:tcBorders>
            <w:shd w:val="clear" w:color="auto" w:fill="auto"/>
            <w:vAlign w:val="center"/>
            <w:hideMark/>
          </w:tcPr>
          <w:p w:rsidR="00E77652" w:rsidRPr="005F4B08" w:rsidRDefault="00E77652" w:rsidP="006825F8">
            <w:pPr>
              <w:pStyle w:val="texto"/>
              <w:spacing w:after="0" w:line="240" w:lineRule="atLeast"/>
              <w:ind w:firstLine="0"/>
              <w:jc w:val="right"/>
              <w:rPr>
                <w:rFonts w:ascii="Arial Narrow" w:hAnsi="Arial Narrow"/>
                <w:sz w:val="20"/>
                <w:szCs w:val="20"/>
              </w:rPr>
            </w:pPr>
            <w:r w:rsidRPr="005F4B08">
              <w:rPr>
                <w:rFonts w:ascii="Arial Narrow" w:hAnsi="Arial Narrow"/>
                <w:sz w:val="20"/>
                <w:szCs w:val="20"/>
              </w:rPr>
              <w:t>412</w:t>
            </w:r>
          </w:p>
        </w:tc>
        <w:tc>
          <w:tcPr>
            <w:tcW w:w="1701" w:type="dxa"/>
            <w:tcBorders>
              <w:top w:val="single" w:sz="2" w:space="0" w:color="auto"/>
              <w:bottom w:val="single" w:sz="2" w:space="0" w:color="auto"/>
            </w:tcBorders>
            <w:shd w:val="clear" w:color="auto" w:fill="auto"/>
            <w:noWrap/>
            <w:vAlign w:val="center"/>
          </w:tcPr>
          <w:p w:rsidR="00E77652" w:rsidRPr="005F4B08" w:rsidRDefault="00E77652" w:rsidP="006825F8">
            <w:pPr>
              <w:pStyle w:val="texto"/>
              <w:spacing w:after="0" w:line="240" w:lineRule="atLeast"/>
              <w:ind w:firstLine="0"/>
              <w:jc w:val="right"/>
              <w:rPr>
                <w:rFonts w:ascii="Arial Narrow" w:hAnsi="Arial Narrow"/>
                <w:sz w:val="20"/>
                <w:szCs w:val="20"/>
              </w:rPr>
            </w:pPr>
            <w:r w:rsidRPr="005F4B08">
              <w:rPr>
                <w:rFonts w:ascii="Arial Narrow" w:hAnsi="Arial Narrow"/>
                <w:sz w:val="20"/>
                <w:szCs w:val="20"/>
              </w:rPr>
              <w:t>91</w:t>
            </w:r>
          </w:p>
        </w:tc>
        <w:tc>
          <w:tcPr>
            <w:tcW w:w="1701" w:type="dxa"/>
            <w:tcBorders>
              <w:top w:val="single" w:sz="2" w:space="0" w:color="auto"/>
              <w:bottom w:val="single" w:sz="2" w:space="0" w:color="auto"/>
            </w:tcBorders>
            <w:shd w:val="clear" w:color="auto" w:fill="auto"/>
            <w:vAlign w:val="center"/>
          </w:tcPr>
          <w:p w:rsidR="00E77652" w:rsidRPr="005F4B08" w:rsidRDefault="00E77652" w:rsidP="006825F8">
            <w:pPr>
              <w:pStyle w:val="texto"/>
              <w:spacing w:after="0" w:line="240" w:lineRule="atLeast"/>
              <w:ind w:firstLine="0"/>
              <w:jc w:val="right"/>
              <w:rPr>
                <w:rFonts w:ascii="Arial Narrow" w:hAnsi="Arial Narrow"/>
                <w:sz w:val="20"/>
                <w:szCs w:val="20"/>
              </w:rPr>
            </w:pPr>
            <w:r w:rsidRPr="005F4B08">
              <w:rPr>
                <w:rFonts w:ascii="Arial Narrow" w:hAnsi="Arial Narrow"/>
                <w:sz w:val="20"/>
                <w:szCs w:val="20"/>
              </w:rPr>
              <w:t>74</w:t>
            </w:r>
          </w:p>
        </w:tc>
        <w:tc>
          <w:tcPr>
            <w:tcW w:w="1062" w:type="dxa"/>
            <w:tcBorders>
              <w:top w:val="single" w:sz="2" w:space="0" w:color="auto"/>
              <w:bottom w:val="single" w:sz="2" w:space="0" w:color="auto"/>
            </w:tcBorders>
            <w:shd w:val="clear" w:color="auto" w:fill="auto"/>
            <w:noWrap/>
            <w:vAlign w:val="center"/>
            <w:hideMark/>
          </w:tcPr>
          <w:p w:rsidR="00E77652" w:rsidRPr="005F4B08" w:rsidRDefault="00E77652" w:rsidP="006825F8">
            <w:pPr>
              <w:pStyle w:val="texto"/>
              <w:spacing w:after="0" w:line="240" w:lineRule="atLeast"/>
              <w:ind w:firstLine="0"/>
              <w:jc w:val="right"/>
              <w:rPr>
                <w:rFonts w:ascii="Arial Narrow" w:hAnsi="Arial Narrow"/>
                <w:sz w:val="20"/>
                <w:szCs w:val="20"/>
              </w:rPr>
            </w:pPr>
            <w:r w:rsidRPr="005F4B08">
              <w:rPr>
                <w:rFonts w:ascii="Arial Narrow" w:hAnsi="Arial Narrow"/>
                <w:sz w:val="20"/>
                <w:szCs w:val="20"/>
              </w:rPr>
              <w:t>577</w:t>
            </w:r>
          </w:p>
        </w:tc>
      </w:tr>
      <w:tr w:rsidR="00E77652" w:rsidRPr="000C5337" w:rsidTr="006825F8">
        <w:trPr>
          <w:trHeight w:val="198"/>
        </w:trPr>
        <w:tc>
          <w:tcPr>
            <w:tcW w:w="3045" w:type="dxa"/>
            <w:tcBorders>
              <w:top w:val="single" w:sz="2" w:space="0" w:color="auto"/>
              <w:bottom w:val="single" w:sz="2" w:space="0" w:color="auto"/>
            </w:tcBorders>
            <w:shd w:val="clear" w:color="auto" w:fill="auto"/>
            <w:vAlign w:val="center"/>
            <w:hideMark/>
          </w:tcPr>
          <w:p w:rsidR="00E77652" w:rsidRPr="000C5337" w:rsidRDefault="00E77652" w:rsidP="006825F8">
            <w:pPr>
              <w:spacing w:after="0"/>
              <w:ind w:firstLine="0"/>
              <w:jc w:val="left"/>
              <w:rPr>
                <w:rFonts w:ascii="Arial Narrow" w:hAnsi="Arial Narrow" w:cs="Calibri"/>
                <w:color w:val="000000"/>
                <w:lang w:val="es-ES" w:eastAsia="es-ES"/>
              </w:rPr>
            </w:pPr>
            <w:r w:rsidRPr="000C5337">
              <w:rPr>
                <w:rFonts w:ascii="Arial Narrow" w:hAnsi="Arial Narrow" w:cs="Calibri"/>
                <w:color w:val="000000"/>
                <w:lang w:val="es-ES" w:eastAsia="es-ES"/>
              </w:rPr>
              <w:t xml:space="preserve">Entre </w:t>
            </w:r>
            <w:r>
              <w:rPr>
                <w:rFonts w:ascii="Arial Narrow" w:hAnsi="Arial Narrow" w:cs="Calibri"/>
                <w:color w:val="000000"/>
                <w:lang w:val="es-ES" w:eastAsia="es-ES"/>
              </w:rPr>
              <w:t>seis</w:t>
            </w:r>
            <w:r w:rsidRPr="000C5337">
              <w:rPr>
                <w:rFonts w:ascii="Arial Narrow" w:hAnsi="Arial Narrow" w:cs="Calibri"/>
                <w:color w:val="000000"/>
                <w:lang w:val="es-ES" w:eastAsia="es-ES"/>
              </w:rPr>
              <w:t xml:space="preserve"> y 14 días</w:t>
            </w:r>
          </w:p>
        </w:tc>
        <w:tc>
          <w:tcPr>
            <w:tcW w:w="1701" w:type="dxa"/>
            <w:tcBorders>
              <w:top w:val="single" w:sz="2" w:space="0" w:color="auto"/>
              <w:bottom w:val="single" w:sz="2" w:space="0" w:color="auto"/>
            </w:tcBorders>
            <w:shd w:val="clear" w:color="auto" w:fill="auto"/>
            <w:vAlign w:val="center"/>
            <w:hideMark/>
          </w:tcPr>
          <w:p w:rsidR="00E77652" w:rsidRPr="005F4B08" w:rsidRDefault="00E77652" w:rsidP="006825F8">
            <w:pPr>
              <w:pStyle w:val="texto"/>
              <w:spacing w:after="0" w:line="240" w:lineRule="atLeast"/>
              <w:ind w:firstLine="0"/>
              <w:jc w:val="right"/>
              <w:rPr>
                <w:rFonts w:ascii="Arial Narrow" w:hAnsi="Arial Narrow"/>
                <w:sz w:val="20"/>
                <w:szCs w:val="20"/>
              </w:rPr>
            </w:pPr>
            <w:r w:rsidRPr="005F4B08">
              <w:rPr>
                <w:rFonts w:ascii="Arial Narrow" w:hAnsi="Arial Narrow"/>
                <w:sz w:val="20"/>
                <w:szCs w:val="20"/>
              </w:rPr>
              <w:t>530</w:t>
            </w:r>
          </w:p>
        </w:tc>
        <w:tc>
          <w:tcPr>
            <w:tcW w:w="1701" w:type="dxa"/>
            <w:tcBorders>
              <w:top w:val="single" w:sz="2" w:space="0" w:color="auto"/>
              <w:bottom w:val="single" w:sz="2" w:space="0" w:color="auto"/>
            </w:tcBorders>
            <w:shd w:val="clear" w:color="auto" w:fill="auto"/>
            <w:noWrap/>
            <w:vAlign w:val="center"/>
          </w:tcPr>
          <w:p w:rsidR="00E77652" w:rsidRPr="005F4B08" w:rsidRDefault="00E77652" w:rsidP="006825F8">
            <w:pPr>
              <w:pStyle w:val="texto"/>
              <w:spacing w:after="0" w:line="240" w:lineRule="atLeast"/>
              <w:ind w:firstLine="0"/>
              <w:jc w:val="right"/>
              <w:rPr>
                <w:rFonts w:ascii="Arial Narrow" w:hAnsi="Arial Narrow"/>
                <w:sz w:val="20"/>
                <w:szCs w:val="20"/>
              </w:rPr>
            </w:pPr>
            <w:r w:rsidRPr="005F4B08">
              <w:rPr>
                <w:rFonts w:ascii="Arial Narrow" w:hAnsi="Arial Narrow"/>
                <w:sz w:val="20"/>
                <w:szCs w:val="20"/>
              </w:rPr>
              <w:t>281</w:t>
            </w:r>
          </w:p>
        </w:tc>
        <w:tc>
          <w:tcPr>
            <w:tcW w:w="1701" w:type="dxa"/>
            <w:tcBorders>
              <w:top w:val="single" w:sz="2" w:space="0" w:color="auto"/>
              <w:bottom w:val="single" w:sz="2" w:space="0" w:color="auto"/>
            </w:tcBorders>
            <w:shd w:val="clear" w:color="auto" w:fill="auto"/>
            <w:vAlign w:val="center"/>
          </w:tcPr>
          <w:p w:rsidR="00E77652" w:rsidRPr="005F4B08" w:rsidRDefault="00E77652" w:rsidP="006825F8">
            <w:pPr>
              <w:pStyle w:val="texto"/>
              <w:spacing w:after="0" w:line="240" w:lineRule="atLeast"/>
              <w:ind w:firstLine="0"/>
              <w:jc w:val="right"/>
              <w:rPr>
                <w:rFonts w:ascii="Arial Narrow" w:hAnsi="Arial Narrow"/>
                <w:sz w:val="20"/>
                <w:szCs w:val="20"/>
              </w:rPr>
            </w:pPr>
            <w:r w:rsidRPr="005F4B08">
              <w:rPr>
                <w:rFonts w:ascii="Arial Narrow" w:hAnsi="Arial Narrow"/>
                <w:sz w:val="20"/>
                <w:szCs w:val="20"/>
              </w:rPr>
              <w:t>111</w:t>
            </w:r>
          </w:p>
        </w:tc>
        <w:tc>
          <w:tcPr>
            <w:tcW w:w="1062" w:type="dxa"/>
            <w:tcBorders>
              <w:top w:val="single" w:sz="2" w:space="0" w:color="auto"/>
              <w:bottom w:val="single" w:sz="2" w:space="0" w:color="auto"/>
            </w:tcBorders>
            <w:shd w:val="clear" w:color="auto" w:fill="auto"/>
            <w:noWrap/>
            <w:vAlign w:val="center"/>
            <w:hideMark/>
          </w:tcPr>
          <w:p w:rsidR="00E77652" w:rsidRPr="005F4B08" w:rsidRDefault="00E77652" w:rsidP="006825F8">
            <w:pPr>
              <w:pStyle w:val="texto"/>
              <w:spacing w:after="0" w:line="240" w:lineRule="atLeast"/>
              <w:ind w:firstLine="0"/>
              <w:jc w:val="right"/>
              <w:rPr>
                <w:rFonts w:ascii="Arial Narrow" w:hAnsi="Arial Narrow"/>
                <w:sz w:val="20"/>
                <w:szCs w:val="20"/>
              </w:rPr>
            </w:pPr>
            <w:r w:rsidRPr="005F4B08">
              <w:rPr>
                <w:rFonts w:ascii="Arial Narrow" w:hAnsi="Arial Narrow"/>
                <w:sz w:val="20"/>
                <w:szCs w:val="20"/>
              </w:rPr>
              <w:t>922</w:t>
            </w:r>
          </w:p>
        </w:tc>
      </w:tr>
      <w:tr w:rsidR="00E77652" w:rsidRPr="000C5337" w:rsidTr="006825F8">
        <w:trPr>
          <w:trHeight w:val="198"/>
        </w:trPr>
        <w:tc>
          <w:tcPr>
            <w:tcW w:w="3045" w:type="dxa"/>
            <w:tcBorders>
              <w:top w:val="single" w:sz="2" w:space="0" w:color="auto"/>
              <w:bottom w:val="single" w:sz="2" w:space="0" w:color="auto"/>
            </w:tcBorders>
            <w:shd w:val="clear" w:color="auto" w:fill="auto"/>
            <w:vAlign w:val="center"/>
            <w:hideMark/>
          </w:tcPr>
          <w:p w:rsidR="00E77652" w:rsidRPr="000C5337" w:rsidRDefault="00E77652" w:rsidP="006825F8">
            <w:pPr>
              <w:spacing w:after="0"/>
              <w:ind w:firstLine="0"/>
              <w:jc w:val="left"/>
              <w:rPr>
                <w:rFonts w:ascii="Arial Narrow" w:hAnsi="Arial Narrow" w:cs="Calibri"/>
                <w:color w:val="000000"/>
                <w:lang w:val="es-ES" w:eastAsia="es-ES"/>
              </w:rPr>
            </w:pPr>
            <w:r w:rsidRPr="000C5337">
              <w:rPr>
                <w:rFonts w:ascii="Arial Narrow" w:hAnsi="Arial Narrow" w:cs="Calibri"/>
                <w:color w:val="000000"/>
                <w:lang w:val="es-ES" w:eastAsia="es-ES"/>
              </w:rPr>
              <w:t>Entr</w:t>
            </w:r>
            <w:r>
              <w:rPr>
                <w:rFonts w:ascii="Arial Narrow" w:hAnsi="Arial Narrow" w:cs="Calibri"/>
                <w:color w:val="000000"/>
                <w:lang w:val="es-ES" w:eastAsia="es-ES"/>
              </w:rPr>
              <w:t>e dos y cinco</w:t>
            </w:r>
            <w:r w:rsidRPr="000C5337">
              <w:rPr>
                <w:rFonts w:ascii="Arial Narrow" w:hAnsi="Arial Narrow" w:cs="Calibri"/>
                <w:color w:val="000000"/>
                <w:lang w:val="es-ES" w:eastAsia="es-ES"/>
              </w:rPr>
              <w:t xml:space="preserve"> días</w:t>
            </w:r>
          </w:p>
        </w:tc>
        <w:tc>
          <w:tcPr>
            <w:tcW w:w="1701" w:type="dxa"/>
            <w:tcBorders>
              <w:top w:val="single" w:sz="2" w:space="0" w:color="auto"/>
              <w:bottom w:val="single" w:sz="2" w:space="0" w:color="auto"/>
            </w:tcBorders>
            <w:shd w:val="clear" w:color="auto" w:fill="auto"/>
            <w:vAlign w:val="center"/>
            <w:hideMark/>
          </w:tcPr>
          <w:p w:rsidR="00E77652" w:rsidRPr="005F4B08" w:rsidRDefault="00E77652" w:rsidP="006825F8">
            <w:pPr>
              <w:pStyle w:val="texto"/>
              <w:spacing w:after="0" w:line="240" w:lineRule="atLeast"/>
              <w:ind w:firstLine="0"/>
              <w:jc w:val="right"/>
              <w:rPr>
                <w:rFonts w:ascii="Arial Narrow" w:hAnsi="Arial Narrow"/>
                <w:sz w:val="20"/>
                <w:szCs w:val="20"/>
              </w:rPr>
            </w:pPr>
            <w:r w:rsidRPr="005F4B08">
              <w:rPr>
                <w:rFonts w:ascii="Arial Narrow" w:hAnsi="Arial Narrow"/>
                <w:sz w:val="20"/>
                <w:szCs w:val="20"/>
              </w:rPr>
              <w:t>292</w:t>
            </w:r>
          </w:p>
        </w:tc>
        <w:tc>
          <w:tcPr>
            <w:tcW w:w="1701" w:type="dxa"/>
            <w:tcBorders>
              <w:top w:val="single" w:sz="2" w:space="0" w:color="auto"/>
              <w:bottom w:val="single" w:sz="2" w:space="0" w:color="auto"/>
            </w:tcBorders>
            <w:shd w:val="clear" w:color="auto" w:fill="auto"/>
            <w:noWrap/>
            <w:vAlign w:val="center"/>
          </w:tcPr>
          <w:p w:rsidR="00E77652" w:rsidRPr="005F4B08" w:rsidRDefault="00E77652" w:rsidP="006825F8">
            <w:pPr>
              <w:pStyle w:val="texto"/>
              <w:spacing w:after="0" w:line="240" w:lineRule="atLeast"/>
              <w:ind w:firstLine="0"/>
              <w:jc w:val="right"/>
              <w:rPr>
                <w:rFonts w:ascii="Arial Narrow" w:hAnsi="Arial Narrow"/>
                <w:sz w:val="20"/>
                <w:szCs w:val="20"/>
              </w:rPr>
            </w:pPr>
            <w:r w:rsidRPr="005F4B08">
              <w:rPr>
                <w:rFonts w:ascii="Arial Narrow" w:hAnsi="Arial Narrow"/>
                <w:sz w:val="20"/>
                <w:szCs w:val="20"/>
              </w:rPr>
              <w:t>198</w:t>
            </w:r>
          </w:p>
        </w:tc>
        <w:tc>
          <w:tcPr>
            <w:tcW w:w="1701" w:type="dxa"/>
            <w:tcBorders>
              <w:top w:val="single" w:sz="2" w:space="0" w:color="auto"/>
              <w:bottom w:val="single" w:sz="2" w:space="0" w:color="auto"/>
            </w:tcBorders>
            <w:shd w:val="clear" w:color="auto" w:fill="auto"/>
            <w:vAlign w:val="center"/>
          </w:tcPr>
          <w:p w:rsidR="00E77652" w:rsidRPr="005F4B08" w:rsidRDefault="00E77652" w:rsidP="006825F8">
            <w:pPr>
              <w:pStyle w:val="texto"/>
              <w:spacing w:after="0" w:line="240" w:lineRule="atLeast"/>
              <w:ind w:firstLine="0"/>
              <w:jc w:val="right"/>
              <w:rPr>
                <w:rFonts w:ascii="Arial Narrow" w:hAnsi="Arial Narrow"/>
                <w:sz w:val="20"/>
                <w:szCs w:val="20"/>
              </w:rPr>
            </w:pPr>
            <w:r w:rsidRPr="005F4B08">
              <w:rPr>
                <w:rFonts w:ascii="Arial Narrow" w:hAnsi="Arial Narrow"/>
                <w:sz w:val="20"/>
                <w:szCs w:val="20"/>
              </w:rPr>
              <w:t>135</w:t>
            </w:r>
          </w:p>
        </w:tc>
        <w:tc>
          <w:tcPr>
            <w:tcW w:w="1062" w:type="dxa"/>
            <w:tcBorders>
              <w:top w:val="single" w:sz="2" w:space="0" w:color="auto"/>
              <w:bottom w:val="single" w:sz="2" w:space="0" w:color="auto"/>
            </w:tcBorders>
            <w:shd w:val="clear" w:color="auto" w:fill="auto"/>
            <w:noWrap/>
            <w:vAlign w:val="center"/>
            <w:hideMark/>
          </w:tcPr>
          <w:p w:rsidR="00E77652" w:rsidRPr="005F4B08" w:rsidRDefault="00E77652" w:rsidP="006825F8">
            <w:pPr>
              <w:pStyle w:val="texto"/>
              <w:spacing w:after="0" w:line="240" w:lineRule="atLeast"/>
              <w:ind w:firstLine="0"/>
              <w:jc w:val="right"/>
              <w:rPr>
                <w:rFonts w:ascii="Arial Narrow" w:hAnsi="Arial Narrow"/>
                <w:sz w:val="20"/>
                <w:szCs w:val="20"/>
              </w:rPr>
            </w:pPr>
            <w:r w:rsidRPr="005F4B08">
              <w:rPr>
                <w:rFonts w:ascii="Arial Narrow" w:hAnsi="Arial Narrow"/>
                <w:sz w:val="20"/>
                <w:szCs w:val="20"/>
              </w:rPr>
              <w:t>625</w:t>
            </w:r>
          </w:p>
        </w:tc>
      </w:tr>
      <w:tr w:rsidR="00E77652" w:rsidRPr="000C5337" w:rsidTr="006825F8">
        <w:trPr>
          <w:trHeight w:val="198"/>
        </w:trPr>
        <w:tc>
          <w:tcPr>
            <w:tcW w:w="3045" w:type="dxa"/>
            <w:tcBorders>
              <w:top w:val="single" w:sz="2" w:space="0" w:color="auto"/>
            </w:tcBorders>
            <w:shd w:val="clear" w:color="auto" w:fill="auto"/>
            <w:vAlign w:val="center"/>
            <w:hideMark/>
          </w:tcPr>
          <w:p w:rsidR="00E77652" w:rsidRPr="000C5337" w:rsidRDefault="00E77652" w:rsidP="006825F8">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U</w:t>
            </w:r>
            <w:r w:rsidRPr="000C5337">
              <w:rPr>
                <w:rFonts w:ascii="Arial Narrow" w:hAnsi="Arial Narrow" w:cs="Calibri"/>
                <w:color w:val="000000"/>
                <w:lang w:val="es-ES" w:eastAsia="es-ES"/>
              </w:rPr>
              <w:t>n día</w:t>
            </w:r>
          </w:p>
        </w:tc>
        <w:tc>
          <w:tcPr>
            <w:tcW w:w="1701" w:type="dxa"/>
            <w:tcBorders>
              <w:top w:val="single" w:sz="2" w:space="0" w:color="auto"/>
            </w:tcBorders>
            <w:shd w:val="clear" w:color="auto" w:fill="auto"/>
            <w:vAlign w:val="center"/>
            <w:hideMark/>
          </w:tcPr>
          <w:p w:rsidR="00E77652" w:rsidRPr="005F4B08" w:rsidRDefault="00E77652" w:rsidP="006825F8">
            <w:pPr>
              <w:pStyle w:val="texto"/>
              <w:spacing w:after="0" w:line="240" w:lineRule="atLeast"/>
              <w:ind w:firstLine="0"/>
              <w:jc w:val="right"/>
              <w:rPr>
                <w:rFonts w:ascii="Arial Narrow" w:hAnsi="Arial Narrow"/>
                <w:sz w:val="20"/>
                <w:szCs w:val="20"/>
              </w:rPr>
            </w:pPr>
            <w:r w:rsidRPr="005F4B08">
              <w:rPr>
                <w:rFonts w:ascii="Arial Narrow" w:hAnsi="Arial Narrow"/>
                <w:sz w:val="20"/>
                <w:szCs w:val="20"/>
              </w:rPr>
              <w:t>152</w:t>
            </w:r>
          </w:p>
        </w:tc>
        <w:tc>
          <w:tcPr>
            <w:tcW w:w="1701" w:type="dxa"/>
            <w:tcBorders>
              <w:top w:val="single" w:sz="2" w:space="0" w:color="auto"/>
            </w:tcBorders>
            <w:shd w:val="clear" w:color="auto" w:fill="auto"/>
            <w:noWrap/>
            <w:vAlign w:val="center"/>
          </w:tcPr>
          <w:p w:rsidR="00E77652" w:rsidRPr="005F4B08" w:rsidRDefault="00E77652" w:rsidP="006825F8">
            <w:pPr>
              <w:pStyle w:val="texto"/>
              <w:spacing w:after="0" w:line="240" w:lineRule="atLeast"/>
              <w:ind w:firstLine="0"/>
              <w:jc w:val="right"/>
              <w:rPr>
                <w:rFonts w:ascii="Arial Narrow" w:hAnsi="Arial Narrow"/>
                <w:sz w:val="20"/>
                <w:szCs w:val="20"/>
              </w:rPr>
            </w:pPr>
            <w:r w:rsidRPr="005F4B08">
              <w:rPr>
                <w:rFonts w:ascii="Arial Narrow" w:hAnsi="Arial Narrow"/>
                <w:sz w:val="20"/>
                <w:szCs w:val="20"/>
              </w:rPr>
              <w:t>24</w:t>
            </w:r>
          </w:p>
        </w:tc>
        <w:tc>
          <w:tcPr>
            <w:tcW w:w="1701" w:type="dxa"/>
            <w:tcBorders>
              <w:top w:val="single" w:sz="2" w:space="0" w:color="auto"/>
            </w:tcBorders>
            <w:shd w:val="clear" w:color="auto" w:fill="auto"/>
            <w:vAlign w:val="center"/>
          </w:tcPr>
          <w:p w:rsidR="00E77652" w:rsidRPr="005F4B08" w:rsidRDefault="00E77652" w:rsidP="006825F8">
            <w:pPr>
              <w:pStyle w:val="texto"/>
              <w:spacing w:after="0" w:line="240" w:lineRule="atLeast"/>
              <w:ind w:firstLine="0"/>
              <w:jc w:val="right"/>
              <w:rPr>
                <w:rFonts w:ascii="Arial Narrow" w:hAnsi="Arial Narrow"/>
                <w:sz w:val="20"/>
                <w:szCs w:val="20"/>
              </w:rPr>
            </w:pPr>
            <w:r w:rsidRPr="005F4B08">
              <w:rPr>
                <w:rFonts w:ascii="Arial Narrow" w:hAnsi="Arial Narrow"/>
                <w:sz w:val="20"/>
                <w:szCs w:val="20"/>
              </w:rPr>
              <w:t>39</w:t>
            </w:r>
          </w:p>
        </w:tc>
        <w:tc>
          <w:tcPr>
            <w:tcW w:w="1062" w:type="dxa"/>
            <w:tcBorders>
              <w:top w:val="single" w:sz="2" w:space="0" w:color="auto"/>
            </w:tcBorders>
            <w:shd w:val="clear" w:color="auto" w:fill="auto"/>
            <w:noWrap/>
            <w:vAlign w:val="center"/>
            <w:hideMark/>
          </w:tcPr>
          <w:p w:rsidR="00E77652" w:rsidRPr="005F4B08" w:rsidRDefault="00E77652" w:rsidP="006825F8">
            <w:pPr>
              <w:pStyle w:val="texto"/>
              <w:spacing w:after="0" w:line="240" w:lineRule="atLeast"/>
              <w:ind w:firstLine="0"/>
              <w:jc w:val="right"/>
              <w:rPr>
                <w:rFonts w:ascii="Arial Narrow" w:hAnsi="Arial Narrow"/>
                <w:sz w:val="20"/>
                <w:szCs w:val="20"/>
              </w:rPr>
            </w:pPr>
            <w:r w:rsidRPr="005F4B08">
              <w:rPr>
                <w:rFonts w:ascii="Arial Narrow" w:hAnsi="Arial Narrow"/>
                <w:sz w:val="20"/>
                <w:szCs w:val="20"/>
              </w:rPr>
              <w:t>215</w:t>
            </w:r>
          </w:p>
        </w:tc>
      </w:tr>
      <w:tr w:rsidR="00E77652" w:rsidRPr="008217D1" w:rsidTr="006825F8">
        <w:trPr>
          <w:trHeight w:val="255"/>
        </w:trPr>
        <w:tc>
          <w:tcPr>
            <w:tcW w:w="3045" w:type="dxa"/>
            <w:shd w:val="clear" w:color="auto" w:fill="8DB3E2" w:themeFill="text2" w:themeFillTint="66"/>
            <w:vAlign w:val="center"/>
            <w:hideMark/>
          </w:tcPr>
          <w:p w:rsidR="00E77652" w:rsidRPr="008217D1" w:rsidRDefault="00E77652" w:rsidP="00E77652">
            <w:pPr>
              <w:pStyle w:val="cuadroCabe"/>
            </w:pPr>
            <w:r w:rsidRPr="008217D1">
              <w:t>Total</w:t>
            </w:r>
          </w:p>
        </w:tc>
        <w:tc>
          <w:tcPr>
            <w:tcW w:w="1701" w:type="dxa"/>
            <w:shd w:val="clear" w:color="auto" w:fill="8DB3E2" w:themeFill="text2" w:themeFillTint="66"/>
            <w:vAlign w:val="center"/>
            <w:hideMark/>
          </w:tcPr>
          <w:p w:rsidR="00E77652" w:rsidRPr="008217D1" w:rsidRDefault="00E77652" w:rsidP="00E77652">
            <w:pPr>
              <w:pStyle w:val="cuadroCabe"/>
              <w:jc w:val="right"/>
            </w:pPr>
            <w:r w:rsidRPr="008217D1">
              <w:t>4.905</w:t>
            </w:r>
          </w:p>
        </w:tc>
        <w:tc>
          <w:tcPr>
            <w:tcW w:w="1701" w:type="dxa"/>
            <w:shd w:val="clear" w:color="auto" w:fill="8DB3E2" w:themeFill="text2" w:themeFillTint="66"/>
            <w:vAlign w:val="center"/>
          </w:tcPr>
          <w:p w:rsidR="00E77652" w:rsidRPr="008217D1" w:rsidRDefault="00E77652" w:rsidP="00E77652">
            <w:pPr>
              <w:pStyle w:val="cuadroCabe"/>
              <w:jc w:val="right"/>
            </w:pPr>
            <w:r w:rsidRPr="008217D1">
              <w:t>1.201</w:t>
            </w:r>
          </w:p>
        </w:tc>
        <w:tc>
          <w:tcPr>
            <w:tcW w:w="1701" w:type="dxa"/>
            <w:shd w:val="clear" w:color="auto" w:fill="8DB3E2" w:themeFill="text2" w:themeFillTint="66"/>
            <w:vAlign w:val="center"/>
          </w:tcPr>
          <w:p w:rsidR="00E77652" w:rsidRPr="008217D1" w:rsidRDefault="00E77652" w:rsidP="00E77652">
            <w:pPr>
              <w:pStyle w:val="cuadroCabe"/>
              <w:jc w:val="right"/>
            </w:pPr>
            <w:r w:rsidRPr="008217D1">
              <w:t>691</w:t>
            </w:r>
          </w:p>
        </w:tc>
        <w:tc>
          <w:tcPr>
            <w:tcW w:w="1062" w:type="dxa"/>
            <w:shd w:val="clear" w:color="auto" w:fill="8DB3E2" w:themeFill="text2" w:themeFillTint="66"/>
            <w:noWrap/>
            <w:vAlign w:val="center"/>
            <w:hideMark/>
          </w:tcPr>
          <w:p w:rsidR="00E77652" w:rsidRPr="008217D1" w:rsidRDefault="00E77652" w:rsidP="00E77652">
            <w:pPr>
              <w:pStyle w:val="cuadroCabe"/>
              <w:jc w:val="right"/>
            </w:pPr>
            <w:r w:rsidRPr="008217D1">
              <w:t>6.797</w:t>
            </w:r>
          </w:p>
        </w:tc>
      </w:tr>
    </w:tbl>
    <w:p w:rsidR="00676CA2" w:rsidRDefault="00676CA2" w:rsidP="00676CA2">
      <w:pPr>
        <w:pStyle w:val="texto"/>
        <w:spacing w:before="200" w:after="240"/>
        <w:rPr>
          <w:rFonts w:ascii="Arial" w:hAnsi="Arial"/>
          <w:i/>
          <w:iCs/>
          <w:color w:val="000000"/>
          <w:spacing w:val="10"/>
          <w:kern w:val="28"/>
          <w:sz w:val="25"/>
          <w:szCs w:val="26"/>
        </w:rPr>
      </w:pPr>
      <w:r w:rsidRPr="00434FBB">
        <w:rPr>
          <w:szCs w:val="26"/>
        </w:rPr>
        <w:t>El 26 por ciento de los contratos se formalizaron para un periodo que oscil</w:t>
      </w:r>
      <w:r w:rsidRPr="00434FBB">
        <w:rPr>
          <w:szCs w:val="26"/>
        </w:rPr>
        <w:t>a</w:t>
      </w:r>
      <w:r w:rsidRPr="00434FBB">
        <w:rPr>
          <w:szCs w:val="26"/>
        </w:rPr>
        <w:t>ba entre tres y seis meses, el 24 por ciento para un periodo entre uno y dos m</w:t>
      </w:r>
      <w:r w:rsidRPr="00434FBB">
        <w:rPr>
          <w:szCs w:val="26"/>
        </w:rPr>
        <w:t>e</w:t>
      </w:r>
      <w:r w:rsidRPr="00434FBB">
        <w:rPr>
          <w:szCs w:val="26"/>
        </w:rPr>
        <w:t>ses, y el 14 por ciento para una duración fijada entre seis y 14 días.</w:t>
      </w:r>
    </w:p>
    <w:p w:rsidR="00676CA2" w:rsidRDefault="00676CA2" w:rsidP="00676CA2">
      <w:pPr>
        <w:spacing w:after="0"/>
        <w:ind w:firstLine="0"/>
        <w:jc w:val="left"/>
        <w:rPr>
          <w:rFonts w:ascii="Arial" w:hAnsi="Arial"/>
          <w:i/>
          <w:iCs/>
          <w:color w:val="000000"/>
          <w:spacing w:val="10"/>
          <w:kern w:val="28"/>
          <w:sz w:val="25"/>
          <w:szCs w:val="26"/>
        </w:rPr>
      </w:pPr>
      <w:r>
        <w:rPr>
          <w:rFonts w:ascii="Arial" w:hAnsi="Arial"/>
          <w:i/>
          <w:iCs/>
          <w:color w:val="000000"/>
          <w:spacing w:val="10"/>
          <w:kern w:val="28"/>
          <w:sz w:val="25"/>
          <w:szCs w:val="26"/>
        </w:rPr>
        <w:br w:type="page"/>
      </w:r>
    </w:p>
    <w:p w:rsidR="00676CA2" w:rsidRDefault="00676CA2" w:rsidP="006538A3">
      <w:pPr>
        <w:pStyle w:val="atitulo4"/>
      </w:pPr>
      <w:r>
        <w:lastRenderedPageBreak/>
        <w:t>Gasto corriente en bienes y servicios</w:t>
      </w:r>
    </w:p>
    <w:p w:rsidR="00676CA2" w:rsidRDefault="00676CA2" w:rsidP="00676CA2">
      <w:pPr>
        <w:pStyle w:val="texto"/>
        <w:spacing w:after="220"/>
      </w:pPr>
      <w:r>
        <w:t>El gasto corriente en bienes y servicios supuso 70,48 millones a 31 de d</w:t>
      </w:r>
      <w:r>
        <w:t>i</w:t>
      </w:r>
      <w:r>
        <w:t>ciembre de 2020 con el siguiente desglose por concepto económico:</w:t>
      </w:r>
    </w:p>
    <w:tbl>
      <w:tblPr>
        <w:tblW w:w="8789" w:type="dxa"/>
        <w:tblLayout w:type="fixed"/>
        <w:tblCellMar>
          <w:left w:w="70" w:type="dxa"/>
          <w:right w:w="70" w:type="dxa"/>
        </w:tblCellMar>
        <w:tblLook w:val="04A0" w:firstRow="1" w:lastRow="0" w:firstColumn="1" w:lastColumn="0" w:noHBand="0" w:noVBand="1"/>
      </w:tblPr>
      <w:tblGrid>
        <w:gridCol w:w="4253"/>
        <w:gridCol w:w="2693"/>
        <w:gridCol w:w="1843"/>
      </w:tblGrid>
      <w:tr w:rsidR="00676CA2" w:rsidRPr="00A758EA" w:rsidTr="00E51697">
        <w:trPr>
          <w:trHeight w:val="284"/>
        </w:trPr>
        <w:tc>
          <w:tcPr>
            <w:tcW w:w="4253" w:type="dxa"/>
            <w:tcBorders>
              <w:top w:val="single" w:sz="4" w:space="0" w:color="auto"/>
              <w:left w:val="nil"/>
              <w:bottom w:val="single" w:sz="4" w:space="0" w:color="auto"/>
              <w:right w:val="nil"/>
            </w:tcBorders>
            <w:shd w:val="clear" w:color="auto" w:fill="8DB3E2" w:themeFill="text2" w:themeFillTint="66"/>
            <w:noWrap/>
            <w:vAlign w:val="center"/>
            <w:hideMark/>
          </w:tcPr>
          <w:p w:rsidR="00676CA2" w:rsidRPr="004177B8" w:rsidRDefault="00676CA2" w:rsidP="00E51697">
            <w:pPr>
              <w:pStyle w:val="cuadroCabe"/>
              <w:rPr>
                <w:lang w:val="es-ES" w:eastAsia="es-ES"/>
              </w:rPr>
            </w:pPr>
            <w:r w:rsidRPr="00A758EA">
              <w:rPr>
                <w:lang w:val="es-ES" w:eastAsia="es-ES"/>
              </w:rPr>
              <w:t>Concepto económico</w:t>
            </w:r>
          </w:p>
        </w:tc>
        <w:tc>
          <w:tcPr>
            <w:tcW w:w="2693" w:type="dxa"/>
            <w:tcBorders>
              <w:top w:val="single" w:sz="4" w:space="0" w:color="auto"/>
              <w:left w:val="nil"/>
              <w:bottom w:val="single" w:sz="4" w:space="0" w:color="auto"/>
              <w:right w:val="nil"/>
            </w:tcBorders>
            <w:shd w:val="clear" w:color="auto" w:fill="8DB3E2" w:themeFill="text2" w:themeFillTint="66"/>
            <w:noWrap/>
            <w:vAlign w:val="center"/>
            <w:hideMark/>
          </w:tcPr>
          <w:p w:rsidR="00EA45FC" w:rsidRDefault="00676CA2" w:rsidP="00E51697">
            <w:pPr>
              <w:pStyle w:val="cuadroCabe"/>
              <w:jc w:val="right"/>
              <w:rPr>
                <w:lang w:val="es-ES" w:eastAsia="es-ES"/>
              </w:rPr>
            </w:pPr>
            <w:r w:rsidRPr="00A758EA">
              <w:rPr>
                <w:lang w:val="es-ES" w:eastAsia="es-ES"/>
              </w:rPr>
              <w:t xml:space="preserve">Obligaciones </w:t>
            </w:r>
          </w:p>
          <w:p w:rsidR="00676CA2" w:rsidRPr="004177B8" w:rsidRDefault="00676CA2" w:rsidP="00E51697">
            <w:pPr>
              <w:pStyle w:val="cuadroCabe"/>
              <w:jc w:val="right"/>
              <w:rPr>
                <w:lang w:val="es-ES" w:eastAsia="es-ES"/>
              </w:rPr>
            </w:pPr>
            <w:r w:rsidRPr="00A758EA">
              <w:rPr>
                <w:lang w:val="es-ES" w:eastAsia="es-ES"/>
              </w:rPr>
              <w:t>Reconocidas</w:t>
            </w:r>
            <w:r w:rsidR="00EA45FC">
              <w:rPr>
                <w:lang w:val="es-ES" w:eastAsia="es-ES"/>
              </w:rPr>
              <w:t xml:space="preserve"> </w:t>
            </w:r>
            <w:r w:rsidRPr="00A758EA">
              <w:rPr>
                <w:lang w:val="es-ES" w:eastAsia="es-ES"/>
              </w:rPr>
              <w:t>Netas</w:t>
            </w:r>
          </w:p>
        </w:tc>
        <w:tc>
          <w:tcPr>
            <w:tcW w:w="1843" w:type="dxa"/>
            <w:tcBorders>
              <w:top w:val="single" w:sz="4" w:space="0" w:color="auto"/>
              <w:left w:val="nil"/>
              <w:bottom w:val="single" w:sz="4" w:space="0" w:color="auto"/>
              <w:right w:val="nil"/>
            </w:tcBorders>
            <w:shd w:val="clear" w:color="auto" w:fill="8DB3E2" w:themeFill="text2" w:themeFillTint="66"/>
            <w:vAlign w:val="center"/>
          </w:tcPr>
          <w:p w:rsidR="00676CA2" w:rsidRPr="00A758EA" w:rsidRDefault="00676CA2" w:rsidP="00E51697">
            <w:pPr>
              <w:pStyle w:val="cuadroCabe"/>
              <w:jc w:val="right"/>
              <w:rPr>
                <w:lang w:val="es-ES" w:eastAsia="es-ES"/>
              </w:rPr>
            </w:pPr>
            <w:r>
              <w:rPr>
                <w:lang w:val="es-ES" w:eastAsia="es-ES"/>
              </w:rPr>
              <w:t>% s/ total</w:t>
            </w:r>
          </w:p>
        </w:tc>
      </w:tr>
      <w:tr w:rsidR="00676CA2" w:rsidRPr="002102CF" w:rsidTr="00E51697">
        <w:trPr>
          <w:trHeight w:val="198"/>
        </w:trPr>
        <w:tc>
          <w:tcPr>
            <w:tcW w:w="4253" w:type="dxa"/>
            <w:tcBorders>
              <w:top w:val="single" w:sz="4" w:space="0" w:color="auto"/>
              <w:left w:val="nil"/>
              <w:bottom w:val="single" w:sz="2" w:space="0" w:color="auto"/>
              <w:right w:val="nil"/>
            </w:tcBorders>
            <w:shd w:val="clear" w:color="auto" w:fill="auto"/>
            <w:noWrap/>
            <w:vAlign w:val="center"/>
            <w:hideMark/>
          </w:tcPr>
          <w:p w:rsidR="00676CA2" w:rsidRPr="00B20014" w:rsidRDefault="00676CA2" w:rsidP="00E51697">
            <w:pPr>
              <w:spacing w:after="0"/>
              <w:ind w:firstLine="0"/>
              <w:contextualSpacing/>
              <w:jc w:val="left"/>
              <w:rPr>
                <w:rFonts w:ascii="Arial Narrow" w:hAnsi="Arial Narrow" w:cs="Calibri"/>
                <w:color w:val="000000"/>
              </w:rPr>
            </w:pPr>
            <w:r w:rsidRPr="00B20014">
              <w:rPr>
                <w:rFonts w:ascii="Arial Narrow" w:hAnsi="Arial Narrow" w:cs="Calibri"/>
                <w:color w:val="000000"/>
              </w:rPr>
              <w:t>Material sanitario de consumo</w:t>
            </w:r>
          </w:p>
        </w:tc>
        <w:tc>
          <w:tcPr>
            <w:tcW w:w="2693" w:type="dxa"/>
            <w:tcBorders>
              <w:top w:val="single" w:sz="4" w:space="0" w:color="auto"/>
              <w:left w:val="nil"/>
              <w:bottom w:val="single" w:sz="2" w:space="0" w:color="auto"/>
              <w:right w:val="nil"/>
            </w:tcBorders>
            <w:shd w:val="clear" w:color="auto" w:fill="auto"/>
            <w:noWrap/>
            <w:vAlign w:val="center"/>
            <w:hideMark/>
          </w:tcPr>
          <w:p w:rsidR="00676CA2" w:rsidRPr="00B20014" w:rsidRDefault="00676CA2" w:rsidP="00E51697">
            <w:pPr>
              <w:spacing w:after="0"/>
              <w:ind w:firstLine="0"/>
              <w:contextualSpacing/>
              <w:jc w:val="right"/>
              <w:rPr>
                <w:rFonts w:ascii="Arial Narrow" w:hAnsi="Arial Narrow" w:cs="Calibri"/>
                <w:color w:val="000000"/>
              </w:rPr>
            </w:pPr>
            <w:r w:rsidRPr="00B20014">
              <w:rPr>
                <w:rFonts w:ascii="Arial Narrow" w:hAnsi="Arial Narrow" w:cs="Calibri"/>
                <w:color w:val="000000"/>
              </w:rPr>
              <w:t>23.492.140</w:t>
            </w:r>
          </w:p>
        </w:tc>
        <w:tc>
          <w:tcPr>
            <w:tcW w:w="1843" w:type="dxa"/>
            <w:tcBorders>
              <w:top w:val="single" w:sz="4" w:space="0" w:color="auto"/>
              <w:left w:val="nil"/>
              <w:bottom w:val="single" w:sz="2" w:space="0" w:color="auto"/>
              <w:right w:val="nil"/>
            </w:tcBorders>
            <w:vAlign w:val="center"/>
          </w:tcPr>
          <w:p w:rsidR="00676CA2" w:rsidRPr="00B20014" w:rsidRDefault="00676CA2" w:rsidP="00E51697">
            <w:pPr>
              <w:spacing w:after="0"/>
              <w:contextualSpacing/>
              <w:jc w:val="right"/>
              <w:rPr>
                <w:rFonts w:ascii="Arial Narrow" w:hAnsi="Arial Narrow" w:cs="Calibri"/>
                <w:color w:val="000000"/>
              </w:rPr>
            </w:pPr>
            <w:r w:rsidRPr="00B20014">
              <w:rPr>
                <w:rFonts w:ascii="Arial Narrow" w:hAnsi="Arial Narrow" w:cs="Calibri"/>
                <w:color w:val="000000"/>
              </w:rPr>
              <w:t>33</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hideMark/>
          </w:tcPr>
          <w:p w:rsidR="00676CA2" w:rsidRPr="00B20014" w:rsidRDefault="00676CA2" w:rsidP="00E51697">
            <w:pPr>
              <w:spacing w:after="0"/>
              <w:ind w:firstLine="0"/>
              <w:contextualSpacing/>
              <w:jc w:val="left"/>
              <w:rPr>
                <w:rFonts w:ascii="Arial Narrow" w:hAnsi="Arial Narrow" w:cs="Calibri"/>
                <w:color w:val="000000"/>
              </w:rPr>
            </w:pPr>
            <w:r w:rsidRPr="00B20014">
              <w:rPr>
                <w:rFonts w:ascii="Arial Narrow" w:hAnsi="Arial Narrow" w:cs="Calibri"/>
                <w:color w:val="000000"/>
              </w:rPr>
              <w:t>Productos químicos y de labor</w:t>
            </w:r>
            <w:r>
              <w:rPr>
                <w:rFonts w:ascii="Arial Narrow" w:hAnsi="Arial Narrow" w:cs="Calibri"/>
                <w:color w:val="000000"/>
              </w:rPr>
              <w:t>atorio</w:t>
            </w:r>
          </w:p>
        </w:tc>
        <w:tc>
          <w:tcPr>
            <w:tcW w:w="2693" w:type="dxa"/>
            <w:tcBorders>
              <w:top w:val="single" w:sz="2" w:space="0" w:color="auto"/>
              <w:left w:val="nil"/>
              <w:bottom w:val="single" w:sz="2" w:space="0" w:color="auto"/>
              <w:right w:val="nil"/>
            </w:tcBorders>
            <w:shd w:val="clear" w:color="auto" w:fill="auto"/>
            <w:noWrap/>
            <w:vAlign w:val="center"/>
            <w:hideMark/>
          </w:tcPr>
          <w:p w:rsidR="00676CA2" w:rsidRPr="00B20014" w:rsidRDefault="00676CA2" w:rsidP="00E51697">
            <w:pPr>
              <w:spacing w:after="0"/>
              <w:ind w:firstLine="0"/>
              <w:contextualSpacing/>
              <w:jc w:val="right"/>
              <w:rPr>
                <w:rFonts w:ascii="Arial Narrow" w:hAnsi="Arial Narrow" w:cs="Calibri"/>
                <w:color w:val="000000"/>
              </w:rPr>
            </w:pPr>
            <w:r w:rsidRPr="00B20014">
              <w:rPr>
                <w:rFonts w:ascii="Arial Narrow" w:hAnsi="Arial Narrow" w:cs="Calibri"/>
                <w:color w:val="000000"/>
              </w:rPr>
              <w:t>14.017.539</w:t>
            </w:r>
          </w:p>
        </w:tc>
        <w:tc>
          <w:tcPr>
            <w:tcW w:w="1843" w:type="dxa"/>
            <w:tcBorders>
              <w:top w:val="single" w:sz="2" w:space="0" w:color="auto"/>
              <w:left w:val="nil"/>
              <w:bottom w:val="single" w:sz="2" w:space="0" w:color="auto"/>
              <w:right w:val="nil"/>
            </w:tcBorders>
            <w:vAlign w:val="center"/>
          </w:tcPr>
          <w:p w:rsidR="00676CA2" w:rsidRPr="00B20014" w:rsidRDefault="00676CA2" w:rsidP="00E51697">
            <w:pPr>
              <w:spacing w:after="0"/>
              <w:contextualSpacing/>
              <w:jc w:val="right"/>
              <w:rPr>
                <w:rFonts w:ascii="Arial Narrow" w:hAnsi="Arial Narrow" w:cs="Calibri"/>
                <w:color w:val="000000"/>
              </w:rPr>
            </w:pPr>
            <w:r w:rsidRPr="00B20014">
              <w:rPr>
                <w:rFonts w:ascii="Arial Narrow" w:hAnsi="Arial Narrow" w:cs="Calibri"/>
                <w:color w:val="000000"/>
              </w:rPr>
              <w:t>20</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hideMark/>
          </w:tcPr>
          <w:p w:rsidR="00676CA2" w:rsidRPr="00B20014" w:rsidRDefault="00676CA2" w:rsidP="00E51697">
            <w:pPr>
              <w:spacing w:after="0"/>
              <w:ind w:firstLine="0"/>
              <w:contextualSpacing/>
              <w:jc w:val="left"/>
              <w:rPr>
                <w:rFonts w:ascii="Arial Narrow" w:hAnsi="Arial Narrow" w:cs="Calibri"/>
                <w:color w:val="000000"/>
              </w:rPr>
            </w:pPr>
            <w:r w:rsidRPr="00B20014">
              <w:rPr>
                <w:rFonts w:ascii="Arial Narrow" w:hAnsi="Arial Narrow" w:cs="Calibri"/>
                <w:color w:val="000000"/>
              </w:rPr>
              <w:t>Conciertos de asistencia sanit</w:t>
            </w:r>
            <w:r>
              <w:rPr>
                <w:rFonts w:ascii="Arial Narrow" w:hAnsi="Arial Narrow" w:cs="Calibri"/>
                <w:color w:val="000000"/>
              </w:rPr>
              <w:t>aria</w:t>
            </w:r>
          </w:p>
        </w:tc>
        <w:tc>
          <w:tcPr>
            <w:tcW w:w="2693" w:type="dxa"/>
            <w:tcBorders>
              <w:top w:val="single" w:sz="2" w:space="0" w:color="auto"/>
              <w:left w:val="nil"/>
              <w:bottom w:val="single" w:sz="2" w:space="0" w:color="auto"/>
              <w:right w:val="nil"/>
            </w:tcBorders>
            <w:shd w:val="clear" w:color="auto" w:fill="auto"/>
            <w:noWrap/>
            <w:vAlign w:val="center"/>
            <w:hideMark/>
          </w:tcPr>
          <w:p w:rsidR="00676CA2" w:rsidRPr="00B20014" w:rsidRDefault="00676CA2" w:rsidP="00E51697">
            <w:pPr>
              <w:spacing w:after="0"/>
              <w:ind w:firstLine="0"/>
              <w:contextualSpacing/>
              <w:jc w:val="right"/>
              <w:rPr>
                <w:rFonts w:ascii="Arial Narrow" w:hAnsi="Arial Narrow" w:cs="Calibri"/>
                <w:color w:val="000000"/>
              </w:rPr>
            </w:pPr>
            <w:r w:rsidRPr="00B20014">
              <w:rPr>
                <w:rFonts w:ascii="Arial Narrow" w:hAnsi="Arial Narrow" w:cs="Calibri"/>
                <w:color w:val="000000"/>
              </w:rPr>
              <w:t>8.585.045</w:t>
            </w:r>
          </w:p>
        </w:tc>
        <w:tc>
          <w:tcPr>
            <w:tcW w:w="1843" w:type="dxa"/>
            <w:tcBorders>
              <w:top w:val="single" w:sz="2" w:space="0" w:color="auto"/>
              <w:left w:val="nil"/>
              <w:bottom w:val="single" w:sz="2" w:space="0" w:color="auto"/>
              <w:right w:val="nil"/>
            </w:tcBorders>
            <w:vAlign w:val="center"/>
          </w:tcPr>
          <w:p w:rsidR="00676CA2" w:rsidRPr="00B20014" w:rsidRDefault="00676CA2" w:rsidP="00E51697">
            <w:pPr>
              <w:spacing w:after="0"/>
              <w:contextualSpacing/>
              <w:jc w:val="right"/>
              <w:rPr>
                <w:rFonts w:ascii="Arial Narrow" w:hAnsi="Arial Narrow" w:cs="Calibri"/>
                <w:color w:val="000000"/>
              </w:rPr>
            </w:pPr>
            <w:r w:rsidRPr="00B20014">
              <w:rPr>
                <w:rFonts w:ascii="Arial Narrow" w:hAnsi="Arial Narrow" w:cs="Calibri"/>
                <w:color w:val="000000"/>
              </w:rPr>
              <w:t>12</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hideMark/>
          </w:tcPr>
          <w:p w:rsidR="00676CA2" w:rsidRPr="00B20014" w:rsidRDefault="00676CA2" w:rsidP="00E51697">
            <w:pPr>
              <w:spacing w:after="0"/>
              <w:ind w:firstLine="0"/>
              <w:contextualSpacing/>
              <w:jc w:val="left"/>
              <w:rPr>
                <w:rFonts w:ascii="Arial Narrow" w:hAnsi="Arial Narrow" w:cs="Calibri"/>
                <w:color w:val="000000"/>
              </w:rPr>
            </w:pPr>
            <w:r w:rsidRPr="00B20014">
              <w:rPr>
                <w:rFonts w:ascii="Arial Narrow" w:hAnsi="Arial Narrow" w:cs="Calibri"/>
                <w:color w:val="000000"/>
              </w:rPr>
              <w:t>Gest</w:t>
            </w:r>
            <w:r>
              <w:rPr>
                <w:rFonts w:ascii="Arial Narrow" w:hAnsi="Arial Narrow" w:cs="Calibri"/>
                <w:color w:val="000000"/>
              </w:rPr>
              <w:t>ión servicios sociales</w:t>
            </w:r>
            <w:r w:rsidRPr="00B20014">
              <w:rPr>
                <w:rFonts w:ascii="Arial Narrow" w:hAnsi="Arial Narrow" w:cs="Calibri"/>
                <w:color w:val="000000"/>
              </w:rPr>
              <w:t xml:space="preserve"> garant</w:t>
            </w:r>
            <w:r>
              <w:rPr>
                <w:rFonts w:ascii="Arial Narrow" w:hAnsi="Arial Narrow" w:cs="Calibri"/>
                <w:color w:val="000000"/>
              </w:rPr>
              <w:t>izados</w:t>
            </w:r>
          </w:p>
        </w:tc>
        <w:tc>
          <w:tcPr>
            <w:tcW w:w="2693" w:type="dxa"/>
            <w:tcBorders>
              <w:top w:val="single" w:sz="2" w:space="0" w:color="auto"/>
              <w:left w:val="nil"/>
              <w:bottom w:val="single" w:sz="2" w:space="0" w:color="auto"/>
              <w:right w:val="nil"/>
            </w:tcBorders>
            <w:shd w:val="clear" w:color="auto" w:fill="auto"/>
            <w:noWrap/>
            <w:vAlign w:val="center"/>
            <w:hideMark/>
          </w:tcPr>
          <w:p w:rsidR="00676CA2" w:rsidRPr="00B20014" w:rsidRDefault="00676CA2" w:rsidP="00E51697">
            <w:pPr>
              <w:spacing w:after="0"/>
              <w:ind w:firstLine="0"/>
              <w:contextualSpacing/>
              <w:jc w:val="right"/>
              <w:rPr>
                <w:rFonts w:ascii="Arial Narrow" w:hAnsi="Arial Narrow" w:cs="Calibri"/>
                <w:color w:val="000000"/>
              </w:rPr>
            </w:pPr>
            <w:r w:rsidRPr="00B20014">
              <w:rPr>
                <w:rFonts w:ascii="Arial Narrow" w:hAnsi="Arial Narrow" w:cs="Calibri"/>
                <w:color w:val="000000"/>
              </w:rPr>
              <w:t>4.646.102</w:t>
            </w:r>
          </w:p>
        </w:tc>
        <w:tc>
          <w:tcPr>
            <w:tcW w:w="1843" w:type="dxa"/>
            <w:tcBorders>
              <w:top w:val="single" w:sz="2" w:space="0" w:color="auto"/>
              <w:left w:val="nil"/>
              <w:bottom w:val="single" w:sz="2" w:space="0" w:color="auto"/>
              <w:right w:val="nil"/>
            </w:tcBorders>
            <w:vAlign w:val="center"/>
          </w:tcPr>
          <w:p w:rsidR="00676CA2" w:rsidRPr="00B20014" w:rsidRDefault="00676CA2" w:rsidP="00E51697">
            <w:pPr>
              <w:spacing w:after="0"/>
              <w:contextualSpacing/>
              <w:jc w:val="right"/>
              <w:rPr>
                <w:rFonts w:ascii="Arial Narrow" w:hAnsi="Arial Narrow" w:cs="Calibri"/>
                <w:color w:val="000000"/>
              </w:rPr>
            </w:pPr>
            <w:r w:rsidRPr="00B20014">
              <w:rPr>
                <w:rFonts w:ascii="Arial Narrow" w:hAnsi="Arial Narrow" w:cs="Calibri"/>
                <w:color w:val="000000"/>
              </w:rPr>
              <w:t>6,6</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hideMark/>
          </w:tcPr>
          <w:p w:rsidR="00676CA2" w:rsidRPr="00B20014" w:rsidRDefault="00676CA2" w:rsidP="00E51697">
            <w:pPr>
              <w:spacing w:after="0"/>
              <w:ind w:firstLine="0"/>
              <w:contextualSpacing/>
              <w:jc w:val="left"/>
              <w:rPr>
                <w:rFonts w:ascii="Arial Narrow" w:hAnsi="Arial Narrow" w:cs="Calibri"/>
                <w:color w:val="000000"/>
              </w:rPr>
            </w:pPr>
            <w:r w:rsidRPr="00B20014">
              <w:rPr>
                <w:rFonts w:ascii="Arial Narrow" w:hAnsi="Arial Narrow" w:cs="Calibri"/>
                <w:color w:val="000000"/>
              </w:rPr>
              <w:t>Instrumental y pequeño utillaj</w:t>
            </w:r>
            <w:r>
              <w:rPr>
                <w:rFonts w:ascii="Arial Narrow" w:hAnsi="Arial Narrow" w:cs="Calibri"/>
                <w:color w:val="000000"/>
              </w:rPr>
              <w:t>e</w:t>
            </w:r>
          </w:p>
        </w:tc>
        <w:tc>
          <w:tcPr>
            <w:tcW w:w="2693" w:type="dxa"/>
            <w:tcBorders>
              <w:top w:val="single" w:sz="2" w:space="0" w:color="auto"/>
              <w:left w:val="nil"/>
              <w:bottom w:val="single" w:sz="2" w:space="0" w:color="auto"/>
              <w:right w:val="nil"/>
            </w:tcBorders>
            <w:shd w:val="clear" w:color="auto" w:fill="auto"/>
            <w:noWrap/>
            <w:vAlign w:val="center"/>
            <w:hideMark/>
          </w:tcPr>
          <w:p w:rsidR="00676CA2" w:rsidRPr="00B20014" w:rsidRDefault="00676CA2" w:rsidP="00E51697">
            <w:pPr>
              <w:spacing w:after="0"/>
              <w:ind w:firstLine="0"/>
              <w:contextualSpacing/>
              <w:jc w:val="right"/>
              <w:rPr>
                <w:rFonts w:ascii="Arial Narrow" w:hAnsi="Arial Narrow" w:cs="Calibri"/>
                <w:color w:val="000000"/>
              </w:rPr>
            </w:pPr>
            <w:r w:rsidRPr="00B20014">
              <w:rPr>
                <w:rFonts w:ascii="Arial Narrow" w:hAnsi="Arial Narrow" w:cs="Calibri"/>
                <w:color w:val="000000"/>
              </w:rPr>
              <w:t>3.228.254</w:t>
            </w:r>
          </w:p>
        </w:tc>
        <w:tc>
          <w:tcPr>
            <w:tcW w:w="1843" w:type="dxa"/>
            <w:tcBorders>
              <w:top w:val="single" w:sz="2" w:space="0" w:color="auto"/>
              <w:left w:val="nil"/>
              <w:bottom w:val="single" w:sz="2" w:space="0" w:color="auto"/>
              <w:right w:val="nil"/>
            </w:tcBorders>
            <w:vAlign w:val="center"/>
          </w:tcPr>
          <w:p w:rsidR="00676CA2" w:rsidRPr="00B20014" w:rsidRDefault="00676CA2" w:rsidP="00E51697">
            <w:pPr>
              <w:spacing w:after="0"/>
              <w:contextualSpacing/>
              <w:jc w:val="right"/>
              <w:rPr>
                <w:rFonts w:ascii="Arial Narrow" w:hAnsi="Arial Narrow" w:cs="Calibri"/>
                <w:color w:val="000000"/>
              </w:rPr>
            </w:pPr>
            <w:r w:rsidRPr="00B20014">
              <w:rPr>
                <w:rFonts w:ascii="Arial Narrow" w:hAnsi="Arial Narrow" w:cs="Calibri"/>
                <w:color w:val="000000"/>
              </w:rPr>
              <w:t>4,6</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hideMark/>
          </w:tcPr>
          <w:p w:rsidR="00676CA2" w:rsidRPr="00B20014" w:rsidRDefault="00676CA2" w:rsidP="00E51697">
            <w:pPr>
              <w:spacing w:after="0"/>
              <w:ind w:firstLine="0"/>
              <w:contextualSpacing/>
              <w:jc w:val="left"/>
              <w:rPr>
                <w:rFonts w:ascii="Arial Narrow" w:hAnsi="Arial Narrow" w:cs="Calibri"/>
                <w:color w:val="000000"/>
              </w:rPr>
            </w:pPr>
            <w:r w:rsidRPr="00B20014">
              <w:rPr>
                <w:rFonts w:ascii="Arial Narrow" w:hAnsi="Arial Narrow" w:cs="Calibri"/>
                <w:color w:val="000000"/>
              </w:rPr>
              <w:t>Material de limpieza y aseo</w:t>
            </w:r>
          </w:p>
        </w:tc>
        <w:tc>
          <w:tcPr>
            <w:tcW w:w="2693" w:type="dxa"/>
            <w:tcBorders>
              <w:top w:val="single" w:sz="2" w:space="0" w:color="auto"/>
              <w:left w:val="nil"/>
              <w:bottom w:val="single" w:sz="2" w:space="0" w:color="auto"/>
              <w:right w:val="nil"/>
            </w:tcBorders>
            <w:shd w:val="clear" w:color="auto" w:fill="auto"/>
            <w:noWrap/>
            <w:vAlign w:val="center"/>
            <w:hideMark/>
          </w:tcPr>
          <w:p w:rsidR="00676CA2" w:rsidRPr="00B20014" w:rsidRDefault="00676CA2" w:rsidP="00E51697">
            <w:pPr>
              <w:spacing w:after="0"/>
              <w:ind w:firstLine="0"/>
              <w:contextualSpacing/>
              <w:jc w:val="right"/>
              <w:rPr>
                <w:rFonts w:ascii="Arial Narrow" w:hAnsi="Arial Narrow" w:cs="Calibri"/>
                <w:color w:val="000000"/>
              </w:rPr>
            </w:pPr>
            <w:r w:rsidRPr="00B20014">
              <w:rPr>
                <w:rFonts w:ascii="Arial Narrow" w:hAnsi="Arial Narrow" w:cs="Calibri"/>
                <w:color w:val="000000"/>
              </w:rPr>
              <w:t>2.363.003</w:t>
            </w:r>
          </w:p>
        </w:tc>
        <w:tc>
          <w:tcPr>
            <w:tcW w:w="1843" w:type="dxa"/>
            <w:tcBorders>
              <w:top w:val="single" w:sz="2" w:space="0" w:color="auto"/>
              <w:left w:val="nil"/>
              <w:bottom w:val="single" w:sz="2" w:space="0" w:color="auto"/>
              <w:right w:val="nil"/>
            </w:tcBorders>
            <w:vAlign w:val="center"/>
          </w:tcPr>
          <w:p w:rsidR="00676CA2" w:rsidRPr="00B20014" w:rsidRDefault="00676CA2" w:rsidP="00E51697">
            <w:pPr>
              <w:spacing w:after="0"/>
              <w:contextualSpacing/>
              <w:jc w:val="right"/>
              <w:rPr>
                <w:rFonts w:ascii="Arial Narrow" w:hAnsi="Arial Narrow" w:cs="Calibri"/>
                <w:color w:val="000000"/>
              </w:rPr>
            </w:pPr>
            <w:r w:rsidRPr="00B20014">
              <w:rPr>
                <w:rFonts w:ascii="Arial Narrow" w:hAnsi="Arial Narrow" w:cs="Calibri"/>
                <w:color w:val="000000"/>
              </w:rPr>
              <w:t>3,4</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hideMark/>
          </w:tcPr>
          <w:p w:rsidR="00676CA2" w:rsidRPr="00B20014" w:rsidRDefault="00676CA2" w:rsidP="00E51697">
            <w:pPr>
              <w:spacing w:after="0"/>
              <w:ind w:firstLine="0"/>
              <w:contextualSpacing/>
              <w:jc w:val="left"/>
              <w:rPr>
                <w:rFonts w:ascii="Arial Narrow" w:hAnsi="Arial Narrow" w:cs="Calibri"/>
                <w:color w:val="000000"/>
              </w:rPr>
            </w:pPr>
            <w:r w:rsidRPr="00B20014">
              <w:rPr>
                <w:rFonts w:ascii="Arial Narrow" w:hAnsi="Arial Narrow" w:cs="Calibri"/>
                <w:color w:val="000000"/>
              </w:rPr>
              <w:t>Fármacos</w:t>
            </w:r>
          </w:p>
        </w:tc>
        <w:tc>
          <w:tcPr>
            <w:tcW w:w="2693" w:type="dxa"/>
            <w:tcBorders>
              <w:top w:val="single" w:sz="2" w:space="0" w:color="auto"/>
              <w:left w:val="nil"/>
              <w:bottom w:val="single" w:sz="2" w:space="0" w:color="auto"/>
              <w:right w:val="nil"/>
            </w:tcBorders>
            <w:shd w:val="clear" w:color="auto" w:fill="auto"/>
            <w:noWrap/>
            <w:vAlign w:val="center"/>
            <w:hideMark/>
          </w:tcPr>
          <w:p w:rsidR="00676CA2" w:rsidRPr="00B20014" w:rsidRDefault="00676CA2" w:rsidP="00E51697">
            <w:pPr>
              <w:spacing w:after="0"/>
              <w:ind w:firstLine="0"/>
              <w:contextualSpacing/>
              <w:jc w:val="right"/>
              <w:rPr>
                <w:rFonts w:ascii="Arial Narrow" w:hAnsi="Arial Narrow" w:cs="Calibri"/>
                <w:color w:val="000000"/>
              </w:rPr>
            </w:pPr>
            <w:r w:rsidRPr="00B20014">
              <w:rPr>
                <w:rFonts w:ascii="Arial Narrow" w:hAnsi="Arial Narrow" w:cs="Calibri"/>
                <w:color w:val="000000"/>
              </w:rPr>
              <w:t>1.996.050</w:t>
            </w:r>
          </w:p>
        </w:tc>
        <w:tc>
          <w:tcPr>
            <w:tcW w:w="1843" w:type="dxa"/>
            <w:tcBorders>
              <w:top w:val="single" w:sz="2" w:space="0" w:color="auto"/>
              <w:left w:val="nil"/>
              <w:bottom w:val="single" w:sz="2" w:space="0" w:color="auto"/>
              <w:right w:val="nil"/>
            </w:tcBorders>
            <w:vAlign w:val="center"/>
          </w:tcPr>
          <w:p w:rsidR="00676CA2" w:rsidRPr="00B20014" w:rsidRDefault="00676CA2" w:rsidP="00E51697">
            <w:pPr>
              <w:spacing w:after="0"/>
              <w:contextualSpacing/>
              <w:jc w:val="right"/>
              <w:rPr>
                <w:rFonts w:ascii="Arial Narrow" w:hAnsi="Arial Narrow" w:cs="Calibri"/>
                <w:color w:val="000000"/>
              </w:rPr>
            </w:pPr>
            <w:r w:rsidRPr="00B20014">
              <w:rPr>
                <w:rFonts w:ascii="Arial Narrow" w:hAnsi="Arial Narrow" w:cs="Calibri"/>
                <w:color w:val="000000"/>
              </w:rPr>
              <w:t>2,8</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hideMark/>
          </w:tcPr>
          <w:p w:rsidR="00676CA2" w:rsidRPr="00B20014" w:rsidRDefault="00676CA2" w:rsidP="00E51697">
            <w:pPr>
              <w:spacing w:after="0"/>
              <w:ind w:firstLine="0"/>
              <w:contextualSpacing/>
              <w:jc w:val="left"/>
              <w:rPr>
                <w:rFonts w:ascii="Arial Narrow" w:hAnsi="Arial Narrow" w:cs="Calibri"/>
                <w:color w:val="000000"/>
              </w:rPr>
            </w:pPr>
            <w:r w:rsidRPr="00B20014">
              <w:rPr>
                <w:rFonts w:ascii="Arial Narrow" w:hAnsi="Arial Narrow" w:cs="Calibri"/>
                <w:color w:val="000000"/>
              </w:rPr>
              <w:t>Servicios de limpieza y aseo</w:t>
            </w:r>
          </w:p>
        </w:tc>
        <w:tc>
          <w:tcPr>
            <w:tcW w:w="2693" w:type="dxa"/>
            <w:tcBorders>
              <w:top w:val="single" w:sz="2" w:space="0" w:color="auto"/>
              <w:left w:val="nil"/>
              <w:bottom w:val="single" w:sz="2" w:space="0" w:color="auto"/>
              <w:right w:val="nil"/>
            </w:tcBorders>
            <w:shd w:val="clear" w:color="auto" w:fill="auto"/>
            <w:noWrap/>
            <w:vAlign w:val="center"/>
            <w:hideMark/>
          </w:tcPr>
          <w:p w:rsidR="00676CA2" w:rsidRPr="00B20014" w:rsidRDefault="00676CA2" w:rsidP="00E51697">
            <w:pPr>
              <w:spacing w:after="0"/>
              <w:ind w:firstLine="0"/>
              <w:contextualSpacing/>
              <w:jc w:val="right"/>
              <w:rPr>
                <w:rFonts w:ascii="Arial Narrow" w:hAnsi="Arial Narrow" w:cs="Calibri"/>
                <w:color w:val="000000"/>
              </w:rPr>
            </w:pPr>
            <w:r w:rsidRPr="00B20014">
              <w:rPr>
                <w:rFonts w:ascii="Arial Narrow" w:hAnsi="Arial Narrow" w:cs="Calibri"/>
                <w:color w:val="000000"/>
              </w:rPr>
              <w:t>1.789.775</w:t>
            </w:r>
          </w:p>
        </w:tc>
        <w:tc>
          <w:tcPr>
            <w:tcW w:w="1843" w:type="dxa"/>
            <w:tcBorders>
              <w:top w:val="single" w:sz="2" w:space="0" w:color="auto"/>
              <w:left w:val="nil"/>
              <w:bottom w:val="single" w:sz="2" w:space="0" w:color="auto"/>
              <w:right w:val="nil"/>
            </w:tcBorders>
            <w:vAlign w:val="center"/>
          </w:tcPr>
          <w:p w:rsidR="00676CA2" w:rsidRPr="00B20014" w:rsidRDefault="00676CA2" w:rsidP="00E51697">
            <w:pPr>
              <w:spacing w:after="0"/>
              <w:contextualSpacing/>
              <w:jc w:val="right"/>
              <w:rPr>
                <w:rFonts w:ascii="Arial Narrow" w:hAnsi="Arial Narrow" w:cs="Calibri"/>
                <w:color w:val="000000"/>
              </w:rPr>
            </w:pPr>
            <w:r w:rsidRPr="00B20014">
              <w:rPr>
                <w:rFonts w:ascii="Arial Narrow" w:hAnsi="Arial Narrow" w:cs="Calibri"/>
                <w:color w:val="000000"/>
              </w:rPr>
              <w:t>2,5</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hideMark/>
          </w:tcPr>
          <w:p w:rsidR="00676CA2" w:rsidRPr="00B20014" w:rsidRDefault="00676CA2" w:rsidP="00E51697">
            <w:pPr>
              <w:spacing w:after="0"/>
              <w:ind w:firstLine="0"/>
              <w:contextualSpacing/>
              <w:jc w:val="left"/>
              <w:rPr>
                <w:rFonts w:ascii="Arial Narrow" w:hAnsi="Arial Narrow" w:cs="Calibri"/>
                <w:color w:val="000000"/>
              </w:rPr>
            </w:pPr>
            <w:r w:rsidRPr="00B20014">
              <w:rPr>
                <w:rFonts w:ascii="Arial Narrow" w:hAnsi="Arial Narrow" w:cs="Calibri"/>
                <w:color w:val="000000"/>
              </w:rPr>
              <w:t>Otros gastos diversos</w:t>
            </w:r>
          </w:p>
        </w:tc>
        <w:tc>
          <w:tcPr>
            <w:tcW w:w="2693" w:type="dxa"/>
            <w:tcBorders>
              <w:top w:val="single" w:sz="2" w:space="0" w:color="auto"/>
              <w:left w:val="nil"/>
              <w:bottom w:val="single" w:sz="2" w:space="0" w:color="auto"/>
              <w:right w:val="nil"/>
            </w:tcBorders>
            <w:shd w:val="clear" w:color="auto" w:fill="auto"/>
            <w:noWrap/>
            <w:vAlign w:val="center"/>
            <w:hideMark/>
          </w:tcPr>
          <w:p w:rsidR="00676CA2" w:rsidRPr="00B20014" w:rsidRDefault="00676CA2" w:rsidP="00E51697">
            <w:pPr>
              <w:spacing w:after="0"/>
              <w:ind w:firstLine="0"/>
              <w:contextualSpacing/>
              <w:jc w:val="right"/>
              <w:rPr>
                <w:rFonts w:ascii="Arial Narrow" w:hAnsi="Arial Narrow" w:cs="Calibri"/>
                <w:color w:val="000000"/>
              </w:rPr>
            </w:pPr>
            <w:r w:rsidRPr="00B20014">
              <w:rPr>
                <w:rFonts w:ascii="Arial Narrow" w:hAnsi="Arial Narrow" w:cs="Calibri"/>
                <w:color w:val="000000"/>
              </w:rPr>
              <w:t>1.591.396</w:t>
            </w:r>
          </w:p>
        </w:tc>
        <w:tc>
          <w:tcPr>
            <w:tcW w:w="1843" w:type="dxa"/>
            <w:tcBorders>
              <w:top w:val="single" w:sz="2" w:space="0" w:color="auto"/>
              <w:left w:val="nil"/>
              <w:bottom w:val="single" w:sz="2" w:space="0" w:color="auto"/>
              <w:right w:val="nil"/>
            </w:tcBorders>
            <w:vAlign w:val="center"/>
          </w:tcPr>
          <w:p w:rsidR="00676CA2" w:rsidRPr="00B20014" w:rsidRDefault="00676CA2" w:rsidP="00E51697">
            <w:pPr>
              <w:spacing w:after="0"/>
              <w:contextualSpacing/>
              <w:jc w:val="right"/>
              <w:rPr>
                <w:rFonts w:ascii="Arial Narrow" w:hAnsi="Arial Narrow" w:cs="Calibri"/>
                <w:color w:val="000000"/>
              </w:rPr>
            </w:pPr>
            <w:r w:rsidRPr="00B20014">
              <w:rPr>
                <w:rFonts w:ascii="Arial Narrow" w:hAnsi="Arial Narrow" w:cs="Calibri"/>
                <w:color w:val="000000"/>
              </w:rPr>
              <w:t>2,3</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hideMark/>
          </w:tcPr>
          <w:p w:rsidR="00676CA2" w:rsidRPr="00B20014" w:rsidRDefault="00676CA2" w:rsidP="00E51697">
            <w:pPr>
              <w:spacing w:after="0"/>
              <w:ind w:firstLine="0"/>
              <w:contextualSpacing/>
              <w:jc w:val="left"/>
              <w:rPr>
                <w:rFonts w:ascii="Arial Narrow" w:hAnsi="Arial Narrow" w:cs="Calibri"/>
                <w:color w:val="000000"/>
              </w:rPr>
            </w:pPr>
            <w:r w:rsidRPr="00B20014">
              <w:rPr>
                <w:rFonts w:ascii="Arial Narrow" w:hAnsi="Arial Narrow" w:cs="Calibri"/>
                <w:color w:val="000000"/>
              </w:rPr>
              <w:t>Publicidad y propaganda</w:t>
            </w:r>
          </w:p>
        </w:tc>
        <w:tc>
          <w:tcPr>
            <w:tcW w:w="2693" w:type="dxa"/>
            <w:tcBorders>
              <w:top w:val="single" w:sz="2" w:space="0" w:color="auto"/>
              <w:left w:val="nil"/>
              <w:bottom w:val="single" w:sz="2" w:space="0" w:color="auto"/>
              <w:right w:val="nil"/>
            </w:tcBorders>
            <w:shd w:val="clear" w:color="auto" w:fill="auto"/>
            <w:noWrap/>
            <w:vAlign w:val="center"/>
            <w:hideMark/>
          </w:tcPr>
          <w:p w:rsidR="00676CA2" w:rsidRPr="00B20014" w:rsidRDefault="00676CA2" w:rsidP="00E51697">
            <w:pPr>
              <w:spacing w:after="0"/>
              <w:ind w:firstLine="0"/>
              <w:contextualSpacing/>
              <w:jc w:val="right"/>
              <w:rPr>
                <w:rFonts w:ascii="Arial Narrow" w:hAnsi="Arial Narrow" w:cs="Calibri"/>
                <w:color w:val="000000"/>
              </w:rPr>
            </w:pPr>
            <w:r w:rsidRPr="00B20014">
              <w:rPr>
                <w:rFonts w:ascii="Arial Narrow" w:hAnsi="Arial Narrow" w:cs="Calibri"/>
                <w:color w:val="000000"/>
              </w:rPr>
              <w:t>1.120.399</w:t>
            </w:r>
          </w:p>
        </w:tc>
        <w:tc>
          <w:tcPr>
            <w:tcW w:w="1843" w:type="dxa"/>
            <w:tcBorders>
              <w:top w:val="single" w:sz="2" w:space="0" w:color="auto"/>
              <w:left w:val="nil"/>
              <w:bottom w:val="single" w:sz="2" w:space="0" w:color="auto"/>
              <w:right w:val="nil"/>
            </w:tcBorders>
            <w:vAlign w:val="center"/>
          </w:tcPr>
          <w:p w:rsidR="00676CA2" w:rsidRPr="00B20014" w:rsidRDefault="00676CA2" w:rsidP="00E51697">
            <w:pPr>
              <w:spacing w:after="0"/>
              <w:contextualSpacing/>
              <w:jc w:val="right"/>
              <w:rPr>
                <w:rFonts w:ascii="Arial Narrow" w:hAnsi="Arial Narrow" w:cs="Calibri"/>
                <w:color w:val="000000"/>
              </w:rPr>
            </w:pPr>
            <w:r w:rsidRPr="00B20014">
              <w:rPr>
                <w:rFonts w:ascii="Arial Narrow" w:hAnsi="Arial Narrow" w:cs="Calibri"/>
                <w:color w:val="000000"/>
              </w:rPr>
              <w:t>1,6</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hideMark/>
          </w:tcPr>
          <w:p w:rsidR="00676CA2" w:rsidRPr="00B20014" w:rsidRDefault="00676CA2" w:rsidP="00E51697">
            <w:pPr>
              <w:spacing w:after="0"/>
              <w:ind w:firstLine="0"/>
              <w:contextualSpacing/>
              <w:jc w:val="left"/>
              <w:rPr>
                <w:rFonts w:ascii="Arial Narrow" w:hAnsi="Arial Narrow" w:cs="Calibri"/>
                <w:color w:val="000000"/>
              </w:rPr>
            </w:pPr>
            <w:r w:rsidRPr="00B20014">
              <w:rPr>
                <w:rFonts w:ascii="Arial Narrow" w:hAnsi="Arial Narrow" w:cs="Calibri"/>
                <w:color w:val="000000"/>
              </w:rPr>
              <w:t>Otros trabajos realizados por</w:t>
            </w:r>
          </w:p>
        </w:tc>
        <w:tc>
          <w:tcPr>
            <w:tcW w:w="2693" w:type="dxa"/>
            <w:tcBorders>
              <w:top w:val="single" w:sz="2" w:space="0" w:color="auto"/>
              <w:left w:val="nil"/>
              <w:bottom w:val="single" w:sz="2" w:space="0" w:color="auto"/>
              <w:right w:val="nil"/>
            </w:tcBorders>
            <w:shd w:val="clear" w:color="auto" w:fill="auto"/>
            <w:noWrap/>
            <w:vAlign w:val="center"/>
            <w:hideMark/>
          </w:tcPr>
          <w:p w:rsidR="00676CA2" w:rsidRPr="00B20014" w:rsidRDefault="00676CA2" w:rsidP="00E51697">
            <w:pPr>
              <w:spacing w:after="0"/>
              <w:ind w:firstLine="0"/>
              <w:contextualSpacing/>
              <w:jc w:val="right"/>
              <w:rPr>
                <w:rFonts w:ascii="Arial Narrow" w:hAnsi="Arial Narrow" w:cs="Calibri"/>
                <w:color w:val="000000"/>
              </w:rPr>
            </w:pPr>
            <w:r w:rsidRPr="00B20014">
              <w:rPr>
                <w:rFonts w:ascii="Arial Narrow" w:hAnsi="Arial Narrow" w:cs="Calibri"/>
                <w:color w:val="000000"/>
              </w:rPr>
              <w:t>1.042.478</w:t>
            </w:r>
          </w:p>
        </w:tc>
        <w:tc>
          <w:tcPr>
            <w:tcW w:w="1843" w:type="dxa"/>
            <w:tcBorders>
              <w:top w:val="single" w:sz="2" w:space="0" w:color="auto"/>
              <w:left w:val="nil"/>
              <w:bottom w:val="single" w:sz="2" w:space="0" w:color="auto"/>
              <w:right w:val="nil"/>
            </w:tcBorders>
            <w:vAlign w:val="bottom"/>
          </w:tcPr>
          <w:p w:rsidR="00676CA2" w:rsidRPr="00B20014" w:rsidRDefault="00676CA2" w:rsidP="00E51697">
            <w:pPr>
              <w:spacing w:after="0"/>
              <w:contextualSpacing/>
              <w:jc w:val="right"/>
              <w:rPr>
                <w:rFonts w:ascii="Arial Narrow" w:hAnsi="Arial Narrow" w:cs="Calibri"/>
                <w:color w:val="000000"/>
              </w:rPr>
            </w:pPr>
            <w:r w:rsidRPr="00B20014">
              <w:rPr>
                <w:rFonts w:ascii="Arial Narrow" w:hAnsi="Arial Narrow" w:cs="Calibri"/>
                <w:color w:val="000000"/>
              </w:rPr>
              <w:t>1,5</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hideMark/>
          </w:tcPr>
          <w:p w:rsidR="00676CA2" w:rsidRPr="00B20014" w:rsidRDefault="00676CA2" w:rsidP="00E51697">
            <w:pPr>
              <w:spacing w:after="0"/>
              <w:ind w:firstLine="0"/>
              <w:contextualSpacing/>
              <w:jc w:val="left"/>
              <w:rPr>
                <w:rFonts w:ascii="Arial Narrow" w:hAnsi="Arial Narrow" w:cs="Calibri"/>
                <w:color w:val="000000"/>
              </w:rPr>
            </w:pPr>
            <w:r w:rsidRPr="00B20014">
              <w:rPr>
                <w:rFonts w:ascii="Arial Narrow" w:hAnsi="Arial Narrow" w:cs="Calibri"/>
                <w:color w:val="000000"/>
              </w:rPr>
              <w:t>Otros suministros auxiliares</w:t>
            </w:r>
          </w:p>
        </w:tc>
        <w:tc>
          <w:tcPr>
            <w:tcW w:w="2693" w:type="dxa"/>
            <w:tcBorders>
              <w:top w:val="single" w:sz="2" w:space="0" w:color="auto"/>
              <w:left w:val="nil"/>
              <w:bottom w:val="single" w:sz="2" w:space="0" w:color="auto"/>
              <w:right w:val="nil"/>
            </w:tcBorders>
            <w:shd w:val="clear" w:color="auto" w:fill="auto"/>
            <w:noWrap/>
            <w:vAlign w:val="center"/>
            <w:hideMark/>
          </w:tcPr>
          <w:p w:rsidR="00676CA2" w:rsidRPr="00B20014" w:rsidRDefault="00676CA2" w:rsidP="00E51697">
            <w:pPr>
              <w:spacing w:after="0"/>
              <w:ind w:firstLine="0"/>
              <w:contextualSpacing/>
              <w:jc w:val="right"/>
              <w:rPr>
                <w:rFonts w:ascii="Arial Narrow" w:hAnsi="Arial Narrow" w:cs="Calibri"/>
                <w:color w:val="000000"/>
              </w:rPr>
            </w:pPr>
            <w:r w:rsidRPr="00B20014">
              <w:rPr>
                <w:rFonts w:ascii="Arial Narrow" w:hAnsi="Arial Narrow" w:cs="Calibri"/>
                <w:color w:val="000000"/>
              </w:rPr>
              <w:t>1.021.540</w:t>
            </w:r>
          </w:p>
        </w:tc>
        <w:tc>
          <w:tcPr>
            <w:tcW w:w="1843" w:type="dxa"/>
            <w:tcBorders>
              <w:top w:val="single" w:sz="2" w:space="0" w:color="auto"/>
              <w:left w:val="nil"/>
              <w:bottom w:val="single" w:sz="2" w:space="0" w:color="auto"/>
              <w:right w:val="nil"/>
            </w:tcBorders>
            <w:vAlign w:val="bottom"/>
          </w:tcPr>
          <w:p w:rsidR="00676CA2" w:rsidRPr="00B20014" w:rsidRDefault="00676CA2" w:rsidP="00E51697">
            <w:pPr>
              <w:spacing w:after="0"/>
              <w:contextualSpacing/>
              <w:jc w:val="right"/>
              <w:rPr>
                <w:rFonts w:ascii="Arial Narrow" w:hAnsi="Arial Narrow" w:cs="Calibri"/>
                <w:color w:val="000000"/>
              </w:rPr>
            </w:pPr>
            <w:r w:rsidRPr="00B20014">
              <w:rPr>
                <w:rFonts w:ascii="Arial Narrow" w:hAnsi="Arial Narrow" w:cs="Calibri"/>
                <w:color w:val="000000"/>
              </w:rPr>
              <w:t>1,4</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tcPr>
          <w:p w:rsidR="00676CA2" w:rsidRPr="00B20014" w:rsidRDefault="00676CA2" w:rsidP="00E51697">
            <w:pPr>
              <w:spacing w:after="0"/>
              <w:ind w:firstLine="0"/>
              <w:contextualSpacing/>
              <w:jc w:val="left"/>
              <w:rPr>
                <w:rFonts w:ascii="Arial Narrow" w:hAnsi="Arial Narrow" w:cs="Calibri"/>
                <w:color w:val="000000"/>
              </w:rPr>
            </w:pPr>
            <w:r w:rsidRPr="00B20014">
              <w:rPr>
                <w:rFonts w:ascii="Arial Narrow" w:hAnsi="Arial Narrow" w:cs="Calibri"/>
                <w:color w:val="000000"/>
              </w:rPr>
              <w:t>Transporte escolar</w:t>
            </w:r>
          </w:p>
        </w:tc>
        <w:tc>
          <w:tcPr>
            <w:tcW w:w="2693" w:type="dxa"/>
            <w:tcBorders>
              <w:top w:val="single" w:sz="2" w:space="0" w:color="auto"/>
              <w:left w:val="nil"/>
              <w:bottom w:val="single" w:sz="2" w:space="0" w:color="auto"/>
              <w:right w:val="nil"/>
            </w:tcBorders>
            <w:shd w:val="clear" w:color="auto" w:fill="auto"/>
            <w:noWrap/>
            <w:vAlign w:val="center"/>
          </w:tcPr>
          <w:p w:rsidR="00676CA2" w:rsidRPr="00B20014" w:rsidRDefault="00676CA2" w:rsidP="00E51697">
            <w:pPr>
              <w:spacing w:after="0"/>
              <w:ind w:firstLine="0"/>
              <w:contextualSpacing/>
              <w:jc w:val="right"/>
              <w:rPr>
                <w:rFonts w:ascii="Arial Narrow" w:hAnsi="Arial Narrow" w:cs="Calibri"/>
                <w:color w:val="000000"/>
              </w:rPr>
            </w:pPr>
            <w:r w:rsidRPr="00B20014">
              <w:rPr>
                <w:rFonts w:ascii="Arial Narrow" w:hAnsi="Arial Narrow" w:cs="Calibri"/>
                <w:color w:val="000000"/>
              </w:rPr>
              <w:t>761.435</w:t>
            </w:r>
          </w:p>
        </w:tc>
        <w:tc>
          <w:tcPr>
            <w:tcW w:w="1843" w:type="dxa"/>
            <w:tcBorders>
              <w:top w:val="single" w:sz="2" w:space="0" w:color="auto"/>
              <w:left w:val="nil"/>
              <w:bottom w:val="single" w:sz="2" w:space="0" w:color="auto"/>
              <w:right w:val="nil"/>
            </w:tcBorders>
            <w:vAlign w:val="bottom"/>
          </w:tcPr>
          <w:p w:rsidR="00676CA2" w:rsidRPr="00B20014" w:rsidRDefault="00676CA2" w:rsidP="00E51697">
            <w:pPr>
              <w:spacing w:after="0"/>
              <w:contextualSpacing/>
              <w:jc w:val="right"/>
              <w:rPr>
                <w:rFonts w:ascii="Arial Narrow" w:hAnsi="Arial Narrow" w:cs="Calibri"/>
                <w:color w:val="000000"/>
              </w:rPr>
            </w:pPr>
            <w:r w:rsidRPr="00B20014">
              <w:rPr>
                <w:rFonts w:ascii="Arial Narrow" w:hAnsi="Arial Narrow" w:cs="Calibri"/>
                <w:color w:val="000000"/>
              </w:rPr>
              <w:t>1,1</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tcPr>
          <w:p w:rsidR="00676CA2" w:rsidRPr="00B20014" w:rsidRDefault="00676CA2" w:rsidP="00E51697">
            <w:pPr>
              <w:spacing w:after="0"/>
              <w:ind w:firstLine="0"/>
              <w:contextualSpacing/>
              <w:jc w:val="left"/>
              <w:rPr>
                <w:rFonts w:ascii="Arial Narrow" w:hAnsi="Arial Narrow" w:cs="Calibri"/>
                <w:color w:val="000000"/>
              </w:rPr>
            </w:pPr>
            <w:r w:rsidRPr="00B20014">
              <w:rPr>
                <w:rFonts w:ascii="Arial Narrow" w:hAnsi="Arial Narrow" w:cs="Calibri"/>
                <w:color w:val="000000"/>
              </w:rPr>
              <w:t>Transporte sanitario</w:t>
            </w:r>
          </w:p>
        </w:tc>
        <w:tc>
          <w:tcPr>
            <w:tcW w:w="2693" w:type="dxa"/>
            <w:tcBorders>
              <w:top w:val="single" w:sz="2" w:space="0" w:color="auto"/>
              <w:left w:val="nil"/>
              <w:bottom w:val="single" w:sz="2" w:space="0" w:color="auto"/>
              <w:right w:val="nil"/>
            </w:tcBorders>
            <w:shd w:val="clear" w:color="auto" w:fill="auto"/>
            <w:noWrap/>
            <w:vAlign w:val="center"/>
          </w:tcPr>
          <w:p w:rsidR="00676CA2" w:rsidRPr="00B20014" w:rsidRDefault="00676CA2" w:rsidP="00E51697">
            <w:pPr>
              <w:spacing w:after="0"/>
              <w:ind w:firstLine="0"/>
              <w:contextualSpacing/>
              <w:jc w:val="right"/>
              <w:rPr>
                <w:rFonts w:ascii="Arial Narrow" w:hAnsi="Arial Narrow" w:cs="Calibri"/>
                <w:color w:val="000000"/>
              </w:rPr>
            </w:pPr>
            <w:r w:rsidRPr="00B20014">
              <w:rPr>
                <w:rFonts w:ascii="Arial Narrow" w:hAnsi="Arial Narrow" w:cs="Calibri"/>
                <w:color w:val="000000"/>
              </w:rPr>
              <w:t>635.294</w:t>
            </w:r>
          </w:p>
        </w:tc>
        <w:tc>
          <w:tcPr>
            <w:tcW w:w="1843" w:type="dxa"/>
            <w:tcBorders>
              <w:top w:val="single" w:sz="2" w:space="0" w:color="auto"/>
              <w:left w:val="nil"/>
              <w:bottom w:val="single" w:sz="2" w:space="0" w:color="auto"/>
              <w:right w:val="nil"/>
            </w:tcBorders>
            <w:vAlign w:val="bottom"/>
          </w:tcPr>
          <w:p w:rsidR="00676CA2" w:rsidRPr="00B20014" w:rsidRDefault="00676CA2" w:rsidP="00E51697">
            <w:pPr>
              <w:spacing w:after="0"/>
              <w:contextualSpacing/>
              <w:jc w:val="right"/>
              <w:rPr>
                <w:rFonts w:ascii="Arial Narrow" w:hAnsi="Arial Narrow" w:cs="Calibri"/>
                <w:color w:val="000000"/>
              </w:rPr>
            </w:pPr>
            <w:r w:rsidRPr="00B20014">
              <w:rPr>
                <w:rFonts w:ascii="Arial Narrow" w:hAnsi="Arial Narrow" w:cs="Calibri"/>
                <w:color w:val="000000"/>
              </w:rPr>
              <w:t>0,9</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tcPr>
          <w:p w:rsidR="00676CA2" w:rsidRPr="00B20014" w:rsidRDefault="00676CA2" w:rsidP="00E51697">
            <w:pPr>
              <w:spacing w:after="0"/>
              <w:ind w:firstLine="0"/>
              <w:contextualSpacing/>
              <w:jc w:val="left"/>
              <w:rPr>
                <w:rFonts w:ascii="Arial Narrow" w:hAnsi="Arial Narrow" w:cs="Calibri"/>
                <w:color w:val="000000"/>
              </w:rPr>
            </w:pPr>
            <w:r w:rsidRPr="00B20014">
              <w:rPr>
                <w:rFonts w:ascii="Arial Narrow" w:hAnsi="Arial Narrow" w:cs="Calibri"/>
                <w:color w:val="000000"/>
              </w:rPr>
              <w:t>Servicios informáticos</w:t>
            </w:r>
          </w:p>
        </w:tc>
        <w:tc>
          <w:tcPr>
            <w:tcW w:w="2693" w:type="dxa"/>
            <w:tcBorders>
              <w:top w:val="single" w:sz="2" w:space="0" w:color="auto"/>
              <w:left w:val="nil"/>
              <w:bottom w:val="single" w:sz="2" w:space="0" w:color="auto"/>
              <w:right w:val="nil"/>
            </w:tcBorders>
            <w:shd w:val="clear" w:color="auto" w:fill="auto"/>
            <w:noWrap/>
            <w:vAlign w:val="center"/>
          </w:tcPr>
          <w:p w:rsidR="00676CA2" w:rsidRPr="00B20014" w:rsidRDefault="00676CA2" w:rsidP="00E51697">
            <w:pPr>
              <w:spacing w:after="0"/>
              <w:ind w:firstLine="0"/>
              <w:contextualSpacing/>
              <w:jc w:val="right"/>
              <w:rPr>
                <w:rFonts w:ascii="Arial Narrow" w:hAnsi="Arial Narrow" w:cs="Calibri"/>
                <w:color w:val="000000"/>
              </w:rPr>
            </w:pPr>
            <w:r w:rsidRPr="00B20014">
              <w:rPr>
                <w:rFonts w:ascii="Arial Narrow" w:hAnsi="Arial Narrow" w:cs="Calibri"/>
                <w:color w:val="000000"/>
              </w:rPr>
              <w:t>630.461</w:t>
            </w:r>
          </w:p>
        </w:tc>
        <w:tc>
          <w:tcPr>
            <w:tcW w:w="1843" w:type="dxa"/>
            <w:tcBorders>
              <w:top w:val="single" w:sz="2" w:space="0" w:color="auto"/>
              <w:left w:val="nil"/>
              <w:bottom w:val="single" w:sz="2" w:space="0" w:color="auto"/>
              <w:right w:val="nil"/>
            </w:tcBorders>
            <w:vAlign w:val="bottom"/>
          </w:tcPr>
          <w:p w:rsidR="00676CA2" w:rsidRPr="00B20014" w:rsidRDefault="00676CA2" w:rsidP="00E51697">
            <w:pPr>
              <w:spacing w:after="0"/>
              <w:contextualSpacing/>
              <w:jc w:val="right"/>
              <w:rPr>
                <w:rFonts w:ascii="Arial Narrow" w:hAnsi="Arial Narrow" w:cs="Calibri"/>
                <w:color w:val="000000"/>
              </w:rPr>
            </w:pPr>
            <w:r w:rsidRPr="00B20014">
              <w:rPr>
                <w:rFonts w:ascii="Arial Narrow" w:hAnsi="Arial Narrow" w:cs="Calibri"/>
                <w:color w:val="000000"/>
              </w:rPr>
              <w:t>0,9</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tcPr>
          <w:p w:rsidR="00676CA2" w:rsidRPr="00B20014" w:rsidRDefault="00676CA2" w:rsidP="00E51697">
            <w:pPr>
              <w:spacing w:after="0"/>
              <w:ind w:firstLine="0"/>
              <w:contextualSpacing/>
              <w:jc w:val="left"/>
              <w:rPr>
                <w:rFonts w:ascii="Arial Narrow" w:hAnsi="Arial Narrow" w:cs="Calibri"/>
                <w:color w:val="000000"/>
              </w:rPr>
            </w:pPr>
            <w:r w:rsidRPr="00B20014">
              <w:rPr>
                <w:rFonts w:ascii="Arial Narrow" w:hAnsi="Arial Narrow" w:cs="Calibri"/>
                <w:color w:val="000000"/>
              </w:rPr>
              <w:t>Arrendamientos de programas y</w:t>
            </w:r>
            <w:r>
              <w:rPr>
                <w:rFonts w:ascii="Arial Narrow" w:hAnsi="Arial Narrow" w:cs="Calibri"/>
                <w:color w:val="000000"/>
              </w:rPr>
              <w:t xml:space="preserve"> licencias</w:t>
            </w:r>
          </w:p>
        </w:tc>
        <w:tc>
          <w:tcPr>
            <w:tcW w:w="2693" w:type="dxa"/>
            <w:tcBorders>
              <w:top w:val="single" w:sz="2" w:space="0" w:color="auto"/>
              <w:left w:val="nil"/>
              <w:bottom w:val="single" w:sz="2" w:space="0" w:color="auto"/>
              <w:right w:val="nil"/>
            </w:tcBorders>
            <w:shd w:val="clear" w:color="auto" w:fill="auto"/>
            <w:noWrap/>
            <w:vAlign w:val="center"/>
          </w:tcPr>
          <w:p w:rsidR="00676CA2" w:rsidRPr="00B20014" w:rsidRDefault="00676CA2" w:rsidP="00E51697">
            <w:pPr>
              <w:spacing w:after="0"/>
              <w:ind w:firstLine="0"/>
              <w:contextualSpacing/>
              <w:jc w:val="right"/>
              <w:rPr>
                <w:rFonts w:ascii="Arial Narrow" w:hAnsi="Arial Narrow" w:cs="Calibri"/>
                <w:color w:val="000000"/>
              </w:rPr>
            </w:pPr>
            <w:r w:rsidRPr="00B20014">
              <w:rPr>
                <w:rFonts w:ascii="Arial Narrow" w:hAnsi="Arial Narrow" w:cs="Calibri"/>
                <w:color w:val="000000"/>
              </w:rPr>
              <w:t>497.182</w:t>
            </w:r>
          </w:p>
        </w:tc>
        <w:tc>
          <w:tcPr>
            <w:tcW w:w="1843" w:type="dxa"/>
            <w:tcBorders>
              <w:top w:val="single" w:sz="2" w:space="0" w:color="auto"/>
              <w:left w:val="nil"/>
              <w:bottom w:val="single" w:sz="2" w:space="0" w:color="auto"/>
              <w:right w:val="nil"/>
            </w:tcBorders>
            <w:vAlign w:val="bottom"/>
          </w:tcPr>
          <w:p w:rsidR="00676CA2" w:rsidRPr="00B20014" w:rsidRDefault="00676CA2" w:rsidP="00E51697">
            <w:pPr>
              <w:spacing w:after="0"/>
              <w:contextualSpacing/>
              <w:jc w:val="right"/>
              <w:rPr>
                <w:rFonts w:ascii="Arial Narrow" w:hAnsi="Arial Narrow" w:cs="Calibri"/>
                <w:color w:val="000000"/>
              </w:rPr>
            </w:pPr>
            <w:r w:rsidRPr="00B20014">
              <w:rPr>
                <w:rFonts w:ascii="Arial Narrow" w:hAnsi="Arial Narrow" w:cs="Calibri"/>
                <w:color w:val="000000"/>
              </w:rPr>
              <w:t>0,7</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tcPr>
          <w:p w:rsidR="00676CA2" w:rsidRPr="00B20014" w:rsidRDefault="00676CA2" w:rsidP="00E51697">
            <w:pPr>
              <w:spacing w:after="0"/>
              <w:ind w:firstLine="0"/>
              <w:contextualSpacing/>
              <w:jc w:val="left"/>
              <w:rPr>
                <w:rFonts w:ascii="Arial Narrow" w:hAnsi="Arial Narrow" w:cs="Calibri"/>
                <w:color w:val="000000"/>
              </w:rPr>
            </w:pPr>
            <w:r w:rsidRPr="00B20014">
              <w:rPr>
                <w:rFonts w:ascii="Arial Narrow" w:hAnsi="Arial Narrow" w:cs="Calibri"/>
                <w:color w:val="000000"/>
              </w:rPr>
              <w:t>Alimentación</w:t>
            </w:r>
          </w:p>
        </w:tc>
        <w:tc>
          <w:tcPr>
            <w:tcW w:w="2693" w:type="dxa"/>
            <w:tcBorders>
              <w:top w:val="single" w:sz="2" w:space="0" w:color="auto"/>
              <w:left w:val="nil"/>
              <w:bottom w:val="single" w:sz="2" w:space="0" w:color="auto"/>
              <w:right w:val="nil"/>
            </w:tcBorders>
            <w:shd w:val="clear" w:color="auto" w:fill="auto"/>
            <w:noWrap/>
            <w:vAlign w:val="center"/>
          </w:tcPr>
          <w:p w:rsidR="00676CA2" w:rsidRPr="00B20014" w:rsidRDefault="00676CA2" w:rsidP="00E51697">
            <w:pPr>
              <w:spacing w:after="0"/>
              <w:ind w:firstLine="0"/>
              <w:contextualSpacing/>
              <w:jc w:val="right"/>
              <w:rPr>
                <w:rFonts w:ascii="Arial Narrow" w:hAnsi="Arial Narrow" w:cs="Calibri"/>
                <w:color w:val="000000"/>
              </w:rPr>
            </w:pPr>
            <w:r w:rsidRPr="00B20014">
              <w:rPr>
                <w:rFonts w:ascii="Arial Narrow" w:hAnsi="Arial Narrow" w:cs="Calibri"/>
                <w:color w:val="000000"/>
              </w:rPr>
              <w:t>428.043</w:t>
            </w:r>
          </w:p>
        </w:tc>
        <w:tc>
          <w:tcPr>
            <w:tcW w:w="1843" w:type="dxa"/>
            <w:tcBorders>
              <w:top w:val="single" w:sz="2" w:space="0" w:color="auto"/>
              <w:left w:val="nil"/>
              <w:bottom w:val="single" w:sz="2" w:space="0" w:color="auto"/>
              <w:right w:val="nil"/>
            </w:tcBorders>
            <w:vAlign w:val="bottom"/>
          </w:tcPr>
          <w:p w:rsidR="00676CA2" w:rsidRPr="00B20014" w:rsidRDefault="00676CA2" w:rsidP="00E51697">
            <w:pPr>
              <w:spacing w:after="0"/>
              <w:contextualSpacing/>
              <w:jc w:val="right"/>
              <w:rPr>
                <w:rFonts w:ascii="Arial Narrow" w:hAnsi="Arial Narrow" w:cs="Calibri"/>
                <w:color w:val="000000"/>
              </w:rPr>
            </w:pPr>
            <w:r w:rsidRPr="00B20014">
              <w:rPr>
                <w:rFonts w:ascii="Arial Narrow" w:hAnsi="Arial Narrow" w:cs="Calibri"/>
                <w:color w:val="000000"/>
              </w:rPr>
              <w:t>0,6</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tcPr>
          <w:p w:rsidR="00676CA2" w:rsidRPr="00B20014" w:rsidRDefault="00676CA2" w:rsidP="00E51697">
            <w:pPr>
              <w:spacing w:after="0"/>
              <w:ind w:firstLine="0"/>
              <w:contextualSpacing/>
              <w:jc w:val="left"/>
              <w:rPr>
                <w:rFonts w:ascii="Arial Narrow" w:hAnsi="Arial Narrow" w:cs="Calibri"/>
                <w:color w:val="000000"/>
              </w:rPr>
            </w:pPr>
            <w:r w:rsidRPr="00B20014">
              <w:rPr>
                <w:rFonts w:ascii="Arial Narrow" w:hAnsi="Arial Narrow" w:cs="Calibri"/>
                <w:color w:val="000000"/>
              </w:rPr>
              <w:t>Gestión de residuos</w:t>
            </w:r>
          </w:p>
        </w:tc>
        <w:tc>
          <w:tcPr>
            <w:tcW w:w="2693" w:type="dxa"/>
            <w:tcBorders>
              <w:top w:val="single" w:sz="2" w:space="0" w:color="auto"/>
              <w:left w:val="nil"/>
              <w:bottom w:val="single" w:sz="2" w:space="0" w:color="auto"/>
              <w:right w:val="nil"/>
            </w:tcBorders>
            <w:shd w:val="clear" w:color="auto" w:fill="auto"/>
            <w:noWrap/>
            <w:vAlign w:val="bottom"/>
          </w:tcPr>
          <w:p w:rsidR="00676CA2" w:rsidRPr="00B20014" w:rsidRDefault="00676CA2" w:rsidP="00E51697">
            <w:pPr>
              <w:spacing w:after="0"/>
              <w:ind w:firstLine="0"/>
              <w:contextualSpacing/>
              <w:jc w:val="right"/>
              <w:rPr>
                <w:rFonts w:ascii="Arial Narrow" w:hAnsi="Arial Narrow" w:cs="Calibri"/>
                <w:color w:val="000000"/>
              </w:rPr>
            </w:pPr>
            <w:r w:rsidRPr="00B20014">
              <w:rPr>
                <w:rFonts w:ascii="Arial Narrow" w:hAnsi="Arial Narrow" w:cs="Calibri"/>
                <w:color w:val="000000"/>
              </w:rPr>
              <w:t>327.338</w:t>
            </w:r>
          </w:p>
        </w:tc>
        <w:tc>
          <w:tcPr>
            <w:tcW w:w="1843" w:type="dxa"/>
            <w:tcBorders>
              <w:top w:val="single" w:sz="2" w:space="0" w:color="auto"/>
              <w:left w:val="nil"/>
              <w:bottom w:val="single" w:sz="2" w:space="0" w:color="auto"/>
              <w:right w:val="nil"/>
            </w:tcBorders>
            <w:vAlign w:val="bottom"/>
          </w:tcPr>
          <w:p w:rsidR="00676CA2" w:rsidRPr="00B20014" w:rsidRDefault="00676CA2" w:rsidP="00E51697">
            <w:pPr>
              <w:spacing w:after="0"/>
              <w:contextualSpacing/>
              <w:jc w:val="right"/>
              <w:rPr>
                <w:rFonts w:ascii="Arial Narrow" w:hAnsi="Arial Narrow" w:cs="Calibri"/>
                <w:color w:val="000000"/>
              </w:rPr>
            </w:pPr>
            <w:r w:rsidRPr="00B20014">
              <w:rPr>
                <w:rFonts w:ascii="Arial Narrow" w:hAnsi="Arial Narrow" w:cs="Calibri"/>
                <w:color w:val="000000"/>
              </w:rPr>
              <w:t>0,5</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tcPr>
          <w:p w:rsidR="00676CA2" w:rsidRPr="00B20014" w:rsidRDefault="00676CA2" w:rsidP="00E51697">
            <w:pPr>
              <w:spacing w:after="0"/>
              <w:ind w:firstLine="0"/>
              <w:contextualSpacing/>
              <w:jc w:val="left"/>
              <w:rPr>
                <w:rFonts w:ascii="Arial Narrow" w:hAnsi="Arial Narrow" w:cs="Calibri"/>
                <w:color w:val="000000"/>
              </w:rPr>
            </w:pPr>
            <w:r w:rsidRPr="00B20014">
              <w:rPr>
                <w:rFonts w:ascii="Arial Narrow" w:hAnsi="Arial Narrow" w:cs="Calibri"/>
                <w:color w:val="000000"/>
              </w:rPr>
              <w:t>Servicios de telecomunicaciones</w:t>
            </w:r>
          </w:p>
        </w:tc>
        <w:tc>
          <w:tcPr>
            <w:tcW w:w="2693" w:type="dxa"/>
            <w:tcBorders>
              <w:top w:val="single" w:sz="2" w:space="0" w:color="auto"/>
              <w:left w:val="nil"/>
              <w:bottom w:val="single" w:sz="2" w:space="0" w:color="auto"/>
              <w:right w:val="nil"/>
            </w:tcBorders>
            <w:shd w:val="clear" w:color="auto" w:fill="auto"/>
            <w:noWrap/>
            <w:vAlign w:val="bottom"/>
          </w:tcPr>
          <w:p w:rsidR="00676CA2" w:rsidRPr="00B20014" w:rsidRDefault="00676CA2" w:rsidP="00E51697">
            <w:pPr>
              <w:spacing w:after="0"/>
              <w:ind w:firstLine="0"/>
              <w:contextualSpacing/>
              <w:jc w:val="right"/>
              <w:rPr>
                <w:rFonts w:ascii="Arial Narrow" w:hAnsi="Arial Narrow" w:cs="Calibri"/>
                <w:color w:val="000000"/>
              </w:rPr>
            </w:pPr>
            <w:r w:rsidRPr="00B20014">
              <w:rPr>
                <w:rFonts w:ascii="Arial Narrow" w:hAnsi="Arial Narrow" w:cs="Calibri"/>
                <w:color w:val="000000"/>
              </w:rPr>
              <w:t>296.406</w:t>
            </w:r>
          </w:p>
        </w:tc>
        <w:tc>
          <w:tcPr>
            <w:tcW w:w="1843" w:type="dxa"/>
            <w:tcBorders>
              <w:top w:val="single" w:sz="2" w:space="0" w:color="auto"/>
              <w:left w:val="nil"/>
              <w:bottom w:val="single" w:sz="2" w:space="0" w:color="auto"/>
              <w:right w:val="nil"/>
            </w:tcBorders>
            <w:vAlign w:val="bottom"/>
          </w:tcPr>
          <w:p w:rsidR="00676CA2" w:rsidRPr="00B20014" w:rsidRDefault="00676CA2" w:rsidP="00E51697">
            <w:pPr>
              <w:spacing w:after="0"/>
              <w:contextualSpacing/>
              <w:jc w:val="right"/>
              <w:rPr>
                <w:rFonts w:ascii="Arial Narrow" w:hAnsi="Arial Narrow" w:cs="Calibri"/>
                <w:color w:val="000000"/>
              </w:rPr>
            </w:pPr>
            <w:r w:rsidRPr="00B20014">
              <w:rPr>
                <w:rFonts w:ascii="Arial Narrow" w:hAnsi="Arial Narrow" w:cs="Calibri"/>
                <w:color w:val="000000"/>
              </w:rPr>
              <w:t>0,4</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tcPr>
          <w:p w:rsidR="00676CA2" w:rsidRPr="00B20014" w:rsidRDefault="00676CA2" w:rsidP="00E51697">
            <w:pPr>
              <w:spacing w:after="0"/>
              <w:ind w:firstLine="0"/>
              <w:contextualSpacing/>
              <w:jc w:val="left"/>
              <w:rPr>
                <w:rFonts w:ascii="Arial Narrow" w:hAnsi="Arial Narrow" w:cs="Calibri"/>
                <w:color w:val="000000"/>
              </w:rPr>
            </w:pPr>
            <w:r w:rsidRPr="00B20014">
              <w:rPr>
                <w:rFonts w:ascii="Arial Narrow" w:hAnsi="Arial Narrow" w:cs="Calibri"/>
                <w:color w:val="000000"/>
              </w:rPr>
              <w:t>Vestuario</w:t>
            </w:r>
          </w:p>
        </w:tc>
        <w:tc>
          <w:tcPr>
            <w:tcW w:w="2693" w:type="dxa"/>
            <w:tcBorders>
              <w:top w:val="single" w:sz="2" w:space="0" w:color="auto"/>
              <w:left w:val="nil"/>
              <w:bottom w:val="single" w:sz="2" w:space="0" w:color="auto"/>
              <w:right w:val="nil"/>
            </w:tcBorders>
            <w:shd w:val="clear" w:color="auto" w:fill="auto"/>
            <w:noWrap/>
            <w:vAlign w:val="bottom"/>
          </w:tcPr>
          <w:p w:rsidR="00676CA2" w:rsidRPr="00B20014" w:rsidRDefault="00676CA2" w:rsidP="00E51697">
            <w:pPr>
              <w:spacing w:after="0"/>
              <w:ind w:firstLine="0"/>
              <w:contextualSpacing/>
              <w:jc w:val="right"/>
              <w:rPr>
                <w:rFonts w:ascii="Arial Narrow" w:hAnsi="Arial Narrow" w:cs="Calibri"/>
                <w:color w:val="000000"/>
              </w:rPr>
            </w:pPr>
            <w:r w:rsidRPr="00B20014">
              <w:rPr>
                <w:rFonts w:ascii="Arial Narrow" w:hAnsi="Arial Narrow" w:cs="Calibri"/>
                <w:color w:val="000000"/>
              </w:rPr>
              <w:t>265.305</w:t>
            </w:r>
          </w:p>
        </w:tc>
        <w:tc>
          <w:tcPr>
            <w:tcW w:w="1843" w:type="dxa"/>
            <w:tcBorders>
              <w:top w:val="single" w:sz="2" w:space="0" w:color="auto"/>
              <w:left w:val="nil"/>
              <w:bottom w:val="single" w:sz="2" w:space="0" w:color="auto"/>
              <w:right w:val="nil"/>
            </w:tcBorders>
            <w:vAlign w:val="bottom"/>
          </w:tcPr>
          <w:p w:rsidR="00676CA2" w:rsidRPr="00B20014" w:rsidRDefault="00676CA2" w:rsidP="00E51697">
            <w:pPr>
              <w:spacing w:after="0"/>
              <w:contextualSpacing/>
              <w:jc w:val="right"/>
              <w:rPr>
                <w:rFonts w:ascii="Arial Narrow" w:hAnsi="Arial Narrow" w:cs="Calibri"/>
                <w:color w:val="000000"/>
              </w:rPr>
            </w:pPr>
            <w:r w:rsidRPr="00B20014">
              <w:rPr>
                <w:rFonts w:ascii="Arial Narrow" w:hAnsi="Arial Narrow" w:cs="Calibri"/>
                <w:color w:val="000000"/>
              </w:rPr>
              <w:t>0,4</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tcPr>
          <w:p w:rsidR="00676CA2" w:rsidRPr="00B20014" w:rsidRDefault="00676CA2" w:rsidP="00E51697">
            <w:pPr>
              <w:spacing w:after="0"/>
              <w:ind w:firstLine="0"/>
              <w:contextualSpacing/>
              <w:jc w:val="left"/>
              <w:rPr>
                <w:rFonts w:ascii="Arial Narrow" w:hAnsi="Arial Narrow" w:cs="Calibri"/>
                <w:color w:val="000000"/>
              </w:rPr>
            </w:pPr>
            <w:r w:rsidRPr="00B20014">
              <w:rPr>
                <w:rFonts w:ascii="Arial Narrow" w:hAnsi="Arial Narrow" w:cs="Calibri"/>
                <w:color w:val="000000"/>
              </w:rPr>
              <w:t>Servicios de seguridad</w:t>
            </w:r>
          </w:p>
        </w:tc>
        <w:tc>
          <w:tcPr>
            <w:tcW w:w="2693" w:type="dxa"/>
            <w:tcBorders>
              <w:top w:val="single" w:sz="2" w:space="0" w:color="auto"/>
              <w:left w:val="nil"/>
              <w:bottom w:val="single" w:sz="2" w:space="0" w:color="auto"/>
              <w:right w:val="nil"/>
            </w:tcBorders>
            <w:shd w:val="clear" w:color="auto" w:fill="auto"/>
            <w:noWrap/>
            <w:vAlign w:val="bottom"/>
          </w:tcPr>
          <w:p w:rsidR="00676CA2" w:rsidRPr="00B20014" w:rsidRDefault="00676CA2" w:rsidP="00E51697">
            <w:pPr>
              <w:spacing w:after="0"/>
              <w:ind w:firstLine="0"/>
              <w:contextualSpacing/>
              <w:jc w:val="right"/>
              <w:rPr>
                <w:rFonts w:ascii="Arial Narrow" w:hAnsi="Arial Narrow" w:cs="Calibri"/>
                <w:color w:val="000000"/>
              </w:rPr>
            </w:pPr>
            <w:r w:rsidRPr="00B20014">
              <w:rPr>
                <w:rFonts w:ascii="Arial Narrow" w:hAnsi="Arial Narrow" w:cs="Calibri"/>
                <w:color w:val="000000"/>
              </w:rPr>
              <w:t>257.861</w:t>
            </w:r>
          </w:p>
        </w:tc>
        <w:tc>
          <w:tcPr>
            <w:tcW w:w="1843" w:type="dxa"/>
            <w:tcBorders>
              <w:top w:val="single" w:sz="2" w:space="0" w:color="auto"/>
              <w:left w:val="nil"/>
              <w:bottom w:val="single" w:sz="2" w:space="0" w:color="auto"/>
              <w:right w:val="nil"/>
            </w:tcBorders>
            <w:vAlign w:val="bottom"/>
          </w:tcPr>
          <w:p w:rsidR="00676CA2" w:rsidRPr="00B20014" w:rsidRDefault="00676CA2" w:rsidP="00E51697">
            <w:pPr>
              <w:spacing w:after="0"/>
              <w:contextualSpacing/>
              <w:jc w:val="right"/>
              <w:rPr>
                <w:rFonts w:ascii="Arial Narrow" w:hAnsi="Arial Narrow" w:cs="Calibri"/>
                <w:color w:val="000000"/>
              </w:rPr>
            </w:pPr>
            <w:r w:rsidRPr="00B20014">
              <w:rPr>
                <w:rFonts w:ascii="Arial Narrow" w:hAnsi="Arial Narrow" w:cs="Calibri"/>
                <w:color w:val="000000"/>
              </w:rPr>
              <w:t>0,4</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tcPr>
          <w:p w:rsidR="00676CA2" w:rsidRPr="00B20014" w:rsidRDefault="00676CA2" w:rsidP="00E51697">
            <w:pPr>
              <w:spacing w:after="0"/>
              <w:ind w:firstLine="0"/>
              <w:contextualSpacing/>
              <w:jc w:val="left"/>
              <w:rPr>
                <w:rFonts w:ascii="Arial Narrow" w:hAnsi="Arial Narrow" w:cs="Calibri"/>
                <w:color w:val="000000"/>
              </w:rPr>
            </w:pPr>
            <w:r w:rsidRPr="00B20014">
              <w:rPr>
                <w:rFonts w:ascii="Arial Narrow" w:hAnsi="Arial Narrow" w:cs="Calibri"/>
                <w:color w:val="000000"/>
              </w:rPr>
              <w:t>Gases médicos</w:t>
            </w:r>
          </w:p>
        </w:tc>
        <w:tc>
          <w:tcPr>
            <w:tcW w:w="2693" w:type="dxa"/>
            <w:tcBorders>
              <w:top w:val="single" w:sz="2" w:space="0" w:color="auto"/>
              <w:left w:val="nil"/>
              <w:bottom w:val="single" w:sz="2" w:space="0" w:color="auto"/>
              <w:right w:val="nil"/>
            </w:tcBorders>
            <w:shd w:val="clear" w:color="auto" w:fill="auto"/>
            <w:noWrap/>
            <w:vAlign w:val="bottom"/>
          </w:tcPr>
          <w:p w:rsidR="00676CA2" w:rsidRPr="00B20014" w:rsidRDefault="00676CA2" w:rsidP="00E51697">
            <w:pPr>
              <w:spacing w:after="0"/>
              <w:ind w:firstLine="0"/>
              <w:contextualSpacing/>
              <w:jc w:val="right"/>
              <w:rPr>
                <w:rFonts w:ascii="Arial Narrow" w:hAnsi="Arial Narrow" w:cs="Calibri"/>
                <w:color w:val="000000"/>
              </w:rPr>
            </w:pPr>
            <w:r w:rsidRPr="00B20014">
              <w:rPr>
                <w:rFonts w:ascii="Arial Narrow" w:hAnsi="Arial Narrow" w:cs="Calibri"/>
                <w:color w:val="000000"/>
              </w:rPr>
              <w:t>205.458</w:t>
            </w:r>
          </w:p>
        </w:tc>
        <w:tc>
          <w:tcPr>
            <w:tcW w:w="1843" w:type="dxa"/>
            <w:tcBorders>
              <w:top w:val="single" w:sz="2" w:space="0" w:color="auto"/>
              <w:left w:val="nil"/>
              <w:bottom w:val="single" w:sz="2" w:space="0" w:color="auto"/>
              <w:right w:val="nil"/>
            </w:tcBorders>
            <w:vAlign w:val="bottom"/>
          </w:tcPr>
          <w:p w:rsidR="00676CA2" w:rsidRPr="00B20014" w:rsidRDefault="00676CA2" w:rsidP="00E51697">
            <w:pPr>
              <w:spacing w:after="0"/>
              <w:contextualSpacing/>
              <w:jc w:val="right"/>
              <w:rPr>
                <w:rFonts w:ascii="Arial Narrow" w:hAnsi="Arial Narrow" w:cs="Calibri"/>
                <w:color w:val="000000"/>
              </w:rPr>
            </w:pPr>
            <w:r w:rsidRPr="00B20014">
              <w:rPr>
                <w:rFonts w:ascii="Arial Narrow" w:hAnsi="Arial Narrow" w:cs="Calibri"/>
                <w:color w:val="000000"/>
              </w:rPr>
              <w:t>0,3</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tcPr>
          <w:p w:rsidR="00676CA2" w:rsidRPr="00B20014" w:rsidRDefault="00676CA2" w:rsidP="00E51697">
            <w:pPr>
              <w:spacing w:after="0"/>
              <w:ind w:firstLine="0"/>
              <w:contextualSpacing/>
              <w:jc w:val="left"/>
              <w:rPr>
                <w:rFonts w:ascii="Arial Narrow" w:hAnsi="Arial Narrow" w:cs="Calibri"/>
                <w:color w:val="000000"/>
              </w:rPr>
            </w:pPr>
            <w:r w:rsidRPr="00B20014">
              <w:rPr>
                <w:rFonts w:ascii="Arial Narrow" w:hAnsi="Arial Narrow" w:cs="Calibri"/>
                <w:color w:val="000000"/>
              </w:rPr>
              <w:t>Estudios y trabajos técnicos</w:t>
            </w:r>
          </w:p>
        </w:tc>
        <w:tc>
          <w:tcPr>
            <w:tcW w:w="2693" w:type="dxa"/>
            <w:tcBorders>
              <w:top w:val="single" w:sz="2" w:space="0" w:color="auto"/>
              <w:left w:val="nil"/>
              <w:bottom w:val="single" w:sz="2" w:space="0" w:color="auto"/>
              <w:right w:val="nil"/>
            </w:tcBorders>
            <w:shd w:val="clear" w:color="auto" w:fill="auto"/>
            <w:noWrap/>
            <w:vAlign w:val="bottom"/>
          </w:tcPr>
          <w:p w:rsidR="00676CA2" w:rsidRPr="00B20014" w:rsidRDefault="00676CA2" w:rsidP="00E51697">
            <w:pPr>
              <w:spacing w:after="0"/>
              <w:ind w:firstLine="0"/>
              <w:contextualSpacing/>
              <w:jc w:val="right"/>
              <w:rPr>
                <w:rFonts w:ascii="Arial Narrow" w:hAnsi="Arial Narrow" w:cs="Calibri"/>
                <w:color w:val="000000"/>
              </w:rPr>
            </w:pPr>
            <w:r w:rsidRPr="00B20014">
              <w:rPr>
                <w:rFonts w:ascii="Arial Narrow" w:hAnsi="Arial Narrow" w:cs="Calibri"/>
                <w:color w:val="000000"/>
              </w:rPr>
              <w:t>190.778</w:t>
            </w:r>
          </w:p>
        </w:tc>
        <w:tc>
          <w:tcPr>
            <w:tcW w:w="1843" w:type="dxa"/>
            <w:tcBorders>
              <w:top w:val="single" w:sz="2" w:space="0" w:color="auto"/>
              <w:left w:val="nil"/>
              <w:bottom w:val="single" w:sz="2" w:space="0" w:color="auto"/>
              <w:right w:val="nil"/>
            </w:tcBorders>
            <w:vAlign w:val="bottom"/>
          </w:tcPr>
          <w:p w:rsidR="00676CA2" w:rsidRPr="00B20014" w:rsidRDefault="00676CA2" w:rsidP="00E51697">
            <w:pPr>
              <w:spacing w:after="0"/>
              <w:contextualSpacing/>
              <w:jc w:val="right"/>
              <w:rPr>
                <w:rFonts w:ascii="Arial Narrow" w:hAnsi="Arial Narrow" w:cs="Calibri"/>
                <w:color w:val="000000"/>
              </w:rPr>
            </w:pPr>
            <w:r w:rsidRPr="00B20014">
              <w:rPr>
                <w:rFonts w:ascii="Arial Narrow" w:hAnsi="Arial Narrow" w:cs="Calibri"/>
                <w:color w:val="000000"/>
              </w:rPr>
              <w:t>0,3</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tcPr>
          <w:p w:rsidR="00676CA2" w:rsidRPr="00B20014" w:rsidRDefault="00676CA2" w:rsidP="00E51697">
            <w:pPr>
              <w:spacing w:after="0"/>
              <w:ind w:firstLine="0"/>
              <w:contextualSpacing/>
              <w:jc w:val="left"/>
              <w:rPr>
                <w:rFonts w:ascii="Arial Narrow" w:hAnsi="Arial Narrow" w:cs="Calibri"/>
                <w:color w:val="000000"/>
              </w:rPr>
            </w:pPr>
            <w:r w:rsidRPr="00B20014">
              <w:rPr>
                <w:rFonts w:ascii="Arial Narrow" w:hAnsi="Arial Narrow" w:cs="Calibri"/>
                <w:color w:val="000000"/>
              </w:rPr>
              <w:t>Otros gastos de transporte</w:t>
            </w:r>
          </w:p>
        </w:tc>
        <w:tc>
          <w:tcPr>
            <w:tcW w:w="2693" w:type="dxa"/>
            <w:tcBorders>
              <w:top w:val="single" w:sz="2" w:space="0" w:color="auto"/>
              <w:left w:val="nil"/>
              <w:bottom w:val="single" w:sz="2" w:space="0" w:color="auto"/>
              <w:right w:val="nil"/>
            </w:tcBorders>
            <w:shd w:val="clear" w:color="auto" w:fill="auto"/>
            <w:noWrap/>
            <w:vAlign w:val="bottom"/>
          </w:tcPr>
          <w:p w:rsidR="00676CA2" w:rsidRPr="00B20014" w:rsidRDefault="00676CA2" w:rsidP="00E51697">
            <w:pPr>
              <w:spacing w:after="0"/>
              <w:ind w:firstLine="0"/>
              <w:contextualSpacing/>
              <w:jc w:val="right"/>
              <w:rPr>
                <w:rFonts w:ascii="Arial Narrow" w:hAnsi="Arial Narrow" w:cs="Calibri"/>
                <w:color w:val="000000"/>
              </w:rPr>
            </w:pPr>
            <w:r w:rsidRPr="00B20014">
              <w:rPr>
                <w:rFonts w:ascii="Arial Narrow" w:hAnsi="Arial Narrow" w:cs="Calibri"/>
                <w:color w:val="000000"/>
              </w:rPr>
              <w:t>156.543</w:t>
            </w:r>
          </w:p>
        </w:tc>
        <w:tc>
          <w:tcPr>
            <w:tcW w:w="1843" w:type="dxa"/>
            <w:tcBorders>
              <w:top w:val="single" w:sz="2" w:space="0" w:color="auto"/>
              <w:left w:val="nil"/>
              <w:bottom w:val="single" w:sz="2" w:space="0" w:color="auto"/>
              <w:right w:val="nil"/>
            </w:tcBorders>
            <w:vAlign w:val="bottom"/>
          </w:tcPr>
          <w:p w:rsidR="00676CA2" w:rsidRPr="00B20014" w:rsidRDefault="00676CA2" w:rsidP="00E51697">
            <w:pPr>
              <w:spacing w:after="0"/>
              <w:contextualSpacing/>
              <w:jc w:val="right"/>
              <w:rPr>
                <w:rFonts w:ascii="Arial Narrow" w:hAnsi="Arial Narrow" w:cs="Calibri"/>
                <w:color w:val="000000"/>
              </w:rPr>
            </w:pPr>
            <w:r w:rsidRPr="00B20014">
              <w:rPr>
                <w:rFonts w:ascii="Arial Narrow" w:hAnsi="Arial Narrow" w:cs="Calibri"/>
                <w:color w:val="000000"/>
              </w:rPr>
              <w:t>0,2</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tcPr>
          <w:p w:rsidR="00676CA2" w:rsidRPr="00B20014" w:rsidRDefault="00676CA2" w:rsidP="00E51697">
            <w:pPr>
              <w:spacing w:after="0"/>
              <w:ind w:firstLine="0"/>
              <w:contextualSpacing/>
              <w:jc w:val="left"/>
              <w:rPr>
                <w:rFonts w:ascii="Arial Narrow" w:hAnsi="Arial Narrow" w:cs="Calibri"/>
                <w:color w:val="000000"/>
              </w:rPr>
            </w:pPr>
            <w:r w:rsidRPr="00B20014">
              <w:rPr>
                <w:rFonts w:ascii="Arial Narrow" w:hAnsi="Arial Narrow" w:cs="Calibri"/>
                <w:color w:val="000000"/>
              </w:rPr>
              <w:t>Arrendamientos de mobiliario y</w:t>
            </w:r>
            <w:r>
              <w:rPr>
                <w:rFonts w:ascii="Arial Narrow" w:hAnsi="Arial Narrow" w:cs="Calibri"/>
                <w:color w:val="000000"/>
              </w:rPr>
              <w:t xml:space="preserve"> otros enseres</w:t>
            </w:r>
          </w:p>
        </w:tc>
        <w:tc>
          <w:tcPr>
            <w:tcW w:w="2693" w:type="dxa"/>
            <w:tcBorders>
              <w:top w:val="single" w:sz="2" w:space="0" w:color="auto"/>
              <w:left w:val="nil"/>
              <w:bottom w:val="single" w:sz="2" w:space="0" w:color="auto"/>
              <w:right w:val="nil"/>
            </w:tcBorders>
            <w:shd w:val="clear" w:color="auto" w:fill="auto"/>
            <w:noWrap/>
            <w:vAlign w:val="bottom"/>
          </w:tcPr>
          <w:p w:rsidR="00676CA2" w:rsidRPr="00B20014" w:rsidRDefault="00676CA2" w:rsidP="00E51697">
            <w:pPr>
              <w:spacing w:after="0"/>
              <w:ind w:firstLine="0"/>
              <w:contextualSpacing/>
              <w:jc w:val="right"/>
              <w:rPr>
                <w:rFonts w:ascii="Arial Narrow" w:hAnsi="Arial Narrow" w:cs="Calibri"/>
                <w:color w:val="000000"/>
              </w:rPr>
            </w:pPr>
            <w:r w:rsidRPr="00B20014">
              <w:rPr>
                <w:rFonts w:ascii="Arial Narrow" w:hAnsi="Arial Narrow" w:cs="Calibri"/>
                <w:color w:val="000000"/>
              </w:rPr>
              <w:t>153.556</w:t>
            </w:r>
          </w:p>
        </w:tc>
        <w:tc>
          <w:tcPr>
            <w:tcW w:w="1843" w:type="dxa"/>
            <w:tcBorders>
              <w:top w:val="single" w:sz="2" w:space="0" w:color="auto"/>
              <w:left w:val="nil"/>
              <w:bottom w:val="single" w:sz="2" w:space="0" w:color="auto"/>
              <w:right w:val="nil"/>
            </w:tcBorders>
            <w:vAlign w:val="bottom"/>
          </w:tcPr>
          <w:p w:rsidR="00676CA2" w:rsidRPr="00B20014" w:rsidRDefault="00676CA2" w:rsidP="00E51697">
            <w:pPr>
              <w:spacing w:after="0"/>
              <w:contextualSpacing/>
              <w:jc w:val="right"/>
              <w:rPr>
                <w:rFonts w:ascii="Arial Narrow" w:hAnsi="Arial Narrow" w:cs="Calibri"/>
                <w:color w:val="000000"/>
              </w:rPr>
            </w:pPr>
            <w:r w:rsidRPr="00B20014">
              <w:rPr>
                <w:rFonts w:ascii="Arial Narrow" w:hAnsi="Arial Narrow" w:cs="Calibri"/>
                <w:color w:val="000000"/>
              </w:rPr>
              <w:t>0,2</w:t>
            </w:r>
          </w:p>
        </w:tc>
      </w:tr>
      <w:tr w:rsidR="00676CA2" w:rsidRPr="002102CF" w:rsidTr="00E51697">
        <w:trPr>
          <w:trHeight w:val="198"/>
        </w:trPr>
        <w:tc>
          <w:tcPr>
            <w:tcW w:w="4253" w:type="dxa"/>
            <w:tcBorders>
              <w:top w:val="single" w:sz="2" w:space="0" w:color="auto"/>
              <w:left w:val="nil"/>
              <w:bottom w:val="single" w:sz="2" w:space="0" w:color="auto"/>
              <w:right w:val="nil"/>
            </w:tcBorders>
            <w:shd w:val="clear" w:color="auto" w:fill="auto"/>
            <w:noWrap/>
            <w:vAlign w:val="center"/>
          </w:tcPr>
          <w:p w:rsidR="00676CA2" w:rsidRPr="00B20014" w:rsidRDefault="00676CA2" w:rsidP="00E51697">
            <w:pPr>
              <w:spacing w:after="0"/>
              <w:ind w:firstLine="0"/>
              <w:contextualSpacing/>
              <w:jc w:val="left"/>
              <w:rPr>
                <w:rFonts w:ascii="Arial Narrow" w:hAnsi="Arial Narrow" w:cs="Calibri"/>
                <w:color w:val="000000"/>
              </w:rPr>
            </w:pPr>
            <w:r w:rsidRPr="00B20014">
              <w:rPr>
                <w:rFonts w:ascii="Arial Narrow" w:hAnsi="Arial Narrow" w:cs="Calibri"/>
                <w:color w:val="000000"/>
              </w:rPr>
              <w:t>Servicios de lavandería</w:t>
            </w:r>
          </w:p>
        </w:tc>
        <w:tc>
          <w:tcPr>
            <w:tcW w:w="2693" w:type="dxa"/>
            <w:tcBorders>
              <w:top w:val="single" w:sz="2" w:space="0" w:color="auto"/>
              <w:left w:val="nil"/>
              <w:bottom w:val="single" w:sz="2" w:space="0" w:color="auto"/>
              <w:right w:val="nil"/>
            </w:tcBorders>
            <w:shd w:val="clear" w:color="auto" w:fill="auto"/>
            <w:noWrap/>
            <w:vAlign w:val="bottom"/>
          </w:tcPr>
          <w:p w:rsidR="00676CA2" w:rsidRPr="00B20014" w:rsidRDefault="00676CA2" w:rsidP="00E51697">
            <w:pPr>
              <w:spacing w:after="0"/>
              <w:ind w:firstLine="0"/>
              <w:contextualSpacing/>
              <w:jc w:val="right"/>
              <w:rPr>
                <w:rFonts w:ascii="Arial Narrow" w:hAnsi="Arial Narrow" w:cs="Calibri"/>
                <w:color w:val="000000"/>
              </w:rPr>
            </w:pPr>
            <w:r w:rsidRPr="00B20014">
              <w:rPr>
                <w:rFonts w:ascii="Arial Narrow" w:hAnsi="Arial Narrow" w:cs="Calibri"/>
                <w:color w:val="000000"/>
              </w:rPr>
              <w:t>136.447</w:t>
            </w:r>
          </w:p>
        </w:tc>
        <w:tc>
          <w:tcPr>
            <w:tcW w:w="1843" w:type="dxa"/>
            <w:tcBorders>
              <w:top w:val="single" w:sz="2" w:space="0" w:color="auto"/>
              <w:left w:val="nil"/>
              <w:bottom w:val="single" w:sz="2" w:space="0" w:color="auto"/>
              <w:right w:val="nil"/>
            </w:tcBorders>
            <w:vAlign w:val="bottom"/>
          </w:tcPr>
          <w:p w:rsidR="00676CA2" w:rsidRPr="00B20014" w:rsidRDefault="00676CA2" w:rsidP="00E51697">
            <w:pPr>
              <w:spacing w:after="0"/>
              <w:contextualSpacing/>
              <w:jc w:val="right"/>
              <w:rPr>
                <w:rFonts w:ascii="Arial Narrow" w:hAnsi="Arial Narrow" w:cs="Calibri"/>
                <w:color w:val="000000"/>
              </w:rPr>
            </w:pPr>
            <w:r w:rsidRPr="00B20014">
              <w:rPr>
                <w:rFonts w:ascii="Arial Narrow" w:hAnsi="Arial Narrow" w:cs="Calibri"/>
                <w:color w:val="000000"/>
              </w:rPr>
              <w:t>0,2</w:t>
            </w:r>
          </w:p>
        </w:tc>
      </w:tr>
      <w:tr w:rsidR="00676CA2" w:rsidRPr="002102CF" w:rsidTr="00E51697">
        <w:trPr>
          <w:trHeight w:val="198"/>
        </w:trPr>
        <w:tc>
          <w:tcPr>
            <w:tcW w:w="4253" w:type="dxa"/>
            <w:tcBorders>
              <w:top w:val="single" w:sz="2" w:space="0" w:color="auto"/>
              <w:left w:val="nil"/>
              <w:bottom w:val="single" w:sz="4" w:space="0" w:color="auto"/>
              <w:right w:val="nil"/>
            </w:tcBorders>
            <w:shd w:val="clear" w:color="auto" w:fill="auto"/>
            <w:noWrap/>
            <w:vAlign w:val="center"/>
          </w:tcPr>
          <w:p w:rsidR="00676CA2" w:rsidRPr="00B20014" w:rsidRDefault="00676CA2" w:rsidP="00E51697">
            <w:pPr>
              <w:spacing w:after="0"/>
              <w:ind w:firstLine="0"/>
              <w:contextualSpacing/>
              <w:jc w:val="left"/>
              <w:rPr>
                <w:rFonts w:ascii="Arial Narrow" w:hAnsi="Arial Narrow" w:cs="Calibri"/>
                <w:color w:val="000000"/>
              </w:rPr>
            </w:pPr>
            <w:r>
              <w:rPr>
                <w:rFonts w:ascii="Arial Narrow" w:hAnsi="Arial Narrow" w:cs="Calibri"/>
                <w:color w:val="000000"/>
              </w:rPr>
              <w:t>Otros conceptos (13 conceptos)</w:t>
            </w:r>
          </w:p>
        </w:tc>
        <w:tc>
          <w:tcPr>
            <w:tcW w:w="2693" w:type="dxa"/>
            <w:tcBorders>
              <w:top w:val="single" w:sz="2" w:space="0" w:color="auto"/>
              <w:left w:val="nil"/>
              <w:bottom w:val="single" w:sz="4" w:space="0" w:color="auto"/>
              <w:right w:val="nil"/>
            </w:tcBorders>
            <w:shd w:val="clear" w:color="auto" w:fill="auto"/>
            <w:noWrap/>
            <w:vAlign w:val="bottom"/>
          </w:tcPr>
          <w:p w:rsidR="00676CA2" w:rsidRPr="00B20014" w:rsidRDefault="00676CA2" w:rsidP="00E51697">
            <w:pPr>
              <w:spacing w:after="0"/>
              <w:ind w:firstLine="0"/>
              <w:contextualSpacing/>
              <w:jc w:val="right"/>
              <w:rPr>
                <w:rFonts w:ascii="Arial Narrow" w:hAnsi="Arial Narrow" w:cs="Calibri"/>
                <w:color w:val="000000"/>
              </w:rPr>
            </w:pPr>
            <w:r>
              <w:rPr>
                <w:rFonts w:ascii="Arial Narrow" w:hAnsi="Arial Narrow" w:cs="Calibri"/>
                <w:color w:val="000000"/>
              </w:rPr>
              <w:t>648.237</w:t>
            </w:r>
          </w:p>
        </w:tc>
        <w:tc>
          <w:tcPr>
            <w:tcW w:w="1843" w:type="dxa"/>
            <w:tcBorders>
              <w:top w:val="single" w:sz="2" w:space="0" w:color="auto"/>
              <w:left w:val="nil"/>
              <w:bottom w:val="single" w:sz="4" w:space="0" w:color="auto"/>
              <w:right w:val="nil"/>
            </w:tcBorders>
            <w:vAlign w:val="bottom"/>
          </w:tcPr>
          <w:p w:rsidR="00676CA2" w:rsidRPr="00B20014" w:rsidRDefault="00676CA2" w:rsidP="00E51697">
            <w:pPr>
              <w:spacing w:after="0"/>
              <w:contextualSpacing/>
              <w:jc w:val="right"/>
              <w:rPr>
                <w:rFonts w:ascii="Arial Narrow" w:hAnsi="Arial Narrow" w:cs="Calibri"/>
                <w:color w:val="000000"/>
              </w:rPr>
            </w:pPr>
            <w:r>
              <w:rPr>
                <w:rFonts w:ascii="Arial Narrow" w:hAnsi="Arial Narrow" w:cs="Calibri"/>
                <w:color w:val="000000"/>
              </w:rPr>
              <w:t>0,9</w:t>
            </w:r>
          </w:p>
        </w:tc>
      </w:tr>
      <w:tr w:rsidR="00676CA2" w:rsidRPr="00BE3C93" w:rsidTr="00E51697">
        <w:trPr>
          <w:trHeight w:val="255"/>
        </w:trPr>
        <w:tc>
          <w:tcPr>
            <w:tcW w:w="4253" w:type="dxa"/>
            <w:tcBorders>
              <w:top w:val="single" w:sz="4" w:space="0" w:color="auto"/>
              <w:left w:val="nil"/>
              <w:bottom w:val="single" w:sz="4" w:space="0" w:color="auto"/>
              <w:right w:val="nil"/>
            </w:tcBorders>
            <w:shd w:val="clear" w:color="auto" w:fill="8DB3E2" w:themeFill="text2" w:themeFillTint="66"/>
            <w:noWrap/>
            <w:vAlign w:val="center"/>
            <w:hideMark/>
          </w:tcPr>
          <w:p w:rsidR="00676CA2" w:rsidRPr="00BE3C93" w:rsidRDefault="00676CA2" w:rsidP="00E51697">
            <w:pPr>
              <w:pStyle w:val="cuadroCabe"/>
              <w:rPr>
                <w:lang w:val="es-ES" w:eastAsia="es-ES"/>
              </w:rPr>
            </w:pPr>
            <w:r w:rsidRPr="00BE3C93">
              <w:rPr>
                <w:lang w:val="es-ES" w:eastAsia="es-ES"/>
              </w:rPr>
              <w:t>Total general</w:t>
            </w:r>
          </w:p>
        </w:tc>
        <w:tc>
          <w:tcPr>
            <w:tcW w:w="2693" w:type="dxa"/>
            <w:tcBorders>
              <w:top w:val="single" w:sz="4" w:space="0" w:color="auto"/>
              <w:left w:val="nil"/>
              <w:bottom w:val="single" w:sz="4" w:space="0" w:color="auto"/>
              <w:right w:val="nil"/>
            </w:tcBorders>
            <w:shd w:val="clear" w:color="auto" w:fill="8DB3E2" w:themeFill="text2" w:themeFillTint="66"/>
            <w:noWrap/>
            <w:vAlign w:val="center"/>
            <w:hideMark/>
          </w:tcPr>
          <w:p w:rsidR="00676CA2" w:rsidRPr="00BE3C93" w:rsidRDefault="00676CA2" w:rsidP="00E51697">
            <w:pPr>
              <w:pStyle w:val="cuadroCabe"/>
              <w:jc w:val="right"/>
              <w:rPr>
                <w:lang w:val="es-ES" w:eastAsia="es-ES"/>
              </w:rPr>
            </w:pPr>
            <w:r>
              <w:rPr>
                <w:lang w:val="es-ES" w:eastAsia="es-ES"/>
              </w:rPr>
              <w:t>70.484.065</w:t>
            </w:r>
          </w:p>
        </w:tc>
        <w:tc>
          <w:tcPr>
            <w:tcW w:w="1843" w:type="dxa"/>
            <w:tcBorders>
              <w:top w:val="single" w:sz="4" w:space="0" w:color="auto"/>
              <w:left w:val="nil"/>
              <w:bottom w:val="single" w:sz="4" w:space="0" w:color="auto"/>
              <w:right w:val="nil"/>
            </w:tcBorders>
            <w:shd w:val="clear" w:color="auto" w:fill="8DB3E2" w:themeFill="text2" w:themeFillTint="66"/>
            <w:vAlign w:val="center"/>
          </w:tcPr>
          <w:p w:rsidR="00676CA2" w:rsidRPr="00BE3C93" w:rsidRDefault="00676CA2" w:rsidP="00E51697">
            <w:pPr>
              <w:pStyle w:val="cuadroCabe"/>
              <w:jc w:val="right"/>
              <w:rPr>
                <w:lang w:val="es-ES" w:eastAsia="es-ES"/>
              </w:rPr>
            </w:pPr>
            <w:r w:rsidRPr="00BE3C93">
              <w:rPr>
                <w:lang w:val="es-ES" w:eastAsia="es-ES"/>
              </w:rPr>
              <w:t>100</w:t>
            </w:r>
          </w:p>
        </w:tc>
      </w:tr>
    </w:tbl>
    <w:p w:rsidR="00676CA2" w:rsidRDefault="00676CA2" w:rsidP="00676CA2">
      <w:pPr>
        <w:pStyle w:val="texto"/>
        <w:spacing w:before="240"/>
      </w:pPr>
      <w:r>
        <w:t>El 33 por ciento del gasto se destinó a adquirir material sanitario de consumo (23,49 millones), el 20 por ciento a productos químicos y de laboratorio (14,02 millones), el 12 por ciento a concertar servicios de asistencia sanitaria (8,59 millones) y el siete por ciento a la gestión de los servicios sociales garantizados (4,65 millones). El resto de conceptos económicos supusieron individualmente un importe inferior al cinco por ciento del gasto total.</w:t>
      </w:r>
    </w:p>
    <w:p w:rsidR="00676CA2" w:rsidRDefault="00676CA2" w:rsidP="00676CA2">
      <w:pPr>
        <w:pStyle w:val="texto"/>
        <w:spacing w:before="120" w:after="120"/>
      </w:pPr>
      <w:r>
        <w:t>Estos gastos conllevaron formalizar contratos o modificar los existentes s</w:t>
      </w:r>
      <w:r>
        <w:t>i</w:t>
      </w:r>
      <w:r>
        <w:t>guiendo los criterios expuestos en el epígrafe II.2 de este informe. Dado que prácticamente la totalidad de estos expedientes se tramitaron por el proced</w:t>
      </w:r>
      <w:r>
        <w:t>i</w:t>
      </w:r>
      <w:r>
        <w:t>miento de emergencia, no podemos cuantificar a cuántos contratos corresponde el gasto indicado, ya que aún no se han formalizado en su totalidad ni public</w:t>
      </w:r>
      <w:r>
        <w:t>a</w:t>
      </w:r>
      <w:r>
        <w:t xml:space="preserve">do en el Portal de Contratación. </w:t>
      </w:r>
    </w:p>
    <w:p w:rsidR="00676CA2" w:rsidRDefault="00676CA2" w:rsidP="00676CA2">
      <w:pPr>
        <w:pStyle w:val="texto"/>
        <w:spacing w:before="120" w:after="120"/>
      </w:pPr>
      <w:r>
        <w:t>Al respecto señalamos que, a 1 de marzo de 2021, según la información que consta en el portal citado, los expedientes de contratación tramitados por eme</w:t>
      </w:r>
      <w:r>
        <w:t>r</w:t>
      </w:r>
      <w:r>
        <w:lastRenderedPageBreak/>
        <w:t>gencia formalizados y publicados en el periodo marzo 2020-marzo 2021 rel</w:t>
      </w:r>
      <w:r>
        <w:t>a</w:t>
      </w:r>
      <w:r>
        <w:t>cionados con la ges</w:t>
      </w:r>
      <w:r w:rsidR="00075327">
        <w:t xml:space="preserve">tión de la COVID-19 son </w:t>
      </w:r>
      <w:r>
        <w:t>9</w:t>
      </w:r>
      <w:r w:rsidR="00075327">
        <w:t>6</w:t>
      </w:r>
      <w:r>
        <w:t xml:space="preserve"> por un importe de 1</w:t>
      </w:r>
      <w:r w:rsidR="00075327">
        <w:t>4</w:t>
      </w:r>
      <w:r>
        <w:t>,</w:t>
      </w:r>
      <w:r w:rsidR="00075327">
        <w:t>88</w:t>
      </w:r>
      <w:r>
        <w:t xml:space="preserve"> mill</w:t>
      </w:r>
      <w:r>
        <w:t>o</w:t>
      </w:r>
      <w:r>
        <w:t>nes (IVA excluido), cifra significativamente menor al gasto señalado. Por otro lado, constan dos contratos tramitados por vía ordinaria en el periodo indicado relacionados con la COVID-19 por un total de 1,80 millones.</w:t>
      </w:r>
    </w:p>
    <w:p w:rsidR="00676CA2" w:rsidRDefault="00676CA2" w:rsidP="006538A3">
      <w:pPr>
        <w:pStyle w:val="atitulo4"/>
      </w:pPr>
      <w:r>
        <w:t>Gasto en transferencias corrientes</w:t>
      </w:r>
    </w:p>
    <w:p w:rsidR="00676CA2" w:rsidRDefault="00676CA2" w:rsidP="00676CA2">
      <w:pPr>
        <w:pStyle w:val="texto"/>
        <w:spacing w:after="240"/>
      </w:pPr>
      <w:r>
        <w:t>El gasto en transferencias corrientes fue de 72,06 millones a 31 de diciembre de 2020 con el siguiente desglose por concepto económico:</w:t>
      </w:r>
    </w:p>
    <w:tbl>
      <w:tblPr>
        <w:tblW w:w="8789" w:type="dxa"/>
        <w:jc w:val="center"/>
        <w:tblCellMar>
          <w:left w:w="70" w:type="dxa"/>
          <w:right w:w="70" w:type="dxa"/>
        </w:tblCellMar>
        <w:tblLook w:val="04A0" w:firstRow="1" w:lastRow="0" w:firstColumn="1" w:lastColumn="0" w:noHBand="0" w:noVBand="1"/>
      </w:tblPr>
      <w:tblGrid>
        <w:gridCol w:w="4536"/>
        <w:gridCol w:w="2835"/>
        <w:gridCol w:w="1418"/>
      </w:tblGrid>
      <w:tr w:rsidR="00676CA2" w:rsidRPr="00A758EA" w:rsidTr="005A518C">
        <w:trPr>
          <w:trHeight w:val="300"/>
          <w:jc w:val="center"/>
        </w:trPr>
        <w:tc>
          <w:tcPr>
            <w:tcW w:w="4536" w:type="dxa"/>
            <w:tcBorders>
              <w:top w:val="single" w:sz="4" w:space="0" w:color="auto"/>
              <w:left w:val="nil"/>
              <w:bottom w:val="single" w:sz="4" w:space="0" w:color="auto"/>
              <w:right w:val="nil"/>
            </w:tcBorders>
            <w:shd w:val="clear" w:color="auto" w:fill="8DB3E2" w:themeFill="text2" w:themeFillTint="66"/>
            <w:noWrap/>
            <w:vAlign w:val="center"/>
            <w:hideMark/>
          </w:tcPr>
          <w:p w:rsidR="00676CA2" w:rsidRPr="004177B8" w:rsidRDefault="00676CA2" w:rsidP="005A518C">
            <w:pPr>
              <w:pStyle w:val="cuadroCabe"/>
              <w:rPr>
                <w:lang w:val="es-ES" w:eastAsia="es-ES"/>
              </w:rPr>
            </w:pPr>
            <w:r w:rsidRPr="00A758EA">
              <w:rPr>
                <w:lang w:val="es-ES" w:eastAsia="es-ES"/>
              </w:rPr>
              <w:t>Concepto económico</w:t>
            </w:r>
          </w:p>
        </w:tc>
        <w:tc>
          <w:tcPr>
            <w:tcW w:w="2835" w:type="dxa"/>
            <w:tcBorders>
              <w:top w:val="single" w:sz="4" w:space="0" w:color="auto"/>
              <w:left w:val="nil"/>
              <w:bottom w:val="single" w:sz="4" w:space="0" w:color="auto"/>
              <w:right w:val="nil"/>
            </w:tcBorders>
            <w:shd w:val="clear" w:color="auto" w:fill="8DB3E2" w:themeFill="text2" w:themeFillTint="66"/>
            <w:noWrap/>
            <w:vAlign w:val="center"/>
            <w:hideMark/>
          </w:tcPr>
          <w:p w:rsidR="00A76D1C" w:rsidRDefault="00676CA2" w:rsidP="005A518C">
            <w:pPr>
              <w:pStyle w:val="cuadroCabe"/>
              <w:ind w:right="642"/>
              <w:jc w:val="right"/>
              <w:rPr>
                <w:lang w:val="es-ES" w:eastAsia="es-ES"/>
              </w:rPr>
            </w:pPr>
            <w:r w:rsidRPr="00A758EA">
              <w:rPr>
                <w:lang w:val="es-ES" w:eastAsia="es-ES"/>
              </w:rPr>
              <w:t xml:space="preserve">Obligaciones </w:t>
            </w:r>
          </w:p>
          <w:p w:rsidR="00676CA2" w:rsidRPr="004177B8" w:rsidRDefault="00676CA2" w:rsidP="005A518C">
            <w:pPr>
              <w:pStyle w:val="cuadroCabe"/>
              <w:ind w:right="642"/>
              <w:jc w:val="right"/>
              <w:rPr>
                <w:lang w:val="es-ES" w:eastAsia="es-ES"/>
              </w:rPr>
            </w:pPr>
            <w:r w:rsidRPr="00A758EA">
              <w:rPr>
                <w:lang w:val="es-ES" w:eastAsia="es-ES"/>
              </w:rPr>
              <w:t>Reconocidas Netas</w:t>
            </w:r>
          </w:p>
        </w:tc>
        <w:tc>
          <w:tcPr>
            <w:tcW w:w="1418" w:type="dxa"/>
            <w:tcBorders>
              <w:top w:val="single" w:sz="4" w:space="0" w:color="auto"/>
              <w:left w:val="nil"/>
              <w:bottom w:val="single" w:sz="4" w:space="0" w:color="auto"/>
              <w:right w:val="nil"/>
            </w:tcBorders>
            <w:shd w:val="clear" w:color="auto" w:fill="8DB3E2" w:themeFill="text2" w:themeFillTint="66"/>
            <w:vAlign w:val="center"/>
          </w:tcPr>
          <w:p w:rsidR="00676CA2" w:rsidRPr="00A758EA" w:rsidRDefault="00A76D1C" w:rsidP="0010329E">
            <w:pPr>
              <w:pStyle w:val="cuadroCabe"/>
              <w:jc w:val="right"/>
              <w:rPr>
                <w:lang w:val="es-ES" w:eastAsia="es-ES"/>
              </w:rPr>
            </w:pPr>
            <w:r>
              <w:rPr>
                <w:lang w:val="es-ES" w:eastAsia="es-ES"/>
              </w:rPr>
              <w:t>% s/</w:t>
            </w:r>
            <w:r w:rsidR="00676CA2">
              <w:rPr>
                <w:lang w:val="es-ES" w:eastAsia="es-ES"/>
              </w:rPr>
              <w:t>total ORN</w:t>
            </w:r>
          </w:p>
        </w:tc>
      </w:tr>
      <w:tr w:rsidR="00676CA2" w:rsidRPr="004177B8" w:rsidTr="005A518C">
        <w:trPr>
          <w:trHeight w:hRule="exact" w:val="255"/>
          <w:jc w:val="center"/>
        </w:trPr>
        <w:tc>
          <w:tcPr>
            <w:tcW w:w="4536" w:type="dxa"/>
            <w:tcBorders>
              <w:top w:val="single" w:sz="4" w:space="0" w:color="auto"/>
              <w:left w:val="nil"/>
              <w:bottom w:val="single" w:sz="2" w:space="0" w:color="auto"/>
              <w:right w:val="nil"/>
            </w:tcBorders>
            <w:shd w:val="clear" w:color="auto" w:fill="auto"/>
            <w:noWrap/>
            <w:vAlign w:val="center"/>
            <w:hideMark/>
          </w:tcPr>
          <w:p w:rsidR="00676CA2" w:rsidRDefault="00676CA2" w:rsidP="005A518C">
            <w:pPr>
              <w:spacing w:after="0"/>
              <w:ind w:firstLine="0"/>
              <w:jc w:val="left"/>
              <w:rPr>
                <w:rFonts w:ascii="Arial Narrow" w:hAnsi="Arial Narrow" w:cs="Calibri"/>
                <w:color w:val="000000"/>
                <w:sz w:val="19"/>
                <w:szCs w:val="19"/>
                <w:lang w:val="es-ES" w:eastAsia="es-ES"/>
              </w:rPr>
            </w:pPr>
            <w:proofErr w:type="spellStart"/>
            <w:r>
              <w:rPr>
                <w:rFonts w:ascii="Arial Narrow" w:hAnsi="Arial Narrow" w:cs="Calibri"/>
                <w:color w:val="000000"/>
                <w:sz w:val="19"/>
                <w:szCs w:val="19"/>
              </w:rPr>
              <w:t>Transf</w:t>
            </w:r>
            <w:proofErr w:type="spellEnd"/>
            <w:r>
              <w:rPr>
                <w:rFonts w:ascii="Arial Narrow" w:hAnsi="Arial Narrow" w:cs="Calibri"/>
                <w:color w:val="000000"/>
                <w:sz w:val="19"/>
                <w:szCs w:val="19"/>
              </w:rPr>
              <w:t>. corrientes a otras empresas privadas</w:t>
            </w:r>
          </w:p>
        </w:tc>
        <w:tc>
          <w:tcPr>
            <w:tcW w:w="2835" w:type="dxa"/>
            <w:tcBorders>
              <w:top w:val="single" w:sz="4" w:space="0" w:color="auto"/>
              <w:left w:val="nil"/>
              <w:bottom w:val="single" w:sz="2" w:space="0" w:color="auto"/>
              <w:right w:val="nil"/>
            </w:tcBorders>
            <w:shd w:val="clear" w:color="auto" w:fill="auto"/>
            <w:noWrap/>
            <w:vAlign w:val="center"/>
            <w:hideMark/>
          </w:tcPr>
          <w:p w:rsidR="00676CA2" w:rsidRDefault="00676CA2" w:rsidP="005A518C">
            <w:pPr>
              <w:ind w:right="642"/>
              <w:jc w:val="right"/>
              <w:rPr>
                <w:rFonts w:ascii="Arial Narrow" w:hAnsi="Arial Narrow" w:cs="Calibri"/>
                <w:color w:val="000000"/>
              </w:rPr>
            </w:pPr>
            <w:r>
              <w:rPr>
                <w:rFonts w:ascii="Arial Narrow" w:hAnsi="Arial Narrow" w:cs="Calibri"/>
                <w:color w:val="000000"/>
              </w:rPr>
              <w:t>39.915.850</w:t>
            </w:r>
          </w:p>
        </w:tc>
        <w:tc>
          <w:tcPr>
            <w:tcW w:w="1418" w:type="dxa"/>
            <w:tcBorders>
              <w:top w:val="single" w:sz="4" w:space="0" w:color="auto"/>
              <w:left w:val="nil"/>
              <w:bottom w:val="single" w:sz="2" w:space="0" w:color="auto"/>
              <w:right w:val="nil"/>
            </w:tcBorders>
            <w:vAlign w:val="center"/>
          </w:tcPr>
          <w:p w:rsidR="00676CA2" w:rsidRDefault="00676CA2" w:rsidP="0010329E">
            <w:pPr>
              <w:jc w:val="right"/>
              <w:rPr>
                <w:rFonts w:ascii="Arial Narrow" w:hAnsi="Arial Narrow" w:cs="Calibri"/>
                <w:color w:val="000000"/>
              </w:rPr>
            </w:pPr>
            <w:r>
              <w:rPr>
                <w:rFonts w:ascii="Arial Narrow" w:hAnsi="Arial Narrow" w:cs="Calibri"/>
                <w:color w:val="000000"/>
              </w:rPr>
              <w:t>55,5</w:t>
            </w:r>
          </w:p>
        </w:tc>
      </w:tr>
      <w:tr w:rsidR="00676CA2" w:rsidRPr="004177B8" w:rsidTr="005A518C">
        <w:trPr>
          <w:trHeight w:hRule="exact" w:val="255"/>
          <w:jc w:val="center"/>
        </w:trPr>
        <w:tc>
          <w:tcPr>
            <w:tcW w:w="4536" w:type="dxa"/>
            <w:tcBorders>
              <w:top w:val="single" w:sz="2" w:space="0" w:color="auto"/>
              <w:left w:val="nil"/>
              <w:bottom w:val="single" w:sz="2" w:space="0" w:color="auto"/>
              <w:right w:val="nil"/>
            </w:tcBorders>
            <w:shd w:val="clear" w:color="auto" w:fill="auto"/>
            <w:noWrap/>
            <w:vAlign w:val="center"/>
          </w:tcPr>
          <w:p w:rsidR="00676CA2" w:rsidRDefault="00676CA2" w:rsidP="005A518C">
            <w:pPr>
              <w:ind w:firstLine="0"/>
              <w:jc w:val="left"/>
              <w:rPr>
                <w:rFonts w:ascii="Arial Narrow" w:hAnsi="Arial Narrow" w:cs="Calibri"/>
                <w:color w:val="000000"/>
                <w:sz w:val="19"/>
                <w:szCs w:val="19"/>
              </w:rPr>
            </w:pPr>
            <w:r>
              <w:rPr>
                <w:rFonts w:ascii="Arial Narrow" w:hAnsi="Arial Narrow" w:cs="Calibri"/>
                <w:color w:val="000000"/>
                <w:sz w:val="19"/>
                <w:szCs w:val="19"/>
              </w:rPr>
              <w:t>Fondo de transferencias corrientes a entidades locales</w:t>
            </w:r>
          </w:p>
        </w:tc>
        <w:tc>
          <w:tcPr>
            <w:tcW w:w="2835" w:type="dxa"/>
            <w:tcBorders>
              <w:top w:val="single" w:sz="2" w:space="0" w:color="auto"/>
              <w:left w:val="nil"/>
              <w:bottom w:val="single" w:sz="2" w:space="0" w:color="auto"/>
              <w:right w:val="nil"/>
            </w:tcBorders>
            <w:shd w:val="clear" w:color="auto" w:fill="auto"/>
            <w:noWrap/>
            <w:vAlign w:val="center"/>
          </w:tcPr>
          <w:p w:rsidR="00676CA2" w:rsidRPr="003A1F5B" w:rsidRDefault="00676CA2" w:rsidP="005A518C">
            <w:pPr>
              <w:ind w:right="642"/>
              <w:jc w:val="right"/>
              <w:rPr>
                <w:rFonts w:ascii="Arial Narrow" w:hAnsi="Arial Narrow" w:cs="Calibri"/>
                <w:color w:val="FF0000"/>
              </w:rPr>
            </w:pPr>
            <w:r w:rsidRPr="00EA371A">
              <w:rPr>
                <w:rFonts w:ascii="Arial Narrow" w:hAnsi="Arial Narrow" w:cs="Calibri"/>
              </w:rPr>
              <w:t>11.500.000</w:t>
            </w:r>
          </w:p>
        </w:tc>
        <w:tc>
          <w:tcPr>
            <w:tcW w:w="1418" w:type="dxa"/>
            <w:tcBorders>
              <w:top w:val="single" w:sz="2" w:space="0" w:color="auto"/>
              <w:left w:val="nil"/>
              <w:bottom w:val="single" w:sz="2" w:space="0" w:color="auto"/>
              <w:right w:val="nil"/>
            </w:tcBorders>
            <w:vAlign w:val="center"/>
          </w:tcPr>
          <w:p w:rsidR="00676CA2" w:rsidRDefault="00676CA2" w:rsidP="0010329E">
            <w:pPr>
              <w:jc w:val="right"/>
              <w:rPr>
                <w:rFonts w:ascii="Arial Narrow" w:hAnsi="Arial Narrow" w:cs="Calibri"/>
                <w:color w:val="000000"/>
              </w:rPr>
            </w:pPr>
            <w:r>
              <w:rPr>
                <w:rFonts w:ascii="Arial Narrow" w:hAnsi="Arial Narrow" w:cs="Calibri"/>
                <w:color w:val="000000"/>
              </w:rPr>
              <w:t>16</w:t>
            </w:r>
          </w:p>
        </w:tc>
      </w:tr>
      <w:tr w:rsidR="00676CA2" w:rsidRPr="004177B8" w:rsidTr="005A518C">
        <w:trPr>
          <w:trHeight w:hRule="exact" w:val="255"/>
          <w:jc w:val="center"/>
        </w:trPr>
        <w:tc>
          <w:tcPr>
            <w:tcW w:w="4536" w:type="dxa"/>
            <w:tcBorders>
              <w:top w:val="single" w:sz="2" w:space="0" w:color="auto"/>
              <w:left w:val="nil"/>
              <w:bottom w:val="single" w:sz="2" w:space="0" w:color="auto"/>
              <w:right w:val="nil"/>
            </w:tcBorders>
            <w:shd w:val="clear" w:color="auto" w:fill="auto"/>
            <w:noWrap/>
            <w:vAlign w:val="center"/>
            <w:hideMark/>
          </w:tcPr>
          <w:p w:rsidR="00676CA2" w:rsidRDefault="00676CA2" w:rsidP="005A518C">
            <w:pPr>
              <w:ind w:firstLine="0"/>
              <w:jc w:val="left"/>
              <w:rPr>
                <w:rFonts w:ascii="Arial Narrow" w:hAnsi="Arial Narrow" w:cs="Calibri"/>
                <w:color w:val="000000"/>
                <w:sz w:val="19"/>
                <w:szCs w:val="19"/>
              </w:rPr>
            </w:pPr>
            <w:proofErr w:type="spellStart"/>
            <w:r>
              <w:rPr>
                <w:rFonts w:ascii="Arial Narrow" w:hAnsi="Arial Narrow" w:cs="Calibri"/>
                <w:color w:val="000000"/>
                <w:sz w:val="19"/>
                <w:szCs w:val="19"/>
              </w:rPr>
              <w:t>Transf</w:t>
            </w:r>
            <w:proofErr w:type="spellEnd"/>
            <w:r>
              <w:rPr>
                <w:rFonts w:ascii="Arial Narrow" w:hAnsi="Arial Narrow" w:cs="Calibri"/>
                <w:color w:val="000000"/>
                <w:sz w:val="19"/>
                <w:szCs w:val="19"/>
              </w:rPr>
              <w:t>. corrientes a familias y particulares</w:t>
            </w:r>
          </w:p>
        </w:tc>
        <w:tc>
          <w:tcPr>
            <w:tcW w:w="2835" w:type="dxa"/>
            <w:tcBorders>
              <w:top w:val="single" w:sz="2" w:space="0" w:color="auto"/>
              <w:left w:val="nil"/>
              <w:bottom w:val="single" w:sz="2" w:space="0" w:color="auto"/>
              <w:right w:val="nil"/>
            </w:tcBorders>
            <w:shd w:val="clear" w:color="auto" w:fill="auto"/>
            <w:noWrap/>
            <w:vAlign w:val="center"/>
            <w:hideMark/>
          </w:tcPr>
          <w:p w:rsidR="00676CA2" w:rsidRDefault="00676CA2" w:rsidP="005A518C">
            <w:pPr>
              <w:ind w:right="642"/>
              <w:jc w:val="right"/>
              <w:rPr>
                <w:rFonts w:ascii="Arial Narrow" w:hAnsi="Arial Narrow" w:cs="Calibri"/>
                <w:color w:val="000000"/>
              </w:rPr>
            </w:pPr>
            <w:r>
              <w:rPr>
                <w:rFonts w:ascii="Arial Narrow" w:hAnsi="Arial Narrow" w:cs="Calibri"/>
                <w:color w:val="000000"/>
              </w:rPr>
              <w:t>7.732.911</w:t>
            </w:r>
          </w:p>
        </w:tc>
        <w:tc>
          <w:tcPr>
            <w:tcW w:w="1418" w:type="dxa"/>
            <w:tcBorders>
              <w:top w:val="single" w:sz="2" w:space="0" w:color="auto"/>
              <w:left w:val="nil"/>
              <w:bottom w:val="single" w:sz="2" w:space="0" w:color="auto"/>
              <w:right w:val="nil"/>
            </w:tcBorders>
            <w:vAlign w:val="center"/>
          </w:tcPr>
          <w:p w:rsidR="00676CA2" w:rsidRDefault="00676CA2" w:rsidP="0010329E">
            <w:pPr>
              <w:jc w:val="right"/>
              <w:rPr>
                <w:rFonts w:ascii="Arial Narrow" w:hAnsi="Arial Narrow" w:cs="Calibri"/>
                <w:color w:val="000000"/>
              </w:rPr>
            </w:pPr>
            <w:r>
              <w:rPr>
                <w:rFonts w:ascii="Arial Narrow" w:hAnsi="Arial Narrow" w:cs="Calibri"/>
                <w:color w:val="000000"/>
              </w:rPr>
              <w:t>11</w:t>
            </w:r>
          </w:p>
        </w:tc>
      </w:tr>
      <w:tr w:rsidR="00676CA2" w:rsidRPr="004177B8" w:rsidTr="005A518C">
        <w:trPr>
          <w:trHeight w:hRule="exact" w:val="255"/>
          <w:jc w:val="center"/>
        </w:trPr>
        <w:tc>
          <w:tcPr>
            <w:tcW w:w="4536" w:type="dxa"/>
            <w:tcBorders>
              <w:top w:val="single" w:sz="2" w:space="0" w:color="auto"/>
              <w:left w:val="nil"/>
              <w:bottom w:val="single" w:sz="2" w:space="0" w:color="auto"/>
              <w:right w:val="nil"/>
            </w:tcBorders>
            <w:shd w:val="clear" w:color="auto" w:fill="auto"/>
            <w:noWrap/>
            <w:vAlign w:val="center"/>
            <w:hideMark/>
          </w:tcPr>
          <w:p w:rsidR="00676CA2" w:rsidRDefault="00676CA2" w:rsidP="005A518C">
            <w:pPr>
              <w:ind w:firstLine="0"/>
              <w:jc w:val="left"/>
              <w:rPr>
                <w:rFonts w:ascii="Arial Narrow" w:hAnsi="Arial Narrow" w:cs="Calibri"/>
                <w:color w:val="000000"/>
                <w:sz w:val="19"/>
                <w:szCs w:val="19"/>
              </w:rPr>
            </w:pPr>
            <w:proofErr w:type="spellStart"/>
            <w:r>
              <w:rPr>
                <w:rFonts w:ascii="Arial Narrow" w:hAnsi="Arial Narrow" w:cs="Calibri"/>
                <w:color w:val="000000"/>
                <w:sz w:val="19"/>
                <w:szCs w:val="19"/>
              </w:rPr>
              <w:t>Transf</w:t>
            </w:r>
            <w:proofErr w:type="spellEnd"/>
            <w:r>
              <w:rPr>
                <w:rFonts w:ascii="Arial Narrow" w:hAnsi="Arial Narrow" w:cs="Calibri"/>
                <w:color w:val="000000"/>
                <w:sz w:val="19"/>
                <w:szCs w:val="19"/>
              </w:rPr>
              <w:t>. corrientes a empresas públicas</w:t>
            </w:r>
          </w:p>
        </w:tc>
        <w:tc>
          <w:tcPr>
            <w:tcW w:w="2835" w:type="dxa"/>
            <w:tcBorders>
              <w:top w:val="single" w:sz="2" w:space="0" w:color="auto"/>
              <w:left w:val="nil"/>
              <w:bottom w:val="single" w:sz="2" w:space="0" w:color="auto"/>
              <w:right w:val="nil"/>
            </w:tcBorders>
            <w:shd w:val="clear" w:color="auto" w:fill="auto"/>
            <w:noWrap/>
            <w:vAlign w:val="center"/>
            <w:hideMark/>
          </w:tcPr>
          <w:p w:rsidR="00676CA2" w:rsidRDefault="00676CA2" w:rsidP="005A518C">
            <w:pPr>
              <w:ind w:right="642"/>
              <w:jc w:val="right"/>
              <w:rPr>
                <w:rFonts w:ascii="Arial Narrow" w:hAnsi="Arial Narrow" w:cs="Calibri"/>
                <w:color w:val="000000"/>
              </w:rPr>
            </w:pPr>
            <w:r>
              <w:rPr>
                <w:rFonts w:ascii="Arial Narrow" w:hAnsi="Arial Narrow" w:cs="Calibri"/>
                <w:color w:val="000000"/>
              </w:rPr>
              <w:t>4.345.222</w:t>
            </w:r>
          </w:p>
        </w:tc>
        <w:tc>
          <w:tcPr>
            <w:tcW w:w="1418" w:type="dxa"/>
            <w:tcBorders>
              <w:top w:val="single" w:sz="2" w:space="0" w:color="auto"/>
              <w:left w:val="nil"/>
              <w:bottom w:val="single" w:sz="2" w:space="0" w:color="auto"/>
              <w:right w:val="nil"/>
            </w:tcBorders>
            <w:vAlign w:val="center"/>
          </w:tcPr>
          <w:p w:rsidR="00676CA2" w:rsidRDefault="00676CA2" w:rsidP="0010329E">
            <w:pPr>
              <w:jc w:val="right"/>
              <w:rPr>
                <w:rFonts w:ascii="Arial Narrow" w:hAnsi="Arial Narrow" w:cs="Calibri"/>
                <w:color w:val="000000"/>
              </w:rPr>
            </w:pPr>
            <w:r>
              <w:rPr>
                <w:rFonts w:ascii="Arial Narrow" w:hAnsi="Arial Narrow" w:cs="Calibri"/>
                <w:color w:val="000000"/>
              </w:rPr>
              <w:t>6</w:t>
            </w:r>
          </w:p>
        </w:tc>
      </w:tr>
      <w:tr w:rsidR="00676CA2" w:rsidRPr="004177B8" w:rsidTr="005A518C">
        <w:trPr>
          <w:trHeight w:hRule="exact" w:val="255"/>
          <w:jc w:val="center"/>
        </w:trPr>
        <w:tc>
          <w:tcPr>
            <w:tcW w:w="4536" w:type="dxa"/>
            <w:tcBorders>
              <w:top w:val="single" w:sz="2" w:space="0" w:color="auto"/>
              <w:left w:val="nil"/>
              <w:bottom w:val="single" w:sz="2" w:space="0" w:color="auto"/>
              <w:right w:val="nil"/>
            </w:tcBorders>
            <w:shd w:val="clear" w:color="auto" w:fill="auto"/>
            <w:noWrap/>
            <w:vAlign w:val="center"/>
            <w:hideMark/>
          </w:tcPr>
          <w:p w:rsidR="00676CA2" w:rsidRDefault="00676CA2" w:rsidP="005A518C">
            <w:pPr>
              <w:ind w:firstLine="0"/>
              <w:jc w:val="left"/>
              <w:rPr>
                <w:rFonts w:ascii="Arial Narrow" w:hAnsi="Arial Narrow" w:cs="Calibri"/>
                <w:color w:val="000000"/>
                <w:sz w:val="19"/>
                <w:szCs w:val="19"/>
              </w:rPr>
            </w:pPr>
            <w:proofErr w:type="spellStart"/>
            <w:r>
              <w:rPr>
                <w:rFonts w:ascii="Arial Narrow" w:hAnsi="Arial Narrow" w:cs="Calibri"/>
                <w:color w:val="000000"/>
                <w:sz w:val="19"/>
                <w:szCs w:val="19"/>
              </w:rPr>
              <w:t>Transf</w:t>
            </w:r>
            <w:proofErr w:type="spellEnd"/>
            <w:r>
              <w:rPr>
                <w:rFonts w:ascii="Arial Narrow" w:hAnsi="Arial Narrow" w:cs="Calibri"/>
                <w:color w:val="000000"/>
                <w:sz w:val="19"/>
                <w:szCs w:val="19"/>
              </w:rPr>
              <w:t xml:space="preserve">. </w:t>
            </w:r>
            <w:proofErr w:type="spellStart"/>
            <w:r>
              <w:rPr>
                <w:rFonts w:ascii="Arial Narrow" w:hAnsi="Arial Narrow" w:cs="Calibri"/>
                <w:color w:val="000000"/>
                <w:sz w:val="19"/>
                <w:szCs w:val="19"/>
              </w:rPr>
              <w:t>ctes</w:t>
            </w:r>
            <w:proofErr w:type="spellEnd"/>
            <w:r>
              <w:rPr>
                <w:rFonts w:ascii="Arial Narrow" w:hAnsi="Arial Narrow" w:cs="Calibri"/>
                <w:color w:val="000000"/>
                <w:sz w:val="19"/>
                <w:szCs w:val="19"/>
              </w:rPr>
              <w:t>. a empresas agrícolas</w:t>
            </w:r>
          </w:p>
        </w:tc>
        <w:tc>
          <w:tcPr>
            <w:tcW w:w="2835" w:type="dxa"/>
            <w:tcBorders>
              <w:top w:val="single" w:sz="2" w:space="0" w:color="auto"/>
              <w:left w:val="nil"/>
              <w:bottom w:val="single" w:sz="2" w:space="0" w:color="auto"/>
              <w:right w:val="nil"/>
            </w:tcBorders>
            <w:shd w:val="clear" w:color="auto" w:fill="auto"/>
            <w:noWrap/>
            <w:vAlign w:val="center"/>
            <w:hideMark/>
          </w:tcPr>
          <w:p w:rsidR="00676CA2" w:rsidRDefault="00676CA2" w:rsidP="005A518C">
            <w:pPr>
              <w:ind w:right="642"/>
              <w:jc w:val="right"/>
              <w:rPr>
                <w:rFonts w:ascii="Arial Narrow" w:hAnsi="Arial Narrow" w:cs="Calibri"/>
                <w:color w:val="000000"/>
              </w:rPr>
            </w:pPr>
            <w:r>
              <w:rPr>
                <w:rFonts w:ascii="Arial Narrow" w:hAnsi="Arial Narrow" w:cs="Calibri"/>
                <w:color w:val="000000"/>
              </w:rPr>
              <w:t>2.935.943</w:t>
            </w:r>
          </w:p>
        </w:tc>
        <w:tc>
          <w:tcPr>
            <w:tcW w:w="1418" w:type="dxa"/>
            <w:tcBorders>
              <w:top w:val="single" w:sz="2" w:space="0" w:color="auto"/>
              <w:left w:val="nil"/>
              <w:bottom w:val="single" w:sz="2" w:space="0" w:color="auto"/>
              <w:right w:val="nil"/>
            </w:tcBorders>
            <w:vAlign w:val="center"/>
          </w:tcPr>
          <w:p w:rsidR="00676CA2" w:rsidRDefault="00676CA2" w:rsidP="0010329E">
            <w:pPr>
              <w:jc w:val="right"/>
              <w:rPr>
                <w:rFonts w:ascii="Arial Narrow" w:hAnsi="Arial Narrow" w:cs="Calibri"/>
                <w:color w:val="000000"/>
              </w:rPr>
            </w:pPr>
            <w:r>
              <w:rPr>
                <w:rFonts w:ascii="Arial Narrow" w:hAnsi="Arial Narrow" w:cs="Calibri"/>
                <w:color w:val="000000"/>
              </w:rPr>
              <w:t>4</w:t>
            </w:r>
          </w:p>
        </w:tc>
      </w:tr>
      <w:tr w:rsidR="00676CA2" w:rsidRPr="004177B8" w:rsidTr="005A518C">
        <w:trPr>
          <w:trHeight w:hRule="exact" w:val="255"/>
          <w:jc w:val="center"/>
        </w:trPr>
        <w:tc>
          <w:tcPr>
            <w:tcW w:w="4536" w:type="dxa"/>
            <w:tcBorders>
              <w:top w:val="single" w:sz="2" w:space="0" w:color="auto"/>
              <w:left w:val="nil"/>
              <w:bottom w:val="single" w:sz="2" w:space="0" w:color="auto"/>
              <w:right w:val="nil"/>
            </w:tcBorders>
            <w:shd w:val="clear" w:color="auto" w:fill="auto"/>
            <w:noWrap/>
            <w:vAlign w:val="center"/>
            <w:hideMark/>
          </w:tcPr>
          <w:p w:rsidR="00676CA2" w:rsidRDefault="00676CA2" w:rsidP="005A518C">
            <w:pPr>
              <w:ind w:firstLine="0"/>
              <w:jc w:val="left"/>
              <w:rPr>
                <w:rFonts w:ascii="Arial Narrow" w:hAnsi="Arial Narrow" w:cs="Calibri"/>
                <w:color w:val="000000"/>
                <w:sz w:val="19"/>
                <w:szCs w:val="19"/>
              </w:rPr>
            </w:pPr>
            <w:proofErr w:type="spellStart"/>
            <w:r>
              <w:rPr>
                <w:rFonts w:ascii="Arial Narrow" w:hAnsi="Arial Narrow" w:cs="Calibri"/>
                <w:color w:val="000000"/>
                <w:sz w:val="19"/>
                <w:szCs w:val="19"/>
              </w:rPr>
              <w:t>Transf</w:t>
            </w:r>
            <w:proofErr w:type="spellEnd"/>
            <w:r>
              <w:rPr>
                <w:rFonts w:ascii="Arial Narrow" w:hAnsi="Arial Narrow" w:cs="Calibri"/>
                <w:color w:val="000000"/>
                <w:sz w:val="19"/>
                <w:szCs w:val="19"/>
              </w:rPr>
              <w:t xml:space="preserve">. </w:t>
            </w:r>
            <w:proofErr w:type="spellStart"/>
            <w:r>
              <w:rPr>
                <w:rFonts w:ascii="Arial Narrow" w:hAnsi="Arial Narrow" w:cs="Calibri"/>
                <w:color w:val="000000"/>
                <w:sz w:val="19"/>
                <w:szCs w:val="19"/>
              </w:rPr>
              <w:t>ctes</w:t>
            </w:r>
            <w:proofErr w:type="spellEnd"/>
            <w:r>
              <w:rPr>
                <w:rFonts w:ascii="Arial Narrow" w:hAnsi="Arial Narrow" w:cs="Calibri"/>
                <w:color w:val="000000"/>
                <w:sz w:val="19"/>
                <w:szCs w:val="19"/>
              </w:rPr>
              <w:t>. centros enseñanza no universitaria</w:t>
            </w:r>
          </w:p>
        </w:tc>
        <w:tc>
          <w:tcPr>
            <w:tcW w:w="2835" w:type="dxa"/>
            <w:tcBorders>
              <w:top w:val="single" w:sz="2" w:space="0" w:color="auto"/>
              <w:left w:val="nil"/>
              <w:bottom w:val="single" w:sz="2" w:space="0" w:color="auto"/>
              <w:right w:val="nil"/>
            </w:tcBorders>
            <w:shd w:val="clear" w:color="auto" w:fill="auto"/>
            <w:noWrap/>
            <w:vAlign w:val="center"/>
            <w:hideMark/>
          </w:tcPr>
          <w:p w:rsidR="00676CA2" w:rsidRDefault="00676CA2" w:rsidP="005A518C">
            <w:pPr>
              <w:ind w:right="642"/>
              <w:jc w:val="right"/>
              <w:rPr>
                <w:rFonts w:ascii="Arial Narrow" w:hAnsi="Arial Narrow" w:cs="Calibri"/>
                <w:color w:val="000000"/>
              </w:rPr>
            </w:pPr>
            <w:r>
              <w:rPr>
                <w:rFonts w:ascii="Arial Narrow" w:hAnsi="Arial Narrow" w:cs="Calibri"/>
                <w:color w:val="000000"/>
              </w:rPr>
              <w:t>2.884.342</w:t>
            </w:r>
          </w:p>
        </w:tc>
        <w:tc>
          <w:tcPr>
            <w:tcW w:w="1418" w:type="dxa"/>
            <w:tcBorders>
              <w:top w:val="single" w:sz="2" w:space="0" w:color="auto"/>
              <w:left w:val="nil"/>
              <w:bottom w:val="single" w:sz="2" w:space="0" w:color="auto"/>
              <w:right w:val="nil"/>
            </w:tcBorders>
            <w:vAlign w:val="center"/>
          </w:tcPr>
          <w:p w:rsidR="00676CA2" w:rsidRDefault="00676CA2" w:rsidP="0010329E">
            <w:pPr>
              <w:jc w:val="right"/>
              <w:rPr>
                <w:rFonts w:ascii="Arial Narrow" w:hAnsi="Arial Narrow" w:cs="Calibri"/>
                <w:color w:val="000000"/>
              </w:rPr>
            </w:pPr>
            <w:r>
              <w:rPr>
                <w:rFonts w:ascii="Arial Narrow" w:hAnsi="Arial Narrow" w:cs="Calibri"/>
                <w:color w:val="000000"/>
              </w:rPr>
              <w:t>4</w:t>
            </w:r>
          </w:p>
        </w:tc>
      </w:tr>
      <w:tr w:rsidR="00676CA2" w:rsidRPr="004177B8" w:rsidTr="005A518C">
        <w:trPr>
          <w:trHeight w:hRule="exact" w:val="255"/>
          <w:jc w:val="center"/>
        </w:trPr>
        <w:tc>
          <w:tcPr>
            <w:tcW w:w="4536" w:type="dxa"/>
            <w:tcBorders>
              <w:top w:val="single" w:sz="2" w:space="0" w:color="auto"/>
              <w:left w:val="nil"/>
              <w:bottom w:val="single" w:sz="2" w:space="0" w:color="auto"/>
              <w:right w:val="nil"/>
            </w:tcBorders>
            <w:shd w:val="clear" w:color="auto" w:fill="auto"/>
            <w:noWrap/>
            <w:vAlign w:val="center"/>
          </w:tcPr>
          <w:p w:rsidR="00676CA2" w:rsidRDefault="00676CA2" w:rsidP="005A518C">
            <w:pPr>
              <w:ind w:firstLine="0"/>
              <w:jc w:val="left"/>
              <w:rPr>
                <w:rFonts w:ascii="Arial Narrow" w:hAnsi="Arial Narrow" w:cs="Calibri"/>
                <w:color w:val="000000"/>
                <w:sz w:val="19"/>
                <w:szCs w:val="19"/>
              </w:rPr>
            </w:pPr>
            <w:r>
              <w:rPr>
                <w:rFonts w:ascii="Arial Narrow" w:hAnsi="Arial Narrow" w:cs="Calibri"/>
                <w:color w:val="000000"/>
                <w:sz w:val="19"/>
                <w:szCs w:val="19"/>
              </w:rPr>
              <w:t xml:space="preserve">Otras </w:t>
            </w:r>
            <w:proofErr w:type="spellStart"/>
            <w:r>
              <w:rPr>
                <w:rFonts w:ascii="Arial Narrow" w:hAnsi="Arial Narrow" w:cs="Calibri"/>
                <w:color w:val="000000"/>
                <w:sz w:val="19"/>
                <w:szCs w:val="19"/>
              </w:rPr>
              <w:t>transf</w:t>
            </w:r>
            <w:proofErr w:type="spellEnd"/>
            <w:r>
              <w:rPr>
                <w:rFonts w:ascii="Arial Narrow" w:hAnsi="Arial Narrow" w:cs="Calibri"/>
                <w:color w:val="000000"/>
                <w:sz w:val="19"/>
                <w:szCs w:val="19"/>
              </w:rPr>
              <w:t xml:space="preserve">. </w:t>
            </w:r>
            <w:proofErr w:type="spellStart"/>
            <w:r>
              <w:rPr>
                <w:rFonts w:ascii="Arial Narrow" w:hAnsi="Arial Narrow" w:cs="Calibri"/>
                <w:color w:val="000000"/>
                <w:sz w:val="19"/>
                <w:szCs w:val="19"/>
              </w:rPr>
              <w:t>ctes</w:t>
            </w:r>
            <w:proofErr w:type="spellEnd"/>
            <w:r>
              <w:rPr>
                <w:rFonts w:ascii="Arial Narrow" w:hAnsi="Arial Narrow" w:cs="Calibri"/>
                <w:color w:val="000000"/>
                <w:sz w:val="19"/>
                <w:szCs w:val="19"/>
              </w:rPr>
              <w:t>. a entidades locales</w:t>
            </w:r>
          </w:p>
        </w:tc>
        <w:tc>
          <w:tcPr>
            <w:tcW w:w="2835" w:type="dxa"/>
            <w:tcBorders>
              <w:top w:val="single" w:sz="2" w:space="0" w:color="auto"/>
              <w:left w:val="nil"/>
              <w:bottom w:val="single" w:sz="2" w:space="0" w:color="auto"/>
              <w:right w:val="nil"/>
            </w:tcBorders>
            <w:shd w:val="clear" w:color="auto" w:fill="auto"/>
            <w:noWrap/>
            <w:vAlign w:val="center"/>
          </w:tcPr>
          <w:p w:rsidR="00676CA2" w:rsidRDefault="00676CA2" w:rsidP="005A518C">
            <w:pPr>
              <w:ind w:right="642"/>
              <w:jc w:val="right"/>
              <w:rPr>
                <w:rFonts w:ascii="Arial Narrow" w:hAnsi="Arial Narrow" w:cs="Calibri"/>
                <w:color w:val="000000"/>
              </w:rPr>
            </w:pPr>
            <w:r>
              <w:rPr>
                <w:rFonts w:ascii="Arial Narrow" w:hAnsi="Arial Narrow" w:cs="Calibri"/>
                <w:color w:val="000000"/>
              </w:rPr>
              <w:t>1.626.529</w:t>
            </w:r>
          </w:p>
        </w:tc>
        <w:tc>
          <w:tcPr>
            <w:tcW w:w="1418" w:type="dxa"/>
            <w:tcBorders>
              <w:top w:val="single" w:sz="2" w:space="0" w:color="auto"/>
              <w:left w:val="nil"/>
              <w:bottom w:val="single" w:sz="2" w:space="0" w:color="auto"/>
              <w:right w:val="nil"/>
            </w:tcBorders>
            <w:vAlign w:val="center"/>
          </w:tcPr>
          <w:p w:rsidR="00676CA2" w:rsidRDefault="00676CA2" w:rsidP="0010329E">
            <w:pPr>
              <w:jc w:val="right"/>
              <w:rPr>
                <w:rFonts w:ascii="Arial Narrow" w:hAnsi="Arial Narrow" w:cs="Calibri"/>
                <w:color w:val="000000"/>
              </w:rPr>
            </w:pPr>
            <w:r>
              <w:rPr>
                <w:rFonts w:ascii="Arial Narrow" w:hAnsi="Arial Narrow" w:cs="Calibri"/>
                <w:color w:val="000000"/>
              </w:rPr>
              <w:t>2</w:t>
            </w:r>
          </w:p>
        </w:tc>
      </w:tr>
      <w:tr w:rsidR="00676CA2" w:rsidRPr="004177B8" w:rsidTr="005A518C">
        <w:trPr>
          <w:trHeight w:hRule="exact" w:val="255"/>
          <w:jc w:val="center"/>
        </w:trPr>
        <w:tc>
          <w:tcPr>
            <w:tcW w:w="4536" w:type="dxa"/>
            <w:tcBorders>
              <w:top w:val="single" w:sz="2" w:space="0" w:color="auto"/>
              <w:left w:val="nil"/>
              <w:bottom w:val="single" w:sz="2" w:space="0" w:color="auto"/>
              <w:right w:val="nil"/>
            </w:tcBorders>
            <w:shd w:val="clear" w:color="auto" w:fill="auto"/>
            <w:noWrap/>
            <w:vAlign w:val="center"/>
            <w:hideMark/>
          </w:tcPr>
          <w:p w:rsidR="00676CA2" w:rsidRDefault="00676CA2" w:rsidP="005A518C">
            <w:pPr>
              <w:ind w:firstLine="0"/>
              <w:jc w:val="left"/>
              <w:rPr>
                <w:rFonts w:ascii="Arial Narrow" w:hAnsi="Arial Narrow" w:cs="Calibri"/>
                <w:color w:val="000000"/>
                <w:sz w:val="19"/>
                <w:szCs w:val="19"/>
              </w:rPr>
            </w:pPr>
            <w:proofErr w:type="spellStart"/>
            <w:r>
              <w:rPr>
                <w:rFonts w:ascii="Arial Narrow" w:hAnsi="Arial Narrow" w:cs="Calibri"/>
                <w:color w:val="000000"/>
                <w:sz w:val="19"/>
                <w:szCs w:val="19"/>
              </w:rPr>
              <w:t>Transf</w:t>
            </w:r>
            <w:proofErr w:type="spellEnd"/>
            <w:r>
              <w:rPr>
                <w:rFonts w:ascii="Arial Narrow" w:hAnsi="Arial Narrow" w:cs="Calibri"/>
                <w:color w:val="000000"/>
                <w:sz w:val="19"/>
                <w:szCs w:val="19"/>
              </w:rPr>
              <w:t>. corrientes a la Universidad Pública de Navarra</w:t>
            </w:r>
          </w:p>
        </w:tc>
        <w:tc>
          <w:tcPr>
            <w:tcW w:w="2835" w:type="dxa"/>
            <w:tcBorders>
              <w:top w:val="single" w:sz="2" w:space="0" w:color="auto"/>
              <w:left w:val="nil"/>
              <w:bottom w:val="single" w:sz="2" w:space="0" w:color="auto"/>
              <w:right w:val="nil"/>
            </w:tcBorders>
            <w:shd w:val="clear" w:color="auto" w:fill="auto"/>
            <w:noWrap/>
            <w:vAlign w:val="center"/>
            <w:hideMark/>
          </w:tcPr>
          <w:p w:rsidR="00676CA2" w:rsidRDefault="00676CA2" w:rsidP="005A518C">
            <w:pPr>
              <w:ind w:right="642"/>
              <w:jc w:val="right"/>
              <w:rPr>
                <w:rFonts w:ascii="Arial Narrow" w:hAnsi="Arial Narrow" w:cs="Calibri"/>
                <w:color w:val="000000"/>
              </w:rPr>
            </w:pPr>
            <w:r>
              <w:rPr>
                <w:rFonts w:ascii="Arial Narrow" w:hAnsi="Arial Narrow" w:cs="Calibri"/>
                <w:color w:val="000000"/>
              </w:rPr>
              <w:t>750.000</w:t>
            </w:r>
          </w:p>
        </w:tc>
        <w:tc>
          <w:tcPr>
            <w:tcW w:w="1418" w:type="dxa"/>
            <w:tcBorders>
              <w:top w:val="single" w:sz="2" w:space="0" w:color="auto"/>
              <w:left w:val="nil"/>
              <w:bottom w:val="single" w:sz="2" w:space="0" w:color="auto"/>
              <w:right w:val="nil"/>
            </w:tcBorders>
            <w:vAlign w:val="center"/>
          </w:tcPr>
          <w:p w:rsidR="00676CA2" w:rsidRDefault="00676CA2" w:rsidP="0010329E">
            <w:pPr>
              <w:jc w:val="right"/>
              <w:rPr>
                <w:rFonts w:ascii="Arial Narrow" w:hAnsi="Arial Narrow" w:cs="Calibri"/>
                <w:color w:val="000000"/>
              </w:rPr>
            </w:pPr>
            <w:r>
              <w:rPr>
                <w:rFonts w:ascii="Arial Narrow" w:hAnsi="Arial Narrow" w:cs="Calibri"/>
                <w:color w:val="000000"/>
              </w:rPr>
              <w:t>1</w:t>
            </w:r>
          </w:p>
        </w:tc>
      </w:tr>
      <w:tr w:rsidR="00676CA2" w:rsidRPr="004177B8" w:rsidTr="005A518C">
        <w:trPr>
          <w:trHeight w:hRule="exact" w:val="255"/>
          <w:jc w:val="center"/>
        </w:trPr>
        <w:tc>
          <w:tcPr>
            <w:tcW w:w="4536" w:type="dxa"/>
            <w:tcBorders>
              <w:top w:val="single" w:sz="2" w:space="0" w:color="auto"/>
              <w:left w:val="nil"/>
              <w:bottom w:val="single" w:sz="2" w:space="0" w:color="auto"/>
              <w:right w:val="nil"/>
            </w:tcBorders>
            <w:shd w:val="clear" w:color="auto" w:fill="auto"/>
            <w:noWrap/>
            <w:vAlign w:val="center"/>
            <w:hideMark/>
          </w:tcPr>
          <w:p w:rsidR="00676CA2" w:rsidRDefault="00676CA2" w:rsidP="005A518C">
            <w:pPr>
              <w:ind w:firstLine="0"/>
              <w:jc w:val="left"/>
              <w:rPr>
                <w:rFonts w:ascii="Arial Narrow" w:hAnsi="Arial Narrow" w:cs="Calibri"/>
                <w:color w:val="000000"/>
                <w:sz w:val="19"/>
                <w:szCs w:val="19"/>
              </w:rPr>
            </w:pPr>
            <w:proofErr w:type="spellStart"/>
            <w:r>
              <w:rPr>
                <w:rFonts w:ascii="Arial Narrow" w:hAnsi="Arial Narrow" w:cs="Calibri"/>
                <w:color w:val="000000"/>
                <w:sz w:val="19"/>
                <w:szCs w:val="19"/>
              </w:rPr>
              <w:t>Transf</w:t>
            </w:r>
            <w:proofErr w:type="spellEnd"/>
            <w:r>
              <w:rPr>
                <w:rFonts w:ascii="Arial Narrow" w:hAnsi="Arial Narrow" w:cs="Calibri"/>
                <w:color w:val="000000"/>
                <w:sz w:val="19"/>
                <w:szCs w:val="19"/>
              </w:rPr>
              <w:t>. corrientes a otros entes públicos</w:t>
            </w:r>
          </w:p>
        </w:tc>
        <w:tc>
          <w:tcPr>
            <w:tcW w:w="2835" w:type="dxa"/>
            <w:tcBorders>
              <w:top w:val="single" w:sz="2" w:space="0" w:color="auto"/>
              <w:left w:val="nil"/>
              <w:bottom w:val="single" w:sz="2" w:space="0" w:color="auto"/>
              <w:right w:val="nil"/>
            </w:tcBorders>
            <w:shd w:val="clear" w:color="auto" w:fill="auto"/>
            <w:noWrap/>
            <w:vAlign w:val="center"/>
            <w:hideMark/>
          </w:tcPr>
          <w:p w:rsidR="00676CA2" w:rsidRDefault="00676CA2" w:rsidP="005A518C">
            <w:pPr>
              <w:ind w:right="642"/>
              <w:jc w:val="right"/>
              <w:rPr>
                <w:rFonts w:ascii="Arial Narrow" w:hAnsi="Arial Narrow" w:cs="Calibri"/>
                <w:color w:val="000000"/>
              </w:rPr>
            </w:pPr>
            <w:r>
              <w:rPr>
                <w:rFonts w:ascii="Arial Narrow" w:hAnsi="Arial Narrow" w:cs="Calibri"/>
                <w:color w:val="000000"/>
              </w:rPr>
              <w:t>269.292</w:t>
            </w:r>
          </w:p>
        </w:tc>
        <w:tc>
          <w:tcPr>
            <w:tcW w:w="1418" w:type="dxa"/>
            <w:tcBorders>
              <w:top w:val="single" w:sz="2" w:space="0" w:color="auto"/>
              <w:left w:val="nil"/>
              <w:bottom w:val="single" w:sz="2" w:space="0" w:color="auto"/>
              <w:right w:val="nil"/>
            </w:tcBorders>
            <w:vAlign w:val="center"/>
          </w:tcPr>
          <w:p w:rsidR="00676CA2" w:rsidRDefault="00676CA2" w:rsidP="0010329E">
            <w:pPr>
              <w:jc w:val="right"/>
              <w:rPr>
                <w:rFonts w:ascii="Arial Narrow" w:hAnsi="Arial Narrow" w:cs="Calibri"/>
                <w:color w:val="000000"/>
              </w:rPr>
            </w:pPr>
            <w:r>
              <w:rPr>
                <w:rFonts w:ascii="Arial Narrow" w:hAnsi="Arial Narrow" w:cs="Calibri"/>
                <w:color w:val="000000"/>
              </w:rPr>
              <w:t>0,5</w:t>
            </w:r>
          </w:p>
        </w:tc>
      </w:tr>
      <w:tr w:rsidR="00676CA2" w:rsidRPr="004177B8" w:rsidTr="005A518C">
        <w:trPr>
          <w:trHeight w:hRule="exact" w:val="255"/>
          <w:jc w:val="center"/>
        </w:trPr>
        <w:tc>
          <w:tcPr>
            <w:tcW w:w="4536" w:type="dxa"/>
            <w:tcBorders>
              <w:top w:val="single" w:sz="2" w:space="0" w:color="auto"/>
              <w:left w:val="nil"/>
              <w:bottom w:val="single" w:sz="2" w:space="0" w:color="auto"/>
              <w:right w:val="nil"/>
            </w:tcBorders>
            <w:shd w:val="clear" w:color="auto" w:fill="auto"/>
            <w:noWrap/>
            <w:vAlign w:val="center"/>
            <w:hideMark/>
          </w:tcPr>
          <w:p w:rsidR="00676CA2" w:rsidRDefault="00676CA2" w:rsidP="005A518C">
            <w:pPr>
              <w:ind w:firstLine="0"/>
              <w:jc w:val="left"/>
              <w:rPr>
                <w:rFonts w:ascii="Arial Narrow" w:hAnsi="Arial Narrow" w:cs="Calibri"/>
                <w:color w:val="000000"/>
                <w:sz w:val="19"/>
                <w:szCs w:val="19"/>
              </w:rPr>
            </w:pPr>
            <w:proofErr w:type="spellStart"/>
            <w:r>
              <w:rPr>
                <w:rFonts w:ascii="Arial Narrow" w:hAnsi="Arial Narrow" w:cs="Calibri"/>
                <w:color w:val="000000"/>
                <w:sz w:val="19"/>
                <w:szCs w:val="19"/>
              </w:rPr>
              <w:t>Transf</w:t>
            </w:r>
            <w:proofErr w:type="spellEnd"/>
            <w:r>
              <w:rPr>
                <w:rFonts w:ascii="Arial Narrow" w:hAnsi="Arial Narrow" w:cs="Calibri"/>
                <w:color w:val="000000"/>
                <w:sz w:val="19"/>
                <w:szCs w:val="19"/>
              </w:rPr>
              <w:t xml:space="preserve">. </w:t>
            </w:r>
            <w:proofErr w:type="spellStart"/>
            <w:r>
              <w:rPr>
                <w:rFonts w:ascii="Arial Narrow" w:hAnsi="Arial Narrow" w:cs="Calibri"/>
                <w:color w:val="000000"/>
                <w:sz w:val="19"/>
                <w:szCs w:val="19"/>
              </w:rPr>
              <w:t>ctes</w:t>
            </w:r>
            <w:proofErr w:type="spellEnd"/>
            <w:r>
              <w:rPr>
                <w:rFonts w:ascii="Arial Narrow" w:hAnsi="Arial Narrow" w:cs="Calibri"/>
                <w:color w:val="000000"/>
                <w:sz w:val="19"/>
                <w:szCs w:val="19"/>
              </w:rPr>
              <w:t>. facultades y escuelas universitarias</w:t>
            </w:r>
          </w:p>
        </w:tc>
        <w:tc>
          <w:tcPr>
            <w:tcW w:w="2835" w:type="dxa"/>
            <w:tcBorders>
              <w:top w:val="single" w:sz="2" w:space="0" w:color="auto"/>
              <w:left w:val="nil"/>
              <w:bottom w:val="single" w:sz="2" w:space="0" w:color="auto"/>
              <w:right w:val="nil"/>
            </w:tcBorders>
            <w:shd w:val="clear" w:color="auto" w:fill="auto"/>
            <w:noWrap/>
            <w:vAlign w:val="center"/>
            <w:hideMark/>
          </w:tcPr>
          <w:p w:rsidR="00676CA2" w:rsidRDefault="00676CA2" w:rsidP="005A518C">
            <w:pPr>
              <w:ind w:right="642"/>
              <w:jc w:val="right"/>
              <w:rPr>
                <w:rFonts w:ascii="Arial Narrow" w:hAnsi="Arial Narrow" w:cs="Calibri"/>
                <w:color w:val="000000"/>
              </w:rPr>
            </w:pPr>
            <w:r>
              <w:rPr>
                <w:rFonts w:ascii="Arial Narrow" w:hAnsi="Arial Narrow" w:cs="Calibri"/>
                <w:color w:val="000000"/>
              </w:rPr>
              <w:t>80.150</w:t>
            </w:r>
          </w:p>
        </w:tc>
        <w:tc>
          <w:tcPr>
            <w:tcW w:w="1418" w:type="dxa"/>
            <w:tcBorders>
              <w:top w:val="single" w:sz="2" w:space="0" w:color="auto"/>
              <w:left w:val="nil"/>
              <w:bottom w:val="single" w:sz="2" w:space="0" w:color="auto"/>
              <w:right w:val="nil"/>
            </w:tcBorders>
            <w:vAlign w:val="center"/>
          </w:tcPr>
          <w:p w:rsidR="00676CA2" w:rsidRDefault="00676CA2" w:rsidP="0010329E">
            <w:pPr>
              <w:jc w:val="right"/>
              <w:rPr>
                <w:rFonts w:ascii="Arial Narrow" w:hAnsi="Arial Narrow" w:cs="Calibri"/>
                <w:color w:val="000000"/>
              </w:rPr>
            </w:pPr>
            <w:r>
              <w:rPr>
                <w:rFonts w:ascii="Arial Narrow" w:hAnsi="Arial Narrow" w:cs="Calibri"/>
                <w:color w:val="000000"/>
              </w:rPr>
              <w:t>-</w:t>
            </w:r>
          </w:p>
        </w:tc>
      </w:tr>
      <w:tr w:rsidR="00676CA2" w:rsidRPr="004177B8" w:rsidTr="005A518C">
        <w:trPr>
          <w:trHeight w:hRule="exact" w:val="255"/>
          <w:jc w:val="center"/>
        </w:trPr>
        <w:tc>
          <w:tcPr>
            <w:tcW w:w="4536" w:type="dxa"/>
            <w:tcBorders>
              <w:top w:val="single" w:sz="2" w:space="0" w:color="auto"/>
              <w:left w:val="nil"/>
              <w:bottom w:val="single" w:sz="2" w:space="0" w:color="auto"/>
              <w:right w:val="nil"/>
            </w:tcBorders>
            <w:shd w:val="clear" w:color="auto" w:fill="auto"/>
            <w:noWrap/>
            <w:vAlign w:val="center"/>
            <w:hideMark/>
          </w:tcPr>
          <w:p w:rsidR="00676CA2" w:rsidRDefault="00676CA2" w:rsidP="005A518C">
            <w:pPr>
              <w:ind w:firstLine="0"/>
              <w:jc w:val="left"/>
              <w:rPr>
                <w:rFonts w:ascii="Arial Narrow" w:hAnsi="Arial Narrow" w:cs="Calibri"/>
                <w:color w:val="000000"/>
                <w:sz w:val="19"/>
                <w:szCs w:val="19"/>
              </w:rPr>
            </w:pPr>
            <w:proofErr w:type="spellStart"/>
            <w:r>
              <w:rPr>
                <w:rFonts w:ascii="Arial Narrow" w:hAnsi="Arial Narrow" w:cs="Calibri"/>
                <w:color w:val="000000"/>
                <w:sz w:val="19"/>
                <w:szCs w:val="19"/>
              </w:rPr>
              <w:t>Transf</w:t>
            </w:r>
            <w:proofErr w:type="spellEnd"/>
            <w:r>
              <w:rPr>
                <w:rFonts w:ascii="Arial Narrow" w:hAnsi="Arial Narrow" w:cs="Calibri"/>
                <w:color w:val="000000"/>
                <w:sz w:val="19"/>
                <w:szCs w:val="19"/>
              </w:rPr>
              <w:t xml:space="preserve">. </w:t>
            </w:r>
            <w:proofErr w:type="spellStart"/>
            <w:r>
              <w:rPr>
                <w:rFonts w:ascii="Arial Narrow" w:hAnsi="Arial Narrow" w:cs="Calibri"/>
                <w:color w:val="000000"/>
                <w:sz w:val="19"/>
                <w:szCs w:val="19"/>
              </w:rPr>
              <w:t>ctes</w:t>
            </w:r>
            <w:proofErr w:type="spellEnd"/>
            <w:r>
              <w:rPr>
                <w:rFonts w:ascii="Arial Narrow" w:hAnsi="Arial Narrow" w:cs="Calibri"/>
                <w:color w:val="000000"/>
                <w:sz w:val="19"/>
                <w:szCs w:val="19"/>
              </w:rPr>
              <w:t xml:space="preserve">. a otras </w:t>
            </w:r>
            <w:proofErr w:type="spellStart"/>
            <w:r>
              <w:rPr>
                <w:rFonts w:ascii="Arial Narrow" w:hAnsi="Arial Narrow" w:cs="Calibri"/>
                <w:color w:val="000000"/>
                <w:sz w:val="19"/>
                <w:szCs w:val="19"/>
              </w:rPr>
              <w:t>instituc</w:t>
            </w:r>
            <w:proofErr w:type="spellEnd"/>
            <w:r>
              <w:rPr>
                <w:rFonts w:ascii="Arial Narrow" w:hAnsi="Arial Narrow" w:cs="Calibri"/>
                <w:color w:val="000000"/>
                <w:sz w:val="19"/>
                <w:szCs w:val="19"/>
              </w:rPr>
              <w:t>. sin fines de lucro</w:t>
            </w:r>
          </w:p>
        </w:tc>
        <w:tc>
          <w:tcPr>
            <w:tcW w:w="2835" w:type="dxa"/>
            <w:tcBorders>
              <w:top w:val="single" w:sz="2" w:space="0" w:color="auto"/>
              <w:left w:val="nil"/>
              <w:bottom w:val="single" w:sz="2" w:space="0" w:color="auto"/>
              <w:right w:val="nil"/>
            </w:tcBorders>
            <w:shd w:val="clear" w:color="auto" w:fill="auto"/>
            <w:noWrap/>
            <w:vAlign w:val="center"/>
            <w:hideMark/>
          </w:tcPr>
          <w:p w:rsidR="00676CA2" w:rsidRDefault="00676CA2" w:rsidP="005A518C">
            <w:pPr>
              <w:ind w:right="642"/>
              <w:jc w:val="right"/>
              <w:rPr>
                <w:rFonts w:ascii="Arial Narrow" w:hAnsi="Arial Narrow" w:cs="Calibri"/>
                <w:color w:val="000000"/>
              </w:rPr>
            </w:pPr>
            <w:r>
              <w:rPr>
                <w:rFonts w:ascii="Arial Narrow" w:hAnsi="Arial Narrow" w:cs="Calibri"/>
                <w:color w:val="000000"/>
              </w:rPr>
              <w:t>15.000</w:t>
            </w:r>
          </w:p>
        </w:tc>
        <w:tc>
          <w:tcPr>
            <w:tcW w:w="1418" w:type="dxa"/>
            <w:tcBorders>
              <w:top w:val="single" w:sz="2" w:space="0" w:color="auto"/>
              <w:left w:val="nil"/>
              <w:bottom w:val="single" w:sz="2" w:space="0" w:color="auto"/>
              <w:right w:val="nil"/>
            </w:tcBorders>
            <w:vAlign w:val="center"/>
          </w:tcPr>
          <w:p w:rsidR="00676CA2" w:rsidRDefault="00676CA2" w:rsidP="0010329E">
            <w:pPr>
              <w:jc w:val="right"/>
              <w:rPr>
                <w:rFonts w:ascii="Arial Narrow" w:hAnsi="Arial Narrow" w:cs="Calibri"/>
                <w:color w:val="000000"/>
              </w:rPr>
            </w:pPr>
            <w:r>
              <w:rPr>
                <w:rFonts w:ascii="Arial Narrow" w:hAnsi="Arial Narrow" w:cs="Calibri"/>
                <w:color w:val="000000"/>
              </w:rPr>
              <w:t>-</w:t>
            </w:r>
          </w:p>
        </w:tc>
      </w:tr>
      <w:tr w:rsidR="00676CA2" w:rsidRPr="004177B8" w:rsidTr="005A518C">
        <w:trPr>
          <w:trHeight w:hRule="exact" w:val="255"/>
          <w:jc w:val="center"/>
        </w:trPr>
        <w:tc>
          <w:tcPr>
            <w:tcW w:w="4536" w:type="dxa"/>
            <w:tcBorders>
              <w:top w:val="single" w:sz="2" w:space="0" w:color="auto"/>
              <w:left w:val="nil"/>
              <w:bottom w:val="single" w:sz="4" w:space="0" w:color="auto"/>
              <w:right w:val="nil"/>
            </w:tcBorders>
            <w:shd w:val="clear" w:color="auto" w:fill="auto"/>
            <w:noWrap/>
            <w:vAlign w:val="center"/>
            <w:hideMark/>
          </w:tcPr>
          <w:p w:rsidR="00676CA2" w:rsidRDefault="00676CA2" w:rsidP="005A518C">
            <w:pPr>
              <w:ind w:firstLine="0"/>
              <w:jc w:val="left"/>
              <w:rPr>
                <w:rFonts w:ascii="Arial Narrow" w:hAnsi="Arial Narrow" w:cs="Calibri"/>
                <w:color w:val="000000"/>
                <w:sz w:val="19"/>
                <w:szCs w:val="19"/>
              </w:rPr>
            </w:pPr>
            <w:proofErr w:type="spellStart"/>
            <w:r>
              <w:rPr>
                <w:rFonts w:ascii="Arial Narrow" w:hAnsi="Arial Narrow" w:cs="Calibri"/>
                <w:color w:val="000000"/>
                <w:sz w:val="19"/>
                <w:szCs w:val="19"/>
              </w:rPr>
              <w:t>Transf</w:t>
            </w:r>
            <w:proofErr w:type="spellEnd"/>
            <w:r>
              <w:rPr>
                <w:rFonts w:ascii="Arial Narrow" w:hAnsi="Arial Narrow" w:cs="Calibri"/>
                <w:color w:val="000000"/>
                <w:sz w:val="19"/>
                <w:szCs w:val="19"/>
              </w:rPr>
              <w:t xml:space="preserve">. </w:t>
            </w:r>
            <w:proofErr w:type="spellStart"/>
            <w:r>
              <w:rPr>
                <w:rFonts w:ascii="Arial Narrow" w:hAnsi="Arial Narrow" w:cs="Calibri"/>
                <w:color w:val="000000"/>
                <w:sz w:val="19"/>
                <w:szCs w:val="19"/>
              </w:rPr>
              <w:t>ctes</w:t>
            </w:r>
            <w:proofErr w:type="spellEnd"/>
            <w:r>
              <w:rPr>
                <w:rFonts w:ascii="Arial Narrow" w:hAnsi="Arial Narrow" w:cs="Calibri"/>
                <w:color w:val="000000"/>
                <w:sz w:val="19"/>
                <w:szCs w:val="19"/>
              </w:rPr>
              <w:t>. a empresas comerciales</w:t>
            </w:r>
          </w:p>
        </w:tc>
        <w:tc>
          <w:tcPr>
            <w:tcW w:w="2835" w:type="dxa"/>
            <w:tcBorders>
              <w:top w:val="single" w:sz="2" w:space="0" w:color="auto"/>
              <w:left w:val="nil"/>
              <w:bottom w:val="single" w:sz="4" w:space="0" w:color="auto"/>
              <w:right w:val="nil"/>
            </w:tcBorders>
            <w:shd w:val="clear" w:color="auto" w:fill="auto"/>
            <w:noWrap/>
            <w:vAlign w:val="center"/>
            <w:hideMark/>
          </w:tcPr>
          <w:p w:rsidR="00676CA2" w:rsidRDefault="00676CA2" w:rsidP="005A518C">
            <w:pPr>
              <w:ind w:right="642"/>
              <w:jc w:val="right"/>
              <w:rPr>
                <w:rFonts w:ascii="Arial Narrow" w:hAnsi="Arial Narrow" w:cs="Calibri"/>
                <w:color w:val="000000"/>
              </w:rPr>
            </w:pPr>
            <w:r>
              <w:rPr>
                <w:rFonts w:ascii="Arial Narrow" w:hAnsi="Arial Narrow" w:cs="Calibri"/>
                <w:color w:val="000000"/>
              </w:rPr>
              <w:t>3.275</w:t>
            </w:r>
          </w:p>
        </w:tc>
        <w:tc>
          <w:tcPr>
            <w:tcW w:w="1418" w:type="dxa"/>
            <w:tcBorders>
              <w:top w:val="single" w:sz="2" w:space="0" w:color="auto"/>
              <w:left w:val="nil"/>
              <w:bottom w:val="single" w:sz="4" w:space="0" w:color="auto"/>
              <w:right w:val="nil"/>
            </w:tcBorders>
            <w:vAlign w:val="center"/>
          </w:tcPr>
          <w:p w:rsidR="00676CA2" w:rsidRDefault="00676CA2" w:rsidP="0010329E">
            <w:pPr>
              <w:jc w:val="right"/>
              <w:rPr>
                <w:rFonts w:ascii="Arial Narrow" w:hAnsi="Arial Narrow" w:cs="Calibri"/>
                <w:color w:val="000000"/>
              </w:rPr>
            </w:pPr>
            <w:r>
              <w:rPr>
                <w:rFonts w:ascii="Arial Narrow" w:hAnsi="Arial Narrow" w:cs="Calibri"/>
                <w:color w:val="000000"/>
              </w:rPr>
              <w:t>-</w:t>
            </w:r>
          </w:p>
        </w:tc>
      </w:tr>
      <w:tr w:rsidR="00676CA2" w:rsidRPr="004177B8" w:rsidTr="005A518C">
        <w:trPr>
          <w:trHeight w:hRule="exact" w:val="255"/>
          <w:jc w:val="center"/>
        </w:trPr>
        <w:tc>
          <w:tcPr>
            <w:tcW w:w="4536" w:type="dxa"/>
            <w:tcBorders>
              <w:top w:val="single" w:sz="4" w:space="0" w:color="auto"/>
              <w:left w:val="nil"/>
              <w:bottom w:val="single" w:sz="4" w:space="0" w:color="auto"/>
              <w:right w:val="nil"/>
            </w:tcBorders>
            <w:shd w:val="clear" w:color="auto" w:fill="8DB3E2" w:themeFill="text2" w:themeFillTint="66"/>
            <w:noWrap/>
            <w:vAlign w:val="center"/>
            <w:hideMark/>
          </w:tcPr>
          <w:p w:rsidR="00676CA2" w:rsidRDefault="00676CA2" w:rsidP="005A518C">
            <w:pPr>
              <w:pStyle w:val="cuadroCabe"/>
            </w:pPr>
            <w:r>
              <w:t>Total general</w:t>
            </w:r>
          </w:p>
        </w:tc>
        <w:tc>
          <w:tcPr>
            <w:tcW w:w="2835" w:type="dxa"/>
            <w:tcBorders>
              <w:top w:val="single" w:sz="4" w:space="0" w:color="auto"/>
              <w:left w:val="nil"/>
              <w:bottom w:val="single" w:sz="4" w:space="0" w:color="auto"/>
              <w:right w:val="nil"/>
            </w:tcBorders>
            <w:shd w:val="clear" w:color="auto" w:fill="8DB3E2" w:themeFill="text2" w:themeFillTint="66"/>
            <w:noWrap/>
            <w:vAlign w:val="center"/>
            <w:hideMark/>
          </w:tcPr>
          <w:p w:rsidR="00676CA2" w:rsidRPr="00B536B4" w:rsidRDefault="00676CA2" w:rsidP="005A518C">
            <w:pPr>
              <w:pStyle w:val="cuadroCabe"/>
              <w:ind w:right="642"/>
              <w:jc w:val="right"/>
              <w:rPr>
                <w:color w:val="000000"/>
              </w:rPr>
            </w:pPr>
            <w:r w:rsidRPr="00B536B4">
              <w:rPr>
                <w:color w:val="000000"/>
              </w:rPr>
              <w:t>72.058.514</w:t>
            </w:r>
          </w:p>
        </w:tc>
        <w:tc>
          <w:tcPr>
            <w:tcW w:w="1418" w:type="dxa"/>
            <w:tcBorders>
              <w:top w:val="single" w:sz="4" w:space="0" w:color="auto"/>
              <w:left w:val="nil"/>
              <w:bottom w:val="single" w:sz="4" w:space="0" w:color="auto"/>
              <w:right w:val="nil"/>
            </w:tcBorders>
            <w:shd w:val="clear" w:color="auto" w:fill="8DB3E2" w:themeFill="text2" w:themeFillTint="66"/>
            <w:vAlign w:val="center"/>
          </w:tcPr>
          <w:p w:rsidR="00676CA2" w:rsidRPr="00B536B4" w:rsidRDefault="00676CA2" w:rsidP="0010329E">
            <w:pPr>
              <w:pStyle w:val="cuadroCabe"/>
              <w:jc w:val="right"/>
              <w:rPr>
                <w:color w:val="000000"/>
              </w:rPr>
            </w:pPr>
            <w:r w:rsidRPr="00B536B4">
              <w:rPr>
                <w:color w:val="000000"/>
              </w:rPr>
              <w:t>100</w:t>
            </w:r>
          </w:p>
        </w:tc>
      </w:tr>
    </w:tbl>
    <w:p w:rsidR="00676CA2" w:rsidRDefault="00676CA2" w:rsidP="00676CA2">
      <w:pPr>
        <w:pStyle w:val="texto"/>
        <w:spacing w:before="240" w:after="240"/>
        <w:rPr>
          <w:szCs w:val="26"/>
        </w:rPr>
      </w:pPr>
      <w:r>
        <w:rPr>
          <w:szCs w:val="26"/>
        </w:rPr>
        <w:t>El 55 por ciento de las transferencias (39,92 millones) corresponden a ay</w:t>
      </w:r>
      <w:r>
        <w:rPr>
          <w:szCs w:val="26"/>
        </w:rPr>
        <w:t>u</w:t>
      </w:r>
      <w:r>
        <w:rPr>
          <w:szCs w:val="26"/>
        </w:rPr>
        <w:t>das a empresas privadas, de las cuales, 24,03 millones son las otorgadas a aut</w:t>
      </w:r>
      <w:r>
        <w:rPr>
          <w:szCs w:val="26"/>
        </w:rPr>
        <w:t>ó</w:t>
      </w:r>
      <w:r>
        <w:rPr>
          <w:szCs w:val="26"/>
        </w:rPr>
        <w:t>nomos; las entidades locales fueron destinatarias del 18 por ciento del gasto t</w:t>
      </w:r>
      <w:r>
        <w:rPr>
          <w:szCs w:val="26"/>
        </w:rPr>
        <w:t>o</w:t>
      </w:r>
      <w:r>
        <w:rPr>
          <w:szCs w:val="26"/>
        </w:rPr>
        <w:t>tal del cual destacan los 10,50 millones correspondientes al Fondo Extraordin</w:t>
      </w:r>
      <w:r>
        <w:rPr>
          <w:szCs w:val="26"/>
        </w:rPr>
        <w:t>a</w:t>
      </w:r>
      <w:r>
        <w:rPr>
          <w:szCs w:val="26"/>
        </w:rPr>
        <w:t>rio para entidades locales de carácter no finalista por su menor recaudación, que se aprobó por la Ley Foral 13/2020</w:t>
      </w:r>
      <w:r w:rsidR="00845FF6">
        <w:rPr>
          <w:szCs w:val="26"/>
        </w:rPr>
        <w:t>,</w:t>
      </w:r>
      <w:r>
        <w:rPr>
          <w:szCs w:val="26"/>
        </w:rPr>
        <w:t xml:space="preserve"> </w:t>
      </w:r>
      <w:r w:rsidRPr="003A4807">
        <w:rPr>
          <w:szCs w:val="26"/>
        </w:rPr>
        <w:t>y un millón de euros para paliar el d</w:t>
      </w:r>
      <w:r w:rsidRPr="003A4807">
        <w:rPr>
          <w:szCs w:val="26"/>
        </w:rPr>
        <w:t>é</w:t>
      </w:r>
      <w:r w:rsidRPr="003A4807">
        <w:rPr>
          <w:szCs w:val="26"/>
        </w:rPr>
        <w:t>ficit de transporte urbano de viajeros</w:t>
      </w:r>
      <w:r>
        <w:rPr>
          <w:szCs w:val="26"/>
        </w:rPr>
        <w:t>; por otro lado, el 11 por ciento del gasto se destinó a familias y particulares</w:t>
      </w:r>
      <w:r w:rsidR="00845FF6">
        <w:rPr>
          <w:szCs w:val="26"/>
        </w:rPr>
        <w:t>,</w:t>
      </w:r>
      <w:r>
        <w:rPr>
          <w:szCs w:val="26"/>
        </w:rPr>
        <w:t xml:space="preserve"> fundamentalmente a la renta garantizada (78 por ciento de los 7,73 millones que supuso este concepto).</w:t>
      </w:r>
    </w:p>
    <w:p w:rsidR="00676CA2" w:rsidRDefault="00676CA2" w:rsidP="006538A3">
      <w:pPr>
        <w:pStyle w:val="atitulo4"/>
      </w:pPr>
      <w:r>
        <w:t>Gasto en transferencias de capital</w:t>
      </w:r>
    </w:p>
    <w:p w:rsidR="00676CA2" w:rsidRDefault="00676CA2" w:rsidP="00676CA2">
      <w:pPr>
        <w:pStyle w:val="texto"/>
        <w:spacing w:after="240"/>
      </w:pPr>
      <w:r>
        <w:t>El gasto en transferencias de capital fue de 15,72 millones a 31 de diciembre de 2020 con el siguiente desglose por concepto económico:</w:t>
      </w:r>
    </w:p>
    <w:tbl>
      <w:tblPr>
        <w:tblW w:w="8931" w:type="dxa"/>
        <w:jc w:val="center"/>
        <w:tblCellMar>
          <w:left w:w="70" w:type="dxa"/>
          <w:right w:w="70" w:type="dxa"/>
        </w:tblCellMar>
        <w:tblLook w:val="04A0" w:firstRow="1" w:lastRow="0" w:firstColumn="1" w:lastColumn="0" w:noHBand="0" w:noVBand="1"/>
      </w:tblPr>
      <w:tblGrid>
        <w:gridCol w:w="4536"/>
        <w:gridCol w:w="3060"/>
        <w:gridCol w:w="1335"/>
      </w:tblGrid>
      <w:tr w:rsidR="00676CA2" w:rsidRPr="00A758EA" w:rsidTr="00D7219A">
        <w:trPr>
          <w:trHeight w:val="300"/>
          <w:jc w:val="center"/>
        </w:trPr>
        <w:tc>
          <w:tcPr>
            <w:tcW w:w="4536" w:type="dxa"/>
            <w:tcBorders>
              <w:top w:val="single" w:sz="4" w:space="0" w:color="auto"/>
              <w:left w:val="nil"/>
              <w:bottom w:val="single" w:sz="4" w:space="0" w:color="auto"/>
              <w:right w:val="nil"/>
            </w:tcBorders>
            <w:shd w:val="clear" w:color="auto" w:fill="8DB3E2" w:themeFill="text2" w:themeFillTint="66"/>
            <w:noWrap/>
            <w:vAlign w:val="center"/>
            <w:hideMark/>
          </w:tcPr>
          <w:p w:rsidR="00676CA2" w:rsidRPr="004177B8" w:rsidRDefault="00676CA2" w:rsidP="00A76D1C">
            <w:pPr>
              <w:pStyle w:val="cuadroCabe"/>
              <w:rPr>
                <w:lang w:val="es-ES" w:eastAsia="es-ES"/>
              </w:rPr>
            </w:pPr>
            <w:r w:rsidRPr="00A758EA">
              <w:rPr>
                <w:lang w:val="es-ES" w:eastAsia="es-ES"/>
              </w:rPr>
              <w:t>Concepto económico</w:t>
            </w:r>
          </w:p>
        </w:tc>
        <w:tc>
          <w:tcPr>
            <w:tcW w:w="3060" w:type="dxa"/>
            <w:tcBorders>
              <w:top w:val="single" w:sz="4" w:space="0" w:color="auto"/>
              <w:left w:val="nil"/>
              <w:bottom w:val="single" w:sz="4" w:space="0" w:color="auto"/>
              <w:right w:val="nil"/>
            </w:tcBorders>
            <w:shd w:val="clear" w:color="auto" w:fill="8DB3E2" w:themeFill="text2" w:themeFillTint="66"/>
            <w:noWrap/>
            <w:vAlign w:val="center"/>
            <w:hideMark/>
          </w:tcPr>
          <w:p w:rsidR="00676CA2" w:rsidRPr="004177B8" w:rsidRDefault="00676CA2" w:rsidP="00A76D1C">
            <w:pPr>
              <w:pStyle w:val="cuadroCabe"/>
              <w:jc w:val="right"/>
              <w:rPr>
                <w:lang w:val="es-ES" w:eastAsia="es-ES"/>
              </w:rPr>
            </w:pPr>
            <w:r w:rsidRPr="00A758EA">
              <w:rPr>
                <w:lang w:val="es-ES" w:eastAsia="es-ES"/>
              </w:rPr>
              <w:t>Obligaciones Reconocidas Netas</w:t>
            </w:r>
          </w:p>
        </w:tc>
        <w:tc>
          <w:tcPr>
            <w:tcW w:w="1335" w:type="dxa"/>
            <w:tcBorders>
              <w:top w:val="single" w:sz="4" w:space="0" w:color="auto"/>
              <w:left w:val="nil"/>
              <w:bottom w:val="single" w:sz="4" w:space="0" w:color="auto"/>
              <w:right w:val="nil"/>
            </w:tcBorders>
            <w:shd w:val="clear" w:color="auto" w:fill="8DB3E2" w:themeFill="text2" w:themeFillTint="66"/>
            <w:vAlign w:val="center"/>
          </w:tcPr>
          <w:p w:rsidR="00676CA2" w:rsidRPr="00A758EA" w:rsidRDefault="00676CA2" w:rsidP="00A76D1C">
            <w:pPr>
              <w:pStyle w:val="cuadroCabe"/>
              <w:jc w:val="right"/>
              <w:rPr>
                <w:lang w:val="es-ES" w:eastAsia="es-ES"/>
              </w:rPr>
            </w:pPr>
            <w:r>
              <w:rPr>
                <w:lang w:val="es-ES" w:eastAsia="es-ES"/>
              </w:rPr>
              <w:t>% s/total ORN</w:t>
            </w:r>
          </w:p>
        </w:tc>
      </w:tr>
      <w:tr w:rsidR="00676CA2" w:rsidRPr="004177B8" w:rsidTr="00D7219A">
        <w:trPr>
          <w:trHeight w:val="198"/>
          <w:jc w:val="center"/>
        </w:trPr>
        <w:tc>
          <w:tcPr>
            <w:tcW w:w="4536" w:type="dxa"/>
            <w:tcBorders>
              <w:top w:val="single" w:sz="4" w:space="0" w:color="auto"/>
              <w:left w:val="nil"/>
              <w:bottom w:val="single" w:sz="2" w:space="0" w:color="auto"/>
              <w:right w:val="nil"/>
            </w:tcBorders>
            <w:shd w:val="clear" w:color="auto" w:fill="auto"/>
            <w:noWrap/>
            <w:vAlign w:val="center"/>
            <w:hideMark/>
          </w:tcPr>
          <w:p w:rsidR="00676CA2" w:rsidRPr="00D7219A" w:rsidRDefault="00676CA2" w:rsidP="00D7219A">
            <w:pPr>
              <w:spacing w:after="0"/>
              <w:ind w:firstLine="0"/>
              <w:jc w:val="left"/>
              <w:rPr>
                <w:rFonts w:ascii="Arial Narrow" w:hAnsi="Arial Narrow" w:cs="Calibri"/>
                <w:color w:val="000000"/>
                <w:lang w:val="es-ES" w:eastAsia="es-ES"/>
              </w:rPr>
            </w:pPr>
            <w:proofErr w:type="spellStart"/>
            <w:r w:rsidRPr="00D7219A">
              <w:rPr>
                <w:rFonts w:ascii="Arial Narrow" w:hAnsi="Arial Narrow" w:cs="Calibri"/>
                <w:color w:val="000000"/>
              </w:rPr>
              <w:t>Transf</w:t>
            </w:r>
            <w:proofErr w:type="spellEnd"/>
            <w:r w:rsidRPr="00D7219A">
              <w:rPr>
                <w:rFonts w:ascii="Arial Narrow" w:hAnsi="Arial Narrow" w:cs="Calibri"/>
                <w:color w:val="000000"/>
              </w:rPr>
              <w:t>. de capital a entidades locales</w:t>
            </w:r>
          </w:p>
        </w:tc>
        <w:tc>
          <w:tcPr>
            <w:tcW w:w="3060" w:type="dxa"/>
            <w:tcBorders>
              <w:top w:val="single" w:sz="4" w:space="0" w:color="auto"/>
              <w:left w:val="nil"/>
              <w:bottom w:val="single" w:sz="2" w:space="0" w:color="auto"/>
              <w:right w:val="nil"/>
            </w:tcBorders>
            <w:shd w:val="clear" w:color="auto" w:fill="auto"/>
            <w:noWrap/>
            <w:vAlign w:val="center"/>
            <w:hideMark/>
          </w:tcPr>
          <w:p w:rsidR="00676CA2" w:rsidRPr="00D7219A" w:rsidRDefault="00676CA2" w:rsidP="00D7219A">
            <w:pPr>
              <w:spacing w:after="0"/>
              <w:jc w:val="right"/>
              <w:rPr>
                <w:rFonts w:ascii="Arial Narrow" w:hAnsi="Arial Narrow" w:cs="Calibri"/>
                <w:color w:val="000000"/>
              </w:rPr>
            </w:pPr>
            <w:r w:rsidRPr="00D7219A">
              <w:rPr>
                <w:rFonts w:ascii="Arial Narrow" w:hAnsi="Arial Narrow" w:cs="Calibri"/>
                <w:color w:val="000000"/>
              </w:rPr>
              <w:t>13.499.999</w:t>
            </w:r>
          </w:p>
        </w:tc>
        <w:tc>
          <w:tcPr>
            <w:tcW w:w="1335" w:type="dxa"/>
            <w:tcBorders>
              <w:top w:val="single" w:sz="4" w:space="0" w:color="auto"/>
              <w:left w:val="nil"/>
              <w:bottom w:val="single" w:sz="2" w:space="0" w:color="auto"/>
              <w:right w:val="nil"/>
            </w:tcBorders>
            <w:vAlign w:val="center"/>
          </w:tcPr>
          <w:p w:rsidR="00676CA2" w:rsidRPr="00D7219A" w:rsidRDefault="00676CA2" w:rsidP="00D7219A">
            <w:pPr>
              <w:spacing w:after="0"/>
              <w:jc w:val="right"/>
              <w:rPr>
                <w:rFonts w:ascii="Arial Narrow" w:hAnsi="Arial Narrow" w:cs="Calibri"/>
                <w:color w:val="000000"/>
              </w:rPr>
            </w:pPr>
            <w:r w:rsidRPr="00D7219A">
              <w:rPr>
                <w:rFonts w:ascii="Arial Narrow" w:hAnsi="Arial Narrow" w:cs="Calibri"/>
                <w:color w:val="000000"/>
              </w:rPr>
              <w:t>86</w:t>
            </w:r>
          </w:p>
        </w:tc>
      </w:tr>
      <w:tr w:rsidR="00676CA2" w:rsidRPr="004177B8" w:rsidTr="00D7219A">
        <w:trPr>
          <w:trHeight w:val="198"/>
          <w:jc w:val="center"/>
        </w:trPr>
        <w:tc>
          <w:tcPr>
            <w:tcW w:w="4536" w:type="dxa"/>
            <w:tcBorders>
              <w:top w:val="single" w:sz="2" w:space="0" w:color="auto"/>
              <w:left w:val="nil"/>
              <w:bottom w:val="single" w:sz="4" w:space="0" w:color="auto"/>
              <w:right w:val="nil"/>
            </w:tcBorders>
            <w:shd w:val="clear" w:color="auto" w:fill="auto"/>
            <w:noWrap/>
            <w:vAlign w:val="center"/>
            <w:hideMark/>
          </w:tcPr>
          <w:p w:rsidR="00676CA2" w:rsidRPr="00D7219A" w:rsidRDefault="00676CA2" w:rsidP="00D7219A">
            <w:pPr>
              <w:spacing w:after="0"/>
              <w:ind w:firstLine="0"/>
              <w:jc w:val="left"/>
              <w:rPr>
                <w:rFonts w:ascii="Arial Narrow" w:hAnsi="Arial Narrow" w:cs="Calibri"/>
                <w:color w:val="000000"/>
              </w:rPr>
            </w:pPr>
            <w:proofErr w:type="spellStart"/>
            <w:r w:rsidRPr="00D7219A">
              <w:rPr>
                <w:rFonts w:ascii="Arial Narrow" w:hAnsi="Arial Narrow" w:cs="Calibri"/>
                <w:color w:val="000000"/>
              </w:rPr>
              <w:t>Transf</w:t>
            </w:r>
            <w:proofErr w:type="spellEnd"/>
            <w:r w:rsidRPr="00D7219A">
              <w:rPr>
                <w:rFonts w:ascii="Arial Narrow" w:hAnsi="Arial Narrow" w:cs="Calibri"/>
                <w:color w:val="000000"/>
              </w:rPr>
              <w:t>. de capital a otras instituciones sin fines de lucro</w:t>
            </w:r>
          </w:p>
        </w:tc>
        <w:tc>
          <w:tcPr>
            <w:tcW w:w="3060" w:type="dxa"/>
            <w:tcBorders>
              <w:top w:val="single" w:sz="2" w:space="0" w:color="auto"/>
              <w:left w:val="nil"/>
              <w:bottom w:val="single" w:sz="4" w:space="0" w:color="auto"/>
              <w:right w:val="nil"/>
            </w:tcBorders>
            <w:shd w:val="clear" w:color="auto" w:fill="auto"/>
            <w:noWrap/>
            <w:vAlign w:val="center"/>
            <w:hideMark/>
          </w:tcPr>
          <w:p w:rsidR="00676CA2" w:rsidRPr="00D7219A" w:rsidRDefault="00676CA2" w:rsidP="00D7219A">
            <w:pPr>
              <w:spacing w:after="0"/>
              <w:jc w:val="right"/>
              <w:rPr>
                <w:rFonts w:ascii="Arial Narrow" w:hAnsi="Arial Narrow" w:cs="Calibri"/>
                <w:color w:val="000000"/>
              </w:rPr>
            </w:pPr>
            <w:r w:rsidRPr="00D7219A">
              <w:rPr>
                <w:rFonts w:ascii="Arial Narrow" w:hAnsi="Arial Narrow" w:cs="Calibri"/>
                <w:color w:val="000000"/>
              </w:rPr>
              <w:t>2.215.222</w:t>
            </w:r>
          </w:p>
        </w:tc>
        <w:tc>
          <w:tcPr>
            <w:tcW w:w="1335" w:type="dxa"/>
            <w:tcBorders>
              <w:top w:val="single" w:sz="2" w:space="0" w:color="auto"/>
              <w:left w:val="nil"/>
              <w:bottom w:val="single" w:sz="4" w:space="0" w:color="auto"/>
              <w:right w:val="nil"/>
            </w:tcBorders>
            <w:vAlign w:val="center"/>
          </w:tcPr>
          <w:p w:rsidR="00676CA2" w:rsidRPr="00D7219A" w:rsidRDefault="00676CA2" w:rsidP="00D7219A">
            <w:pPr>
              <w:spacing w:after="0"/>
              <w:jc w:val="right"/>
              <w:rPr>
                <w:rFonts w:ascii="Arial Narrow" w:hAnsi="Arial Narrow" w:cs="Calibri"/>
                <w:color w:val="000000"/>
              </w:rPr>
            </w:pPr>
            <w:r w:rsidRPr="00D7219A">
              <w:rPr>
                <w:rFonts w:ascii="Arial Narrow" w:hAnsi="Arial Narrow" w:cs="Calibri"/>
                <w:color w:val="000000"/>
              </w:rPr>
              <w:t>14</w:t>
            </w:r>
          </w:p>
        </w:tc>
      </w:tr>
      <w:tr w:rsidR="00676CA2" w:rsidRPr="004177B8" w:rsidTr="005A518C">
        <w:trPr>
          <w:trHeight w:hRule="exact" w:val="255"/>
          <w:jc w:val="center"/>
        </w:trPr>
        <w:tc>
          <w:tcPr>
            <w:tcW w:w="4536" w:type="dxa"/>
            <w:tcBorders>
              <w:top w:val="single" w:sz="4" w:space="0" w:color="auto"/>
              <w:left w:val="nil"/>
              <w:bottom w:val="single" w:sz="4" w:space="0" w:color="auto"/>
              <w:right w:val="nil"/>
            </w:tcBorders>
            <w:shd w:val="clear" w:color="auto" w:fill="8DB3E2" w:themeFill="text2" w:themeFillTint="66"/>
            <w:noWrap/>
            <w:vAlign w:val="center"/>
            <w:hideMark/>
          </w:tcPr>
          <w:p w:rsidR="00676CA2" w:rsidRDefault="00676CA2" w:rsidP="00A76D1C">
            <w:pPr>
              <w:pStyle w:val="cuadroCabe"/>
            </w:pPr>
            <w:r>
              <w:t>Total general</w:t>
            </w:r>
          </w:p>
        </w:tc>
        <w:tc>
          <w:tcPr>
            <w:tcW w:w="3060" w:type="dxa"/>
            <w:tcBorders>
              <w:top w:val="single" w:sz="4" w:space="0" w:color="auto"/>
              <w:left w:val="nil"/>
              <w:bottom w:val="single" w:sz="4" w:space="0" w:color="auto"/>
              <w:right w:val="nil"/>
            </w:tcBorders>
            <w:shd w:val="clear" w:color="auto" w:fill="8DB3E2" w:themeFill="text2" w:themeFillTint="66"/>
            <w:noWrap/>
            <w:vAlign w:val="center"/>
            <w:hideMark/>
          </w:tcPr>
          <w:p w:rsidR="00676CA2" w:rsidRDefault="00676CA2" w:rsidP="00A76D1C">
            <w:pPr>
              <w:pStyle w:val="cuadroCabe"/>
              <w:jc w:val="right"/>
              <w:rPr>
                <w:color w:val="000000"/>
              </w:rPr>
            </w:pPr>
            <w:r>
              <w:rPr>
                <w:color w:val="000000"/>
              </w:rPr>
              <w:t>15.715.221</w:t>
            </w:r>
          </w:p>
        </w:tc>
        <w:tc>
          <w:tcPr>
            <w:tcW w:w="1335" w:type="dxa"/>
            <w:tcBorders>
              <w:top w:val="single" w:sz="4" w:space="0" w:color="auto"/>
              <w:left w:val="nil"/>
              <w:bottom w:val="single" w:sz="4" w:space="0" w:color="auto"/>
              <w:right w:val="nil"/>
            </w:tcBorders>
            <w:shd w:val="clear" w:color="auto" w:fill="8DB3E2" w:themeFill="text2" w:themeFillTint="66"/>
            <w:vAlign w:val="center"/>
          </w:tcPr>
          <w:p w:rsidR="00676CA2" w:rsidRPr="00F8148A" w:rsidRDefault="00676CA2" w:rsidP="00A76D1C">
            <w:pPr>
              <w:pStyle w:val="cuadroCabe"/>
              <w:jc w:val="right"/>
              <w:rPr>
                <w:rFonts w:ascii="Arial Narrow" w:hAnsi="Arial Narrow" w:cs="Calibri"/>
                <w:color w:val="000000"/>
              </w:rPr>
            </w:pPr>
            <w:r w:rsidRPr="00F8148A">
              <w:rPr>
                <w:rFonts w:ascii="Arial Narrow" w:hAnsi="Arial Narrow" w:cs="Calibri"/>
                <w:color w:val="000000"/>
              </w:rPr>
              <w:t>100</w:t>
            </w:r>
          </w:p>
        </w:tc>
      </w:tr>
    </w:tbl>
    <w:p w:rsidR="00676CA2" w:rsidRDefault="00676CA2" w:rsidP="00676CA2">
      <w:pPr>
        <w:pStyle w:val="texto"/>
        <w:spacing w:before="240" w:after="240"/>
        <w:rPr>
          <w:rFonts w:cstheme="minorHAnsi"/>
        </w:rPr>
      </w:pPr>
      <w:r>
        <w:rPr>
          <w:szCs w:val="26"/>
        </w:rPr>
        <w:lastRenderedPageBreak/>
        <w:t xml:space="preserve">El 86 por ciento del total (13,50 millones) se destinó a entidades locales a través del Fondo Extraordinario para </w:t>
      </w:r>
      <w:r>
        <w:t xml:space="preserve">inversiones de impulso de la economía local en eficiencia energética, adecuación de dotaciones, conectividad de banda ancha, etc., </w:t>
      </w:r>
      <w:r>
        <w:rPr>
          <w:szCs w:val="26"/>
        </w:rPr>
        <w:t xml:space="preserve">aprobado por la Ley Foral 13/2020 citada previamente. El 14 por ciento restante del gasto se destinó fundamentalmente a garantizar la viabilidad de centros tecnológicos (1,1 millones) y a la realización de </w:t>
      </w:r>
      <w:r>
        <w:rPr>
          <w:rFonts w:cstheme="minorHAnsi"/>
        </w:rPr>
        <w:t>proyectos de inve</w:t>
      </w:r>
      <w:r>
        <w:rPr>
          <w:rFonts w:cstheme="minorHAnsi"/>
        </w:rPr>
        <w:t>s</w:t>
      </w:r>
      <w:r>
        <w:rPr>
          <w:rFonts w:cstheme="minorHAnsi"/>
        </w:rPr>
        <w:t>tigación sobre el virus SAR-COV-2 y la enfermedad COVID-19 (un millón).</w:t>
      </w:r>
    </w:p>
    <w:p w:rsidR="00676CA2" w:rsidRDefault="00676CA2" w:rsidP="006538A3">
      <w:pPr>
        <w:pStyle w:val="atitulo4"/>
      </w:pPr>
      <w:r>
        <w:t>Gasto en inversiones</w:t>
      </w:r>
    </w:p>
    <w:p w:rsidR="00676CA2" w:rsidRDefault="00676CA2" w:rsidP="00676CA2">
      <w:pPr>
        <w:pStyle w:val="texto"/>
        <w:spacing w:after="240"/>
      </w:pPr>
      <w:r>
        <w:t>El gasto en inversiones alcanzó los 14,83 millones a 31 de diciembre de 2020 con el siguiente desglose por concepto económico:</w:t>
      </w:r>
    </w:p>
    <w:tbl>
      <w:tblPr>
        <w:tblW w:w="8882" w:type="dxa"/>
        <w:jc w:val="center"/>
        <w:tblCellMar>
          <w:left w:w="70" w:type="dxa"/>
          <w:right w:w="70" w:type="dxa"/>
        </w:tblCellMar>
        <w:tblLook w:val="04A0" w:firstRow="1" w:lastRow="0" w:firstColumn="1" w:lastColumn="0" w:noHBand="0" w:noVBand="1"/>
      </w:tblPr>
      <w:tblGrid>
        <w:gridCol w:w="4643"/>
        <w:gridCol w:w="2811"/>
        <w:gridCol w:w="1428"/>
      </w:tblGrid>
      <w:tr w:rsidR="00676CA2" w:rsidRPr="00A758EA" w:rsidTr="008217D1">
        <w:trPr>
          <w:trHeight w:val="300"/>
          <w:jc w:val="center"/>
        </w:trPr>
        <w:tc>
          <w:tcPr>
            <w:tcW w:w="4643" w:type="dxa"/>
            <w:tcBorders>
              <w:top w:val="single" w:sz="4" w:space="0" w:color="auto"/>
              <w:left w:val="nil"/>
              <w:bottom w:val="single" w:sz="4" w:space="0" w:color="auto"/>
              <w:right w:val="nil"/>
            </w:tcBorders>
            <w:shd w:val="clear" w:color="auto" w:fill="8DB3E2" w:themeFill="text2" w:themeFillTint="66"/>
            <w:noWrap/>
            <w:vAlign w:val="center"/>
            <w:hideMark/>
          </w:tcPr>
          <w:p w:rsidR="00676CA2" w:rsidRPr="004177B8" w:rsidRDefault="00676CA2" w:rsidP="00A76D1C">
            <w:pPr>
              <w:pStyle w:val="cuadroCabe"/>
              <w:rPr>
                <w:lang w:val="es-ES" w:eastAsia="es-ES"/>
              </w:rPr>
            </w:pPr>
            <w:r w:rsidRPr="00A758EA">
              <w:rPr>
                <w:lang w:val="es-ES" w:eastAsia="es-ES"/>
              </w:rPr>
              <w:t>Concepto económico</w:t>
            </w:r>
          </w:p>
        </w:tc>
        <w:tc>
          <w:tcPr>
            <w:tcW w:w="2811" w:type="dxa"/>
            <w:tcBorders>
              <w:top w:val="single" w:sz="4" w:space="0" w:color="auto"/>
              <w:left w:val="nil"/>
              <w:bottom w:val="single" w:sz="4" w:space="0" w:color="auto"/>
              <w:right w:val="nil"/>
            </w:tcBorders>
            <w:shd w:val="clear" w:color="auto" w:fill="8DB3E2" w:themeFill="text2" w:themeFillTint="66"/>
            <w:noWrap/>
            <w:vAlign w:val="center"/>
            <w:hideMark/>
          </w:tcPr>
          <w:p w:rsidR="00A76D1C" w:rsidRDefault="00676CA2" w:rsidP="00A76D1C">
            <w:pPr>
              <w:pStyle w:val="cuadroCabe"/>
              <w:jc w:val="right"/>
              <w:rPr>
                <w:lang w:val="es-ES" w:eastAsia="es-ES"/>
              </w:rPr>
            </w:pPr>
            <w:r w:rsidRPr="00A758EA">
              <w:rPr>
                <w:lang w:val="es-ES" w:eastAsia="es-ES"/>
              </w:rPr>
              <w:t xml:space="preserve">Obligaciones </w:t>
            </w:r>
          </w:p>
          <w:p w:rsidR="00676CA2" w:rsidRPr="004177B8" w:rsidRDefault="00676CA2" w:rsidP="00A76D1C">
            <w:pPr>
              <w:pStyle w:val="cuadroCabe"/>
              <w:jc w:val="right"/>
              <w:rPr>
                <w:lang w:val="es-ES" w:eastAsia="es-ES"/>
              </w:rPr>
            </w:pPr>
            <w:r w:rsidRPr="00A758EA">
              <w:rPr>
                <w:lang w:val="es-ES" w:eastAsia="es-ES"/>
              </w:rPr>
              <w:t>Reconocidas Netas</w:t>
            </w:r>
          </w:p>
        </w:tc>
        <w:tc>
          <w:tcPr>
            <w:tcW w:w="1428" w:type="dxa"/>
            <w:tcBorders>
              <w:top w:val="single" w:sz="4" w:space="0" w:color="auto"/>
              <w:left w:val="nil"/>
              <w:bottom w:val="single" w:sz="4" w:space="0" w:color="auto"/>
              <w:right w:val="nil"/>
            </w:tcBorders>
            <w:shd w:val="clear" w:color="auto" w:fill="8DB3E2" w:themeFill="text2" w:themeFillTint="66"/>
            <w:vAlign w:val="center"/>
          </w:tcPr>
          <w:p w:rsidR="00676CA2" w:rsidRPr="00A758EA" w:rsidRDefault="00676CA2" w:rsidP="00A76D1C">
            <w:pPr>
              <w:pStyle w:val="cuadroCabe"/>
              <w:jc w:val="right"/>
              <w:rPr>
                <w:lang w:val="es-ES" w:eastAsia="es-ES"/>
              </w:rPr>
            </w:pPr>
            <w:r>
              <w:rPr>
                <w:lang w:val="es-ES" w:eastAsia="es-ES"/>
              </w:rPr>
              <w:t>% s/total ORN</w:t>
            </w:r>
          </w:p>
        </w:tc>
      </w:tr>
      <w:tr w:rsidR="00676CA2" w:rsidRPr="004177B8" w:rsidTr="00D7219A">
        <w:trPr>
          <w:trHeight w:val="198"/>
          <w:jc w:val="center"/>
        </w:trPr>
        <w:tc>
          <w:tcPr>
            <w:tcW w:w="4643" w:type="dxa"/>
            <w:tcBorders>
              <w:top w:val="single" w:sz="4" w:space="0" w:color="auto"/>
              <w:left w:val="nil"/>
              <w:bottom w:val="single" w:sz="2" w:space="0" w:color="auto"/>
              <w:right w:val="nil"/>
            </w:tcBorders>
            <w:shd w:val="clear" w:color="auto" w:fill="auto"/>
            <w:noWrap/>
            <w:vAlign w:val="center"/>
          </w:tcPr>
          <w:p w:rsidR="00676CA2" w:rsidRPr="00D7219A" w:rsidRDefault="00676CA2" w:rsidP="00D7219A">
            <w:pPr>
              <w:pStyle w:val="cuatexto"/>
              <w:rPr>
                <w:lang w:val="es-ES" w:eastAsia="es-ES"/>
              </w:rPr>
            </w:pPr>
            <w:r w:rsidRPr="00D7219A">
              <w:t>Equipos para proceso de información</w:t>
            </w:r>
          </w:p>
        </w:tc>
        <w:tc>
          <w:tcPr>
            <w:tcW w:w="2811" w:type="dxa"/>
            <w:tcBorders>
              <w:top w:val="single" w:sz="4" w:space="0" w:color="auto"/>
              <w:left w:val="nil"/>
              <w:bottom w:val="single" w:sz="2" w:space="0" w:color="auto"/>
              <w:right w:val="nil"/>
            </w:tcBorders>
            <w:shd w:val="clear" w:color="auto" w:fill="auto"/>
            <w:noWrap/>
            <w:vAlign w:val="center"/>
          </w:tcPr>
          <w:p w:rsidR="00676CA2" w:rsidRPr="00D7219A" w:rsidRDefault="00676CA2" w:rsidP="00D7219A">
            <w:pPr>
              <w:pStyle w:val="cuatexto"/>
              <w:jc w:val="right"/>
            </w:pPr>
            <w:r w:rsidRPr="00D7219A">
              <w:t>6.990.988</w:t>
            </w:r>
          </w:p>
        </w:tc>
        <w:tc>
          <w:tcPr>
            <w:tcW w:w="1428" w:type="dxa"/>
            <w:tcBorders>
              <w:top w:val="single" w:sz="4" w:space="0" w:color="auto"/>
              <w:left w:val="nil"/>
              <w:bottom w:val="single" w:sz="2" w:space="0" w:color="auto"/>
              <w:right w:val="nil"/>
            </w:tcBorders>
            <w:vAlign w:val="center"/>
          </w:tcPr>
          <w:p w:rsidR="00676CA2" w:rsidRPr="00D7219A" w:rsidRDefault="00676CA2" w:rsidP="00D7219A">
            <w:pPr>
              <w:pStyle w:val="cuatexto"/>
              <w:jc w:val="right"/>
            </w:pPr>
            <w:r w:rsidRPr="00D7219A">
              <w:t>47</w:t>
            </w:r>
          </w:p>
        </w:tc>
      </w:tr>
      <w:tr w:rsidR="00676CA2" w:rsidRPr="004177B8" w:rsidTr="00D7219A">
        <w:trPr>
          <w:trHeight w:val="198"/>
          <w:jc w:val="center"/>
        </w:trPr>
        <w:tc>
          <w:tcPr>
            <w:tcW w:w="4643" w:type="dxa"/>
            <w:tcBorders>
              <w:top w:val="single" w:sz="2" w:space="0" w:color="auto"/>
              <w:left w:val="nil"/>
              <w:bottom w:val="single" w:sz="2" w:space="0" w:color="auto"/>
              <w:right w:val="nil"/>
            </w:tcBorders>
            <w:shd w:val="clear" w:color="auto" w:fill="auto"/>
            <w:noWrap/>
            <w:vAlign w:val="center"/>
          </w:tcPr>
          <w:p w:rsidR="00676CA2" w:rsidRPr="00D7219A" w:rsidRDefault="00676CA2" w:rsidP="00D7219A">
            <w:pPr>
              <w:pStyle w:val="cuatexto"/>
            </w:pPr>
            <w:r w:rsidRPr="00D7219A">
              <w:t>Equipos médicos</w:t>
            </w:r>
          </w:p>
        </w:tc>
        <w:tc>
          <w:tcPr>
            <w:tcW w:w="2811" w:type="dxa"/>
            <w:tcBorders>
              <w:top w:val="single" w:sz="2" w:space="0" w:color="auto"/>
              <w:left w:val="nil"/>
              <w:bottom w:val="single" w:sz="2" w:space="0" w:color="auto"/>
              <w:right w:val="nil"/>
            </w:tcBorders>
            <w:shd w:val="clear" w:color="auto" w:fill="auto"/>
            <w:noWrap/>
            <w:vAlign w:val="center"/>
          </w:tcPr>
          <w:p w:rsidR="00676CA2" w:rsidRPr="00D7219A" w:rsidRDefault="00676CA2" w:rsidP="00D7219A">
            <w:pPr>
              <w:pStyle w:val="cuatexto"/>
              <w:jc w:val="right"/>
            </w:pPr>
            <w:r w:rsidRPr="00D7219A">
              <w:t>2.986.545</w:t>
            </w:r>
          </w:p>
        </w:tc>
        <w:tc>
          <w:tcPr>
            <w:tcW w:w="1428" w:type="dxa"/>
            <w:tcBorders>
              <w:top w:val="single" w:sz="2" w:space="0" w:color="auto"/>
              <w:left w:val="nil"/>
              <w:bottom w:val="single" w:sz="2" w:space="0" w:color="auto"/>
              <w:right w:val="nil"/>
            </w:tcBorders>
            <w:vAlign w:val="center"/>
          </w:tcPr>
          <w:p w:rsidR="00676CA2" w:rsidRPr="00D7219A" w:rsidRDefault="00676CA2" w:rsidP="00D7219A">
            <w:pPr>
              <w:pStyle w:val="cuatexto"/>
              <w:jc w:val="right"/>
            </w:pPr>
            <w:r w:rsidRPr="00D7219A">
              <w:t>20</w:t>
            </w:r>
          </w:p>
        </w:tc>
      </w:tr>
      <w:tr w:rsidR="00676CA2" w:rsidRPr="004177B8" w:rsidTr="00D7219A">
        <w:trPr>
          <w:trHeight w:val="198"/>
          <w:jc w:val="center"/>
        </w:trPr>
        <w:tc>
          <w:tcPr>
            <w:tcW w:w="4643" w:type="dxa"/>
            <w:tcBorders>
              <w:top w:val="single" w:sz="2" w:space="0" w:color="auto"/>
              <w:left w:val="nil"/>
              <w:bottom w:val="single" w:sz="2" w:space="0" w:color="auto"/>
              <w:right w:val="nil"/>
            </w:tcBorders>
            <w:shd w:val="clear" w:color="auto" w:fill="auto"/>
            <w:noWrap/>
            <w:vAlign w:val="center"/>
          </w:tcPr>
          <w:p w:rsidR="00676CA2" w:rsidRPr="00D7219A" w:rsidRDefault="00676CA2" w:rsidP="00D7219A">
            <w:pPr>
              <w:pStyle w:val="cuatexto"/>
            </w:pPr>
            <w:r w:rsidRPr="00D7219A">
              <w:t>Edificios</w:t>
            </w:r>
          </w:p>
        </w:tc>
        <w:tc>
          <w:tcPr>
            <w:tcW w:w="2811" w:type="dxa"/>
            <w:tcBorders>
              <w:top w:val="single" w:sz="2" w:space="0" w:color="auto"/>
              <w:left w:val="nil"/>
              <w:bottom w:val="single" w:sz="2" w:space="0" w:color="auto"/>
              <w:right w:val="nil"/>
            </w:tcBorders>
            <w:shd w:val="clear" w:color="auto" w:fill="auto"/>
            <w:noWrap/>
            <w:vAlign w:val="center"/>
          </w:tcPr>
          <w:p w:rsidR="00676CA2" w:rsidRPr="00D7219A" w:rsidRDefault="00676CA2" w:rsidP="00D7219A">
            <w:pPr>
              <w:pStyle w:val="cuatexto"/>
              <w:jc w:val="right"/>
            </w:pPr>
            <w:r w:rsidRPr="00D7219A">
              <w:t>1.939.131</w:t>
            </w:r>
          </w:p>
        </w:tc>
        <w:tc>
          <w:tcPr>
            <w:tcW w:w="1428" w:type="dxa"/>
            <w:tcBorders>
              <w:top w:val="single" w:sz="2" w:space="0" w:color="auto"/>
              <w:left w:val="nil"/>
              <w:bottom w:val="single" w:sz="2" w:space="0" w:color="auto"/>
              <w:right w:val="nil"/>
            </w:tcBorders>
            <w:vAlign w:val="center"/>
          </w:tcPr>
          <w:p w:rsidR="00676CA2" w:rsidRPr="00D7219A" w:rsidRDefault="00676CA2" w:rsidP="00D7219A">
            <w:pPr>
              <w:pStyle w:val="cuatexto"/>
              <w:jc w:val="right"/>
            </w:pPr>
            <w:r w:rsidRPr="00D7219A">
              <w:t>13</w:t>
            </w:r>
          </w:p>
        </w:tc>
      </w:tr>
      <w:tr w:rsidR="00676CA2" w:rsidRPr="004177B8" w:rsidTr="00D7219A">
        <w:trPr>
          <w:trHeight w:val="198"/>
          <w:jc w:val="center"/>
        </w:trPr>
        <w:tc>
          <w:tcPr>
            <w:tcW w:w="4643" w:type="dxa"/>
            <w:tcBorders>
              <w:top w:val="single" w:sz="2" w:space="0" w:color="auto"/>
              <w:left w:val="nil"/>
              <w:bottom w:val="single" w:sz="2" w:space="0" w:color="auto"/>
              <w:right w:val="nil"/>
            </w:tcBorders>
            <w:shd w:val="clear" w:color="auto" w:fill="auto"/>
            <w:noWrap/>
            <w:vAlign w:val="center"/>
          </w:tcPr>
          <w:p w:rsidR="00676CA2" w:rsidRPr="00D7219A" w:rsidRDefault="00676CA2" w:rsidP="00D7219A">
            <w:pPr>
              <w:pStyle w:val="cuatexto"/>
            </w:pPr>
            <w:r w:rsidRPr="00D7219A">
              <w:t>Otro mobiliario y equipo</w:t>
            </w:r>
          </w:p>
        </w:tc>
        <w:tc>
          <w:tcPr>
            <w:tcW w:w="2811" w:type="dxa"/>
            <w:tcBorders>
              <w:top w:val="single" w:sz="2" w:space="0" w:color="auto"/>
              <w:left w:val="nil"/>
              <w:bottom w:val="single" w:sz="2" w:space="0" w:color="auto"/>
              <w:right w:val="nil"/>
            </w:tcBorders>
            <w:shd w:val="clear" w:color="auto" w:fill="auto"/>
            <w:noWrap/>
            <w:vAlign w:val="center"/>
          </w:tcPr>
          <w:p w:rsidR="00676CA2" w:rsidRPr="00D7219A" w:rsidRDefault="00676CA2" w:rsidP="00D7219A">
            <w:pPr>
              <w:pStyle w:val="cuatexto"/>
              <w:jc w:val="right"/>
            </w:pPr>
            <w:r w:rsidRPr="00D7219A">
              <w:t>1.827.088</w:t>
            </w:r>
          </w:p>
        </w:tc>
        <w:tc>
          <w:tcPr>
            <w:tcW w:w="1428" w:type="dxa"/>
            <w:tcBorders>
              <w:top w:val="single" w:sz="2" w:space="0" w:color="auto"/>
              <w:left w:val="nil"/>
              <w:bottom w:val="single" w:sz="2" w:space="0" w:color="auto"/>
              <w:right w:val="nil"/>
            </w:tcBorders>
            <w:vAlign w:val="center"/>
          </w:tcPr>
          <w:p w:rsidR="00676CA2" w:rsidRPr="00D7219A" w:rsidRDefault="00676CA2" w:rsidP="00D7219A">
            <w:pPr>
              <w:pStyle w:val="cuatexto"/>
              <w:jc w:val="right"/>
            </w:pPr>
            <w:r w:rsidRPr="00D7219A">
              <w:t>12</w:t>
            </w:r>
          </w:p>
        </w:tc>
      </w:tr>
      <w:tr w:rsidR="00676CA2" w:rsidRPr="004177B8" w:rsidTr="00D7219A">
        <w:trPr>
          <w:trHeight w:val="198"/>
          <w:jc w:val="center"/>
        </w:trPr>
        <w:tc>
          <w:tcPr>
            <w:tcW w:w="4643" w:type="dxa"/>
            <w:tcBorders>
              <w:top w:val="single" w:sz="2" w:space="0" w:color="auto"/>
              <w:left w:val="nil"/>
              <w:bottom w:val="single" w:sz="2" w:space="0" w:color="auto"/>
              <w:right w:val="nil"/>
            </w:tcBorders>
            <w:shd w:val="clear" w:color="auto" w:fill="auto"/>
            <w:noWrap/>
            <w:vAlign w:val="center"/>
          </w:tcPr>
          <w:p w:rsidR="00676CA2" w:rsidRPr="00D7219A" w:rsidRDefault="00676CA2" w:rsidP="00D7219A">
            <w:pPr>
              <w:pStyle w:val="cuatexto"/>
            </w:pPr>
            <w:r w:rsidRPr="00D7219A">
              <w:t>Aplicaciones informáticas</w:t>
            </w:r>
          </w:p>
        </w:tc>
        <w:tc>
          <w:tcPr>
            <w:tcW w:w="2811" w:type="dxa"/>
            <w:tcBorders>
              <w:top w:val="single" w:sz="2" w:space="0" w:color="auto"/>
              <w:left w:val="nil"/>
              <w:bottom w:val="single" w:sz="2" w:space="0" w:color="auto"/>
              <w:right w:val="nil"/>
            </w:tcBorders>
            <w:shd w:val="clear" w:color="auto" w:fill="auto"/>
            <w:noWrap/>
            <w:vAlign w:val="center"/>
          </w:tcPr>
          <w:p w:rsidR="00676CA2" w:rsidRPr="00D7219A" w:rsidRDefault="00676CA2" w:rsidP="00D7219A">
            <w:pPr>
              <w:pStyle w:val="cuatexto"/>
              <w:jc w:val="right"/>
            </w:pPr>
            <w:r w:rsidRPr="00D7219A">
              <w:t>574.607</w:t>
            </w:r>
          </w:p>
        </w:tc>
        <w:tc>
          <w:tcPr>
            <w:tcW w:w="1428" w:type="dxa"/>
            <w:tcBorders>
              <w:top w:val="single" w:sz="2" w:space="0" w:color="auto"/>
              <w:left w:val="nil"/>
              <w:bottom w:val="single" w:sz="2" w:space="0" w:color="auto"/>
              <w:right w:val="nil"/>
            </w:tcBorders>
            <w:vAlign w:val="center"/>
          </w:tcPr>
          <w:p w:rsidR="00676CA2" w:rsidRPr="00D7219A" w:rsidRDefault="00676CA2" w:rsidP="00D7219A">
            <w:pPr>
              <w:pStyle w:val="cuatexto"/>
              <w:jc w:val="right"/>
            </w:pPr>
            <w:r w:rsidRPr="00D7219A">
              <w:t>4</w:t>
            </w:r>
          </w:p>
        </w:tc>
      </w:tr>
      <w:tr w:rsidR="00676CA2" w:rsidRPr="004177B8" w:rsidTr="00D7219A">
        <w:trPr>
          <w:trHeight w:val="198"/>
          <w:jc w:val="center"/>
        </w:trPr>
        <w:tc>
          <w:tcPr>
            <w:tcW w:w="4643" w:type="dxa"/>
            <w:tcBorders>
              <w:top w:val="single" w:sz="2" w:space="0" w:color="auto"/>
              <w:left w:val="nil"/>
              <w:bottom w:val="single" w:sz="2" w:space="0" w:color="auto"/>
              <w:right w:val="nil"/>
            </w:tcBorders>
            <w:shd w:val="clear" w:color="auto" w:fill="auto"/>
            <w:noWrap/>
            <w:vAlign w:val="center"/>
          </w:tcPr>
          <w:p w:rsidR="00676CA2" w:rsidRPr="00D7219A" w:rsidRDefault="00676CA2" w:rsidP="00D7219A">
            <w:pPr>
              <w:pStyle w:val="cuatexto"/>
            </w:pPr>
            <w:r w:rsidRPr="00D7219A">
              <w:t>Instalaciones</w:t>
            </w:r>
          </w:p>
        </w:tc>
        <w:tc>
          <w:tcPr>
            <w:tcW w:w="2811" w:type="dxa"/>
            <w:tcBorders>
              <w:top w:val="single" w:sz="2" w:space="0" w:color="auto"/>
              <w:left w:val="nil"/>
              <w:bottom w:val="single" w:sz="2" w:space="0" w:color="auto"/>
              <w:right w:val="nil"/>
            </w:tcBorders>
            <w:shd w:val="clear" w:color="auto" w:fill="auto"/>
            <w:noWrap/>
            <w:vAlign w:val="center"/>
          </w:tcPr>
          <w:p w:rsidR="00676CA2" w:rsidRPr="00D7219A" w:rsidRDefault="00676CA2" w:rsidP="00D7219A">
            <w:pPr>
              <w:pStyle w:val="cuatexto"/>
              <w:jc w:val="right"/>
            </w:pPr>
            <w:r w:rsidRPr="00D7219A">
              <w:t>252.663</w:t>
            </w:r>
          </w:p>
        </w:tc>
        <w:tc>
          <w:tcPr>
            <w:tcW w:w="1428" w:type="dxa"/>
            <w:tcBorders>
              <w:top w:val="single" w:sz="2" w:space="0" w:color="auto"/>
              <w:left w:val="nil"/>
              <w:bottom w:val="single" w:sz="2" w:space="0" w:color="auto"/>
              <w:right w:val="nil"/>
            </w:tcBorders>
            <w:vAlign w:val="center"/>
          </w:tcPr>
          <w:p w:rsidR="00676CA2" w:rsidRPr="00D7219A" w:rsidRDefault="00676CA2" w:rsidP="00D7219A">
            <w:pPr>
              <w:pStyle w:val="cuatexto"/>
              <w:jc w:val="right"/>
            </w:pPr>
            <w:r w:rsidRPr="00D7219A">
              <w:t>2</w:t>
            </w:r>
          </w:p>
        </w:tc>
      </w:tr>
      <w:tr w:rsidR="00676CA2" w:rsidRPr="004177B8" w:rsidTr="00D7219A">
        <w:trPr>
          <w:trHeight w:val="198"/>
          <w:jc w:val="center"/>
        </w:trPr>
        <w:tc>
          <w:tcPr>
            <w:tcW w:w="4643" w:type="dxa"/>
            <w:tcBorders>
              <w:top w:val="single" w:sz="2" w:space="0" w:color="auto"/>
              <w:left w:val="nil"/>
              <w:bottom w:val="single" w:sz="2" w:space="0" w:color="auto"/>
              <w:right w:val="nil"/>
            </w:tcBorders>
            <w:shd w:val="clear" w:color="auto" w:fill="auto"/>
            <w:noWrap/>
            <w:vAlign w:val="center"/>
          </w:tcPr>
          <w:p w:rsidR="00676CA2" w:rsidRPr="00D7219A" w:rsidRDefault="00676CA2" w:rsidP="00D7219A">
            <w:pPr>
              <w:pStyle w:val="cuatexto"/>
            </w:pPr>
            <w:r w:rsidRPr="00D7219A">
              <w:t>Mobiliario y equipo de oficina</w:t>
            </w:r>
          </w:p>
        </w:tc>
        <w:tc>
          <w:tcPr>
            <w:tcW w:w="2811" w:type="dxa"/>
            <w:tcBorders>
              <w:top w:val="single" w:sz="2" w:space="0" w:color="auto"/>
              <w:left w:val="nil"/>
              <w:bottom w:val="single" w:sz="2" w:space="0" w:color="auto"/>
              <w:right w:val="nil"/>
            </w:tcBorders>
            <w:shd w:val="clear" w:color="auto" w:fill="auto"/>
            <w:noWrap/>
            <w:vAlign w:val="center"/>
          </w:tcPr>
          <w:p w:rsidR="00676CA2" w:rsidRPr="00D7219A" w:rsidRDefault="00676CA2" w:rsidP="00D7219A">
            <w:pPr>
              <w:pStyle w:val="cuatexto"/>
              <w:jc w:val="right"/>
            </w:pPr>
            <w:r w:rsidRPr="00D7219A">
              <w:t>159.567</w:t>
            </w:r>
          </w:p>
        </w:tc>
        <w:tc>
          <w:tcPr>
            <w:tcW w:w="1428" w:type="dxa"/>
            <w:tcBorders>
              <w:top w:val="single" w:sz="2" w:space="0" w:color="auto"/>
              <w:left w:val="nil"/>
              <w:bottom w:val="single" w:sz="2" w:space="0" w:color="auto"/>
              <w:right w:val="nil"/>
            </w:tcBorders>
            <w:vAlign w:val="center"/>
          </w:tcPr>
          <w:p w:rsidR="00676CA2" w:rsidRPr="00D7219A" w:rsidRDefault="00676CA2" w:rsidP="00D7219A">
            <w:pPr>
              <w:pStyle w:val="cuatexto"/>
              <w:jc w:val="right"/>
            </w:pPr>
            <w:r w:rsidRPr="00D7219A">
              <w:t>1</w:t>
            </w:r>
          </w:p>
        </w:tc>
      </w:tr>
      <w:tr w:rsidR="00676CA2" w:rsidRPr="004177B8" w:rsidTr="00D7219A">
        <w:trPr>
          <w:trHeight w:val="198"/>
          <w:jc w:val="center"/>
        </w:trPr>
        <w:tc>
          <w:tcPr>
            <w:tcW w:w="4643" w:type="dxa"/>
            <w:tcBorders>
              <w:top w:val="single" w:sz="2" w:space="0" w:color="auto"/>
              <w:left w:val="nil"/>
              <w:bottom w:val="single" w:sz="2" w:space="0" w:color="auto"/>
              <w:right w:val="nil"/>
            </w:tcBorders>
            <w:shd w:val="clear" w:color="auto" w:fill="auto"/>
            <w:noWrap/>
            <w:vAlign w:val="center"/>
          </w:tcPr>
          <w:p w:rsidR="00676CA2" w:rsidRPr="00D7219A" w:rsidRDefault="00676CA2" w:rsidP="00D7219A">
            <w:pPr>
              <w:pStyle w:val="cuatexto"/>
            </w:pPr>
            <w:r w:rsidRPr="00D7219A">
              <w:t>Material técnico</w:t>
            </w:r>
          </w:p>
        </w:tc>
        <w:tc>
          <w:tcPr>
            <w:tcW w:w="2811" w:type="dxa"/>
            <w:tcBorders>
              <w:top w:val="single" w:sz="2" w:space="0" w:color="auto"/>
              <w:left w:val="nil"/>
              <w:bottom w:val="single" w:sz="2" w:space="0" w:color="auto"/>
              <w:right w:val="nil"/>
            </w:tcBorders>
            <w:shd w:val="clear" w:color="auto" w:fill="auto"/>
            <w:noWrap/>
            <w:vAlign w:val="center"/>
          </w:tcPr>
          <w:p w:rsidR="00676CA2" w:rsidRPr="00D7219A" w:rsidRDefault="00676CA2" w:rsidP="00D7219A">
            <w:pPr>
              <w:pStyle w:val="cuatexto"/>
              <w:jc w:val="right"/>
            </w:pPr>
            <w:r w:rsidRPr="00D7219A">
              <w:t>52.874</w:t>
            </w:r>
          </w:p>
        </w:tc>
        <w:tc>
          <w:tcPr>
            <w:tcW w:w="1428" w:type="dxa"/>
            <w:tcBorders>
              <w:top w:val="single" w:sz="2" w:space="0" w:color="auto"/>
              <w:left w:val="nil"/>
              <w:bottom w:val="single" w:sz="2" w:space="0" w:color="auto"/>
              <w:right w:val="nil"/>
            </w:tcBorders>
            <w:vAlign w:val="center"/>
          </w:tcPr>
          <w:p w:rsidR="00676CA2" w:rsidRPr="00D7219A" w:rsidRDefault="00676CA2" w:rsidP="00D7219A">
            <w:pPr>
              <w:pStyle w:val="cuatexto"/>
              <w:jc w:val="right"/>
            </w:pPr>
            <w:r w:rsidRPr="00D7219A">
              <w:t>0,5</w:t>
            </w:r>
          </w:p>
        </w:tc>
      </w:tr>
      <w:tr w:rsidR="00676CA2" w:rsidRPr="004177B8" w:rsidTr="00D7219A">
        <w:trPr>
          <w:trHeight w:val="198"/>
          <w:jc w:val="center"/>
        </w:trPr>
        <w:tc>
          <w:tcPr>
            <w:tcW w:w="4643" w:type="dxa"/>
            <w:tcBorders>
              <w:top w:val="single" w:sz="2" w:space="0" w:color="auto"/>
              <w:left w:val="nil"/>
              <w:bottom w:val="single" w:sz="4" w:space="0" w:color="auto"/>
              <w:right w:val="nil"/>
            </w:tcBorders>
            <w:shd w:val="clear" w:color="auto" w:fill="auto"/>
            <w:noWrap/>
            <w:vAlign w:val="center"/>
            <w:hideMark/>
          </w:tcPr>
          <w:p w:rsidR="00676CA2" w:rsidRPr="00D7219A" w:rsidRDefault="00676CA2" w:rsidP="00D7219A">
            <w:pPr>
              <w:pStyle w:val="cuatexto"/>
            </w:pPr>
            <w:r w:rsidRPr="00D7219A">
              <w:t>Inmovilizado inmaterial</w:t>
            </w:r>
          </w:p>
        </w:tc>
        <w:tc>
          <w:tcPr>
            <w:tcW w:w="2811" w:type="dxa"/>
            <w:tcBorders>
              <w:top w:val="single" w:sz="2" w:space="0" w:color="auto"/>
              <w:left w:val="nil"/>
              <w:bottom w:val="single" w:sz="4" w:space="0" w:color="auto"/>
              <w:right w:val="nil"/>
            </w:tcBorders>
            <w:shd w:val="clear" w:color="auto" w:fill="auto"/>
            <w:noWrap/>
            <w:vAlign w:val="center"/>
            <w:hideMark/>
          </w:tcPr>
          <w:p w:rsidR="00676CA2" w:rsidRPr="00D7219A" w:rsidRDefault="00676CA2" w:rsidP="00D7219A">
            <w:pPr>
              <w:pStyle w:val="cuatexto"/>
              <w:jc w:val="right"/>
            </w:pPr>
            <w:r w:rsidRPr="00D7219A">
              <w:t>45.044</w:t>
            </w:r>
          </w:p>
        </w:tc>
        <w:tc>
          <w:tcPr>
            <w:tcW w:w="1428" w:type="dxa"/>
            <w:tcBorders>
              <w:top w:val="single" w:sz="2" w:space="0" w:color="auto"/>
              <w:left w:val="nil"/>
              <w:bottom w:val="single" w:sz="4" w:space="0" w:color="auto"/>
              <w:right w:val="nil"/>
            </w:tcBorders>
            <w:vAlign w:val="center"/>
          </w:tcPr>
          <w:p w:rsidR="00676CA2" w:rsidRPr="00D7219A" w:rsidRDefault="00676CA2" w:rsidP="00D7219A">
            <w:pPr>
              <w:pStyle w:val="cuatexto"/>
              <w:jc w:val="right"/>
            </w:pPr>
            <w:r w:rsidRPr="00D7219A">
              <w:t>0,5</w:t>
            </w:r>
          </w:p>
        </w:tc>
      </w:tr>
      <w:tr w:rsidR="00676CA2" w:rsidRPr="004177B8" w:rsidTr="00D7219A">
        <w:trPr>
          <w:trHeight w:val="255"/>
          <w:jc w:val="center"/>
        </w:trPr>
        <w:tc>
          <w:tcPr>
            <w:tcW w:w="4643" w:type="dxa"/>
            <w:tcBorders>
              <w:top w:val="single" w:sz="4" w:space="0" w:color="auto"/>
              <w:left w:val="nil"/>
              <w:bottom w:val="single" w:sz="4" w:space="0" w:color="auto"/>
              <w:right w:val="nil"/>
            </w:tcBorders>
            <w:shd w:val="clear" w:color="auto" w:fill="8DB3E2" w:themeFill="text2" w:themeFillTint="66"/>
            <w:noWrap/>
            <w:vAlign w:val="center"/>
            <w:hideMark/>
          </w:tcPr>
          <w:p w:rsidR="00676CA2" w:rsidRDefault="00676CA2" w:rsidP="00A76D1C">
            <w:pPr>
              <w:pStyle w:val="cuadroCabe"/>
            </w:pPr>
            <w:r>
              <w:t>Total general</w:t>
            </w:r>
          </w:p>
        </w:tc>
        <w:tc>
          <w:tcPr>
            <w:tcW w:w="2811" w:type="dxa"/>
            <w:tcBorders>
              <w:top w:val="single" w:sz="4" w:space="0" w:color="auto"/>
              <w:left w:val="nil"/>
              <w:bottom w:val="single" w:sz="4" w:space="0" w:color="auto"/>
              <w:right w:val="nil"/>
            </w:tcBorders>
            <w:shd w:val="clear" w:color="auto" w:fill="8DB3E2" w:themeFill="text2" w:themeFillTint="66"/>
            <w:noWrap/>
            <w:vAlign w:val="center"/>
            <w:hideMark/>
          </w:tcPr>
          <w:p w:rsidR="00676CA2" w:rsidRPr="00DF7389" w:rsidRDefault="00676CA2" w:rsidP="00A76D1C">
            <w:pPr>
              <w:pStyle w:val="cuadroCabe"/>
              <w:jc w:val="right"/>
              <w:rPr>
                <w:color w:val="000000"/>
              </w:rPr>
            </w:pPr>
            <w:r w:rsidRPr="00DF7389">
              <w:rPr>
                <w:color w:val="000000"/>
              </w:rPr>
              <w:t>14.828.507</w:t>
            </w:r>
          </w:p>
        </w:tc>
        <w:tc>
          <w:tcPr>
            <w:tcW w:w="1428" w:type="dxa"/>
            <w:tcBorders>
              <w:top w:val="single" w:sz="4" w:space="0" w:color="auto"/>
              <w:left w:val="nil"/>
              <w:bottom w:val="single" w:sz="4" w:space="0" w:color="auto"/>
              <w:right w:val="nil"/>
            </w:tcBorders>
            <w:shd w:val="clear" w:color="auto" w:fill="8DB3E2" w:themeFill="text2" w:themeFillTint="66"/>
            <w:vAlign w:val="center"/>
          </w:tcPr>
          <w:p w:rsidR="00676CA2" w:rsidRPr="00DF7389" w:rsidRDefault="00676CA2" w:rsidP="00A76D1C">
            <w:pPr>
              <w:pStyle w:val="cuadroCabe"/>
              <w:jc w:val="right"/>
              <w:rPr>
                <w:color w:val="000000"/>
              </w:rPr>
            </w:pPr>
            <w:r w:rsidRPr="00DF7389">
              <w:rPr>
                <w:color w:val="000000"/>
              </w:rPr>
              <w:t>100</w:t>
            </w:r>
          </w:p>
        </w:tc>
      </w:tr>
    </w:tbl>
    <w:p w:rsidR="00676CA2" w:rsidRDefault="00676CA2" w:rsidP="00676CA2">
      <w:pPr>
        <w:pStyle w:val="texto"/>
        <w:spacing w:before="240" w:after="240"/>
        <w:rPr>
          <w:rFonts w:cstheme="minorHAnsi"/>
        </w:rPr>
      </w:pPr>
      <w:r>
        <w:rPr>
          <w:szCs w:val="26"/>
        </w:rPr>
        <w:t xml:space="preserve">El 47 por ciento del total (6,99 millones) se destinó a adquirir equipos para proceso de información, el 20 por ciento (2,99 millones) a equipos médicos y el 13 por ciento (1,94 millones) a obras en edificios. </w:t>
      </w:r>
    </w:p>
    <w:p w:rsidR="00676CA2" w:rsidRPr="008A0500" w:rsidRDefault="00676CA2" w:rsidP="006538A3">
      <w:pPr>
        <w:pStyle w:val="atitulo4"/>
      </w:pPr>
      <w:r w:rsidRPr="008A0500">
        <w:t>Gastos en activos e intereses financieros</w:t>
      </w:r>
    </w:p>
    <w:p w:rsidR="00676CA2" w:rsidRDefault="00676CA2" w:rsidP="00676CA2">
      <w:pPr>
        <w:pStyle w:val="texto"/>
        <w:spacing w:after="120"/>
      </w:pPr>
      <w:r>
        <w:t>El gasto en activos financieros ascendió a siete millones a 31 de diciembre de 2020 que se destinaron a una ampliación de capital en la CPEN; el destino posterior de este importe fue realizar una aportación de socios por parte de la CPEN a la Sociedad de Desarrollo de Navarra S.L.U. (SODENA) para que ésta concediera préstamos a empresas teniendo en cuenta la crisis generada por la COVID-19.</w:t>
      </w:r>
    </w:p>
    <w:p w:rsidR="00676CA2" w:rsidRDefault="00676CA2" w:rsidP="00676CA2">
      <w:pPr>
        <w:pStyle w:val="texto"/>
        <w:spacing w:before="120" w:after="240"/>
      </w:pPr>
      <w:r>
        <w:t>Por otro lado, los gastos financieros fueron 78.275 euros, correspondientes a intereses de préstamos y operaciones de crédito.</w:t>
      </w:r>
    </w:p>
    <w:p w:rsidR="00164FEC" w:rsidRDefault="00164FEC">
      <w:pPr>
        <w:spacing w:after="0"/>
        <w:ind w:firstLine="0"/>
        <w:jc w:val="left"/>
        <w:rPr>
          <w:rFonts w:ascii="Arial" w:hAnsi="Arial"/>
          <w:i/>
          <w:iCs/>
          <w:color w:val="000000"/>
          <w:spacing w:val="10"/>
          <w:kern w:val="28"/>
          <w:sz w:val="25"/>
          <w:szCs w:val="26"/>
        </w:rPr>
      </w:pPr>
      <w:r>
        <w:br w:type="page"/>
      </w:r>
    </w:p>
    <w:p w:rsidR="006B548F" w:rsidRDefault="006B548F" w:rsidP="006B548F">
      <w:pPr>
        <w:pStyle w:val="atitulo3"/>
        <w:spacing w:before="240"/>
      </w:pPr>
      <w:r>
        <w:lastRenderedPageBreak/>
        <w:t>IV.1.2</w:t>
      </w:r>
      <w:r w:rsidR="008A0500">
        <w:t>.</w:t>
      </w:r>
      <w:r>
        <w:t xml:space="preserve"> Ingresos asociados a la gestión de la COVID-19</w:t>
      </w:r>
    </w:p>
    <w:p w:rsidR="006B548F" w:rsidRDefault="006B548F" w:rsidP="006B548F">
      <w:pPr>
        <w:spacing w:after="240"/>
        <w:ind w:firstLine="284"/>
        <w:rPr>
          <w:sz w:val="26"/>
          <w:szCs w:val="26"/>
        </w:rPr>
      </w:pPr>
      <w:r>
        <w:rPr>
          <w:sz w:val="26"/>
          <w:szCs w:val="26"/>
        </w:rPr>
        <w:t>Para hacer frente a los gastos anteriores, la ACFN dispuso de los siguientes i</w:t>
      </w:r>
      <w:r>
        <w:rPr>
          <w:sz w:val="26"/>
          <w:szCs w:val="26"/>
        </w:rPr>
        <w:t>n</w:t>
      </w:r>
      <w:r>
        <w:rPr>
          <w:sz w:val="26"/>
          <w:szCs w:val="26"/>
        </w:rPr>
        <w:t>gresos asociados a la gestión de la COVID-19:</w:t>
      </w:r>
    </w:p>
    <w:tbl>
      <w:tblPr>
        <w:tblStyle w:val="Tablaconcuadrcula"/>
        <w:tblW w:w="8789"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348"/>
        <w:gridCol w:w="3877"/>
        <w:gridCol w:w="1564"/>
      </w:tblGrid>
      <w:tr w:rsidR="006B548F" w:rsidTr="00D7219A">
        <w:trPr>
          <w:trHeight w:hRule="exact" w:val="255"/>
          <w:jc w:val="center"/>
        </w:trPr>
        <w:tc>
          <w:tcPr>
            <w:tcW w:w="3348" w:type="dxa"/>
            <w:shd w:val="clear" w:color="auto" w:fill="8DB3E2" w:themeFill="text2" w:themeFillTint="66"/>
            <w:vAlign w:val="center"/>
          </w:tcPr>
          <w:p w:rsidR="006B548F" w:rsidRPr="00BD2DEE" w:rsidRDefault="006B548F" w:rsidP="00164FEC">
            <w:pPr>
              <w:pStyle w:val="cuadroCabe"/>
            </w:pPr>
            <w:r w:rsidRPr="00BD2DEE">
              <w:t>Capítulo</w:t>
            </w:r>
            <w:r>
              <w:t xml:space="preserve"> de ingreso</w:t>
            </w:r>
          </w:p>
        </w:tc>
        <w:tc>
          <w:tcPr>
            <w:tcW w:w="3877" w:type="dxa"/>
            <w:shd w:val="clear" w:color="auto" w:fill="8DB3E2" w:themeFill="text2" w:themeFillTint="66"/>
            <w:vAlign w:val="center"/>
          </w:tcPr>
          <w:p w:rsidR="006B548F" w:rsidRPr="00BD2DEE" w:rsidRDefault="006B548F" w:rsidP="00164FEC">
            <w:pPr>
              <w:pStyle w:val="cuadroCabe"/>
              <w:jc w:val="right"/>
            </w:pPr>
            <w:r>
              <w:t>Derechos Reconocidos Netos 31/12/2020</w:t>
            </w:r>
          </w:p>
        </w:tc>
        <w:tc>
          <w:tcPr>
            <w:tcW w:w="1564" w:type="dxa"/>
            <w:shd w:val="clear" w:color="auto" w:fill="8DB3E2" w:themeFill="text2" w:themeFillTint="66"/>
            <w:vAlign w:val="center"/>
          </w:tcPr>
          <w:p w:rsidR="006B548F" w:rsidRPr="00BD2DEE" w:rsidRDefault="006B548F" w:rsidP="00164FEC">
            <w:pPr>
              <w:pStyle w:val="cuadroCabe"/>
              <w:jc w:val="right"/>
            </w:pPr>
            <w:r>
              <w:t xml:space="preserve">% s/ total DRN </w:t>
            </w:r>
          </w:p>
        </w:tc>
      </w:tr>
      <w:tr w:rsidR="006B548F" w:rsidTr="00D7219A">
        <w:trPr>
          <w:cantSplit/>
          <w:trHeight w:hRule="exact" w:val="198"/>
          <w:jc w:val="center"/>
        </w:trPr>
        <w:tc>
          <w:tcPr>
            <w:tcW w:w="3348" w:type="dxa"/>
            <w:tcBorders>
              <w:bottom w:val="single" w:sz="2" w:space="0" w:color="auto"/>
            </w:tcBorders>
            <w:vAlign w:val="center"/>
          </w:tcPr>
          <w:p w:rsidR="006B548F" w:rsidRDefault="006B548F" w:rsidP="00D7219A">
            <w:pPr>
              <w:pStyle w:val="cuatexto"/>
            </w:pPr>
            <w:r>
              <w:t>3. Tasas y precios públicos</w:t>
            </w:r>
          </w:p>
        </w:tc>
        <w:tc>
          <w:tcPr>
            <w:tcW w:w="3877" w:type="dxa"/>
            <w:tcBorders>
              <w:bottom w:val="single" w:sz="2" w:space="0" w:color="auto"/>
            </w:tcBorders>
            <w:vAlign w:val="center"/>
          </w:tcPr>
          <w:p w:rsidR="006B548F" w:rsidRDefault="006B548F" w:rsidP="00D7219A">
            <w:pPr>
              <w:pStyle w:val="cuatexto"/>
              <w:jc w:val="right"/>
              <w:rPr>
                <w:rFonts w:cs="Calibri"/>
                <w:color w:val="000000"/>
                <w:lang w:val="es-ES" w:eastAsia="es-ES"/>
              </w:rPr>
            </w:pPr>
            <w:r>
              <w:rPr>
                <w:rFonts w:cs="Calibri"/>
                <w:color w:val="000000"/>
                <w:lang w:val="es-ES" w:eastAsia="es-ES"/>
              </w:rPr>
              <w:t>23.845</w:t>
            </w:r>
          </w:p>
        </w:tc>
        <w:tc>
          <w:tcPr>
            <w:tcW w:w="1564" w:type="dxa"/>
            <w:tcBorders>
              <w:bottom w:val="single" w:sz="2" w:space="0" w:color="auto"/>
            </w:tcBorders>
            <w:vAlign w:val="center"/>
          </w:tcPr>
          <w:p w:rsidR="006B548F" w:rsidRPr="00BD2DEE" w:rsidRDefault="006B548F" w:rsidP="00D7219A">
            <w:pPr>
              <w:pStyle w:val="cuatexto"/>
              <w:jc w:val="right"/>
              <w:rPr>
                <w:rFonts w:cs="Calibri"/>
                <w:color w:val="000000"/>
                <w:lang w:val="es-ES" w:eastAsia="es-ES"/>
              </w:rPr>
            </w:pPr>
            <w:r>
              <w:rPr>
                <w:rFonts w:cs="Calibri"/>
                <w:color w:val="000000"/>
                <w:lang w:val="es-ES" w:eastAsia="es-ES"/>
              </w:rPr>
              <w:t>-</w:t>
            </w:r>
          </w:p>
        </w:tc>
      </w:tr>
      <w:tr w:rsidR="006B548F" w:rsidTr="00D7219A">
        <w:trPr>
          <w:cantSplit/>
          <w:trHeight w:hRule="exact" w:val="198"/>
          <w:jc w:val="center"/>
        </w:trPr>
        <w:tc>
          <w:tcPr>
            <w:tcW w:w="3348" w:type="dxa"/>
            <w:tcBorders>
              <w:top w:val="single" w:sz="2" w:space="0" w:color="auto"/>
              <w:bottom w:val="single" w:sz="2" w:space="0" w:color="auto"/>
            </w:tcBorders>
            <w:vAlign w:val="center"/>
          </w:tcPr>
          <w:p w:rsidR="006B548F" w:rsidRDefault="00D7219A" w:rsidP="00D7219A">
            <w:pPr>
              <w:pStyle w:val="cuatexto"/>
            </w:pPr>
            <w:r>
              <w:t xml:space="preserve">4. </w:t>
            </w:r>
            <w:r w:rsidR="006B548F">
              <w:t xml:space="preserve">Transferencias corrientes </w:t>
            </w:r>
          </w:p>
        </w:tc>
        <w:tc>
          <w:tcPr>
            <w:tcW w:w="3877" w:type="dxa"/>
            <w:tcBorders>
              <w:top w:val="single" w:sz="2" w:space="0" w:color="auto"/>
              <w:bottom w:val="single" w:sz="2" w:space="0" w:color="auto"/>
            </w:tcBorders>
            <w:vAlign w:val="center"/>
          </w:tcPr>
          <w:p w:rsidR="006B548F" w:rsidRDefault="006B548F" w:rsidP="00D7219A">
            <w:pPr>
              <w:pStyle w:val="cuatexto"/>
              <w:jc w:val="right"/>
              <w:rPr>
                <w:rFonts w:cs="Calibri"/>
                <w:color w:val="000000"/>
                <w:lang w:val="es-ES" w:eastAsia="es-ES"/>
              </w:rPr>
            </w:pPr>
            <w:r>
              <w:rPr>
                <w:rFonts w:cs="Calibri"/>
                <w:color w:val="000000"/>
                <w:lang w:val="es-ES" w:eastAsia="es-ES"/>
              </w:rPr>
              <w:t>186.392.563</w:t>
            </w:r>
          </w:p>
        </w:tc>
        <w:tc>
          <w:tcPr>
            <w:tcW w:w="1564" w:type="dxa"/>
            <w:tcBorders>
              <w:top w:val="single" w:sz="2" w:space="0" w:color="auto"/>
              <w:bottom w:val="single" w:sz="2" w:space="0" w:color="auto"/>
            </w:tcBorders>
            <w:vAlign w:val="center"/>
          </w:tcPr>
          <w:p w:rsidR="006B548F" w:rsidRPr="00BD2DEE" w:rsidRDefault="006B548F" w:rsidP="00D7219A">
            <w:pPr>
              <w:pStyle w:val="cuatexto"/>
              <w:jc w:val="right"/>
              <w:rPr>
                <w:rFonts w:cs="Calibri"/>
                <w:color w:val="000000"/>
                <w:lang w:val="es-ES" w:eastAsia="es-ES"/>
              </w:rPr>
            </w:pPr>
            <w:r>
              <w:rPr>
                <w:rFonts w:cs="Calibri"/>
                <w:color w:val="000000"/>
                <w:lang w:val="es-ES" w:eastAsia="es-ES"/>
              </w:rPr>
              <w:t>99,5</w:t>
            </w:r>
          </w:p>
        </w:tc>
      </w:tr>
      <w:tr w:rsidR="006B548F" w:rsidTr="00D7219A">
        <w:trPr>
          <w:cantSplit/>
          <w:trHeight w:hRule="exact" w:val="198"/>
          <w:jc w:val="center"/>
        </w:trPr>
        <w:tc>
          <w:tcPr>
            <w:tcW w:w="3348" w:type="dxa"/>
            <w:tcBorders>
              <w:top w:val="single" w:sz="2" w:space="0" w:color="auto"/>
              <w:bottom w:val="single" w:sz="4" w:space="0" w:color="auto"/>
            </w:tcBorders>
            <w:vAlign w:val="center"/>
          </w:tcPr>
          <w:p w:rsidR="006B548F" w:rsidRDefault="006B548F" w:rsidP="00D7219A">
            <w:pPr>
              <w:pStyle w:val="cuatexto"/>
            </w:pPr>
            <w:r>
              <w:t xml:space="preserve">7. Transferencias de capital </w:t>
            </w:r>
          </w:p>
        </w:tc>
        <w:tc>
          <w:tcPr>
            <w:tcW w:w="3877" w:type="dxa"/>
            <w:tcBorders>
              <w:top w:val="single" w:sz="2" w:space="0" w:color="auto"/>
              <w:bottom w:val="single" w:sz="4" w:space="0" w:color="auto"/>
            </w:tcBorders>
            <w:vAlign w:val="center"/>
          </w:tcPr>
          <w:p w:rsidR="006B548F" w:rsidRPr="00BD2DEE" w:rsidRDefault="006B548F" w:rsidP="00D7219A">
            <w:pPr>
              <w:pStyle w:val="cuatexto"/>
              <w:jc w:val="right"/>
              <w:rPr>
                <w:rFonts w:cs="Calibri"/>
                <w:color w:val="000000"/>
                <w:lang w:val="es-ES" w:eastAsia="es-ES"/>
              </w:rPr>
            </w:pPr>
            <w:r>
              <w:rPr>
                <w:rFonts w:cs="Calibri"/>
                <w:color w:val="000000"/>
                <w:lang w:val="es-ES" w:eastAsia="es-ES"/>
              </w:rPr>
              <w:t>956.807</w:t>
            </w:r>
          </w:p>
        </w:tc>
        <w:tc>
          <w:tcPr>
            <w:tcW w:w="1564" w:type="dxa"/>
            <w:tcBorders>
              <w:top w:val="single" w:sz="2" w:space="0" w:color="auto"/>
              <w:bottom w:val="single" w:sz="4" w:space="0" w:color="auto"/>
            </w:tcBorders>
            <w:vAlign w:val="center"/>
          </w:tcPr>
          <w:p w:rsidR="006B548F" w:rsidRPr="00BD2DEE" w:rsidRDefault="006B548F" w:rsidP="00D7219A">
            <w:pPr>
              <w:pStyle w:val="cuatexto"/>
              <w:jc w:val="right"/>
              <w:rPr>
                <w:rFonts w:cs="Calibri"/>
                <w:color w:val="000000"/>
                <w:lang w:val="es-ES" w:eastAsia="es-ES"/>
              </w:rPr>
            </w:pPr>
            <w:r>
              <w:rPr>
                <w:rFonts w:cs="Calibri"/>
                <w:color w:val="000000"/>
                <w:lang w:val="es-ES" w:eastAsia="es-ES"/>
              </w:rPr>
              <w:t>0,5</w:t>
            </w:r>
          </w:p>
        </w:tc>
      </w:tr>
      <w:tr w:rsidR="006B548F" w:rsidTr="00D7219A">
        <w:trPr>
          <w:trHeight w:hRule="exact" w:val="255"/>
          <w:jc w:val="center"/>
        </w:trPr>
        <w:tc>
          <w:tcPr>
            <w:tcW w:w="3348" w:type="dxa"/>
            <w:shd w:val="clear" w:color="auto" w:fill="8DB3E2" w:themeFill="text2" w:themeFillTint="66"/>
            <w:vAlign w:val="center"/>
          </w:tcPr>
          <w:p w:rsidR="006B548F" w:rsidRPr="00BD2DEE" w:rsidRDefault="006B548F" w:rsidP="00164FEC">
            <w:pPr>
              <w:pStyle w:val="cuadroCabe"/>
            </w:pPr>
            <w:r>
              <w:t>Total</w:t>
            </w:r>
          </w:p>
        </w:tc>
        <w:tc>
          <w:tcPr>
            <w:tcW w:w="3877" w:type="dxa"/>
            <w:shd w:val="clear" w:color="auto" w:fill="8DB3E2" w:themeFill="text2" w:themeFillTint="66"/>
            <w:vAlign w:val="center"/>
          </w:tcPr>
          <w:p w:rsidR="006B548F" w:rsidRDefault="006B548F" w:rsidP="00164FEC">
            <w:pPr>
              <w:pStyle w:val="cuadroCabe"/>
              <w:jc w:val="right"/>
              <w:rPr>
                <w:rFonts w:cs="Arial"/>
                <w:bCs/>
                <w:color w:val="000000"/>
                <w:szCs w:val="18"/>
                <w:lang w:val="es-ES" w:eastAsia="es-ES"/>
              </w:rPr>
            </w:pPr>
            <w:r>
              <w:rPr>
                <w:rFonts w:cs="Arial"/>
                <w:bCs/>
                <w:color w:val="000000"/>
                <w:szCs w:val="18"/>
                <w:lang w:val="es-ES" w:eastAsia="es-ES"/>
              </w:rPr>
              <w:t>187.373.215</w:t>
            </w:r>
          </w:p>
        </w:tc>
        <w:tc>
          <w:tcPr>
            <w:tcW w:w="1564" w:type="dxa"/>
            <w:shd w:val="clear" w:color="auto" w:fill="8DB3E2" w:themeFill="text2" w:themeFillTint="66"/>
            <w:vAlign w:val="center"/>
          </w:tcPr>
          <w:p w:rsidR="006B548F" w:rsidRDefault="006B548F" w:rsidP="00164FEC">
            <w:pPr>
              <w:pStyle w:val="cuadroCabe"/>
              <w:jc w:val="right"/>
              <w:rPr>
                <w:rFonts w:cs="Arial"/>
                <w:bCs/>
                <w:color w:val="000000"/>
                <w:szCs w:val="18"/>
                <w:lang w:val="es-ES" w:eastAsia="es-ES"/>
              </w:rPr>
            </w:pPr>
            <w:r>
              <w:rPr>
                <w:rFonts w:cs="Arial"/>
                <w:bCs/>
                <w:color w:val="000000"/>
                <w:szCs w:val="18"/>
                <w:lang w:val="es-ES" w:eastAsia="es-ES"/>
              </w:rPr>
              <w:t>100</w:t>
            </w:r>
          </w:p>
        </w:tc>
      </w:tr>
    </w:tbl>
    <w:p w:rsidR="006B548F" w:rsidRDefault="006B548F" w:rsidP="006B548F">
      <w:pPr>
        <w:spacing w:before="240" w:after="120"/>
        <w:ind w:firstLine="284"/>
        <w:rPr>
          <w:sz w:val="26"/>
          <w:szCs w:val="26"/>
        </w:rPr>
      </w:pPr>
      <w:r>
        <w:rPr>
          <w:sz w:val="26"/>
          <w:szCs w:val="26"/>
        </w:rPr>
        <w:t>La práctica totalidad de los ingresos registrados en partidas COVID-19 se corre</w:t>
      </w:r>
      <w:r>
        <w:rPr>
          <w:sz w:val="26"/>
          <w:szCs w:val="26"/>
        </w:rPr>
        <w:t>s</w:t>
      </w:r>
      <w:r>
        <w:rPr>
          <w:sz w:val="26"/>
          <w:szCs w:val="26"/>
        </w:rPr>
        <w:t>ponden con transferencias corrientes y de capital recibidas del Estado por un total de 187,16 millones; de este importe, el ingreso más relevante asciende a 174,82 m</w:t>
      </w:r>
      <w:r>
        <w:rPr>
          <w:sz w:val="26"/>
          <w:szCs w:val="26"/>
        </w:rPr>
        <w:t>i</w:t>
      </w:r>
      <w:r>
        <w:rPr>
          <w:sz w:val="26"/>
          <w:szCs w:val="26"/>
        </w:rPr>
        <w:t>llones del fondo creado por el Real Decreto-Ley 22/2020, de 16 de junio para las comunidades autónomas del que Navarra a 31 de diciembre había recibido la cant</w:t>
      </w:r>
      <w:r>
        <w:rPr>
          <w:sz w:val="26"/>
          <w:szCs w:val="26"/>
        </w:rPr>
        <w:t>i</w:t>
      </w:r>
      <w:r>
        <w:rPr>
          <w:sz w:val="26"/>
          <w:szCs w:val="26"/>
        </w:rPr>
        <w:t xml:space="preserve">dad indicada. </w:t>
      </w:r>
      <w:r w:rsidRPr="00C6043C">
        <w:rPr>
          <w:sz w:val="26"/>
          <w:szCs w:val="26"/>
        </w:rPr>
        <w:t xml:space="preserve">Es un fondo no reembolsable </w:t>
      </w:r>
      <w:r>
        <w:rPr>
          <w:sz w:val="26"/>
          <w:szCs w:val="26"/>
        </w:rPr>
        <w:t>para</w:t>
      </w:r>
      <w:r w:rsidRPr="00C6043C">
        <w:rPr>
          <w:sz w:val="26"/>
          <w:szCs w:val="26"/>
        </w:rPr>
        <w:t xml:space="preserve"> financiar las necesidades pres</w:t>
      </w:r>
      <w:r w:rsidRPr="00C6043C">
        <w:rPr>
          <w:sz w:val="26"/>
          <w:szCs w:val="26"/>
        </w:rPr>
        <w:t>u</w:t>
      </w:r>
      <w:r w:rsidRPr="00C6043C">
        <w:rPr>
          <w:sz w:val="26"/>
          <w:szCs w:val="26"/>
        </w:rPr>
        <w:t xml:space="preserve">puestarias derivadas de la crisis </w:t>
      </w:r>
      <w:r>
        <w:rPr>
          <w:sz w:val="26"/>
          <w:szCs w:val="26"/>
        </w:rPr>
        <w:t>de la COVID-19.</w:t>
      </w:r>
    </w:p>
    <w:p w:rsidR="006B548F" w:rsidRDefault="006B548F" w:rsidP="006B548F">
      <w:pPr>
        <w:spacing w:before="120" w:after="120"/>
        <w:ind w:firstLine="284"/>
        <w:rPr>
          <w:sz w:val="26"/>
          <w:szCs w:val="26"/>
        </w:rPr>
      </w:pPr>
      <w:r>
        <w:rPr>
          <w:sz w:val="26"/>
          <w:szCs w:val="26"/>
        </w:rPr>
        <w:t>El capítulo 4 de transferencias corrientes incluye</w:t>
      </w:r>
      <w:r w:rsidR="00845FF6">
        <w:rPr>
          <w:sz w:val="26"/>
          <w:szCs w:val="26"/>
        </w:rPr>
        <w:t>,</w:t>
      </w:r>
      <w:r>
        <w:rPr>
          <w:sz w:val="26"/>
          <w:szCs w:val="26"/>
        </w:rPr>
        <w:t xml:space="preserve"> además</w:t>
      </w:r>
      <w:r w:rsidR="00845FF6">
        <w:rPr>
          <w:sz w:val="26"/>
          <w:szCs w:val="26"/>
        </w:rPr>
        <w:t>,</w:t>
      </w:r>
      <w:r>
        <w:rPr>
          <w:sz w:val="26"/>
          <w:szCs w:val="26"/>
        </w:rPr>
        <w:t xml:space="preserve"> donaciones de partic</w:t>
      </w:r>
      <w:r>
        <w:rPr>
          <w:sz w:val="26"/>
          <w:szCs w:val="26"/>
        </w:rPr>
        <w:t>u</w:t>
      </w:r>
      <w:r>
        <w:rPr>
          <w:sz w:val="26"/>
          <w:szCs w:val="26"/>
        </w:rPr>
        <w:t xml:space="preserve">lares por un total de 188.993 euros. </w:t>
      </w:r>
    </w:p>
    <w:p w:rsidR="006B548F" w:rsidRDefault="006B548F" w:rsidP="006B548F">
      <w:pPr>
        <w:pStyle w:val="texto"/>
        <w:spacing w:before="120"/>
        <w:rPr>
          <w:szCs w:val="26"/>
        </w:rPr>
      </w:pPr>
      <w:r>
        <w:rPr>
          <w:szCs w:val="26"/>
        </w:rPr>
        <w:t xml:space="preserve">Además de lo anterior, la ACFN llevó a cabo operaciones de endeudamiento que no están contabilizadas expresamente en partidas COVID-19 por no estar relacionadas única y exclusivamente con la crisis sanitaria. En concreto, las operaciones de endeudamiento de la ACFN en el periodo marzo-diciembre de 2020 </w:t>
      </w:r>
      <w:r w:rsidRPr="003A4807">
        <w:rPr>
          <w:szCs w:val="26"/>
        </w:rPr>
        <w:t xml:space="preserve">ascendieron a </w:t>
      </w:r>
      <w:r>
        <w:rPr>
          <w:szCs w:val="26"/>
        </w:rPr>
        <w:t>648,37</w:t>
      </w:r>
      <w:r w:rsidRPr="003A4807">
        <w:rPr>
          <w:szCs w:val="26"/>
        </w:rPr>
        <w:t xml:space="preserve"> millones</w:t>
      </w:r>
      <w:r w:rsidR="003810F9">
        <w:rPr>
          <w:szCs w:val="26"/>
        </w:rPr>
        <w:t xml:space="preserve"> que podrían </w:t>
      </w:r>
      <w:r>
        <w:rPr>
          <w:szCs w:val="26"/>
        </w:rPr>
        <w:t xml:space="preserve">estar </w:t>
      </w:r>
      <w:r w:rsidR="003810F9">
        <w:rPr>
          <w:szCs w:val="26"/>
        </w:rPr>
        <w:t xml:space="preserve">relacionados en parte </w:t>
      </w:r>
      <w:r>
        <w:rPr>
          <w:szCs w:val="26"/>
        </w:rPr>
        <w:t>con la gestión de la COVID-19</w:t>
      </w:r>
      <w:r w:rsidR="003810F9">
        <w:rPr>
          <w:szCs w:val="26"/>
        </w:rPr>
        <w:t>, si bien no podemos determinar el importe concreto</w:t>
      </w:r>
      <w:r>
        <w:rPr>
          <w:szCs w:val="26"/>
        </w:rPr>
        <w:t xml:space="preserve">.  </w:t>
      </w:r>
    </w:p>
    <w:p w:rsidR="006B548F" w:rsidRDefault="006B548F" w:rsidP="006B548F">
      <w:pPr>
        <w:pStyle w:val="atitulo2"/>
        <w:spacing w:before="240"/>
        <w:rPr>
          <w:bCs w:val="0"/>
          <w:iCs w:val="0"/>
        </w:rPr>
      </w:pPr>
      <w:bookmarkStart w:id="33" w:name="_Toc67394581"/>
      <w:bookmarkStart w:id="34" w:name="_Toc69373189"/>
      <w:r w:rsidRPr="00E171FA">
        <w:rPr>
          <w:bCs w:val="0"/>
          <w:iCs w:val="0"/>
        </w:rPr>
        <w:t>IV.</w:t>
      </w:r>
      <w:r>
        <w:rPr>
          <w:bCs w:val="0"/>
          <w:iCs w:val="0"/>
        </w:rPr>
        <w:t>2</w:t>
      </w:r>
      <w:r w:rsidR="005778B4">
        <w:rPr>
          <w:bCs w:val="0"/>
          <w:iCs w:val="0"/>
        </w:rPr>
        <w:t>.</w:t>
      </w:r>
      <w:r w:rsidRPr="00E171FA">
        <w:rPr>
          <w:bCs w:val="0"/>
          <w:iCs w:val="0"/>
        </w:rPr>
        <w:t xml:space="preserve"> </w:t>
      </w:r>
      <w:r>
        <w:rPr>
          <w:bCs w:val="0"/>
          <w:iCs w:val="0"/>
        </w:rPr>
        <w:t>Auditoría de legalidad</w:t>
      </w:r>
      <w:bookmarkEnd w:id="33"/>
      <w:bookmarkEnd w:id="34"/>
    </w:p>
    <w:p w:rsidR="006B548F" w:rsidRDefault="006B548F" w:rsidP="008A0500">
      <w:pPr>
        <w:pStyle w:val="atitulo4"/>
      </w:pPr>
      <w:r w:rsidRPr="00F377C9">
        <w:t xml:space="preserve">Fundamento de la opinión </w:t>
      </w:r>
      <w:r>
        <w:t>de legalidad</w:t>
      </w:r>
      <w:r w:rsidRPr="00F377C9">
        <w:t xml:space="preserve"> con salvedades</w:t>
      </w:r>
    </w:p>
    <w:p w:rsidR="006B548F" w:rsidRPr="00622FA4" w:rsidRDefault="006B548F"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rPr>
          <w:szCs w:val="26"/>
        </w:rPr>
        <w:t>Los solicitantes de ayudas a autónomos, que percibieron un total de 24,03 millones, según lo establecido en la convocatoria, presentaro</w:t>
      </w:r>
      <w:r w:rsidRPr="00E43ABB">
        <w:rPr>
          <w:szCs w:val="26"/>
        </w:rPr>
        <w:t>n una declaración responsable sobre su capacidad económica que no debía superar ciertos límites en función del importe que se solicitara y de la composición de la unidad fam</w:t>
      </w:r>
      <w:r w:rsidRPr="00E43ABB">
        <w:rPr>
          <w:szCs w:val="26"/>
        </w:rPr>
        <w:t>i</w:t>
      </w:r>
      <w:r w:rsidRPr="00E43ABB">
        <w:rPr>
          <w:szCs w:val="26"/>
        </w:rPr>
        <w:t>liar. A pesar de que esto</w:t>
      </w:r>
      <w:r>
        <w:rPr>
          <w:szCs w:val="26"/>
        </w:rPr>
        <w:t>s aspectos eran requisitos que se debían cumplir</w:t>
      </w:r>
      <w:r w:rsidRPr="00E43ABB">
        <w:rPr>
          <w:szCs w:val="26"/>
        </w:rPr>
        <w:t xml:space="preserve">, no se articuló un mecanismo para </w:t>
      </w:r>
      <w:r>
        <w:rPr>
          <w:szCs w:val="26"/>
        </w:rPr>
        <w:t xml:space="preserve">su </w:t>
      </w:r>
      <w:r w:rsidRPr="00E43ABB">
        <w:rPr>
          <w:szCs w:val="26"/>
        </w:rPr>
        <w:t>posterior comprobación. La declaración respo</w:t>
      </w:r>
      <w:r w:rsidRPr="00E43ABB">
        <w:rPr>
          <w:szCs w:val="26"/>
        </w:rPr>
        <w:t>n</w:t>
      </w:r>
      <w:r w:rsidRPr="00E43ABB">
        <w:rPr>
          <w:szCs w:val="26"/>
        </w:rPr>
        <w:t xml:space="preserve">sable es un buen mecanismo para </w:t>
      </w:r>
      <w:r>
        <w:rPr>
          <w:szCs w:val="26"/>
        </w:rPr>
        <w:t xml:space="preserve">agilizar </w:t>
      </w:r>
      <w:r w:rsidRPr="00E43ABB">
        <w:rPr>
          <w:szCs w:val="26"/>
        </w:rPr>
        <w:t xml:space="preserve">la tramitación de las ayudas, pero no debe sustituir a </w:t>
      </w:r>
      <w:r>
        <w:rPr>
          <w:szCs w:val="26"/>
        </w:rPr>
        <w:t>una verificación posterior del cumplimiento de requisitos.</w:t>
      </w:r>
    </w:p>
    <w:p w:rsidR="006B548F" w:rsidRDefault="006B548F" w:rsidP="006B548F">
      <w:pPr>
        <w:pStyle w:val="texto"/>
        <w:tabs>
          <w:tab w:val="clear" w:pos="2835"/>
          <w:tab w:val="clear" w:pos="3969"/>
          <w:tab w:val="clear" w:pos="5103"/>
          <w:tab w:val="clear" w:pos="6237"/>
          <w:tab w:val="clear" w:pos="7371"/>
        </w:tabs>
        <w:spacing w:after="100"/>
        <w:ind w:firstLine="289"/>
        <w:rPr>
          <w:szCs w:val="26"/>
        </w:rPr>
      </w:pPr>
      <w:r>
        <w:rPr>
          <w:szCs w:val="26"/>
        </w:rPr>
        <w:t>Al respecto señalamos que en las ayudas a la hostelería y turismo que se a</w:t>
      </w:r>
      <w:r>
        <w:rPr>
          <w:szCs w:val="26"/>
        </w:rPr>
        <w:t>r</w:t>
      </w:r>
      <w:r>
        <w:rPr>
          <w:szCs w:val="26"/>
        </w:rPr>
        <w:t xml:space="preserve">ticularon </w:t>
      </w:r>
      <w:r w:rsidRPr="00845FF6">
        <w:rPr>
          <w:i/>
          <w:szCs w:val="26"/>
        </w:rPr>
        <w:t>a posteriori</w:t>
      </w:r>
      <w:r>
        <w:rPr>
          <w:szCs w:val="26"/>
        </w:rPr>
        <w:t xml:space="preserve"> se han mejorado estos aspectos y se han previsto mec</w:t>
      </w:r>
      <w:r>
        <w:rPr>
          <w:szCs w:val="26"/>
        </w:rPr>
        <w:t>a</w:t>
      </w:r>
      <w:r>
        <w:rPr>
          <w:szCs w:val="26"/>
        </w:rPr>
        <w:t>nismos de verificación del cumplimiento de los requisitos exigidos para ser b</w:t>
      </w:r>
      <w:r>
        <w:rPr>
          <w:szCs w:val="26"/>
        </w:rPr>
        <w:t>e</w:t>
      </w:r>
      <w:r>
        <w:rPr>
          <w:szCs w:val="26"/>
        </w:rPr>
        <w:t>neficiario.</w:t>
      </w:r>
    </w:p>
    <w:p w:rsidR="006B548F" w:rsidRPr="00F377C9" w:rsidRDefault="006B548F" w:rsidP="008A0500">
      <w:pPr>
        <w:pStyle w:val="atitulo4"/>
      </w:pPr>
      <w:r w:rsidRPr="00F377C9">
        <w:lastRenderedPageBreak/>
        <w:t xml:space="preserve">Opinión </w:t>
      </w:r>
      <w:r>
        <w:t>sobre cumplimiento de legalidad</w:t>
      </w:r>
    </w:p>
    <w:p w:rsidR="006B548F" w:rsidRPr="00D725EA" w:rsidRDefault="006B548F" w:rsidP="006B548F">
      <w:pPr>
        <w:pStyle w:val="texto"/>
        <w:tabs>
          <w:tab w:val="clear" w:pos="2835"/>
          <w:tab w:val="clear" w:pos="3969"/>
          <w:tab w:val="clear" w:pos="5103"/>
          <w:tab w:val="clear" w:pos="6237"/>
          <w:tab w:val="clear" w:pos="7371"/>
        </w:tabs>
        <w:spacing w:after="100"/>
        <w:ind w:firstLine="289"/>
        <w:rPr>
          <w:szCs w:val="26"/>
        </w:rPr>
      </w:pPr>
      <w:r w:rsidRPr="00D725EA">
        <w:rPr>
          <w:szCs w:val="26"/>
        </w:rPr>
        <w:t xml:space="preserve">En nuestra opinión, excepto por los efectos de los hechos descritos en </w:t>
      </w:r>
      <w:r w:rsidR="00D94FF9">
        <w:rPr>
          <w:szCs w:val="26"/>
        </w:rPr>
        <w:t>el</w:t>
      </w:r>
      <w:r>
        <w:rPr>
          <w:szCs w:val="26"/>
        </w:rPr>
        <w:t xml:space="preserve"> </w:t>
      </w:r>
      <w:r w:rsidRPr="00D725EA">
        <w:rPr>
          <w:szCs w:val="26"/>
        </w:rPr>
        <w:t>p</w:t>
      </w:r>
      <w:r w:rsidRPr="00D725EA">
        <w:rPr>
          <w:szCs w:val="26"/>
        </w:rPr>
        <w:t>á</w:t>
      </w:r>
      <w:r w:rsidRPr="00D725EA">
        <w:rPr>
          <w:szCs w:val="26"/>
        </w:rPr>
        <w:t xml:space="preserve">rrafo del apartado de “Fundamento de la opinión de legalidad con salvedades”, y teniendo en cuenta el alcance del trabajo realizado, </w:t>
      </w:r>
      <w:r>
        <w:rPr>
          <w:szCs w:val="26"/>
        </w:rPr>
        <w:t>la contratació</w:t>
      </w:r>
      <w:r w:rsidRPr="00D725EA">
        <w:rPr>
          <w:szCs w:val="26"/>
        </w:rPr>
        <w:t>n de pers</w:t>
      </w:r>
      <w:r w:rsidRPr="00D725EA">
        <w:rPr>
          <w:szCs w:val="26"/>
        </w:rPr>
        <w:t>o</w:t>
      </w:r>
      <w:r w:rsidRPr="00D725EA">
        <w:rPr>
          <w:szCs w:val="26"/>
        </w:rPr>
        <w:t xml:space="preserve">nal, la de bienes corrientes y servicios </w:t>
      </w:r>
      <w:r>
        <w:rPr>
          <w:szCs w:val="26"/>
        </w:rPr>
        <w:t>e inversiones, así como</w:t>
      </w:r>
      <w:r w:rsidRPr="00D725EA">
        <w:rPr>
          <w:szCs w:val="26"/>
        </w:rPr>
        <w:t xml:space="preserve"> las subvenciones concedidas</w:t>
      </w:r>
      <w:r>
        <w:rPr>
          <w:szCs w:val="26"/>
        </w:rPr>
        <w:t xml:space="preserve"> </w:t>
      </w:r>
      <w:r>
        <w:t>relacionadas con la COVID-19</w:t>
      </w:r>
      <w:r w:rsidRPr="00F377C9">
        <w:t xml:space="preserve"> </w:t>
      </w:r>
      <w:r>
        <w:t>del periodo marzo-diciembre 2020,</w:t>
      </w:r>
      <w:r w:rsidRPr="00F377C9">
        <w:t xml:space="preserve"> resultan conformes, en todos los aspectos significativos, con la normativa apl</w:t>
      </w:r>
      <w:r w:rsidRPr="00F377C9">
        <w:t>i</w:t>
      </w:r>
      <w:r w:rsidRPr="00F377C9">
        <w:t xml:space="preserve">cable a la gestión de los fondos públicos. </w:t>
      </w:r>
    </w:p>
    <w:p w:rsidR="006B548F" w:rsidRPr="008A0500" w:rsidRDefault="006B548F" w:rsidP="00366A59">
      <w:pPr>
        <w:pStyle w:val="atitulo4"/>
        <w:spacing w:before="360"/>
      </w:pPr>
      <w:r w:rsidRPr="008A0500">
        <w:t>Otras observaciones que no afectan a la opinión</w:t>
      </w:r>
    </w:p>
    <w:p w:rsidR="006B548F" w:rsidRPr="00366A59" w:rsidRDefault="006B548F" w:rsidP="00366A59">
      <w:pPr>
        <w:pStyle w:val="texto"/>
        <w:tabs>
          <w:tab w:val="clear" w:pos="2835"/>
          <w:tab w:val="clear" w:pos="3969"/>
          <w:tab w:val="clear" w:pos="5103"/>
          <w:tab w:val="clear" w:pos="6237"/>
          <w:tab w:val="clear" w:pos="7371"/>
        </w:tabs>
        <w:spacing w:after="100"/>
        <w:ind w:firstLine="289"/>
        <w:rPr>
          <w:szCs w:val="26"/>
        </w:rPr>
      </w:pPr>
      <w:r w:rsidRPr="00366A59">
        <w:rPr>
          <w:szCs w:val="26"/>
        </w:rPr>
        <w:t>Incluimos a continuación, como parte de la fiscalización realizada, un detalle de aquellas observaciones y hallazgos que no afectan a la opinión y que cons</w:t>
      </w:r>
      <w:r w:rsidRPr="00366A59">
        <w:rPr>
          <w:szCs w:val="26"/>
        </w:rPr>
        <w:t>i</w:t>
      </w:r>
      <w:r w:rsidRPr="00366A59">
        <w:rPr>
          <w:szCs w:val="26"/>
        </w:rPr>
        <w:t>deramos que pueden resultar de interés para mejorar la gestión de la COVID-19:</w:t>
      </w:r>
    </w:p>
    <w:p w:rsidR="00D94FF9" w:rsidRDefault="00D94FF9" w:rsidP="00D94FF9">
      <w:pPr>
        <w:pStyle w:val="texto"/>
        <w:numPr>
          <w:ilvl w:val="0"/>
          <w:numId w:val="10"/>
        </w:numPr>
        <w:tabs>
          <w:tab w:val="clear" w:pos="2835"/>
          <w:tab w:val="clear" w:pos="3969"/>
          <w:tab w:val="clear" w:pos="5103"/>
          <w:tab w:val="clear" w:pos="6237"/>
          <w:tab w:val="clear" w:pos="7371"/>
          <w:tab w:val="left" w:pos="567"/>
        </w:tabs>
        <w:ind w:left="0" w:firstLine="284"/>
        <w:rPr>
          <w:szCs w:val="26"/>
        </w:rPr>
      </w:pPr>
      <w:r>
        <w:rPr>
          <w:szCs w:val="26"/>
        </w:rPr>
        <w:t>La ANADP a</w:t>
      </w:r>
      <w:r w:rsidR="004A49A4">
        <w:rPr>
          <w:szCs w:val="26"/>
        </w:rPr>
        <w:t>sumió como gasto extraordinario</w:t>
      </w:r>
      <w:r>
        <w:rPr>
          <w:szCs w:val="26"/>
        </w:rPr>
        <w:t xml:space="preserve"> un total de 2,15 millones a 31 de diciembre de 2020, como </w:t>
      </w:r>
      <w:r w:rsidRPr="00AF2857">
        <w:rPr>
          <w:szCs w:val="26"/>
        </w:rPr>
        <w:t xml:space="preserve">parte del sobrecoste que </w:t>
      </w:r>
      <w:r>
        <w:rPr>
          <w:szCs w:val="26"/>
        </w:rPr>
        <w:t>supuso la COVID-19</w:t>
      </w:r>
      <w:r w:rsidRPr="00AF2857">
        <w:rPr>
          <w:szCs w:val="26"/>
        </w:rPr>
        <w:t xml:space="preserve"> en l</w:t>
      </w:r>
      <w:r>
        <w:rPr>
          <w:szCs w:val="26"/>
        </w:rPr>
        <w:t>os centros concertados para asegurar</w:t>
      </w:r>
      <w:r w:rsidR="00B16412">
        <w:rPr>
          <w:szCs w:val="26"/>
        </w:rPr>
        <w:t xml:space="preserve"> que se seguían prestando los servicios</w:t>
      </w:r>
      <w:r>
        <w:rPr>
          <w:szCs w:val="26"/>
        </w:rPr>
        <w:t>; este incremento del coste está relacionado con la contratación de personal de refuerzo, las bajas de personal que superan el absentismo normal de la empresa, los gastos destinados a la prevención de contagios y la disminución de ingresos por desocupación.</w:t>
      </w:r>
    </w:p>
    <w:p w:rsidR="00D94FF9" w:rsidRDefault="001D6078" w:rsidP="00D94FF9">
      <w:pPr>
        <w:pStyle w:val="texto"/>
        <w:tabs>
          <w:tab w:val="clear" w:pos="2835"/>
          <w:tab w:val="clear" w:pos="3969"/>
          <w:tab w:val="clear" w:pos="5103"/>
          <w:tab w:val="clear" w:pos="6237"/>
          <w:tab w:val="clear" w:pos="7371"/>
        </w:tabs>
        <w:spacing w:after="100"/>
        <w:rPr>
          <w:szCs w:val="26"/>
        </w:rPr>
      </w:pPr>
      <w:r>
        <w:rPr>
          <w:szCs w:val="26"/>
        </w:rPr>
        <w:t xml:space="preserve">La ANADP modificó los contratos con los centros </w:t>
      </w:r>
      <w:proofErr w:type="spellStart"/>
      <w:r>
        <w:rPr>
          <w:szCs w:val="26"/>
        </w:rPr>
        <w:t>sociosanitarios</w:t>
      </w:r>
      <w:proofErr w:type="spellEnd"/>
      <w:r>
        <w:rPr>
          <w:szCs w:val="26"/>
        </w:rPr>
        <w:t xml:space="preserve"> acordando abonar a cada centro de manera individual los gastos en los que había incurr</w:t>
      </w:r>
      <w:r>
        <w:rPr>
          <w:szCs w:val="26"/>
        </w:rPr>
        <w:t>i</w:t>
      </w:r>
      <w:r>
        <w:rPr>
          <w:szCs w:val="26"/>
        </w:rPr>
        <w:t>do; e</w:t>
      </w:r>
      <w:r w:rsidR="00D94FF9">
        <w:rPr>
          <w:szCs w:val="26"/>
        </w:rPr>
        <w:t xml:space="preserve">l cálculo </w:t>
      </w:r>
      <w:r>
        <w:rPr>
          <w:szCs w:val="26"/>
        </w:rPr>
        <w:t>de este importe personalizado</w:t>
      </w:r>
      <w:r w:rsidR="00D94FF9">
        <w:rPr>
          <w:szCs w:val="26"/>
        </w:rPr>
        <w:t xml:space="preserve"> se llev</w:t>
      </w:r>
      <w:r>
        <w:rPr>
          <w:szCs w:val="26"/>
        </w:rPr>
        <w:t>a</w:t>
      </w:r>
      <w:r w:rsidR="00D94FF9">
        <w:rPr>
          <w:szCs w:val="26"/>
        </w:rPr>
        <w:t xml:space="preserve"> a cabo con la información remitida por </w:t>
      </w:r>
      <w:r>
        <w:rPr>
          <w:szCs w:val="26"/>
        </w:rPr>
        <w:t>los centros</w:t>
      </w:r>
      <w:r w:rsidR="00D94FF9" w:rsidRPr="00AF2857">
        <w:rPr>
          <w:szCs w:val="26"/>
        </w:rPr>
        <w:t xml:space="preserve"> en un archivo Excel </w:t>
      </w:r>
      <w:r w:rsidR="00D94FF9">
        <w:rPr>
          <w:szCs w:val="26"/>
        </w:rPr>
        <w:t xml:space="preserve">con información sobre </w:t>
      </w:r>
      <w:r w:rsidR="00D94FF9" w:rsidRPr="00AF2857">
        <w:rPr>
          <w:szCs w:val="26"/>
        </w:rPr>
        <w:t>sus gastos extraordinarios</w:t>
      </w:r>
      <w:r w:rsidR="00D94FF9">
        <w:rPr>
          <w:szCs w:val="26"/>
        </w:rPr>
        <w:t xml:space="preserve">; </w:t>
      </w:r>
      <w:r w:rsidR="00D94FF9" w:rsidRPr="00AF2857">
        <w:rPr>
          <w:szCs w:val="26"/>
        </w:rPr>
        <w:t>con estos datos</w:t>
      </w:r>
      <w:r w:rsidR="00D94FF9">
        <w:rPr>
          <w:szCs w:val="26"/>
        </w:rPr>
        <w:t>,</w:t>
      </w:r>
      <w:r w:rsidR="00D94FF9" w:rsidRPr="00AF2857">
        <w:rPr>
          <w:szCs w:val="26"/>
        </w:rPr>
        <w:t xml:space="preserve"> la ANADP realiza unos c</w:t>
      </w:r>
      <w:r w:rsidR="00D94FF9">
        <w:rPr>
          <w:szCs w:val="26"/>
        </w:rPr>
        <w:t xml:space="preserve">álculos complejos y </w:t>
      </w:r>
      <w:r w:rsidR="00D94FF9" w:rsidRPr="00AF2857">
        <w:rPr>
          <w:szCs w:val="26"/>
        </w:rPr>
        <w:t>laboriosos</w:t>
      </w:r>
      <w:r w:rsidR="00D94FF9">
        <w:rPr>
          <w:szCs w:val="26"/>
        </w:rPr>
        <w:t xml:space="preserve"> </w:t>
      </w:r>
      <w:r w:rsidR="00D94FF9" w:rsidRPr="00AF2857">
        <w:rPr>
          <w:szCs w:val="26"/>
        </w:rPr>
        <w:t xml:space="preserve">sobre la cantidad que va a asumir como gasto extraordinario. </w:t>
      </w:r>
      <w:r w:rsidR="00D94FF9">
        <w:rPr>
          <w:szCs w:val="26"/>
        </w:rPr>
        <w:t>A p</w:t>
      </w:r>
      <w:r w:rsidR="00D94FF9">
        <w:rPr>
          <w:szCs w:val="26"/>
        </w:rPr>
        <w:t>e</w:t>
      </w:r>
      <w:r w:rsidR="00D94FF9">
        <w:rPr>
          <w:szCs w:val="26"/>
        </w:rPr>
        <w:t>sar de que este proceso de cálculo requiere la inversión de un tiempo signific</w:t>
      </w:r>
      <w:r w:rsidR="00D94FF9">
        <w:rPr>
          <w:szCs w:val="26"/>
        </w:rPr>
        <w:t>a</w:t>
      </w:r>
      <w:r w:rsidR="00D94FF9">
        <w:rPr>
          <w:szCs w:val="26"/>
        </w:rPr>
        <w:t>tivo, no se ha verificado si la información de partida proporcionada por los ce</w:t>
      </w:r>
      <w:r w:rsidR="00D94FF9">
        <w:rPr>
          <w:szCs w:val="26"/>
        </w:rPr>
        <w:t>n</w:t>
      </w:r>
      <w:r w:rsidR="00D94FF9">
        <w:rPr>
          <w:szCs w:val="26"/>
        </w:rPr>
        <w:t>tros</w:t>
      </w:r>
      <w:r w:rsidR="00B16412">
        <w:rPr>
          <w:szCs w:val="26"/>
        </w:rPr>
        <w:t xml:space="preserve"> referida a personal, que asciende a 1,</w:t>
      </w:r>
      <w:r w:rsidR="00CC15C0">
        <w:rPr>
          <w:szCs w:val="26"/>
        </w:rPr>
        <w:t>18</w:t>
      </w:r>
      <w:r w:rsidR="00B16412">
        <w:rPr>
          <w:szCs w:val="26"/>
        </w:rPr>
        <w:t xml:space="preserve"> millones,</w:t>
      </w:r>
      <w:r w:rsidR="00D94FF9">
        <w:rPr>
          <w:szCs w:val="26"/>
        </w:rPr>
        <w:t xml:space="preserve"> es correcta.</w:t>
      </w:r>
      <w:r w:rsidR="00CC15C0">
        <w:rPr>
          <w:szCs w:val="26"/>
        </w:rPr>
        <w:t xml:space="preserve"> Al respecto señalamos que la ANADP va a solicitar la justificación de estos gastos.</w:t>
      </w:r>
    </w:p>
    <w:p w:rsidR="006B548F" w:rsidRPr="00622FA4" w:rsidRDefault="006B548F" w:rsidP="006532FD">
      <w:pPr>
        <w:pStyle w:val="texto"/>
        <w:numPr>
          <w:ilvl w:val="0"/>
          <w:numId w:val="10"/>
        </w:numPr>
        <w:tabs>
          <w:tab w:val="clear" w:pos="2835"/>
          <w:tab w:val="clear" w:pos="3969"/>
          <w:tab w:val="clear" w:pos="5103"/>
          <w:tab w:val="clear" w:pos="6237"/>
          <w:tab w:val="clear" w:pos="7371"/>
          <w:tab w:val="left" w:pos="567"/>
        </w:tabs>
        <w:ind w:left="0" w:firstLine="284"/>
        <w:rPr>
          <w:szCs w:val="26"/>
        </w:rPr>
      </w:pPr>
      <w:r w:rsidRPr="00622FA4">
        <w:rPr>
          <w:szCs w:val="26"/>
        </w:rPr>
        <w:t>El cuadro siguiente muestra el gasto por asistencia a pacientes y por r</w:t>
      </w:r>
      <w:r w:rsidRPr="00622FA4">
        <w:rPr>
          <w:szCs w:val="26"/>
        </w:rPr>
        <w:t>e</w:t>
      </w:r>
      <w:r w:rsidRPr="00622FA4">
        <w:rPr>
          <w:szCs w:val="26"/>
        </w:rPr>
        <w:t xml:space="preserve">serva de camas en la </w:t>
      </w:r>
      <w:r w:rsidR="00E12CFE" w:rsidRPr="00E12CFE">
        <w:rPr>
          <w:szCs w:val="26"/>
        </w:rPr>
        <w:t xml:space="preserve">Clínica Universidad de Navarra, Hospital </w:t>
      </w:r>
      <w:r w:rsidR="00E12CFE" w:rsidRPr="00622FA4">
        <w:rPr>
          <w:szCs w:val="26"/>
        </w:rPr>
        <w:t xml:space="preserve">San Juan de Dios </w:t>
      </w:r>
      <w:r w:rsidR="00E12CFE">
        <w:rPr>
          <w:szCs w:val="26"/>
        </w:rPr>
        <w:t xml:space="preserve">y </w:t>
      </w:r>
      <w:r w:rsidRPr="00E12CFE">
        <w:rPr>
          <w:szCs w:val="26"/>
        </w:rPr>
        <w:t>Clínica San Miguel,</w:t>
      </w:r>
      <w:r w:rsidRPr="00C46D0D">
        <w:rPr>
          <w:color w:val="FF0000"/>
          <w:szCs w:val="26"/>
        </w:rPr>
        <w:t xml:space="preserve"> </w:t>
      </w:r>
      <w:r w:rsidRPr="00622FA4">
        <w:rPr>
          <w:szCs w:val="26"/>
        </w:rPr>
        <w:t>en el periodo marzo-junio y julio-diciembre de 2020:</w:t>
      </w:r>
    </w:p>
    <w:tbl>
      <w:tblPr>
        <w:tblStyle w:val="Tablaconcuadrcula"/>
        <w:tblW w:w="8789" w:type="dxa"/>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2929"/>
        <w:gridCol w:w="2930"/>
        <w:gridCol w:w="2930"/>
      </w:tblGrid>
      <w:tr w:rsidR="006B548F" w:rsidTr="007B47F2">
        <w:trPr>
          <w:trHeight w:val="235"/>
        </w:trPr>
        <w:tc>
          <w:tcPr>
            <w:tcW w:w="2929" w:type="dxa"/>
            <w:tcBorders>
              <w:bottom w:val="single" w:sz="4" w:space="0" w:color="auto"/>
            </w:tcBorders>
            <w:shd w:val="clear" w:color="auto" w:fill="8DB3E2" w:themeFill="text2" w:themeFillTint="66"/>
          </w:tcPr>
          <w:p w:rsidR="006B548F" w:rsidRDefault="006B548F" w:rsidP="00202BCF">
            <w:pPr>
              <w:pStyle w:val="cuadroCabe"/>
              <w:jc w:val="right"/>
            </w:pPr>
          </w:p>
        </w:tc>
        <w:tc>
          <w:tcPr>
            <w:tcW w:w="2930" w:type="dxa"/>
            <w:tcBorders>
              <w:bottom w:val="single" w:sz="4" w:space="0" w:color="auto"/>
            </w:tcBorders>
            <w:shd w:val="clear" w:color="auto" w:fill="8DB3E2" w:themeFill="text2" w:themeFillTint="66"/>
            <w:vAlign w:val="center"/>
          </w:tcPr>
          <w:p w:rsidR="006B548F" w:rsidRPr="00367D21" w:rsidRDefault="006B548F" w:rsidP="00202BCF">
            <w:pPr>
              <w:pStyle w:val="cuadroCabe"/>
              <w:jc w:val="right"/>
              <w:rPr>
                <w:rFonts w:cs="Arial"/>
                <w:szCs w:val="18"/>
              </w:rPr>
            </w:pPr>
            <w:r w:rsidRPr="00367D21">
              <w:rPr>
                <w:rFonts w:cs="Arial"/>
                <w:szCs w:val="18"/>
              </w:rPr>
              <w:t>Gasto asistencia pacientes</w:t>
            </w:r>
          </w:p>
        </w:tc>
        <w:tc>
          <w:tcPr>
            <w:tcW w:w="2930" w:type="dxa"/>
            <w:tcBorders>
              <w:bottom w:val="single" w:sz="4" w:space="0" w:color="auto"/>
            </w:tcBorders>
            <w:shd w:val="clear" w:color="auto" w:fill="8DB3E2" w:themeFill="text2" w:themeFillTint="66"/>
            <w:vAlign w:val="center"/>
          </w:tcPr>
          <w:p w:rsidR="006B548F" w:rsidRPr="00367D21" w:rsidRDefault="006B548F" w:rsidP="00202BCF">
            <w:pPr>
              <w:pStyle w:val="cuadroCabe"/>
              <w:jc w:val="right"/>
              <w:rPr>
                <w:rFonts w:cs="Arial"/>
                <w:szCs w:val="18"/>
              </w:rPr>
            </w:pPr>
            <w:r w:rsidRPr="00367D21">
              <w:rPr>
                <w:rFonts w:cs="Arial"/>
                <w:szCs w:val="18"/>
              </w:rPr>
              <w:t>Gasto reserva camas</w:t>
            </w:r>
          </w:p>
        </w:tc>
      </w:tr>
      <w:tr w:rsidR="006B548F" w:rsidTr="008A0500">
        <w:trPr>
          <w:trHeight w:val="198"/>
        </w:trPr>
        <w:tc>
          <w:tcPr>
            <w:tcW w:w="2929" w:type="dxa"/>
            <w:tcBorders>
              <w:bottom w:val="single" w:sz="2" w:space="0" w:color="auto"/>
            </w:tcBorders>
            <w:vAlign w:val="center"/>
          </w:tcPr>
          <w:p w:rsidR="006B548F" w:rsidRPr="00367D21" w:rsidRDefault="006B548F" w:rsidP="008A0500">
            <w:pPr>
              <w:pStyle w:val="cuatexto"/>
            </w:pPr>
            <w:r>
              <w:t>Marzo-junio 2020</w:t>
            </w:r>
          </w:p>
        </w:tc>
        <w:tc>
          <w:tcPr>
            <w:tcW w:w="2930" w:type="dxa"/>
            <w:tcBorders>
              <w:bottom w:val="single" w:sz="2" w:space="0" w:color="auto"/>
            </w:tcBorders>
            <w:vAlign w:val="center"/>
          </w:tcPr>
          <w:p w:rsidR="006B548F" w:rsidRPr="00367D21" w:rsidRDefault="006B548F" w:rsidP="008A0500">
            <w:pPr>
              <w:pStyle w:val="cuatexto"/>
              <w:jc w:val="right"/>
              <w:rPr>
                <w:szCs w:val="20"/>
              </w:rPr>
            </w:pPr>
            <w:r>
              <w:rPr>
                <w:szCs w:val="20"/>
              </w:rPr>
              <w:t>2.790.689</w:t>
            </w:r>
          </w:p>
        </w:tc>
        <w:tc>
          <w:tcPr>
            <w:tcW w:w="2930" w:type="dxa"/>
            <w:tcBorders>
              <w:bottom w:val="single" w:sz="2" w:space="0" w:color="auto"/>
            </w:tcBorders>
            <w:vAlign w:val="center"/>
          </w:tcPr>
          <w:p w:rsidR="006B548F" w:rsidRPr="00367D21" w:rsidRDefault="006B548F" w:rsidP="008A0500">
            <w:pPr>
              <w:pStyle w:val="cuatexto"/>
              <w:jc w:val="right"/>
              <w:rPr>
                <w:szCs w:val="20"/>
              </w:rPr>
            </w:pPr>
            <w:r w:rsidRPr="00367D21">
              <w:rPr>
                <w:szCs w:val="20"/>
              </w:rPr>
              <w:t>1.997.878</w:t>
            </w:r>
          </w:p>
        </w:tc>
      </w:tr>
      <w:tr w:rsidR="006B548F" w:rsidTr="005A518C">
        <w:trPr>
          <w:trHeight w:hRule="exact" w:val="198"/>
        </w:trPr>
        <w:tc>
          <w:tcPr>
            <w:tcW w:w="2929" w:type="dxa"/>
            <w:tcBorders>
              <w:top w:val="single" w:sz="2" w:space="0" w:color="auto"/>
              <w:bottom w:val="single" w:sz="4" w:space="0" w:color="auto"/>
            </w:tcBorders>
            <w:vAlign w:val="center"/>
          </w:tcPr>
          <w:p w:rsidR="006B548F" w:rsidRPr="00367D21" w:rsidRDefault="006B548F" w:rsidP="008A0500">
            <w:pPr>
              <w:pStyle w:val="cuatexto"/>
            </w:pPr>
            <w:r>
              <w:t>Julio-diciembre 2020</w:t>
            </w:r>
          </w:p>
        </w:tc>
        <w:tc>
          <w:tcPr>
            <w:tcW w:w="2930" w:type="dxa"/>
            <w:tcBorders>
              <w:top w:val="single" w:sz="2" w:space="0" w:color="auto"/>
              <w:bottom w:val="single" w:sz="4" w:space="0" w:color="auto"/>
            </w:tcBorders>
            <w:vAlign w:val="center"/>
          </w:tcPr>
          <w:p w:rsidR="006B548F" w:rsidRPr="00367D21" w:rsidRDefault="006B548F" w:rsidP="008A0500">
            <w:pPr>
              <w:pStyle w:val="cuatexto"/>
              <w:jc w:val="right"/>
              <w:rPr>
                <w:szCs w:val="20"/>
              </w:rPr>
            </w:pPr>
            <w:r>
              <w:rPr>
                <w:szCs w:val="20"/>
              </w:rPr>
              <w:t>2.820.494</w:t>
            </w:r>
          </w:p>
        </w:tc>
        <w:tc>
          <w:tcPr>
            <w:tcW w:w="2930" w:type="dxa"/>
            <w:tcBorders>
              <w:top w:val="single" w:sz="2" w:space="0" w:color="auto"/>
              <w:bottom w:val="single" w:sz="4" w:space="0" w:color="auto"/>
            </w:tcBorders>
            <w:vAlign w:val="center"/>
          </w:tcPr>
          <w:p w:rsidR="006B548F" w:rsidRPr="00367D21" w:rsidRDefault="006B548F" w:rsidP="008A0500">
            <w:pPr>
              <w:pStyle w:val="cuatexto"/>
              <w:jc w:val="right"/>
              <w:rPr>
                <w:szCs w:val="20"/>
              </w:rPr>
            </w:pPr>
            <w:r>
              <w:rPr>
                <w:szCs w:val="20"/>
              </w:rPr>
              <w:t>255.753</w:t>
            </w:r>
          </w:p>
        </w:tc>
      </w:tr>
      <w:tr w:rsidR="006B548F" w:rsidRPr="00367D21" w:rsidTr="005A518C">
        <w:trPr>
          <w:trHeight w:hRule="exact" w:val="255"/>
        </w:trPr>
        <w:tc>
          <w:tcPr>
            <w:tcW w:w="2929" w:type="dxa"/>
            <w:shd w:val="clear" w:color="auto" w:fill="8DB3E2" w:themeFill="text2" w:themeFillTint="66"/>
            <w:vAlign w:val="center"/>
          </w:tcPr>
          <w:p w:rsidR="006B548F" w:rsidRPr="00367D21" w:rsidRDefault="006B548F" w:rsidP="00202BCF">
            <w:pPr>
              <w:pStyle w:val="cuadroCabe"/>
            </w:pPr>
            <w:r w:rsidRPr="00367D21">
              <w:t>Total marzo-diciembre 2020</w:t>
            </w:r>
          </w:p>
        </w:tc>
        <w:tc>
          <w:tcPr>
            <w:tcW w:w="2930" w:type="dxa"/>
            <w:shd w:val="clear" w:color="auto" w:fill="8DB3E2" w:themeFill="text2" w:themeFillTint="66"/>
            <w:vAlign w:val="center"/>
          </w:tcPr>
          <w:p w:rsidR="006B548F" w:rsidRPr="00367D21" w:rsidRDefault="006B548F" w:rsidP="00202BCF">
            <w:pPr>
              <w:pStyle w:val="cuadroCabe"/>
              <w:jc w:val="right"/>
            </w:pPr>
            <w:r>
              <w:t>5.611.183</w:t>
            </w:r>
          </w:p>
        </w:tc>
        <w:tc>
          <w:tcPr>
            <w:tcW w:w="2930" w:type="dxa"/>
            <w:shd w:val="clear" w:color="auto" w:fill="8DB3E2" w:themeFill="text2" w:themeFillTint="66"/>
            <w:vAlign w:val="center"/>
          </w:tcPr>
          <w:p w:rsidR="006B548F" w:rsidRPr="00367D21" w:rsidRDefault="006B548F" w:rsidP="00202BCF">
            <w:pPr>
              <w:pStyle w:val="cuadroCabe"/>
              <w:jc w:val="right"/>
            </w:pPr>
            <w:r>
              <w:t>2.253.631</w:t>
            </w:r>
          </w:p>
        </w:tc>
      </w:tr>
    </w:tbl>
    <w:p w:rsidR="006B548F" w:rsidRDefault="006B548F" w:rsidP="006B548F">
      <w:pPr>
        <w:pStyle w:val="texto"/>
        <w:tabs>
          <w:tab w:val="clear" w:pos="2835"/>
          <w:tab w:val="clear" w:pos="3969"/>
          <w:tab w:val="clear" w:pos="5103"/>
          <w:tab w:val="clear" w:pos="6237"/>
          <w:tab w:val="clear" w:pos="7371"/>
        </w:tabs>
        <w:spacing w:before="240" w:after="100"/>
        <w:ind w:firstLine="289"/>
        <w:rPr>
          <w:szCs w:val="26"/>
        </w:rPr>
      </w:pPr>
      <w:r>
        <w:rPr>
          <w:szCs w:val="26"/>
        </w:rPr>
        <w:lastRenderedPageBreak/>
        <w:t>El gasto total ascendió a 7,86 millones de los cuales el 71 por ciento corre</w:t>
      </w:r>
      <w:r>
        <w:rPr>
          <w:szCs w:val="26"/>
        </w:rPr>
        <w:t>s</w:t>
      </w:r>
      <w:r>
        <w:rPr>
          <w:szCs w:val="26"/>
        </w:rPr>
        <w:t>pondió a la asistencia a pacientes y el 29 por ciento restante a la reserva de c</w:t>
      </w:r>
      <w:r>
        <w:rPr>
          <w:szCs w:val="26"/>
        </w:rPr>
        <w:t>a</w:t>
      </w:r>
      <w:r>
        <w:rPr>
          <w:szCs w:val="26"/>
        </w:rPr>
        <w:t>mas; la gestión de la contratación de la disponibilidad de camas mejoró signif</w:t>
      </w:r>
      <w:r>
        <w:rPr>
          <w:szCs w:val="26"/>
        </w:rPr>
        <w:t>i</w:t>
      </w:r>
      <w:r>
        <w:rPr>
          <w:szCs w:val="26"/>
        </w:rPr>
        <w:t>cativamente con el paso del tiempo y a la fecha de redacción de este informe se hacen previsiones a corto plazo de las necesidades reales en función de la ev</w:t>
      </w:r>
      <w:r>
        <w:rPr>
          <w:szCs w:val="26"/>
        </w:rPr>
        <w:t>o</w:t>
      </w:r>
      <w:r>
        <w:rPr>
          <w:szCs w:val="26"/>
        </w:rPr>
        <w:t>lución de la pandemia.</w:t>
      </w:r>
    </w:p>
    <w:p w:rsidR="00FB2599" w:rsidRPr="00C46D0D" w:rsidRDefault="00C46D0D" w:rsidP="00366A59">
      <w:pPr>
        <w:pStyle w:val="texto"/>
        <w:tabs>
          <w:tab w:val="clear" w:pos="2835"/>
          <w:tab w:val="clear" w:pos="3969"/>
          <w:tab w:val="clear" w:pos="5103"/>
          <w:tab w:val="clear" w:pos="6237"/>
          <w:tab w:val="clear" w:pos="7371"/>
        </w:tabs>
        <w:spacing w:before="120" w:after="120"/>
        <w:ind w:firstLine="289"/>
        <w:rPr>
          <w:szCs w:val="26"/>
        </w:rPr>
      </w:pPr>
      <w:r w:rsidRPr="00C46D0D">
        <w:rPr>
          <w:szCs w:val="26"/>
        </w:rPr>
        <w:t>De este gasto el 60 por ciento se destinó a la Clínica Universidad de Navarra (4,7 millones, el 29 por ciento al Hospital San Juan de Dios (2,3 millones) y el 11 por ciento a la Clínica San Miguel (0,8 millones).</w:t>
      </w:r>
    </w:p>
    <w:p w:rsidR="006B548F" w:rsidRPr="00BB3B9E" w:rsidRDefault="006B548F" w:rsidP="00BB3B9E">
      <w:pPr>
        <w:pStyle w:val="texto"/>
        <w:numPr>
          <w:ilvl w:val="0"/>
          <w:numId w:val="10"/>
        </w:numPr>
        <w:tabs>
          <w:tab w:val="clear" w:pos="2835"/>
          <w:tab w:val="clear" w:pos="3969"/>
          <w:tab w:val="clear" w:pos="5103"/>
          <w:tab w:val="clear" w:pos="6237"/>
          <w:tab w:val="clear" w:pos="7371"/>
          <w:tab w:val="left" w:pos="567"/>
        </w:tabs>
        <w:ind w:left="0" w:firstLine="284"/>
        <w:rPr>
          <w:szCs w:val="26"/>
        </w:rPr>
      </w:pPr>
      <w:r>
        <w:rPr>
          <w:szCs w:val="26"/>
        </w:rPr>
        <w:t>El suministro de mascarillas</w:t>
      </w:r>
      <w:r w:rsidR="00BB3B9E">
        <w:rPr>
          <w:szCs w:val="26"/>
        </w:rPr>
        <w:t xml:space="preserve"> FPP2</w:t>
      </w:r>
      <w:r>
        <w:rPr>
          <w:szCs w:val="26"/>
        </w:rPr>
        <w:t xml:space="preserve"> se realizó con un suministrador por el procedimiento de emergencia a través de un convenio de colaboración entre el SNS-O y el Departamento de Economía y Hacienda</w:t>
      </w:r>
      <w:r w:rsidR="00BB3B9E">
        <w:rPr>
          <w:szCs w:val="26"/>
        </w:rPr>
        <w:t xml:space="preserve">; en el convenio </w:t>
      </w:r>
      <w:r>
        <w:rPr>
          <w:szCs w:val="26"/>
        </w:rPr>
        <w:t>se indicaba que el SNS-O era el encargado de la gestión del procedimiento de contratación a excepción de la formalización del contrato</w:t>
      </w:r>
      <w:r w:rsidR="00845FF6">
        <w:rPr>
          <w:szCs w:val="26"/>
        </w:rPr>
        <w:t>,</w:t>
      </w:r>
      <w:r>
        <w:rPr>
          <w:szCs w:val="26"/>
        </w:rPr>
        <w:t xml:space="preserve"> que era individualizada para cada entidad. En concreto, el suministro se realizó al SNS-O y al Departamento de Economía y Hacienda (el cual se obligaba según el convenio a aceptar a la e</w:t>
      </w:r>
      <w:r>
        <w:rPr>
          <w:szCs w:val="26"/>
        </w:rPr>
        <w:t>m</w:t>
      </w:r>
      <w:r>
        <w:rPr>
          <w:szCs w:val="26"/>
        </w:rPr>
        <w:t xml:space="preserve">presa adjudicataria que resultara de las actuaciones del SNS-O) que centralizó la compra para el resto de departamentos. </w:t>
      </w:r>
      <w:r w:rsidRPr="00BB3B9E">
        <w:rPr>
          <w:szCs w:val="26"/>
        </w:rPr>
        <w:t>No consta la formalización del co</w:t>
      </w:r>
      <w:r w:rsidRPr="00BB3B9E">
        <w:rPr>
          <w:szCs w:val="26"/>
        </w:rPr>
        <w:t>n</w:t>
      </w:r>
      <w:r w:rsidRPr="00BB3B9E">
        <w:rPr>
          <w:szCs w:val="26"/>
        </w:rPr>
        <w:t>trato con el proveedor y el Departamento de Economía y Hacienda.</w:t>
      </w:r>
    </w:p>
    <w:p w:rsidR="006B548F" w:rsidRDefault="00BB3B9E" w:rsidP="006B548F">
      <w:pPr>
        <w:pStyle w:val="texto"/>
        <w:tabs>
          <w:tab w:val="clear" w:pos="2835"/>
          <w:tab w:val="clear" w:pos="3969"/>
          <w:tab w:val="clear" w:pos="5103"/>
          <w:tab w:val="clear" w:pos="6237"/>
          <w:tab w:val="clear" w:pos="7371"/>
        </w:tabs>
        <w:spacing w:after="100"/>
        <w:ind w:firstLine="289"/>
        <w:rPr>
          <w:szCs w:val="26"/>
        </w:rPr>
      </w:pPr>
      <w:r>
        <w:rPr>
          <w:szCs w:val="26"/>
        </w:rPr>
        <w:t>Por otro lado, l</w:t>
      </w:r>
      <w:r w:rsidR="007B47F2">
        <w:rPr>
          <w:szCs w:val="26"/>
        </w:rPr>
        <w:t>a intervención delegada del SNS-O</w:t>
      </w:r>
      <w:r w:rsidR="006B548F">
        <w:rPr>
          <w:szCs w:val="26"/>
        </w:rPr>
        <w:t xml:space="preserve"> formuló un reparo su</w:t>
      </w:r>
      <w:r w:rsidR="006B548F">
        <w:rPr>
          <w:szCs w:val="26"/>
        </w:rPr>
        <w:t>s</w:t>
      </w:r>
      <w:r w:rsidR="006B548F">
        <w:rPr>
          <w:szCs w:val="26"/>
        </w:rPr>
        <w:t>pensivo sobre el abono de las facturas correspondientes a este suministro, al cual el SNS-O formuló discrepancia. A la fecha de redacción de este informe, la Dirección General de Intervención y Contabilidad es conocedora de esta di</w:t>
      </w:r>
      <w:r w:rsidR="006B548F">
        <w:rPr>
          <w:szCs w:val="26"/>
        </w:rPr>
        <w:t>s</w:t>
      </w:r>
      <w:r w:rsidR="006B548F">
        <w:rPr>
          <w:szCs w:val="26"/>
        </w:rPr>
        <w:t xml:space="preserve">crepancia y debe resolverla. </w:t>
      </w:r>
    </w:p>
    <w:p w:rsidR="006B548F" w:rsidRDefault="006B548F" w:rsidP="00560890">
      <w:pPr>
        <w:pStyle w:val="texto"/>
        <w:numPr>
          <w:ilvl w:val="0"/>
          <w:numId w:val="10"/>
        </w:numPr>
        <w:tabs>
          <w:tab w:val="clear" w:pos="2835"/>
          <w:tab w:val="clear" w:pos="3969"/>
          <w:tab w:val="clear" w:pos="5103"/>
          <w:tab w:val="clear" w:pos="6237"/>
          <w:tab w:val="clear" w:pos="7371"/>
          <w:tab w:val="left" w:pos="567"/>
        </w:tabs>
        <w:spacing w:after="240"/>
        <w:ind w:left="0" w:firstLine="284"/>
      </w:pPr>
      <w:r>
        <w:t xml:space="preserve">Según la </w:t>
      </w:r>
      <w:r w:rsidRPr="006532FD">
        <w:rPr>
          <w:szCs w:val="26"/>
        </w:rPr>
        <w:t>información</w:t>
      </w:r>
      <w:r>
        <w:t xml:space="preserve"> proporcionada por la ACFN referida al periodo marzo-octubre de 2020, el gasto derivado de las indemnizaciones por suspe</w:t>
      </w:r>
      <w:r>
        <w:t>n</w:t>
      </w:r>
      <w:r>
        <w:t>sión de contratos ascendió a 762.820 euros según el siguiente detalle:</w:t>
      </w:r>
    </w:p>
    <w:tbl>
      <w:tblPr>
        <w:tblW w:w="0" w:type="auto"/>
        <w:tblInd w:w="-30"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1774"/>
        <w:gridCol w:w="5627"/>
        <w:gridCol w:w="1418"/>
      </w:tblGrid>
      <w:tr w:rsidR="006B548F" w:rsidTr="005A518C">
        <w:trPr>
          <w:trHeight w:val="255"/>
        </w:trPr>
        <w:tc>
          <w:tcPr>
            <w:tcW w:w="1774" w:type="dxa"/>
            <w:shd w:val="clear" w:color="auto" w:fill="8DB3E2" w:themeFill="text2" w:themeFillTint="66"/>
            <w:vAlign w:val="center"/>
          </w:tcPr>
          <w:p w:rsidR="006B548F" w:rsidRDefault="006B548F" w:rsidP="00202BCF">
            <w:pPr>
              <w:pStyle w:val="cuadroCabe"/>
              <w:rPr>
                <w:lang w:val="es-ES" w:eastAsia="es-ES"/>
              </w:rPr>
            </w:pPr>
            <w:r>
              <w:rPr>
                <w:lang w:val="es-ES" w:eastAsia="es-ES"/>
              </w:rPr>
              <w:t>Departamento</w:t>
            </w:r>
          </w:p>
        </w:tc>
        <w:tc>
          <w:tcPr>
            <w:tcW w:w="5627" w:type="dxa"/>
            <w:shd w:val="clear" w:color="auto" w:fill="8DB3E2" w:themeFill="text2" w:themeFillTint="66"/>
            <w:vAlign w:val="center"/>
          </w:tcPr>
          <w:p w:rsidR="006B548F" w:rsidRDefault="006B548F" w:rsidP="00202BCF">
            <w:pPr>
              <w:pStyle w:val="cuadroCabe"/>
              <w:rPr>
                <w:lang w:val="es-ES" w:eastAsia="es-ES"/>
              </w:rPr>
            </w:pPr>
            <w:r>
              <w:rPr>
                <w:lang w:val="es-ES" w:eastAsia="es-ES"/>
              </w:rPr>
              <w:t>Contrato suspendido</w:t>
            </w:r>
          </w:p>
        </w:tc>
        <w:tc>
          <w:tcPr>
            <w:tcW w:w="1418" w:type="dxa"/>
            <w:shd w:val="clear" w:color="auto" w:fill="8DB3E2" w:themeFill="text2" w:themeFillTint="66"/>
            <w:vAlign w:val="center"/>
          </w:tcPr>
          <w:p w:rsidR="006B548F" w:rsidRDefault="006B548F" w:rsidP="00202BCF">
            <w:pPr>
              <w:pStyle w:val="cuadroCabe"/>
              <w:jc w:val="right"/>
              <w:rPr>
                <w:lang w:val="es-ES" w:eastAsia="es-ES"/>
              </w:rPr>
            </w:pPr>
            <w:r>
              <w:rPr>
                <w:lang w:val="es-ES" w:eastAsia="es-ES"/>
              </w:rPr>
              <w:t>Importe</w:t>
            </w:r>
          </w:p>
        </w:tc>
      </w:tr>
      <w:tr w:rsidR="006B548F" w:rsidTr="00202BCF">
        <w:trPr>
          <w:trHeight w:val="509"/>
        </w:trPr>
        <w:tc>
          <w:tcPr>
            <w:tcW w:w="1774" w:type="dxa"/>
            <w:vMerge w:val="restart"/>
            <w:vAlign w:val="center"/>
          </w:tcPr>
          <w:p w:rsidR="006B548F" w:rsidRDefault="006B548F" w:rsidP="003810F9">
            <w:pPr>
              <w:autoSpaceDE w:val="0"/>
              <w:autoSpaceDN w:val="0"/>
              <w:adjustRightInd w:val="0"/>
              <w:spacing w:after="0"/>
              <w:ind w:firstLine="0"/>
              <w:jc w:val="left"/>
              <w:rPr>
                <w:rFonts w:ascii="Arial Narrow" w:hAnsi="Arial Narrow" w:cs="Arial Narrow"/>
                <w:color w:val="000000"/>
                <w:lang w:val="es-ES" w:eastAsia="es-ES"/>
              </w:rPr>
            </w:pPr>
            <w:r>
              <w:rPr>
                <w:rFonts w:ascii="Arial Narrow" w:hAnsi="Arial Narrow" w:cs="Arial Narrow"/>
                <w:color w:val="000000"/>
                <w:lang w:val="es-ES" w:eastAsia="es-ES"/>
              </w:rPr>
              <w:t>Economía y Hacienda</w:t>
            </w:r>
          </w:p>
        </w:tc>
        <w:tc>
          <w:tcPr>
            <w:tcW w:w="5627" w:type="dxa"/>
            <w:tcBorders>
              <w:bottom w:val="single" w:sz="2" w:space="0" w:color="auto"/>
            </w:tcBorders>
            <w:vAlign w:val="center"/>
          </w:tcPr>
          <w:p w:rsidR="006B548F" w:rsidRDefault="006B548F" w:rsidP="003810F9">
            <w:pPr>
              <w:autoSpaceDE w:val="0"/>
              <w:autoSpaceDN w:val="0"/>
              <w:adjustRightInd w:val="0"/>
              <w:spacing w:after="0"/>
              <w:ind w:firstLine="0"/>
              <w:jc w:val="left"/>
              <w:rPr>
                <w:rFonts w:ascii="Arial Narrow" w:hAnsi="Arial Narrow" w:cs="Arial Narrow"/>
                <w:color w:val="000000"/>
                <w:lang w:val="es-ES" w:eastAsia="es-ES"/>
              </w:rPr>
            </w:pPr>
            <w:r>
              <w:rPr>
                <w:rFonts w:ascii="Arial Narrow" w:hAnsi="Arial Narrow" w:cs="Arial Narrow"/>
                <w:color w:val="000000"/>
                <w:lang w:val="es-ES" w:eastAsia="es-ES"/>
              </w:rPr>
              <w:t>Servicio de limpieza de los locales de uso administrativo del Gobierno de Navarra y Organismos autónomos adscritos</w:t>
            </w:r>
          </w:p>
        </w:tc>
        <w:tc>
          <w:tcPr>
            <w:tcW w:w="1418" w:type="dxa"/>
            <w:tcBorders>
              <w:bottom w:val="single" w:sz="2" w:space="0" w:color="auto"/>
            </w:tcBorders>
            <w:vAlign w:val="center"/>
          </w:tcPr>
          <w:p w:rsidR="006B548F" w:rsidRDefault="006B548F" w:rsidP="00202BCF">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23.636</w:t>
            </w:r>
          </w:p>
        </w:tc>
      </w:tr>
      <w:tr w:rsidR="006B548F" w:rsidTr="00202BCF">
        <w:trPr>
          <w:trHeight w:val="276"/>
        </w:trPr>
        <w:tc>
          <w:tcPr>
            <w:tcW w:w="1774" w:type="dxa"/>
            <w:vMerge/>
            <w:tcBorders>
              <w:bottom w:val="single" w:sz="2" w:space="0" w:color="auto"/>
            </w:tcBorders>
            <w:vAlign w:val="center"/>
          </w:tcPr>
          <w:p w:rsidR="006B548F" w:rsidRDefault="006B548F" w:rsidP="003810F9">
            <w:pPr>
              <w:autoSpaceDE w:val="0"/>
              <w:autoSpaceDN w:val="0"/>
              <w:adjustRightInd w:val="0"/>
              <w:spacing w:after="0"/>
              <w:ind w:firstLine="0"/>
              <w:jc w:val="left"/>
              <w:rPr>
                <w:rFonts w:ascii="Arial Narrow" w:hAnsi="Arial Narrow" w:cs="Arial Narrow"/>
                <w:color w:val="000000"/>
                <w:lang w:val="es-ES" w:eastAsia="es-ES"/>
              </w:rPr>
            </w:pPr>
          </w:p>
        </w:tc>
        <w:tc>
          <w:tcPr>
            <w:tcW w:w="5627" w:type="dxa"/>
            <w:tcBorders>
              <w:top w:val="single" w:sz="2" w:space="0" w:color="auto"/>
              <w:bottom w:val="single" w:sz="2" w:space="0" w:color="auto"/>
            </w:tcBorders>
            <w:vAlign w:val="center"/>
          </w:tcPr>
          <w:p w:rsidR="006B548F" w:rsidRDefault="006B548F" w:rsidP="003810F9">
            <w:pPr>
              <w:autoSpaceDE w:val="0"/>
              <w:autoSpaceDN w:val="0"/>
              <w:adjustRightInd w:val="0"/>
              <w:spacing w:after="0"/>
              <w:ind w:firstLine="0"/>
              <w:jc w:val="left"/>
              <w:rPr>
                <w:rFonts w:ascii="Arial Narrow" w:hAnsi="Arial Narrow" w:cs="Arial Narrow"/>
                <w:color w:val="000000"/>
                <w:lang w:val="es-ES" w:eastAsia="es-ES"/>
              </w:rPr>
            </w:pPr>
            <w:r>
              <w:rPr>
                <w:rFonts w:ascii="Arial Narrow" w:hAnsi="Arial Narrow" w:cs="Arial Narrow"/>
                <w:color w:val="000000"/>
                <w:lang w:val="es-ES" w:eastAsia="es-ES"/>
              </w:rPr>
              <w:t>Impresión y ensobrado de declaraciones del IRPF</w:t>
            </w:r>
          </w:p>
        </w:tc>
        <w:tc>
          <w:tcPr>
            <w:tcW w:w="1418" w:type="dxa"/>
            <w:tcBorders>
              <w:top w:val="single" w:sz="2" w:space="0" w:color="auto"/>
              <w:bottom w:val="single" w:sz="2" w:space="0" w:color="auto"/>
            </w:tcBorders>
            <w:vAlign w:val="center"/>
          </w:tcPr>
          <w:p w:rsidR="006B548F" w:rsidRDefault="006B548F" w:rsidP="00202BCF">
            <w:pPr>
              <w:autoSpaceDE w:val="0"/>
              <w:autoSpaceDN w:val="0"/>
              <w:adjustRightInd w:val="0"/>
              <w:spacing w:after="0"/>
              <w:ind w:firstLine="0"/>
              <w:jc w:val="right"/>
              <w:rPr>
                <w:rFonts w:ascii="Arial Narrow" w:hAnsi="Arial Narrow" w:cs="Arial Narrow"/>
                <w:color w:val="000000"/>
                <w:lang w:val="es-ES" w:eastAsia="es-ES"/>
              </w:rPr>
            </w:pPr>
            <w:r w:rsidRPr="00CA2BF6">
              <w:rPr>
                <w:rFonts w:ascii="Arial Narrow" w:hAnsi="Arial Narrow" w:cs="Arial Narrow"/>
                <w:lang w:val="es-ES" w:eastAsia="es-ES"/>
              </w:rPr>
              <w:t>Pendiente</w:t>
            </w:r>
            <w:r>
              <w:rPr>
                <w:rFonts w:ascii="Arial Narrow" w:hAnsi="Arial Narrow" w:cs="Arial Narrow"/>
                <w:lang w:val="es-ES" w:eastAsia="es-ES"/>
              </w:rPr>
              <w:t xml:space="preserve"> de fijar</w:t>
            </w:r>
          </w:p>
        </w:tc>
      </w:tr>
      <w:tr w:rsidR="006B548F" w:rsidTr="00202BCF">
        <w:trPr>
          <w:trHeight w:val="290"/>
        </w:trPr>
        <w:tc>
          <w:tcPr>
            <w:tcW w:w="1774" w:type="dxa"/>
            <w:vMerge w:val="restart"/>
            <w:tcBorders>
              <w:top w:val="single" w:sz="2" w:space="0" w:color="auto"/>
              <w:bottom w:val="single" w:sz="2" w:space="0" w:color="auto"/>
            </w:tcBorders>
            <w:vAlign w:val="center"/>
          </w:tcPr>
          <w:p w:rsidR="006B548F" w:rsidRDefault="006B548F" w:rsidP="003810F9">
            <w:pPr>
              <w:autoSpaceDE w:val="0"/>
              <w:autoSpaceDN w:val="0"/>
              <w:adjustRightInd w:val="0"/>
              <w:spacing w:after="0"/>
              <w:ind w:firstLine="0"/>
              <w:jc w:val="left"/>
              <w:rPr>
                <w:rFonts w:ascii="Arial Narrow" w:hAnsi="Arial Narrow" w:cs="Arial Narrow"/>
                <w:color w:val="000000"/>
                <w:lang w:val="es-ES" w:eastAsia="es-ES"/>
              </w:rPr>
            </w:pPr>
            <w:r>
              <w:rPr>
                <w:rFonts w:ascii="Arial Narrow" w:hAnsi="Arial Narrow" w:cs="Arial Narrow"/>
                <w:color w:val="000000"/>
                <w:lang w:val="es-ES" w:eastAsia="es-ES"/>
              </w:rPr>
              <w:t>Educación</w:t>
            </w:r>
          </w:p>
        </w:tc>
        <w:tc>
          <w:tcPr>
            <w:tcW w:w="5627" w:type="dxa"/>
            <w:tcBorders>
              <w:top w:val="single" w:sz="2" w:space="0" w:color="auto"/>
              <w:bottom w:val="single" w:sz="2" w:space="0" w:color="auto"/>
            </w:tcBorders>
            <w:vAlign w:val="center"/>
          </w:tcPr>
          <w:p w:rsidR="006B548F" w:rsidRDefault="006B548F" w:rsidP="003810F9">
            <w:pPr>
              <w:autoSpaceDE w:val="0"/>
              <w:autoSpaceDN w:val="0"/>
              <w:adjustRightInd w:val="0"/>
              <w:spacing w:after="0"/>
              <w:ind w:firstLine="0"/>
              <w:jc w:val="left"/>
              <w:rPr>
                <w:rFonts w:ascii="Arial Narrow" w:hAnsi="Arial Narrow" w:cs="Arial Narrow"/>
                <w:color w:val="000000"/>
                <w:lang w:val="es-ES" w:eastAsia="es-ES"/>
              </w:rPr>
            </w:pPr>
            <w:r>
              <w:rPr>
                <w:rFonts w:ascii="Arial Narrow" w:hAnsi="Arial Narrow" w:cs="Arial Narrow"/>
                <w:color w:val="000000"/>
                <w:lang w:val="es-ES" w:eastAsia="es-ES"/>
              </w:rPr>
              <w:t>Diferentes programas educativos</w:t>
            </w:r>
          </w:p>
        </w:tc>
        <w:tc>
          <w:tcPr>
            <w:tcW w:w="1418" w:type="dxa"/>
            <w:tcBorders>
              <w:top w:val="single" w:sz="2" w:space="0" w:color="auto"/>
              <w:bottom w:val="single" w:sz="2" w:space="0" w:color="auto"/>
            </w:tcBorders>
            <w:vAlign w:val="center"/>
          </w:tcPr>
          <w:p w:rsidR="006B548F" w:rsidRDefault="006B548F" w:rsidP="00202BCF">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30.184</w:t>
            </w:r>
          </w:p>
        </w:tc>
      </w:tr>
      <w:tr w:rsidR="006B548F" w:rsidTr="00202BCF">
        <w:trPr>
          <w:trHeight w:val="471"/>
        </w:trPr>
        <w:tc>
          <w:tcPr>
            <w:tcW w:w="1774" w:type="dxa"/>
            <w:vMerge/>
            <w:tcBorders>
              <w:bottom w:val="single" w:sz="2" w:space="0" w:color="auto"/>
            </w:tcBorders>
            <w:vAlign w:val="center"/>
          </w:tcPr>
          <w:p w:rsidR="006B548F" w:rsidRDefault="006B548F" w:rsidP="003810F9">
            <w:pPr>
              <w:autoSpaceDE w:val="0"/>
              <w:autoSpaceDN w:val="0"/>
              <w:adjustRightInd w:val="0"/>
              <w:spacing w:after="0"/>
              <w:ind w:firstLine="0"/>
              <w:jc w:val="left"/>
              <w:rPr>
                <w:rFonts w:ascii="Arial Narrow" w:hAnsi="Arial Narrow" w:cs="Arial Narrow"/>
                <w:color w:val="000000"/>
                <w:lang w:val="es-ES" w:eastAsia="es-ES"/>
              </w:rPr>
            </w:pPr>
          </w:p>
        </w:tc>
        <w:tc>
          <w:tcPr>
            <w:tcW w:w="5627" w:type="dxa"/>
            <w:tcBorders>
              <w:top w:val="single" w:sz="2" w:space="0" w:color="auto"/>
              <w:bottom w:val="single" w:sz="2" w:space="0" w:color="auto"/>
            </w:tcBorders>
            <w:vAlign w:val="center"/>
          </w:tcPr>
          <w:p w:rsidR="006B548F" w:rsidRDefault="006B548F" w:rsidP="003810F9">
            <w:pPr>
              <w:autoSpaceDE w:val="0"/>
              <w:autoSpaceDN w:val="0"/>
              <w:adjustRightInd w:val="0"/>
              <w:spacing w:after="0"/>
              <w:ind w:firstLine="0"/>
              <w:jc w:val="left"/>
              <w:rPr>
                <w:rFonts w:ascii="Arial Narrow" w:hAnsi="Arial Narrow" w:cs="Arial Narrow"/>
                <w:color w:val="000000"/>
                <w:lang w:val="es-ES" w:eastAsia="es-ES"/>
              </w:rPr>
            </w:pPr>
            <w:r>
              <w:rPr>
                <w:rFonts w:ascii="Arial Narrow" w:hAnsi="Arial Narrow" w:cs="Arial Narrow"/>
                <w:color w:val="000000"/>
                <w:lang w:val="es-ES" w:eastAsia="es-ES"/>
              </w:rPr>
              <w:t xml:space="preserve">Servicio de comedores escolares comarcales de los centros públicos para el Curso 2019/2020 </w:t>
            </w:r>
          </w:p>
        </w:tc>
        <w:tc>
          <w:tcPr>
            <w:tcW w:w="1418" w:type="dxa"/>
            <w:tcBorders>
              <w:top w:val="single" w:sz="2" w:space="0" w:color="auto"/>
              <w:bottom w:val="single" w:sz="2" w:space="0" w:color="auto"/>
            </w:tcBorders>
            <w:vAlign w:val="center"/>
          </w:tcPr>
          <w:p w:rsidR="006B548F" w:rsidRDefault="006B548F" w:rsidP="00202BCF">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440.980</w:t>
            </w:r>
          </w:p>
        </w:tc>
      </w:tr>
      <w:tr w:rsidR="006B548F" w:rsidTr="00202BCF">
        <w:trPr>
          <w:trHeight w:val="492"/>
        </w:trPr>
        <w:tc>
          <w:tcPr>
            <w:tcW w:w="1774" w:type="dxa"/>
            <w:vMerge/>
            <w:tcBorders>
              <w:bottom w:val="single" w:sz="2" w:space="0" w:color="auto"/>
            </w:tcBorders>
            <w:vAlign w:val="center"/>
          </w:tcPr>
          <w:p w:rsidR="006B548F" w:rsidRDefault="006B548F" w:rsidP="003810F9">
            <w:pPr>
              <w:autoSpaceDE w:val="0"/>
              <w:autoSpaceDN w:val="0"/>
              <w:adjustRightInd w:val="0"/>
              <w:spacing w:after="0"/>
              <w:ind w:firstLine="0"/>
              <w:jc w:val="left"/>
              <w:rPr>
                <w:rFonts w:ascii="Arial Narrow" w:hAnsi="Arial Narrow" w:cs="Arial Narrow"/>
                <w:color w:val="000000"/>
                <w:lang w:val="es-ES" w:eastAsia="es-ES"/>
              </w:rPr>
            </w:pPr>
          </w:p>
        </w:tc>
        <w:tc>
          <w:tcPr>
            <w:tcW w:w="5627" w:type="dxa"/>
            <w:tcBorders>
              <w:top w:val="single" w:sz="2" w:space="0" w:color="auto"/>
              <w:bottom w:val="single" w:sz="2" w:space="0" w:color="auto"/>
            </w:tcBorders>
            <w:vAlign w:val="center"/>
          </w:tcPr>
          <w:p w:rsidR="006B548F" w:rsidRDefault="006B548F" w:rsidP="003810F9">
            <w:pPr>
              <w:autoSpaceDE w:val="0"/>
              <w:autoSpaceDN w:val="0"/>
              <w:adjustRightInd w:val="0"/>
              <w:spacing w:after="0"/>
              <w:ind w:firstLine="0"/>
              <w:jc w:val="left"/>
              <w:rPr>
                <w:rFonts w:ascii="Arial Narrow" w:hAnsi="Arial Narrow" w:cs="Arial Narrow"/>
                <w:color w:val="000000"/>
                <w:lang w:val="es-ES" w:eastAsia="es-ES"/>
              </w:rPr>
            </w:pPr>
            <w:r>
              <w:rPr>
                <w:rFonts w:ascii="Arial Narrow" w:hAnsi="Arial Narrow" w:cs="Arial Narrow"/>
                <w:color w:val="000000"/>
                <w:lang w:val="es-ES" w:eastAsia="es-ES"/>
              </w:rPr>
              <w:t>Servicio de transporte escolar de los centros públicos para el curso 2019/2020.</w:t>
            </w:r>
          </w:p>
        </w:tc>
        <w:tc>
          <w:tcPr>
            <w:tcW w:w="1418" w:type="dxa"/>
            <w:tcBorders>
              <w:top w:val="single" w:sz="2" w:space="0" w:color="auto"/>
              <w:bottom w:val="single" w:sz="2" w:space="0" w:color="auto"/>
            </w:tcBorders>
            <w:vAlign w:val="center"/>
          </w:tcPr>
          <w:p w:rsidR="006B548F" w:rsidRDefault="006B548F" w:rsidP="00202BCF">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45.983</w:t>
            </w:r>
          </w:p>
        </w:tc>
      </w:tr>
      <w:tr w:rsidR="006B548F" w:rsidTr="00202BCF">
        <w:trPr>
          <w:trHeight w:val="290"/>
        </w:trPr>
        <w:tc>
          <w:tcPr>
            <w:tcW w:w="1774" w:type="dxa"/>
            <w:tcBorders>
              <w:top w:val="single" w:sz="2" w:space="0" w:color="auto"/>
              <w:bottom w:val="single" w:sz="2" w:space="0" w:color="auto"/>
            </w:tcBorders>
            <w:vAlign w:val="center"/>
          </w:tcPr>
          <w:p w:rsidR="006B548F" w:rsidRDefault="006B548F" w:rsidP="003810F9">
            <w:pPr>
              <w:autoSpaceDE w:val="0"/>
              <w:autoSpaceDN w:val="0"/>
              <w:adjustRightInd w:val="0"/>
              <w:spacing w:after="0"/>
              <w:ind w:firstLine="0"/>
              <w:jc w:val="left"/>
              <w:rPr>
                <w:rFonts w:ascii="Arial Narrow" w:hAnsi="Arial Narrow" w:cs="Arial Narrow"/>
                <w:color w:val="000000"/>
                <w:lang w:val="es-ES" w:eastAsia="es-ES"/>
              </w:rPr>
            </w:pPr>
            <w:r>
              <w:rPr>
                <w:rFonts w:ascii="Arial Narrow" w:hAnsi="Arial Narrow" w:cs="Arial Narrow"/>
                <w:color w:val="000000"/>
                <w:lang w:val="es-ES" w:eastAsia="es-ES"/>
              </w:rPr>
              <w:t>Derechos Sociales</w:t>
            </w:r>
          </w:p>
        </w:tc>
        <w:tc>
          <w:tcPr>
            <w:tcW w:w="5627" w:type="dxa"/>
            <w:tcBorders>
              <w:top w:val="single" w:sz="2" w:space="0" w:color="auto"/>
              <w:bottom w:val="single" w:sz="2" w:space="0" w:color="auto"/>
            </w:tcBorders>
            <w:vAlign w:val="center"/>
          </w:tcPr>
          <w:p w:rsidR="006B548F" w:rsidRDefault="006B548F" w:rsidP="003810F9">
            <w:pPr>
              <w:autoSpaceDE w:val="0"/>
              <w:autoSpaceDN w:val="0"/>
              <w:adjustRightInd w:val="0"/>
              <w:spacing w:after="0"/>
              <w:ind w:firstLine="0"/>
              <w:jc w:val="left"/>
              <w:rPr>
                <w:rFonts w:ascii="Arial Narrow" w:hAnsi="Arial Narrow" w:cs="Arial Narrow"/>
                <w:color w:val="000000"/>
                <w:lang w:val="es-ES" w:eastAsia="es-ES"/>
              </w:rPr>
            </w:pPr>
            <w:r>
              <w:rPr>
                <w:rFonts w:ascii="Arial Narrow" w:hAnsi="Arial Narrow" w:cs="Arial Narrow"/>
                <w:color w:val="000000"/>
                <w:lang w:val="es-ES" w:eastAsia="es-ES"/>
              </w:rPr>
              <w:t xml:space="preserve">Gestión de Centros de Día </w:t>
            </w:r>
          </w:p>
        </w:tc>
        <w:tc>
          <w:tcPr>
            <w:tcW w:w="1418" w:type="dxa"/>
            <w:tcBorders>
              <w:top w:val="single" w:sz="2" w:space="0" w:color="auto"/>
              <w:bottom w:val="single" w:sz="2" w:space="0" w:color="auto"/>
            </w:tcBorders>
            <w:vAlign w:val="center"/>
          </w:tcPr>
          <w:p w:rsidR="006B548F" w:rsidRDefault="006B548F" w:rsidP="00202BCF">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202.455</w:t>
            </w:r>
          </w:p>
        </w:tc>
      </w:tr>
      <w:tr w:rsidR="006B548F" w:rsidTr="00202BCF">
        <w:trPr>
          <w:trHeight w:val="177"/>
        </w:trPr>
        <w:tc>
          <w:tcPr>
            <w:tcW w:w="1774" w:type="dxa"/>
            <w:vMerge w:val="restart"/>
            <w:tcBorders>
              <w:top w:val="single" w:sz="2" w:space="0" w:color="auto"/>
            </w:tcBorders>
            <w:vAlign w:val="center"/>
          </w:tcPr>
          <w:p w:rsidR="006B548F" w:rsidRDefault="006B548F" w:rsidP="003810F9">
            <w:pPr>
              <w:autoSpaceDE w:val="0"/>
              <w:autoSpaceDN w:val="0"/>
              <w:adjustRightInd w:val="0"/>
              <w:spacing w:after="0"/>
              <w:ind w:firstLine="0"/>
              <w:jc w:val="left"/>
              <w:rPr>
                <w:rFonts w:ascii="Arial Narrow" w:hAnsi="Arial Narrow" w:cs="Arial Narrow"/>
                <w:color w:val="000000"/>
                <w:lang w:val="es-ES" w:eastAsia="es-ES"/>
              </w:rPr>
            </w:pPr>
            <w:r>
              <w:rPr>
                <w:rFonts w:ascii="Arial Narrow" w:hAnsi="Arial Narrow" w:cs="Arial Narrow"/>
                <w:color w:val="000000"/>
                <w:lang w:val="es-ES" w:eastAsia="es-ES"/>
              </w:rPr>
              <w:t>Cultura y Deporte</w:t>
            </w:r>
          </w:p>
        </w:tc>
        <w:tc>
          <w:tcPr>
            <w:tcW w:w="5627" w:type="dxa"/>
            <w:tcBorders>
              <w:top w:val="single" w:sz="2" w:space="0" w:color="auto"/>
              <w:bottom w:val="single" w:sz="2" w:space="0" w:color="auto"/>
            </w:tcBorders>
            <w:vAlign w:val="center"/>
          </w:tcPr>
          <w:p w:rsidR="006B548F" w:rsidRDefault="006B548F" w:rsidP="003810F9">
            <w:pPr>
              <w:autoSpaceDE w:val="0"/>
              <w:autoSpaceDN w:val="0"/>
              <w:adjustRightInd w:val="0"/>
              <w:spacing w:after="0"/>
              <w:ind w:firstLine="0"/>
              <w:jc w:val="left"/>
              <w:rPr>
                <w:rFonts w:ascii="Arial Narrow" w:hAnsi="Arial Narrow" w:cs="Arial Narrow"/>
                <w:color w:val="000000"/>
                <w:lang w:val="es-ES" w:eastAsia="es-ES"/>
              </w:rPr>
            </w:pPr>
            <w:r>
              <w:rPr>
                <w:rFonts w:ascii="Arial Narrow" w:hAnsi="Arial Narrow" w:cs="Arial Narrow"/>
                <w:color w:val="000000"/>
                <w:lang w:val="es-ES" w:eastAsia="es-ES"/>
              </w:rPr>
              <w:t>Conducción y mantenimiento básico de la Casa del Deporte-</w:t>
            </w:r>
            <w:proofErr w:type="spellStart"/>
            <w:r>
              <w:rPr>
                <w:rFonts w:ascii="Arial Narrow" w:hAnsi="Arial Narrow" w:cs="Arial Narrow"/>
                <w:color w:val="000000"/>
                <w:lang w:val="es-ES" w:eastAsia="es-ES"/>
              </w:rPr>
              <w:t>Kirolaren</w:t>
            </w:r>
            <w:proofErr w:type="spellEnd"/>
            <w:r>
              <w:rPr>
                <w:rFonts w:ascii="Arial Narrow" w:hAnsi="Arial Narrow" w:cs="Arial Narrow"/>
                <w:color w:val="000000"/>
                <w:lang w:val="es-ES" w:eastAsia="es-ES"/>
              </w:rPr>
              <w:t xml:space="preserve"> </w:t>
            </w:r>
            <w:proofErr w:type="spellStart"/>
            <w:r>
              <w:rPr>
                <w:rFonts w:ascii="Arial Narrow" w:hAnsi="Arial Narrow" w:cs="Arial Narrow"/>
                <w:color w:val="000000"/>
                <w:lang w:val="es-ES" w:eastAsia="es-ES"/>
              </w:rPr>
              <w:t>Etxea</w:t>
            </w:r>
            <w:proofErr w:type="spellEnd"/>
          </w:p>
        </w:tc>
        <w:tc>
          <w:tcPr>
            <w:tcW w:w="1418" w:type="dxa"/>
            <w:tcBorders>
              <w:top w:val="single" w:sz="2" w:space="0" w:color="auto"/>
              <w:bottom w:val="single" w:sz="2" w:space="0" w:color="auto"/>
            </w:tcBorders>
            <w:vAlign w:val="center"/>
          </w:tcPr>
          <w:p w:rsidR="006B548F" w:rsidRDefault="006B548F" w:rsidP="00202BCF">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1.141</w:t>
            </w:r>
          </w:p>
        </w:tc>
      </w:tr>
      <w:tr w:rsidR="006B548F" w:rsidTr="00202BCF">
        <w:trPr>
          <w:trHeight w:val="208"/>
        </w:trPr>
        <w:tc>
          <w:tcPr>
            <w:tcW w:w="1774" w:type="dxa"/>
            <w:vMerge/>
            <w:vAlign w:val="center"/>
          </w:tcPr>
          <w:p w:rsidR="006B548F" w:rsidRDefault="006B548F" w:rsidP="003810F9">
            <w:pPr>
              <w:autoSpaceDE w:val="0"/>
              <w:autoSpaceDN w:val="0"/>
              <w:adjustRightInd w:val="0"/>
              <w:spacing w:after="0"/>
              <w:ind w:firstLine="0"/>
              <w:jc w:val="left"/>
              <w:rPr>
                <w:rFonts w:ascii="Arial Narrow" w:hAnsi="Arial Narrow" w:cs="Arial Narrow"/>
                <w:color w:val="000000"/>
                <w:lang w:val="es-ES" w:eastAsia="es-ES"/>
              </w:rPr>
            </w:pPr>
          </w:p>
        </w:tc>
        <w:tc>
          <w:tcPr>
            <w:tcW w:w="5627" w:type="dxa"/>
            <w:tcBorders>
              <w:top w:val="single" w:sz="2" w:space="0" w:color="auto"/>
            </w:tcBorders>
            <w:vAlign w:val="center"/>
          </w:tcPr>
          <w:p w:rsidR="006B548F" w:rsidRDefault="006B548F" w:rsidP="003810F9">
            <w:pPr>
              <w:autoSpaceDE w:val="0"/>
              <w:autoSpaceDN w:val="0"/>
              <w:adjustRightInd w:val="0"/>
              <w:spacing w:after="0"/>
              <w:ind w:firstLine="0"/>
              <w:jc w:val="left"/>
              <w:rPr>
                <w:rFonts w:ascii="Arial Narrow" w:hAnsi="Arial Narrow" w:cs="Arial Narrow"/>
                <w:color w:val="000000"/>
                <w:lang w:val="es-ES" w:eastAsia="es-ES"/>
              </w:rPr>
            </w:pPr>
            <w:r>
              <w:rPr>
                <w:rFonts w:ascii="Arial Narrow" w:hAnsi="Arial Narrow" w:cs="Arial Narrow"/>
                <w:color w:val="000000"/>
                <w:lang w:val="es-ES" w:eastAsia="es-ES"/>
              </w:rPr>
              <w:t>Tareas auxiliares del Archivo Real y General de Navarra</w:t>
            </w:r>
          </w:p>
        </w:tc>
        <w:tc>
          <w:tcPr>
            <w:tcW w:w="1418" w:type="dxa"/>
            <w:tcBorders>
              <w:top w:val="single" w:sz="2" w:space="0" w:color="auto"/>
            </w:tcBorders>
            <w:vAlign w:val="center"/>
          </w:tcPr>
          <w:p w:rsidR="006B548F" w:rsidRDefault="006B548F" w:rsidP="00202BCF">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18.441</w:t>
            </w:r>
          </w:p>
        </w:tc>
      </w:tr>
      <w:tr w:rsidR="006B548F" w:rsidTr="005A518C">
        <w:trPr>
          <w:trHeight w:val="255"/>
        </w:trPr>
        <w:tc>
          <w:tcPr>
            <w:tcW w:w="1774" w:type="dxa"/>
            <w:shd w:val="clear" w:color="auto" w:fill="8DB3E2" w:themeFill="text2" w:themeFillTint="66"/>
            <w:vAlign w:val="center"/>
          </w:tcPr>
          <w:p w:rsidR="006B548F" w:rsidRDefault="006B548F" w:rsidP="00202BCF">
            <w:pPr>
              <w:pStyle w:val="cuadroCabe"/>
              <w:rPr>
                <w:lang w:val="es-ES" w:eastAsia="es-ES"/>
              </w:rPr>
            </w:pPr>
            <w:r>
              <w:rPr>
                <w:lang w:val="es-ES" w:eastAsia="es-ES"/>
              </w:rPr>
              <w:t xml:space="preserve">Total </w:t>
            </w:r>
          </w:p>
        </w:tc>
        <w:tc>
          <w:tcPr>
            <w:tcW w:w="5627" w:type="dxa"/>
            <w:shd w:val="clear" w:color="auto" w:fill="8DB3E2" w:themeFill="text2" w:themeFillTint="66"/>
            <w:vAlign w:val="center"/>
          </w:tcPr>
          <w:p w:rsidR="006B548F" w:rsidRDefault="006B548F" w:rsidP="00202BCF">
            <w:pPr>
              <w:pStyle w:val="cuadroCabe"/>
              <w:rPr>
                <w:lang w:val="es-ES" w:eastAsia="es-ES"/>
              </w:rPr>
            </w:pPr>
            <w:r>
              <w:rPr>
                <w:lang w:val="es-ES" w:eastAsia="es-ES"/>
              </w:rPr>
              <w:t xml:space="preserve"> </w:t>
            </w:r>
          </w:p>
        </w:tc>
        <w:tc>
          <w:tcPr>
            <w:tcW w:w="1418" w:type="dxa"/>
            <w:shd w:val="clear" w:color="auto" w:fill="8DB3E2" w:themeFill="text2" w:themeFillTint="66"/>
            <w:vAlign w:val="center"/>
          </w:tcPr>
          <w:p w:rsidR="006B548F" w:rsidRDefault="006B548F" w:rsidP="00202BCF">
            <w:pPr>
              <w:pStyle w:val="cuadroCabe"/>
              <w:jc w:val="right"/>
              <w:rPr>
                <w:lang w:val="es-ES" w:eastAsia="es-ES"/>
              </w:rPr>
            </w:pPr>
            <w:r>
              <w:rPr>
                <w:lang w:val="es-ES" w:eastAsia="es-ES"/>
              </w:rPr>
              <w:t>762.820</w:t>
            </w:r>
          </w:p>
        </w:tc>
      </w:tr>
    </w:tbl>
    <w:p w:rsidR="006B548F" w:rsidRDefault="006B548F" w:rsidP="00560890">
      <w:pPr>
        <w:pStyle w:val="texto"/>
        <w:numPr>
          <w:ilvl w:val="0"/>
          <w:numId w:val="10"/>
        </w:numPr>
        <w:tabs>
          <w:tab w:val="clear" w:pos="2835"/>
          <w:tab w:val="clear" w:pos="3969"/>
          <w:tab w:val="clear" w:pos="5103"/>
          <w:tab w:val="clear" w:pos="6237"/>
          <w:tab w:val="clear" w:pos="7371"/>
          <w:tab w:val="left" w:pos="567"/>
        </w:tabs>
        <w:spacing w:before="240"/>
        <w:ind w:left="0" w:firstLine="284"/>
      </w:pPr>
      <w:r>
        <w:t xml:space="preserve">Desde 2009, la finca en la que se ubica el </w:t>
      </w:r>
      <w:proofErr w:type="spellStart"/>
      <w:r>
        <w:t>Refena</w:t>
      </w:r>
      <w:proofErr w:type="spellEnd"/>
      <w:r>
        <w:t xml:space="preserve"> fue objeto de cesión de uso por la Sociedad de Promoción de Inversiones e Infraestructuras de Navarra </w:t>
      </w:r>
      <w:r>
        <w:lastRenderedPageBreak/>
        <w:t xml:space="preserve">S.A. a Recintos Feriales de Navarra S.A. y Eventos </w:t>
      </w:r>
      <w:proofErr w:type="spellStart"/>
      <w:r>
        <w:t>Zunzarren</w:t>
      </w:r>
      <w:proofErr w:type="spellEnd"/>
      <w:r>
        <w:t xml:space="preserve"> S.L. con el fin de organizar ferias y otros eventos. </w:t>
      </w:r>
    </w:p>
    <w:p w:rsidR="006B548F" w:rsidRDefault="006B548F" w:rsidP="006B548F">
      <w:pPr>
        <w:pStyle w:val="texto"/>
      </w:pPr>
      <w:r>
        <w:t xml:space="preserve">Con motivo de la crisis sanitaria de la COVID-19 la ACFN consideró preciso disponer con urgencia y de forma inmediata de la finca en la que se ubica </w:t>
      </w:r>
      <w:proofErr w:type="spellStart"/>
      <w:r>
        <w:t>R</w:t>
      </w:r>
      <w:r>
        <w:t>e</w:t>
      </w:r>
      <w:r>
        <w:t>fena</w:t>
      </w:r>
      <w:proofErr w:type="spellEnd"/>
      <w:r>
        <w:t xml:space="preserve"> y de distinto mobiliario y enseres propiedad de la empresa que gestiona dicho inmueble</w:t>
      </w:r>
      <w:r w:rsidR="00845FF6">
        <w:t>,</w:t>
      </w:r>
      <w:r>
        <w:t xml:space="preserve"> desde el 15 de marzo de 2020 hasta el 31 de marzo de 2021. </w:t>
      </w:r>
    </w:p>
    <w:p w:rsidR="006B548F" w:rsidRDefault="006B548F" w:rsidP="007B47F2">
      <w:pPr>
        <w:pStyle w:val="texto"/>
      </w:pPr>
      <w:r>
        <w:t>Esta ocupación por parte de la ACFN ha originado los dos expedientes de gasto diferenciados en 2021 relacionados con hechos referidos a 2020 que det</w:t>
      </w:r>
      <w:r>
        <w:t>a</w:t>
      </w:r>
      <w:r>
        <w:t>llamos a continuación:</w:t>
      </w:r>
    </w:p>
    <w:p w:rsidR="00DC7281" w:rsidRPr="00DC7281" w:rsidRDefault="006B548F" w:rsidP="007B47F2">
      <w:pPr>
        <w:pStyle w:val="texto"/>
        <w:numPr>
          <w:ilvl w:val="0"/>
          <w:numId w:val="26"/>
        </w:numPr>
        <w:tabs>
          <w:tab w:val="clear" w:pos="2835"/>
          <w:tab w:val="clear" w:pos="3969"/>
          <w:tab w:val="clear" w:pos="5103"/>
          <w:tab w:val="clear" w:pos="6237"/>
          <w:tab w:val="clear" w:pos="7371"/>
          <w:tab w:val="left" w:pos="567"/>
        </w:tabs>
        <w:ind w:left="0" w:firstLine="284"/>
      </w:pPr>
      <w:r>
        <w:t>El SNS-O propuso el 8 de octubre de 2020 el abono de cinco facturas</w:t>
      </w:r>
      <w:r w:rsidR="00BB3B9E">
        <w:t xml:space="preserve"> r</w:t>
      </w:r>
      <w:r w:rsidR="00BB3B9E">
        <w:t>e</w:t>
      </w:r>
      <w:r w:rsidR="00BB3B9E">
        <w:t>lacionadas con el uso</w:t>
      </w:r>
      <w:r w:rsidR="00D7181A">
        <w:t xml:space="preserve"> de mobiliario</w:t>
      </w:r>
      <w:r>
        <w:t xml:space="preserve"> por un total de 137.393 euros para el peri</w:t>
      </w:r>
      <w:r>
        <w:t>o</w:t>
      </w:r>
      <w:r>
        <w:t xml:space="preserve">do marzo-septiembre de 2020 a las empresas a las que se les cedió el uso de las fincas citadas. </w:t>
      </w:r>
      <w:r w:rsidR="00D7181A">
        <w:t>La</w:t>
      </w:r>
      <w:r>
        <w:t xml:space="preserve"> Intervención General emitió un informe al respecto en el que consideraba adecuada la tramitación del expediente considerándolo de eme</w:t>
      </w:r>
      <w:r>
        <w:t>r</w:t>
      </w:r>
      <w:r>
        <w:t>gencia</w:t>
      </w:r>
      <w:r w:rsidR="00845FF6">
        <w:t>,</w:t>
      </w:r>
      <w:r>
        <w:t xml:space="preserve"> pero aludía a la</w:t>
      </w:r>
      <w:r w:rsidR="00DC7281">
        <w:t>s siguientes circunstancias:</w:t>
      </w:r>
      <w:r>
        <w:t xml:space="preserve"> </w:t>
      </w:r>
      <w:r w:rsidRPr="003A6B6F">
        <w:rPr>
          <w:i/>
          <w:sz w:val="24"/>
        </w:rPr>
        <w:t xml:space="preserve">“...falta </w:t>
      </w:r>
      <w:r w:rsidR="00DC7281">
        <w:rPr>
          <w:i/>
          <w:sz w:val="24"/>
        </w:rPr>
        <w:t xml:space="preserve">en el expediente que se informa, </w:t>
      </w:r>
      <w:r w:rsidRPr="003A6B6F">
        <w:rPr>
          <w:i/>
          <w:sz w:val="24"/>
        </w:rPr>
        <w:t>tanto</w:t>
      </w:r>
      <w:r w:rsidR="00DC7281">
        <w:rPr>
          <w:i/>
          <w:sz w:val="24"/>
        </w:rPr>
        <w:t xml:space="preserve"> </w:t>
      </w:r>
      <w:r w:rsidRPr="003A6B6F">
        <w:rPr>
          <w:i/>
          <w:sz w:val="24"/>
        </w:rPr>
        <w:t xml:space="preserve">la determinación de los diversos objetos contractuales, el momento de su ejecución, su duración, la descomposición del precio </w:t>
      </w:r>
      <w:r w:rsidR="00DC7281">
        <w:rPr>
          <w:i/>
          <w:sz w:val="24"/>
        </w:rPr>
        <w:t>que permita analizar su adecuación a mercado, así como la acreditación tanto jurídica como técnica de m</w:t>
      </w:r>
      <w:r w:rsidR="00DC7281">
        <w:rPr>
          <w:i/>
          <w:sz w:val="24"/>
        </w:rPr>
        <w:t>a</w:t>
      </w:r>
      <w:r w:rsidR="00DC7281">
        <w:rPr>
          <w:i/>
          <w:sz w:val="24"/>
        </w:rPr>
        <w:t>nera razonada y sólida de que nos encontramos en tal supuesto en todas las actu</w:t>
      </w:r>
      <w:r w:rsidR="00DC7281">
        <w:rPr>
          <w:i/>
          <w:sz w:val="24"/>
        </w:rPr>
        <w:t>a</w:t>
      </w:r>
      <w:r w:rsidR="00DC7281">
        <w:rPr>
          <w:i/>
          <w:sz w:val="24"/>
        </w:rPr>
        <w:t>ciones realizadas…”; “…se desconoce qué mobiliario y enseres se hallaban en la instalación al tiempo de la ocupación del inmueble por la Administración de la C</w:t>
      </w:r>
      <w:r w:rsidR="00DC7281">
        <w:rPr>
          <w:i/>
          <w:sz w:val="24"/>
        </w:rPr>
        <w:t>o</w:t>
      </w:r>
      <w:r w:rsidR="00DC7281">
        <w:rPr>
          <w:i/>
          <w:sz w:val="24"/>
        </w:rPr>
        <w:t>munidad Foral de Navarra (categoría en la que hay que incluir tanto los que se h</w:t>
      </w:r>
      <w:r w:rsidR="00DC7281">
        <w:rPr>
          <w:i/>
          <w:sz w:val="24"/>
        </w:rPr>
        <w:t>a</w:t>
      </w:r>
      <w:r w:rsidR="00DC7281">
        <w:rPr>
          <w:i/>
          <w:sz w:val="24"/>
        </w:rPr>
        <w:t>llaban en el inmueble cuando su uso fue cedido por SPRIN al cesionario como aqu</w:t>
      </w:r>
      <w:r w:rsidR="00DC7281">
        <w:rPr>
          <w:i/>
          <w:sz w:val="24"/>
        </w:rPr>
        <w:t>e</w:t>
      </w:r>
      <w:r w:rsidR="00DC7281">
        <w:rPr>
          <w:i/>
          <w:sz w:val="24"/>
        </w:rPr>
        <w:t>llos otros que fueron adquiridos por el cesionario expresamente para el desarrollo de la actividad ferial) y cuáles fueron añadidos a posteriori, a demanda del Servicio Navarro de Salud, dado que no consta un inventario de los bienes sitos en el inmu</w:t>
      </w:r>
      <w:r w:rsidR="00DC7281">
        <w:rPr>
          <w:i/>
          <w:sz w:val="24"/>
        </w:rPr>
        <w:t>e</w:t>
      </w:r>
      <w:r w:rsidR="00DC7281">
        <w:rPr>
          <w:i/>
          <w:sz w:val="24"/>
        </w:rPr>
        <w:t>ble al tiempo de su ocupación…”.</w:t>
      </w:r>
    </w:p>
    <w:p w:rsidR="006B548F" w:rsidRDefault="006B548F" w:rsidP="00DC7281">
      <w:pPr>
        <w:pStyle w:val="texto"/>
        <w:tabs>
          <w:tab w:val="clear" w:pos="2835"/>
          <w:tab w:val="clear" w:pos="3969"/>
          <w:tab w:val="clear" w:pos="5103"/>
          <w:tab w:val="clear" w:pos="6237"/>
          <w:tab w:val="clear" w:pos="7371"/>
          <w:tab w:val="left" w:pos="567"/>
        </w:tabs>
      </w:pPr>
      <w:r>
        <w:t>Todo ello origina la formulación de</w:t>
      </w:r>
      <w:r w:rsidRPr="003A6B6F">
        <w:t xml:space="preserve"> un </w:t>
      </w:r>
      <w:r>
        <w:t xml:space="preserve">reparo suspensivo el 14 de octubre de 2020. </w:t>
      </w:r>
    </w:p>
    <w:p w:rsidR="006B548F" w:rsidRDefault="006B548F" w:rsidP="006B548F">
      <w:pPr>
        <w:pStyle w:val="texto"/>
        <w:tabs>
          <w:tab w:val="clear" w:pos="2835"/>
          <w:tab w:val="clear" w:pos="3969"/>
          <w:tab w:val="clear" w:pos="5103"/>
          <w:tab w:val="clear" w:pos="6237"/>
          <w:tab w:val="clear" w:pos="7371"/>
        </w:tabs>
      </w:pPr>
      <w:r>
        <w:t xml:space="preserve">El 20 de octubre de 2020 el SNS-O emitió un informe mostrando su desacuerdo con el informe </w:t>
      </w:r>
      <w:r w:rsidR="00811E5E">
        <w:t>de</w:t>
      </w:r>
      <w:r>
        <w:t xml:space="preserve"> Intervención General, lo que motivó la elevación de la discrepancia al Gobierno de Navarra. </w:t>
      </w:r>
    </w:p>
    <w:p w:rsidR="006B548F" w:rsidRPr="003C4C39" w:rsidRDefault="006B548F" w:rsidP="006B548F">
      <w:pPr>
        <w:pStyle w:val="texto"/>
        <w:tabs>
          <w:tab w:val="clear" w:pos="2835"/>
          <w:tab w:val="clear" w:pos="3969"/>
          <w:tab w:val="clear" w:pos="5103"/>
          <w:tab w:val="clear" w:pos="6237"/>
          <w:tab w:val="clear" w:pos="7371"/>
        </w:tabs>
      </w:pPr>
      <w:r>
        <w:t xml:space="preserve">El 21 de octubre de 2020 el Gobierno de Navarra resolvió la discrepancia a favor del SNS-O y por resolución del Director </w:t>
      </w:r>
      <w:r w:rsidRPr="003A6B6F">
        <w:t>Gerente de SNS-O se ap</w:t>
      </w:r>
      <w:r>
        <w:t>robaron</w:t>
      </w:r>
      <w:r w:rsidRPr="003A6B6F">
        <w:t xml:space="preserve"> las actuaciones del expediente de emergencia</w:t>
      </w:r>
      <w:r>
        <w:t xml:space="preserve"> y se reconocieron los gastos ind</w:t>
      </w:r>
      <w:r>
        <w:t>i</w:t>
      </w:r>
      <w:r>
        <w:t>cados</w:t>
      </w:r>
      <w:r w:rsidRPr="003A6B6F">
        <w:t>.</w:t>
      </w:r>
    </w:p>
    <w:p w:rsidR="006B548F" w:rsidRDefault="006B548F" w:rsidP="006B548F">
      <w:pPr>
        <w:pStyle w:val="texto"/>
        <w:tabs>
          <w:tab w:val="clear" w:pos="2835"/>
          <w:tab w:val="clear" w:pos="3969"/>
          <w:tab w:val="clear" w:pos="5103"/>
          <w:tab w:val="clear" w:pos="6237"/>
          <w:tab w:val="clear" w:pos="7371"/>
        </w:tabs>
      </w:pPr>
      <w:r>
        <w:t>Posteriormente, en 2021 se aprobaron los gastos correspondientes a octubre, noviembre y diciembre de 2020 y se contabilizaron en el presupuesto de 2021 por un total de 68.622 euros.</w:t>
      </w:r>
    </w:p>
    <w:p w:rsidR="006B548F" w:rsidRDefault="006B548F" w:rsidP="00D7181A">
      <w:pPr>
        <w:pStyle w:val="texto"/>
        <w:numPr>
          <w:ilvl w:val="0"/>
          <w:numId w:val="26"/>
        </w:numPr>
        <w:tabs>
          <w:tab w:val="clear" w:pos="2835"/>
          <w:tab w:val="clear" w:pos="3969"/>
          <w:tab w:val="clear" w:pos="5103"/>
          <w:tab w:val="clear" w:pos="6237"/>
          <w:tab w:val="clear" w:pos="7371"/>
          <w:tab w:val="left" w:pos="567"/>
        </w:tabs>
        <w:ind w:left="0" w:firstLine="426"/>
      </w:pPr>
      <w:r>
        <w:lastRenderedPageBreak/>
        <w:t xml:space="preserve">Por otro lado, el SNS-O tramita un expediente de autorización de gasto por emergencia en concepto de indemnización por el gasto devengado por el </w:t>
      </w:r>
      <w:r w:rsidR="00811E5E">
        <w:t>uso</w:t>
      </w:r>
      <w:r>
        <w:t xml:space="preserve"> del inmueble y por los suministros para el periodo marzo 2020-marzo 2021 por un total</w:t>
      </w:r>
      <w:r w:rsidR="00811E5E">
        <w:t xml:space="preserve"> de 187.030 euros (163.662 por el uso</w:t>
      </w:r>
      <w:r>
        <w:t xml:space="preserve"> y 23.368 por suministros)</w:t>
      </w:r>
      <w:r w:rsidR="00845FF6">
        <w:t>,</w:t>
      </w:r>
      <w:r>
        <w:t xml:space="preserve"> indicándose que estos gastos se imputarán al presupuesto de 2021</w:t>
      </w:r>
      <w:r w:rsidR="00E52D81">
        <w:t>.</w:t>
      </w:r>
    </w:p>
    <w:p w:rsidR="006B548F" w:rsidRDefault="006B548F" w:rsidP="006B548F">
      <w:pPr>
        <w:pStyle w:val="texto"/>
        <w:tabs>
          <w:tab w:val="clear" w:pos="2835"/>
          <w:tab w:val="clear" w:pos="3969"/>
          <w:tab w:val="clear" w:pos="5103"/>
          <w:tab w:val="clear" w:pos="6237"/>
          <w:tab w:val="clear" w:pos="7371"/>
        </w:tabs>
        <w:ind w:firstLine="426"/>
      </w:pPr>
      <w:r>
        <w:t>De esta cifra, 142.143 euros corresponderían a gastos de 2020</w:t>
      </w:r>
      <w:r w:rsidR="009F4BED">
        <w:t>,</w:t>
      </w:r>
      <w:r>
        <w:t xml:space="preserve"> si bien no pudieron contabilizarse en el presupuesto de ese ejercicio ya que no se habían producido los actos administrativos correspondientes. </w:t>
      </w:r>
    </w:p>
    <w:p w:rsidR="006B548F" w:rsidRDefault="006B548F" w:rsidP="006B548F">
      <w:pPr>
        <w:pStyle w:val="texto"/>
        <w:tabs>
          <w:tab w:val="clear" w:pos="2835"/>
          <w:tab w:val="clear" w:pos="3969"/>
          <w:tab w:val="clear" w:pos="5103"/>
          <w:tab w:val="clear" w:pos="6237"/>
          <w:tab w:val="clear" w:pos="7371"/>
        </w:tabs>
        <w:ind w:firstLine="426"/>
      </w:pPr>
      <w:r>
        <w:t>Señalamos además que en la resolución de autorización y reconocimiento de estos gastos se indica que el importe que se va a abonar se entiende sin pe</w:t>
      </w:r>
      <w:r>
        <w:t>r</w:t>
      </w:r>
      <w:r>
        <w:t>juicio de otros daños y perjuicios que, en su caso, hayan de compensarse.</w:t>
      </w:r>
    </w:p>
    <w:p w:rsidR="006B548F" w:rsidRDefault="006B548F" w:rsidP="008A0500">
      <w:pPr>
        <w:pStyle w:val="atitulo2"/>
        <w:spacing w:before="240"/>
        <w:rPr>
          <w:bCs w:val="0"/>
          <w:iCs w:val="0"/>
        </w:rPr>
      </w:pPr>
      <w:bookmarkStart w:id="35" w:name="_Toc67394582"/>
      <w:bookmarkStart w:id="36" w:name="_Toc69373190"/>
      <w:r w:rsidRPr="00E171FA">
        <w:rPr>
          <w:bCs w:val="0"/>
          <w:iCs w:val="0"/>
        </w:rPr>
        <w:t>IV.</w:t>
      </w:r>
      <w:r>
        <w:rPr>
          <w:bCs w:val="0"/>
          <w:iCs w:val="0"/>
        </w:rPr>
        <w:t>3</w:t>
      </w:r>
      <w:r w:rsidR="008A0500">
        <w:rPr>
          <w:bCs w:val="0"/>
          <w:iCs w:val="0"/>
        </w:rPr>
        <w:t>.</w:t>
      </w:r>
      <w:r w:rsidRPr="00E171FA">
        <w:rPr>
          <w:bCs w:val="0"/>
          <w:iCs w:val="0"/>
        </w:rPr>
        <w:t xml:space="preserve"> </w:t>
      </w:r>
      <w:r>
        <w:rPr>
          <w:bCs w:val="0"/>
          <w:iCs w:val="0"/>
        </w:rPr>
        <w:t>Auditoría de eficacia y eficiencia</w:t>
      </w:r>
      <w:bookmarkEnd w:id="35"/>
      <w:bookmarkEnd w:id="36"/>
    </w:p>
    <w:p w:rsidR="006B548F" w:rsidRDefault="006B548F" w:rsidP="006B548F">
      <w:pPr>
        <w:pStyle w:val="texto"/>
      </w:pPr>
      <w:r>
        <w:t>En junio de 2020, el Pleno del Parlamento de Navarra instó al SNS-O a re</w:t>
      </w:r>
      <w:r>
        <w:t>a</w:t>
      </w:r>
      <w:r>
        <w:t>lizar un cálculo analítico del coste de los diferentes procesos y tratamientos de pacientes con la COVID-19 y tener en cuenta estos resultados para establecer las tarifas con los centros concertados sanitarios.</w:t>
      </w:r>
    </w:p>
    <w:p w:rsidR="006B548F" w:rsidRDefault="006B548F" w:rsidP="006B548F">
      <w:pPr>
        <w:pStyle w:val="texto"/>
        <w:spacing w:after="120"/>
      </w:pPr>
      <w:r>
        <w:t xml:space="preserve">Atendiendo esta petición, el Servicio de </w:t>
      </w:r>
      <w:r w:rsidRPr="006C3455">
        <w:rPr>
          <w:szCs w:val="26"/>
        </w:rPr>
        <w:t>Control y Análisis del Coste del SNS-O</w:t>
      </w:r>
      <w:r>
        <w:rPr>
          <w:szCs w:val="26"/>
        </w:rPr>
        <w:t xml:space="preserve"> obtuvo el coste medio de la estancia de pacientes con patología C</w:t>
      </w:r>
      <w:r>
        <w:rPr>
          <w:szCs w:val="26"/>
        </w:rPr>
        <w:t>O</w:t>
      </w:r>
      <w:r>
        <w:rPr>
          <w:szCs w:val="26"/>
        </w:rPr>
        <w:t xml:space="preserve">VID-19, diferenciando su estancia o no en UCI, para el periodo marzo 2020-mayo 2020. </w:t>
      </w:r>
      <w:r>
        <w:t xml:space="preserve">Con los datos obtenidos se establecieron las tarifas para que no fueran superiores a lo que le costaría al SNS-O atender a estos pacientes. </w:t>
      </w:r>
    </w:p>
    <w:p w:rsidR="006B548F" w:rsidRDefault="006B548F" w:rsidP="006B548F">
      <w:pPr>
        <w:pStyle w:val="texto"/>
        <w:spacing w:after="240"/>
      </w:pPr>
      <w:r>
        <w:t>Teniendo en cuenta los resultados obtenidos por el SNS-O, se establecieron tarifas por un lado para la Clínica Universi</w:t>
      </w:r>
      <w:r w:rsidR="003C4C39">
        <w:t>dad</w:t>
      </w:r>
      <w:bookmarkStart w:id="37" w:name="_GoBack"/>
      <w:bookmarkEnd w:id="37"/>
      <w:r>
        <w:t xml:space="preserve"> de Navarra y para la Clínica San Miguel, y por otro para el Hospital San Juan de Dios debido a la tipología de pacientes que se derivan a cada centro; estas tarifas fueron las siguientes:</w:t>
      </w:r>
    </w:p>
    <w:tbl>
      <w:tblPr>
        <w:tblStyle w:val="Tablaconcuadrcula"/>
        <w:tblW w:w="8931" w:type="dxa"/>
        <w:tblBorders>
          <w:left w:val="none" w:sz="0" w:space="0" w:color="auto"/>
          <w:right w:val="none" w:sz="0" w:space="0" w:color="auto"/>
          <w:insideV w:val="none" w:sz="0" w:space="0" w:color="auto"/>
        </w:tblBorders>
        <w:tblLook w:val="04A0" w:firstRow="1" w:lastRow="0" w:firstColumn="1" w:lastColumn="0" w:noHBand="0" w:noVBand="1"/>
      </w:tblPr>
      <w:tblGrid>
        <w:gridCol w:w="4662"/>
        <w:gridCol w:w="2426"/>
        <w:gridCol w:w="1843"/>
      </w:tblGrid>
      <w:tr w:rsidR="006B548F" w:rsidTr="002B0800">
        <w:trPr>
          <w:trHeight w:val="255"/>
        </w:trPr>
        <w:tc>
          <w:tcPr>
            <w:tcW w:w="4662" w:type="dxa"/>
            <w:shd w:val="clear" w:color="auto" w:fill="8DB3E2" w:themeFill="text2" w:themeFillTint="66"/>
            <w:vAlign w:val="center"/>
          </w:tcPr>
          <w:p w:rsidR="006B548F" w:rsidRPr="00FB0085" w:rsidRDefault="006B548F" w:rsidP="00202BCF">
            <w:pPr>
              <w:pStyle w:val="cuadroCabe"/>
              <w:rPr>
                <w:lang w:val="es-ES" w:eastAsia="es-ES"/>
              </w:rPr>
            </w:pPr>
            <w:r w:rsidRPr="00FB0085">
              <w:rPr>
                <w:lang w:val="es-ES" w:eastAsia="es-ES"/>
              </w:rPr>
              <w:t>Concepto</w:t>
            </w:r>
          </w:p>
        </w:tc>
        <w:tc>
          <w:tcPr>
            <w:tcW w:w="2426" w:type="dxa"/>
            <w:shd w:val="clear" w:color="auto" w:fill="8DB3E2" w:themeFill="text2" w:themeFillTint="66"/>
            <w:vAlign w:val="center"/>
          </w:tcPr>
          <w:p w:rsidR="006B548F" w:rsidRPr="00FB0085" w:rsidRDefault="006B548F" w:rsidP="002B0800">
            <w:pPr>
              <w:pStyle w:val="cuadroCabe"/>
              <w:jc w:val="left"/>
              <w:rPr>
                <w:lang w:val="es-ES" w:eastAsia="es-ES"/>
              </w:rPr>
            </w:pPr>
            <w:r>
              <w:rPr>
                <w:lang w:val="es-ES" w:eastAsia="es-ES"/>
              </w:rPr>
              <w:t>Centro</w:t>
            </w:r>
          </w:p>
        </w:tc>
        <w:tc>
          <w:tcPr>
            <w:tcW w:w="1843" w:type="dxa"/>
            <w:shd w:val="clear" w:color="auto" w:fill="8DB3E2" w:themeFill="text2" w:themeFillTint="66"/>
            <w:vAlign w:val="center"/>
          </w:tcPr>
          <w:p w:rsidR="006B548F" w:rsidRPr="00FB0085" w:rsidRDefault="006B548F" w:rsidP="002B0800">
            <w:pPr>
              <w:pStyle w:val="cuadroCabe"/>
              <w:ind w:left="-112"/>
              <w:jc w:val="right"/>
              <w:rPr>
                <w:lang w:val="es-ES" w:eastAsia="es-ES"/>
              </w:rPr>
            </w:pPr>
            <w:r w:rsidRPr="00FB0085">
              <w:rPr>
                <w:lang w:val="es-ES" w:eastAsia="es-ES"/>
              </w:rPr>
              <w:t>Importe</w:t>
            </w:r>
          </w:p>
        </w:tc>
      </w:tr>
      <w:tr w:rsidR="006B548F" w:rsidTr="002B0800">
        <w:trPr>
          <w:trHeight w:val="198"/>
        </w:trPr>
        <w:tc>
          <w:tcPr>
            <w:tcW w:w="4662" w:type="dxa"/>
            <w:tcBorders>
              <w:bottom w:val="single" w:sz="2" w:space="0" w:color="auto"/>
            </w:tcBorders>
            <w:vAlign w:val="center"/>
          </w:tcPr>
          <w:p w:rsidR="006B548F" w:rsidRPr="00FB0085" w:rsidRDefault="006B548F" w:rsidP="003810F9">
            <w:pPr>
              <w:autoSpaceDE w:val="0"/>
              <w:autoSpaceDN w:val="0"/>
              <w:adjustRightInd w:val="0"/>
              <w:spacing w:after="0"/>
              <w:ind w:firstLine="0"/>
              <w:jc w:val="left"/>
              <w:rPr>
                <w:rFonts w:ascii="Arial Narrow" w:hAnsi="Arial Narrow" w:cs="Arial Narrow"/>
                <w:color w:val="000000"/>
                <w:lang w:val="es-ES" w:eastAsia="es-ES"/>
              </w:rPr>
            </w:pPr>
            <w:r w:rsidRPr="00FB0085">
              <w:rPr>
                <w:rFonts w:ascii="Arial Narrow" w:hAnsi="Arial Narrow" w:cs="Arial Narrow"/>
                <w:color w:val="000000"/>
                <w:lang w:val="es-ES" w:eastAsia="es-ES"/>
              </w:rPr>
              <w:t>Paciente COVID-19 UCI</w:t>
            </w:r>
          </w:p>
        </w:tc>
        <w:tc>
          <w:tcPr>
            <w:tcW w:w="2426" w:type="dxa"/>
            <w:vMerge w:val="restart"/>
            <w:tcBorders>
              <w:bottom w:val="single" w:sz="2" w:space="0" w:color="auto"/>
            </w:tcBorders>
            <w:vAlign w:val="center"/>
          </w:tcPr>
          <w:p w:rsidR="0078595C" w:rsidRDefault="0049629A" w:rsidP="002B0800">
            <w:pPr>
              <w:autoSpaceDE w:val="0"/>
              <w:autoSpaceDN w:val="0"/>
              <w:adjustRightInd w:val="0"/>
              <w:spacing w:after="0"/>
              <w:ind w:firstLine="0"/>
              <w:jc w:val="left"/>
              <w:rPr>
                <w:rFonts w:ascii="Arial Narrow" w:hAnsi="Arial Narrow" w:cs="Arial Narrow"/>
                <w:color w:val="000000"/>
                <w:lang w:val="es-ES" w:eastAsia="es-ES"/>
              </w:rPr>
            </w:pPr>
            <w:r>
              <w:rPr>
                <w:rFonts w:ascii="Arial Narrow" w:hAnsi="Arial Narrow" w:cs="Arial Narrow"/>
                <w:color w:val="000000"/>
                <w:lang w:val="es-ES" w:eastAsia="es-ES"/>
              </w:rPr>
              <w:t>Clínica Universidad</w:t>
            </w:r>
            <w:r w:rsidR="006B548F">
              <w:rPr>
                <w:rFonts w:ascii="Arial Narrow" w:hAnsi="Arial Narrow" w:cs="Arial Narrow"/>
                <w:color w:val="000000"/>
                <w:lang w:val="es-ES" w:eastAsia="es-ES"/>
              </w:rPr>
              <w:t xml:space="preserve"> de </w:t>
            </w:r>
          </w:p>
          <w:p w:rsidR="006B548F" w:rsidRPr="00FB0085" w:rsidRDefault="006B548F" w:rsidP="002B0800">
            <w:pPr>
              <w:autoSpaceDE w:val="0"/>
              <w:autoSpaceDN w:val="0"/>
              <w:adjustRightInd w:val="0"/>
              <w:spacing w:after="0"/>
              <w:ind w:firstLine="0"/>
              <w:jc w:val="left"/>
              <w:rPr>
                <w:rFonts w:ascii="Arial Narrow" w:hAnsi="Arial Narrow" w:cs="Arial Narrow"/>
                <w:color w:val="000000"/>
                <w:lang w:val="es-ES" w:eastAsia="es-ES"/>
              </w:rPr>
            </w:pPr>
            <w:r>
              <w:rPr>
                <w:rFonts w:ascii="Arial Narrow" w:hAnsi="Arial Narrow" w:cs="Arial Narrow"/>
                <w:color w:val="000000"/>
                <w:lang w:val="es-ES" w:eastAsia="es-ES"/>
              </w:rPr>
              <w:t>Navarra y Clínica San Miguel</w:t>
            </w:r>
          </w:p>
        </w:tc>
        <w:tc>
          <w:tcPr>
            <w:tcW w:w="1843" w:type="dxa"/>
            <w:tcBorders>
              <w:bottom w:val="single" w:sz="2" w:space="0" w:color="auto"/>
            </w:tcBorders>
            <w:vAlign w:val="center"/>
          </w:tcPr>
          <w:p w:rsidR="006B548F" w:rsidRPr="00FB0085" w:rsidRDefault="006B548F" w:rsidP="002B0800">
            <w:pPr>
              <w:autoSpaceDE w:val="0"/>
              <w:autoSpaceDN w:val="0"/>
              <w:adjustRightInd w:val="0"/>
              <w:spacing w:after="0"/>
              <w:ind w:left="-112" w:firstLine="0"/>
              <w:jc w:val="right"/>
              <w:rPr>
                <w:rFonts w:ascii="Arial Narrow" w:hAnsi="Arial Narrow" w:cs="Arial Narrow"/>
                <w:color w:val="000000"/>
                <w:lang w:val="es-ES" w:eastAsia="es-ES"/>
              </w:rPr>
            </w:pPr>
            <w:r w:rsidRPr="00FB0085">
              <w:rPr>
                <w:rFonts w:ascii="Arial Narrow" w:hAnsi="Arial Narrow" w:cs="Arial Narrow"/>
                <w:color w:val="000000"/>
                <w:lang w:val="es-ES" w:eastAsia="es-ES"/>
              </w:rPr>
              <w:t>40.978 euros/paciente</w:t>
            </w:r>
          </w:p>
        </w:tc>
      </w:tr>
      <w:tr w:rsidR="006B548F" w:rsidTr="002B0800">
        <w:trPr>
          <w:trHeight w:val="198"/>
        </w:trPr>
        <w:tc>
          <w:tcPr>
            <w:tcW w:w="4662" w:type="dxa"/>
            <w:tcBorders>
              <w:top w:val="single" w:sz="2" w:space="0" w:color="auto"/>
              <w:bottom w:val="single" w:sz="2" w:space="0" w:color="auto"/>
            </w:tcBorders>
            <w:vAlign w:val="center"/>
          </w:tcPr>
          <w:p w:rsidR="006B548F" w:rsidRPr="00FB0085" w:rsidRDefault="006B548F" w:rsidP="003810F9">
            <w:pPr>
              <w:autoSpaceDE w:val="0"/>
              <w:autoSpaceDN w:val="0"/>
              <w:adjustRightInd w:val="0"/>
              <w:spacing w:after="0"/>
              <w:ind w:firstLine="0"/>
              <w:jc w:val="left"/>
              <w:rPr>
                <w:rFonts w:ascii="Arial Narrow" w:hAnsi="Arial Narrow" w:cs="Arial Narrow"/>
                <w:color w:val="000000"/>
                <w:lang w:val="es-ES" w:eastAsia="es-ES"/>
              </w:rPr>
            </w:pPr>
            <w:r w:rsidRPr="00FB0085">
              <w:rPr>
                <w:rFonts w:ascii="Arial Narrow" w:hAnsi="Arial Narrow" w:cs="Arial Narrow"/>
                <w:color w:val="000000"/>
                <w:lang w:val="es-ES" w:eastAsia="es-ES"/>
              </w:rPr>
              <w:t>Paciente COVID-19 en planta de hospitalización</w:t>
            </w:r>
          </w:p>
        </w:tc>
        <w:tc>
          <w:tcPr>
            <w:tcW w:w="2426" w:type="dxa"/>
            <w:vMerge/>
            <w:tcBorders>
              <w:top w:val="single" w:sz="2" w:space="0" w:color="auto"/>
              <w:bottom w:val="single" w:sz="2" w:space="0" w:color="auto"/>
            </w:tcBorders>
          </w:tcPr>
          <w:p w:rsidR="006B548F" w:rsidRPr="00FB0085" w:rsidRDefault="006B548F" w:rsidP="002B0800">
            <w:pPr>
              <w:autoSpaceDE w:val="0"/>
              <w:autoSpaceDN w:val="0"/>
              <w:adjustRightInd w:val="0"/>
              <w:spacing w:after="0"/>
              <w:ind w:firstLine="0"/>
              <w:jc w:val="left"/>
              <w:rPr>
                <w:rFonts w:ascii="Arial Narrow" w:hAnsi="Arial Narrow" w:cs="Arial Narrow"/>
                <w:color w:val="000000"/>
                <w:lang w:val="es-ES" w:eastAsia="es-ES"/>
              </w:rPr>
            </w:pPr>
          </w:p>
        </w:tc>
        <w:tc>
          <w:tcPr>
            <w:tcW w:w="1843" w:type="dxa"/>
            <w:tcBorders>
              <w:top w:val="single" w:sz="2" w:space="0" w:color="auto"/>
              <w:bottom w:val="single" w:sz="2" w:space="0" w:color="auto"/>
            </w:tcBorders>
            <w:vAlign w:val="center"/>
          </w:tcPr>
          <w:p w:rsidR="006B548F" w:rsidRPr="00FB0085" w:rsidRDefault="006B548F" w:rsidP="002B0800">
            <w:pPr>
              <w:autoSpaceDE w:val="0"/>
              <w:autoSpaceDN w:val="0"/>
              <w:adjustRightInd w:val="0"/>
              <w:spacing w:after="0"/>
              <w:ind w:left="-112" w:firstLine="0"/>
              <w:jc w:val="right"/>
              <w:rPr>
                <w:rFonts w:ascii="Arial Narrow" w:hAnsi="Arial Narrow" w:cs="Arial Narrow"/>
                <w:color w:val="000000"/>
                <w:lang w:val="es-ES" w:eastAsia="es-ES"/>
              </w:rPr>
            </w:pPr>
            <w:r w:rsidRPr="00FB0085">
              <w:rPr>
                <w:rFonts w:ascii="Arial Narrow" w:hAnsi="Arial Narrow" w:cs="Arial Narrow"/>
                <w:color w:val="000000"/>
                <w:lang w:val="es-ES" w:eastAsia="es-ES"/>
              </w:rPr>
              <w:t>4.908 euros/paciente</w:t>
            </w:r>
          </w:p>
        </w:tc>
      </w:tr>
      <w:tr w:rsidR="006B548F" w:rsidTr="002B0800">
        <w:trPr>
          <w:trHeight w:val="198"/>
        </w:trPr>
        <w:tc>
          <w:tcPr>
            <w:tcW w:w="4662" w:type="dxa"/>
            <w:tcBorders>
              <w:top w:val="single" w:sz="2" w:space="0" w:color="auto"/>
              <w:bottom w:val="single" w:sz="2" w:space="0" w:color="auto"/>
            </w:tcBorders>
            <w:vAlign w:val="center"/>
          </w:tcPr>
          <w:p w:rsidR="006B548F" w:rsidRPr="00FB0085" w:rsidRDefault="006B548F" w:rsidP="003810F9">
            <w:pPr>
              <w:autoSpaceDE w:val="0"/>
              <w:autoSpaceDN w:val="0"/>
              <w:adjustRightInd w:val="0"/>
              <w:spacing w:after="0"/>
              <w:ind w:firstLine="0"/>
              <w:jc w:val="left"/>
              <w:rPr>
                <w:rFonts w:ascii="Arial Narrow" w:hAnsi="Arial Narrow" w:cs="Arial Narrow"/>
                <w:color w:val="000000"/>
                <w:lang w:val="es-ES" w:eastAsia="es-ES"/>
              </w:rPr>
            </w:pPr>
            <w:r w:rsidRPr="00FB0085">
              <w:rPr>
                <w:rFonts w:ascii="Arial Narrow" w:hAnsi="Arial Narrow" w:cs="Arial Narrow"/>
                <w:color w:val="000000"/>
                <w:lang w:val="es-ES" w:eastAsia="es-ES"/>
              </w:rPr>
              <w:t>Reserva cama</w:t>
            </w:r>
          </w:p>
        </w:tc>
        <w:tc>
          <w:tcPr>
            <w:tcW w:w="2426" w:type="dxa"/>
            <w:vMerge/>
            <w:tcBorders>
              <w:top w:val="single" w:sz="2" w:space="0" w:color="auto"/>
              <w:bottom w:val="single" w:sz="2" w:space="0" w:color="auto"/>
            </w:tcBorders>
          </w:tcPr>
          <w:p w:rsidR="006B548F" w:rsidRPr="00FB0085" w:rsidRDefault="006B548F" w:rsidP="002B0800">
            <w:pPr>
              <w:autoSpaceDE w:val="0"/>
              <w:autoSpaceDN w:val="0"/>
              <w:adjustRightInd w:val="0"/>
              <w:spacing w:after="0"/>
              <w:ind w:firstLine="0"/>
              <w:jc w:val="left"/>
              <w:rPr>
                <w:rFonts w:ascii="Arial Narrow" w:hAnsi="Arial Narrow" w:cs="Arial Narrow"/>
                <w:color w:val="000000"/>
                <w:lang w:val="es-ES" w:eastAsia="es-ES"/>
              </w:rPr>
            </w:pPr>
          </w:p>
        </w:tc>
        <w:tc>
          <w:tcPr>
            <w:tcW w:w="1843" w:type="dxa"/>
            <w:tcBorders>
              <w:top w:val="single" w:sz="2" w:space="0" w:color="auto"/>
              <w:bottom w:val="single" w:sz="2" w:space="0" w:color="auto"/>
            </w:tcBorders>
            <w:vAlign w:val="center"/>
          </w:tcPr>
          <w:p w:rsidR="006B548F" w:rsidRPr="00FB0085" w:rsidRDefault="006B548F" w:rsidP="002B0800">
            <w:pPr>
              <w:autoSpaceDE w:val="0"/>
              <w:autoSpaceDN w:val="0"/>
              <w:adjustRightInd w:val="0"/>
              <w:spacing w:after="0"/>
              <w:ind w:left="-112" w:firstLine="0"/>
              <w:jc w:val="right"/>
              <w:rPr>
                <w:rFonts w:ascii="Arial Narrow" w:hAnsi="Arial Narrow" w:cs="Arial Narrow"/>
                <w:color w:val="000000"/>
                <w:lang w:val="es-ES" w:eastAsia="es-ES"/>
              </w:rPr>
            </w:pPr>
            <w:r w:rsidRPr="00FB0085">
              <w:rPr>
                <w:rFonts w:ascii="Arial Narrow" w:hAnsi="Arial Narrow" w:cs="Arial Narrow"/>
                <w:color w:val="000000"/>
                <w:lang w:val="es-ES" w:eastAsia="es-ES"/>
              </w:rPr>
              <w:t>181 euros/cama/día</w:t>
            </w:r>
          </w:p>
        </w:tc>
      </w:tr>
      <w:tr w:rsidR="006B548F" w:rsidTr="002B0800">
        <w:trPr>
          <w:trHeight w:val="198"/>
        </w:trPr>
        <w:tc>
          <w:tcPr>
            <w:tcW w:w="4662" w:type="dxa"/>
            <w:tcBorders>
              <w:top w:val="single" w:sz="2" w:space="0" w:color="auto"/>
              <w:bottom w:val="single" w:sz="2" w:space="0" w:color="auto"/>
            </w:tcBorders>
            <w:vAlign w:val="center"/>
          </w:tcPr>
          <w:p w:rsidR="006B548F" w:rsidRPr="00FB0085" w:rsidRDefault="006B548F" w:rsidP="003810F9">
            <w:pPr>
              <w:autoSpaceDE w:val="0"/>
              <w:autoSpaceDN w:val="0"/>
              <w:adjustRightInd w:val="0"/>
              <w:spacing w:after="0"/>
              <w:ind w:firstLine="0"/>
              <w:jc w:val="left"/>
              <w:rPr>
                <w:rFonts w:ascii="Arial Narrow" w:hAnsi="Arial Narrow" w:cs="Arial Narrow"/>
                <w:color w:val="000000"/>
                <w:lang w:val="es-ES" w:eastAsia="es-ES"/>
              </w:rPr>
            </w:pPr>
            <w:r>
              <w:rPr>
                <w:rFonts w:ascii="Arial Narrow" w:hAnsi="Arial Narrow" w:cs="Arial Narrow"/>
                <w:color w:val="000000"/>
                <w:lang w:val="es-ES" w:eastAsia="es-ES"/>
              </w:rPr>
              <w:t>Estancia pacientes COVID (1-10 días)</w:t>
            </w:r>
          </w:p>
        </w:tc>
        <w:tc>
          <w:tcPr>
            <w:tcW w:w="2426" w:type="dxa"/>
            <w:vMerge w:val="restart"/>
            <w:tcBorders>
              <w:top w:val="single" w:sz="2" w:space="0" w:color="auto"/>
              <w:bottom w:val="single" w:sz="2" w:space="0" w:color="auto"/>
            </w:tcBorders>
            <w:vAlign w:val="center"/>
          </w:tcPr>
          <w:p w:rsidR="006B548F" w:rsidRPr="00FB0085" w:rsidRDefault="006B548F" w:rsidP="002B0800">
            <w:pPr>
              <w:autoSpaceDE w:val="0"/>
              <w:autoSpaceDN w:val="0"/>
              <w:adjustRightInd w:val="0"/>
              <w:spacing w:after="0"/>
              <w:ind w:firstLine="0"/>
              <w:jc w:val="left"/>
              <w:rPr>
                <w:rFonts w:ascii="Arial Narrow" w:hAnsi="Arial Narrow" w:cs="Arial Narrow"/>
                <w:color w:val="000000"/>
                <w:lang w:val="es-ES" w:eastAsia="es-ES"/>
              </w:rPr>
            </w:pPr>
            <w:r>
              <w:rPr>
                <w:rFonts w:ascii="Arial Narrow" w:hAnsi="Arial Narrow" w:cs="Arial Narrow"/>
                <w:color w:val="000000"/>
                <w:lang w:val="es-ES" w:eastAsia="es-ES"/>
              </w:rPr>
              <w:t>Hospital San Juan de Dios</w:t>
            </w:r>
          </w:p>
        </w:tc>
        <w:tc>
          <w:tcPr>
            <w:tcW w:w="1843" w:type="dxa"/>
            <w:tcBorders>
              <w:top w:val="single" w:sz="2" w:space="0" w:color="auto"/>
              <w:bottom w:val="single" w:sz="2" w:space="0" w:color="auto"/>
            </w:tcBorders>
            <w:vAlign w:val="center"/>
          </w:tcPr>
          <w:p w:rsidR="006B548F" w:rsidRPr="00FB0085" w:rsidRDefault="006B548F" w:rsidP="002B0800">
            <w:pPr>
              <w:autoSpaceDE w:val="0"/>
              <w:autoSpaceDN w:val="0"/>
              <w:adjustRightInd w:val="0"/>
              <w:spacing w:after="0"/>
              <w:ind w:left="-112" w:firstLine="0"/>
              <w:jc w:val="right"/>
              <w:rPr>
                <w:rFonts w:ascii="Arial Narrow" w:hAnsi="Arial Narrow" w:cs="Arial Narrow"/>
                <w:color w:val="000000"/>
                <w:lang w:val="es-ES" w:eastAsia="es-ES"/>
              </w:rPr>
            </w:pPr>
            <w:r>
              <w:rPr>
                <w:rFonts w:ascii="Arial Narrow" w:hAnsi="Arial Narrow" w:cs="Arial Narrow"/>
                <w:color w:val="000000"/>
                <w:lang w:val="es-ES" w:eastAsia="es-ES"/>
              </w:rPr>
              <w:t>519,31 euros/día</w:t>
            </w:r>
          </w:p>
        </w:tc>
      </w:tr>
      <w:tr w:rsidR="006B548F" w:rsidTr="002B0800">
        <w:trPr>
          <w:trHeight w:val="198"/>
        </w:trPr>
        <w:tc>
          <w:tcPr>
            <w:tcW w:w="4662" w:type="dxa"/>
            <w:tcBorders>
              <w:top w:val="single" w:sz="2" w:space="0" w:color="auto"/>
              <w:bottom w:val="single" w:sz="2" w:space="0" w:color="auto"/>
            </w:tcBorders>
            <w:vAlign w:val="center"/>
          </w:tcPr>
          <w:p w:rsidR="006B548F" w:rsidRPr="00FB0085" w:rsidRDefault="006B548F" w:rsidP="003810F9">
            <w:pPr>
              <w:autoSpaceDE w:val="0"/>
              <w:autoSpaceDN w:val="0"/>
              <w:adjustRightInd w:val="0"/>
              <w:spacing w:after="0"/>
              <w:ind w:firstLine="0"/>
              <w:jc w:val="left"/>
              <w:rPr>
                <w:rFonts w:ascii="Arial Narrow" w:hAnsi="Arial Narrow" w:cs="Arial Narrow"/>
                <w:color w:val="000000"/>
                <w:lang w:val="es-ES" w:eastAsia="es-ES"/>
              </w:rPr>
            </w:pPr>
            <w:r>
              <w:rPr>
                <w:rFonts w:ascii="Arial Narrow" w:hAnsi="Arial Narrow" w:cs="Arial Narrow"/>
                <w:color w:val="000000"/>
                <w:lang w:val="es-ES" w:eastAsia="es-ES"/>
              </w:rPr>
              <w:t>Estancia pacientes COVID (11-20 días)</w:t>
            </w:r>
          </w:p>
        </w:tc>
        <w:tc>
          <w:tcPr>
            <w:tcW w:w="2426" w:type="dxa"/>
            <w:vMerge/>
            <w:tcBorders>
              <w:top w:val="single" w:sz="2" w:space="0" w:color="auto"/>
              <w:bottom w:val="single" w:sz="2" w:space="0" w:color="auto"/>
            </w:tcBorders>
          </w:tcPr>
          <w:p w:rsidR="006B548F" w:rsidRPr="00FB0085" w:rsidRDefault="006B548F" w:rsidP="002B0800">
            <w:pPr>
              <w:autoSpaceDE w:val="0"/>
              <w:autoSpaceDN w:val="0"/>
              <w:adjustRightInd w:val="0"/>
              <w:spacing w:after="0"/>
              <w:ind w:firstLine="0"/>
              <w:jc w:val="left"/>
              <w:rPr>
                <w:rFonts w:ascii="Arial Narrow" w:hAnsi="Arial Narrow" w:cs="Arial Narrow"/>
                <w:color w:val="000000"/>
                <w:lang w:val="es-ES" w:eastAsia="es-ES"/>
              </w:rPr>
            </w:pPr>
          </w:p>
        </w:tc>
        <w:tc>
          <w:tcPr>
            <w:tcW w:w="1843" w:type="dxa"/>
            <w:tcBorders>
              <w:top w:val="single" w:sz="2" w:space="0" w:color="auto"/>
              <w:bottom w:val="single" w:sz="2" w:space="0" w:color="auto"/>
            </w:tcBorders>
            <w:vAlign w:val="center"/>
          </w:tcPr>
          <w:p w:rsidR="006B548F" w:rsidRPr="00FB0085" w:rsidRDefault="006B548F" w:rsidP="002B0800">
            <w:pPr>
              <w:autoSpaceDE w:val="0"/>
              <w:autoSpaceDN w:val="0"/>
              <w:adjustRightInd w:val="0"/>
              <w:spacing w:after="0"/>
              <w:ind w:left="-112" w:firstLine="0"/>
              <w:jc w:val="right"/>
              <w:rPr>
                <w:rFonts w:ascii="Arial Narrow" w:hAnsi="Arial Narrow" w:cs="Arial Narrow"/>
                <w:color w:val="000000"/>
                <w:lang w:val="es-ES" w:eastAsia="es-ES"/>
              </w:rPr>
            </w:pPr>
            <w:r>
              <w:rPr>
                <w:rFonts w:ascii="Arial Narrow" w:hAnsi="Arial Narrow" w:cs="Arial Narrow"/>
                <w:color w:val="000000"/>
                <w:lang w:val="es-ES" w:eastAsia="es-ES"/>
              </w:rPr>
              <w:t>298,82 euros/día</w:t>
            </w:r>
          </w:p>
        </w:tc>
      </w:tr>
      <w:tr w:rsidR="006B548F" w:rsidTr="002B0800">
        <w:trPr>
          <w:trHeight w:val="198"/>
        </w:trPr>
        <w:tc>
          <w:tcPr>
            <w:tcW w:w="4662" w:type="dxa"/>
            <w:tcBorders>
              <w:top w:val="single" w:sz="2" w:space="0" w:color="auto"/>
              <w:bottom w:val="single" w:sz="2" w:space="0" w:color="auto"/>
            </w:tcBorders>
            <w:vAlign w:val="center"/>
          </w:tcPr>
          <w:p w:rsidR="006B548F" w:rsidRPr="00FB0085" w:rsidRDefault="006B548F" w:rsidP="003810F9">
            <w:pPr>
              <w:autoSpaceDE w:val="0"/>
              <w:autoSpaceDN w:val="0"/>
              <w:adjustRightInd w:val="0"/>
              <w:spacing w:after="0"/>
              <w:ind w:firstLine="0"/>
              <w:jc w:val="left"/>
              <w:rPr>
                <w:rFonts w:ascii="Arial Narrow" w:hAnsi="Arial Narrow" w:cs="Arial Narrow"/>
                <w:color w:val="000000"/>
                <w:lang w:val="es-ES" w:eastAsia="es-ES"/>
              </w:rPr>
            </w:pPr>
            <w:r>
              <w:rPr>
                <w:rFonts w:ascii="Arial Narrow" w:hAnsi="Arial Narrow" w:cs="Arial Narrow"/>
                <w:color w:val="000000"/>
                <w:lang w:val="es-ES" w:eastAsia="es-ES"/>
              </w:rPr>
              <w:t>Estancia pacientes COVID (21-99.999 días)</w:t>
            </w:r>
          </w:p>
        </w:tc>
        <w:tc>
          <w:tcPr>
            <w:tcW w:w="2426" w:type="dxa"/>
            <w:vMerge/>
            <w:tcBorders>
              <w:top w:val="single" w:sz="2" w:space="0" w:color="auto"/>
              <w:bottom w:val="single" w:sz="2" w:space="0" w:color="auto"/>
            </w:tcBorders>
          </w:tcPr>
          <w:p w:rsidR="006B548F" w:rsidRPr="00FB0085" w:rsidRDefault="006B548F" w:rsidP="002B0800">
            <w:pPr>
              <w:autoSpaceDE w:val="0"/>
              <w:autoSpaceDN w:val="0"/>
              <w:adjustRightInd w:val="0"/>
              <w:spacing w:after="0"/>
              <w:ind w:firstLine="0"/>
              <w:jc w:val="left"/>
              <w:rPr>
                <w:rFonts w:ascii="Arial Narrow" w:hAnsi="Arial Narrow" w:cs="Arial Narrow"/>
                <w:color w:val="000000"/>
                <w:lang w:val="es-ES" w:eastAsia="es-ES"/>
              </w:rPr>
            </w:pPr>
          </w:p>
        </w:tc>
        <w:tc>
          <w:tcPr>
            <w:tcW w:w="1843" w:type="dxa"/>
            <w:tcBorders>
              <w:top w:val="single" w:sz="2" w:space="0" w:color="auto"/>
              <w:bottom w:val="single" w:sz="2" w:space="0" w:color="auto"/>
            </w:tcBorders>
            <w:vAlign w:val="center"/>
          </w:tcPr>
          <w:p w:rsidR="006B548F" w:rsidRPr="00FB0085" w:rsidRDefault="006B548F" w:rsidP="002B0800">
            <w:pPr>
              <w:autoSpaceDE w:val="0"/>
              <w:autoSpaceDN w:val="0"/>
              <w:adjustRightInd w:val="0"/>
              <w:spacing w:after="0"/>
              <w:ind w:left="-112" w:firstLine="0"/>
              <w:jc w:val="right"/>
              <w:rPr>
                <w:rFonts w:ascii="Arial Narrow" w:hAnsi="Arial Narrow" w:cs="Arial Narrow"/>
                <w:color w:val="000000"/>
                <w:lang w:val="es-ES" w:eastAsia="es-ES"/>
              </w:rPr>
            </w:pPr>
            <w:r>
              <w:rPr>
                <w:rFonts w:ascii="Arial Narrow" w:hAnsi="Arial Narrow" w:cs="Arial Narrow"/>
                <w:color w:val="000000"/>
                <w:lang w:val="es-ES" w:eastAsia="es-ES"/>
              </w:rPr>
              <w:t>209,60 euros/día</w:t>
            </w:r>
          </w:p>
        </w:tc>
      </w:tr>
      <w:tr w:rsidR="006B548F" w:rsidTr="002B0800">
        <w:trPr>
          <w:trHeight w:val="198"/>
        </w:trPr>
        <w:tc>
          <w:tcPr>
            <w:tcW w:w="4662" w:type="dxa"/>
            <w:tcBorders>
              <w:top w:val="single" w:sz="2" w:space="0" w:color="auto"/>
            </w:tcBorders>
            <w:vAlign w:val="center"/>
          </w:tcPr>
          <w:p w:rsidR="006B548F" w:rsidRPr="00FB0085" w:rsidRDefault="006B548F" w:rsidP="0078595C">
            <w:pPr>
              <w:autoSpaceDE w:val="0"/>
              <w:autoSpaceDN w:val="0"/>
              <w:adjustRightInd w:val="0"/>
              <w:spacing w:after="0"/>
              <w:ind w:right="-260" w:firstLine="0"/>
              <w:jc w:val="left"/>
              <w:rPr>
                <w:rFonts w:ascii="Arial Narrow" w:hAnsi="Arial Narrow" w:cs="Arial Narrow"/>
                <w:color w:val="000000"/>
                <w:lang w:val="es-ES" w:eastAsia="es-ES"/>
              </w:rPr>
            </w:pPr>
            <w:r>
              <w:rPr>
                <w:rFonts w:ascii="Arial Narrow" w:hAnsi="Arial Narrow" w:cs="Arial Narrow"/>
                <w:color w:val="000000"/>
                <w:lang w:val="es-ES" w:eastAsia="es-ES"/>
              </w:rPr>
              <w:t>Estancia pacientes COVID con rehabilitación (11-99.999 días)</w:t>
            </w:r>
          </w:p>
        </w:tc>
        <w:tc>
          <w:tcPr>
            <w:tcW w:w="2426" w:type="dxa"/>
            <w:vMerge/>
            <w:tcBorders>
              <w:top w:val="single" w:sz="2" w:space="0" w:color="auto"/>
            </w:tcBorders>
          </w:tcPr>
          <w:p w:rsidR="006B548F" w:rsidRPr="00FB0085" w:rsidRDefault="006B548F" w:rsidP="002B0800">
            <w:pPr>
              <w:autoSpaceDE w:val="0"/>
              <w:autoSpaceDN w:val="0"/>
              <w:adjustRightInd w:val="0"/>
              <w:spacing w:after="0"/>
              <w:ind w:firstLine="0"/>
              <w:jc w:val="left"/>
              <w:rPr>
                <w:rFonts w:ascii="Arial Narrow" w:hAnsi="Arial Narrow" w:cs="Arial Narrow"/>
                <w:color w:val="000000"/>
                <w:lang w:val="es-ES" w:eastAsia="es-ES"/>
              </w:rPr>
            </w:pPr>
          </w:p>
        </w:tc>
        <w:tc>
          <w:tcPr>
            <w:tcW w:w="1843" w:type="dxa"/>
            <w:tcBorders>
              <w:top w:val="single" w:sz="2" w:space="0" w:color="auto"/>
            </w:tcBorders>
            <w:vAlign w:val="center"/>
          </w:tcPr>
          <w:p w:rsidR="006B548F" w:rsidRPr="00FB0085" w:rsidRDefault="006B548F" w:rsidP="002B0800">
            <w:pPr>
              <w:autoSpaceDE w:val="0"/>
              <w:autoSpaceDN w:val="0"/>
              <w:adjustRightInd w:val="0"/>
              <w:spacing w:after="0"/>
              <w:ind w:left="-112" w:firstLine="0"/>
              <w:jc w:val="right"/>
              <w:rPr>
                <w:rFonts w:ascii="Arial Narrow" w:hAnsi="Arial Narrow" w:cs="Arial Narrow"/>
                <w:color w:val="000000"/>
                <w:lang w:val="es-ES" w:eastAsia="es-ES"/>
              </w:rPr>
            </w:pPr>
            <w:r>
              <w:rPr>
                <w:rFonts w:ascii="Arial Narrow" w:hAnsi="Arial Narrow" w:cs="Arial Narrow"/>
                <w:color w:val="000000"/>
                <w:lang w:val="es-ES" w:eastAsia="es-ES"/>
              </w:rPr>
              <w:t>232,94 euros/día</w:t>
            </w:r>
          </w:p>
        </w:tc>
      </w:tr>
    </w:tbl>
    <w:p w:rsidR="006B548F" w:rsidRDefault="006B548F" w:rsidP="006B548F">
      <w:pPr>
        <w:pStyle w:val="texto"/>
        <w:spacing w:before="240"/>
      </w:pPr>
      <w:r>
        <w:t>En el caso de la Clínica Universi</w:t>
      </w:r>
      <w:r w:rsidR="0049629A">
        <w:t>dad</w:t>
      </w:r>
      <w:r>
        <w:t xml:space="preserve"> y Clínica San Miguel, estas tarifas son planas</w:t>
      </w:r>
      <w:r w:rsidR="009F4BED">
        <w:t>. Es decir, se abona esa cantidad independientemente de los días que el paciente haya estado en la UCI.</w:t>
      </w:r>
    </w:p>
    <w:p w:rsidR="006B548F" w:rsidRDefault="006B548F" w:rsidP="006B548F">
      <w:pPr>
        <w:pStyle w:val="texto"/>
        <w:spacing w:before="120"/>
      </w:pPr>
      <w:r>
        <w:t>Podemos concluir que en este caso la gestión se realizó adecuadamente para cumplir con el objetivo de atender a todos los pacientes que lo precisaran a un coste no superior al de los mismos en el SNS-O.</w:t>
      </w:r>
    </w:p>
    <w:p w:rsidR="006B548F" w:rsidRDefault="006B548F" w:rsidP="006B548F">
      <w:pPr>
        <w:pStyle w:val="atitulo2"/>
        <w:spacing w:before="240"/>
        <w:rPr>
          <w:bCs w:val="0"/>
          <w:iCs w:val="0"/>
        </w:rPr>
      </w:pPr>
      <w:bookmarkStart w:id="38" w:name="_Toc67394583"/>
      <w:bookmarkStart w:id="39" w:name="_Toc69373191"/>
      <w:r w:rsidRPr="00E171FA">
        <w:rPr>
          <w:bCs w:val="0"/>
          <w:iCs w:val="0"/>
        </w:rPr>
        <w:lastRenderedPageBreak/>
        <w:t>IV.</w:t>
      </w:r>
      <w:r>
        <w:rPr>
          <w:bCs w:val="0"/>
          <w:iCs w:val="0"/>
        </w:rPr>
        <w:t>4</w:t>
      </w:r>
      <w:r w:rsidR="002B0800">
        <w:rPr>
          <w:bCs w:val="0"/>
          <w:iCs w:val="0"/>
        </w:rPr>
        <w:t>.</w:t>
      </w:r>
      <w:r w:rsidRPr="00E171FA">
        <w:rPr>
          <w:bCs w:val="0"/>
          <w:iCs w:val="0"/>
        </w:rPr>
        <w:t xml:space="preserve"> </w:t>
      </w:r>
      <w:r>
        <w:rPr>
          <w:bCs w:val="0"/>
          <w:iCs w:val="0"/>
        </w:rPr>
        <w:t>Hechos posteriores al 31 de diciembre de 2020</w:t>
      </w:r>
      <w:bookmarkEnd w:id="38"/>
      <w:bookmarkEnd w:id="39"/>
    </w:p>
    <w:p w:rsidR="006B548F" w:rsidRDefault="006B548F" w:rsidP="006B548F">
      <w:pPr>
        <w:pStyle w:val="texto"/>
      </w:pPr>
      <w:r>
        <w:t>En este informe hemos delimitado el alcance temporal al periodo marzo-diciembre de 2020; sin embargo, la crisis sanitaria originada por la COVID-19 sigue existiendo sin que se pueda c</w:t>
      </w:r>
      <w:r w:rsidR="00811E5E">
        <w:t>onocer</w:t>
      </w:r>
      <w:r>
        <w:t xml:space="preserve"> el final de la misma.</w:t>
      </w:r>
    </w:p>
    <w:p w:rsidR="006B548F" w:rsidRDefault="006B548F" w:rsidP="006B548F">
      <w:pPr>
        <w:pStyle w:val="texto"/>
        <w:spacing w:after="240"/>
      </w:pPr>
      <w:r>
        <w:t xml:space="preserve">Así la gestión de la COVID-19 ha </w:t>
      </w:r>
      <w:r w:rsidR="00D75D86">
        <w:t>supuesto</w:t>
      </w:r>
      <w:r>
        <w:t xml:space="preserve"> en el periodo enero-</w:t>
      </w:r>
      <w:r w:rsidR="000170C1">
        <w:t>marzo</w:t>
      </w:r>
      <w:r>
        <w:t xml:space="preserve"> de 2021</w:t>
      </w:r>
      <w:r w:rsidR="00D75D86">
        <w:t xml:space="preserve"> un </w:t>
      </w:r>
      <w:r>
        <w:t xml:space="preserve">gasto </w:t>
      </w:r>
      <w:r w:rsidR="00D75D86">
        <w:t>d</w:t>
      </w:r>
      <w:r>
        <w:t xml:space="preserve">e </w:t>
      </w:r>
      <w:r w:rsidR="00D75D86">
        <w:t>28,40 millones según el siguiente detalle</w:t>
      </w:r>
      <w:r>
        <w:t>:</w:t>
      </w:r>
    </w:p>
    <w:tbl>
      <w:tblPr>
        <w:tblStyle w:val="Tablaconcuadrcula"/>
        <w:tblW w:w="8647"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812"/>
        <w:gridCol w:w="1445"/>
        <w:gridCol w:w="1985"/>
        <w:gridCol w:w="1405"/>
      </w:tblGrid>
      <w:tr w:rsidR="006B548F" w:rsidTr="002B0800">
        <w:trPr>
          <w:trHeight w:val="255"/>
          <w:jc w:val="center"/>
        </w:trPr>
        <w:tc>
          <w:tcPr>
            <w:tcW w:w="3812" w:type="dxa"/>
            <w:shd w:val="clear" w:color="auto" w:fill="8DB3E2" w:themeFill="text2" w:themeFillTint="66"/>
            <w:vAlign w:val="center"/>
          </w:tcPr>
          <w:p w:rsidR="006B548F" w:rsidRPr="00BD2DEE" w:rsidRDefault="006B548F" w:rsidP="00DF3538">
            <w:pPr>
              <w:pStyle w:val="cuadroCabe"/>
            </w:pPr>
            <w:r w:rsidRPr="00BD2DEE">
              <w:t>Capítulo</w:t>
            </w:r>
            <w:r>
              <w:t xml:space="preserve"> de gasto</w:t>
            </w:r>
          </w:p>
        </w:tc>
        <w:tc>
          <w:tcPr>
            <w:tcW w:w="1445" w:type="dxa"/>
            <w:shd w:val="clear" w:color="auto" w:fill="8DB3E2" w:themeFill="text2" w:themeFillTint="66"/>
            <w:vAlign w:val="center"/>
          </w:tcPr>
          <w:p w:rsidR="006B548F" w:rsidRDefault="006B548F" w:rsidP="00DF3538">
            <w:pPr>
              <w:pStyle w:val="cuadroCabe"/>
              <w:jc w:val="right"/>
            </w:pPr>
            <w:r>
              <w:t xml:space="preserve">Gastos </w:t>
            </w:r>
          </w:p>
          <w:p w:rsidR="006B548F" w:rsidRPr="00BD2DEE" w:rsidRDefault="006B548F" w:rsidP="00DF3538">
            <w:pPr>
              <w:pStyle w:val="cuadroCabe"/>
              <w:jc w:val="right"/>
            </w:pPr>
            <w:r>
              <w:t>consolidados</w:t>
            </w:r>
          </w:p>
        </w:tc>
        <w:tc>
          <w:tcPr>
            <w:tcW w:w="1985" w:type="dxa"/>
            <w:shd w:val="clear" w:color="auto" w:fill="8DB3E2" w:themeFill="text2" w:themeFillTint="66"/>
            <w:vAlign w:val="center"/>
          </w:tcPr>
          <w:p w:rsidR="006B548F" w:rsidRDefault="006B548F" w:rsidP="00DF3538">
            <w:pPr>
              <w:pStyle w:val="cuadroCabe"/>
              <w:jc w:val="right"/>
            </w:pPr>
            <w:r w:rsidRPr="00BD2DEE">
              <w:t xml:space="preserve">Obligaciones </w:t>
            </w:r>
          </w:p>
          <w:p w:rsidR="006B548F" w:rsidRPr="00BD2DEE" w:rsidRDefault="006B548F" w:rsidP="00DF3538">
            <w:pPr>
              <w:pStyle w:val="cuadroCabe"/>
              <w:jc w:val="right"/>
            </w:pPr>
            <w:r>
              <w:t xml:space="preserve">Reconocidas </w:t>
            </w:r>
            <w:r w:rsidRPr="00BD2DEE">
              <w:t>Netas</w:t>
            </w:r>
          </w:p>
        </w:tc>
        <w:tc>
          <w:tcPr>
            <w:tcW w:w="1405" w:type="dxa"/>
            <w:shd w:val="clear" w:color="auto" w:fill="8DB3E2" w:themeFill="text2" w:themeFillTint="66"/>
            <w:vAlign w:val="center"/>
          </w:tcPr>
          <w:p w:rsidR="006B548F" w:rsidRDefault="006B548F" w:rsidP="00DF3538">
            <w:pPr>
              <w:pStyle w:val="cuadroCabe"/>
              <w:jc w:val="right"/>
            </w:pPr>
            <w:r>
              <w:t xml:space="preserve">% s/ ORN </w:t>
            </w:r>
          </w:p>
          <w:p w:rsidR="006B548F" w:rsidRPr="00BD2DEE" w:rsidRDefault="006B548F" w:rsidP="00DF3538">
            <w:pPr>
              <w:pStyle w:val="cuadroCabe"/>
              <w:jc w:val="right"/>
            </w:pPr>
            <w:r>
              <w:t>totales</w:t>
            </w:r>
          </w:p>
        </w:tc>
      </w:tr>
      <w:tr w:rsidR="006B548F" w:rsidTr="002B0800">
        <w:trPr>
          <w:cantSplit/>
          <w:trHeight w:val="198"/>
          <w:jc w:val="center"/>
        </w:trPr>
        <w:tc>
          <w:tcPr>
            <w:tcW w:w="3812" w:type="dxa"/>
            <w:tcBorders>
              <w:bottom w:val="single" w:sz="2" w:space="0" w:color="auto"/>
            </w:tcBorders>
            <w:vAlign w:val="center"/>
          </w:tcPr>
          <w:p w:rsidR="006B548F" w:rsidRPr="00BD2DEE" w:rsidRDefault="006B548F" w:rsidP="002B0800">
            <w:pPr>
              <w:pStyle w:val="texto"/>
              <w:numPr>
                <w:ilvl w:val="0"/>
                <w:numId w:val="23"/>
              </w:numPr>
              <w:tabs>
                <w:tab w:val="left" w:pos="179"/>
              </w:tabs>
              <w:spacing w:after="0"/>
              <w:ind w:left="321" w:hanging="426"/>
              <w:jc w:val="left"/>
              <w:rPr>
                <w:rFonts w:ascii="Arial Narrow" w:hAnsi="Arial Narrow"/>
                <w:sz w:val="20"/>
              </w:rPr>
            </w:pPr>
            <w:r>
              <w:rPr>
                <w:rFonts w:ascii="Arial Narrow" w:hAnsi="Arial Narrow"/>
                <w:sz w:val="20"/>
              </w:rPr>
              <w:t xml:space="preserve"> Personal</w:t>
            </w:r>
          </w:p>
        </w:tc>
        <w:tc>
          <w:tcPr>
            <w:tcW w:w="1445" w:type="dxa"/>
            <w:tcBorders>
              <w:bottom w:val="single" w:sz="2" w:space="0" w:color="auto"/>
            </w:tcBorders>
          </w:tcPr>
          <w:p w:rsidR="006B548F" w:rsidRPr="00171BA3" w:rsidRDefault="000F13D3" w:rsidP="002B0800">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49.458.236</w:t>
            </w:r>
          </w:p>
        </w:tc>
        <w:tc>
          <w:tcPr>
            <w:tcW w:w="1985" w:type="dxa"/>
            <w:tcBorders>
              <w:bottom w:val="single" w:sz="2" w:space="0" w:color="auto"/>
            </w:tcBorders>
            <w:vAlign w:val="center"/>
          </w:tcPr>
          <w:p w:rsidR="006B548F" w:rsidRPr="00171BA3" w:rsidRDefault="000F13D3" w:rsidP="002B0800">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16.080.948</w:t>
            </w:r>
          </w:p>
        </w:tc>
        <w:tc>
          <w:tcPr>
            <w:tcW w:w="1405" w:type="dxa"/>
            <w:tcBorders>
              <w:bottom w:val="single" w:sz="2" w:space="0" w:color="auto"/>
            </w:tcBorders>
            <w:vAlign w:val="center"/>
          </w:tcPr>
          <w:p w:rsidR="006B548F" w:rsidRPr="00171BA3" w:rsidRDefault="000F13D3" w:rsidP="002B0800">
            <w:pPr>
              <w:spacing w:after="0"/>
              <w:jc w:val="right"/>
              <w:rPr>
                <w:rFonts w:ascii="Arial Narrow" w:hAnsi="Arial Narrow" w:cs="Calibri"/>
                <w:color w:val="000000"/>
                <w:lang w:val="es-ES" w:eastAsia="es-ES"/>
              </w:rPr>
            </w:pPr>
            <w:r>
              <w:rPr>
                <w:rFonts w:ascii="Arial Narrow" w:hAnsi="Arial Narrow" w:cs="Calibri"/>
                <w:color w:val="000000"/>
                <w:lang w:val="es-ES" w:eastAsia="es-ES"/>
              </w:rPr>
              <w:t>57</w:t>
            </w:r>
          </w:p>
        </w:tc>
      </w:tr>
      <w:tr w:rsidR="006B548F" w:rsidTr="002B0800">
        <w:trPr>
          <w:cantSplit/>
          <w:trHeight w:val="198"/>
          <w:jc w:val="center"/>
        </w:trPr>
        <w:tc>
          <w:tcPr>
            <w:tcW w:w="3812" w:type="dxa"/>
            <w:tcBorders>
              <w:top w:val="single" w:sz="2" w:space="0" w:color="auto"/>
              <w:bottom w:val="single" w:sz="2" w:space="0" w:color="auto"/>
            </w:tcBorders>
            <w:vAlign w:val="center"/>
          </w:tcPr>
          <w:p w:rsidR="006B548F" w:rsidRPr="00BD2DEE" w:rsidRDefault="006B548F" w:rsidP="002B0800">
            <w:pPr>
              <w:pStyle w:val="texto"/>
              <w:numPr>
                <w:ilvl w:val="0"/>
                <w:numId w:val="23"/>
              </w:numPr>
              <w:spacing w:after="0"/>
              <w:ind w:left="179" w:hanging="269"/>
              <w:jc w:val="left"/>
              <w:rPr>
                <w:rFonts w:ascii="Arial Narrow" w:hAnsi="Arial Narrow"/>
                <w:sz w:val="20"/>
              </w:rPr>
            </w:pPr>
            <w:r>
              <w:rPr>
                <w:rFonts w:ascii="Arial Narrow" w:hAnsi="Arial Narrow"/>
                <w:sz w:val="20"/>
              </w:rPr>
              <w:t xml:space="preserve"> Gastos corrientes bienes y servicios</w:t>
            </w:r>
          </w:p>
        </w:tc>
        <w:tc>
          <w:tcPr>
            <w:tcW w:w="1445" w:type="dxa"/>
            <w:tcBorders>
              <w:top w:val="single" w:sz="2" w:space="0" w:color="auto"/>
              <w:bottom w:val="single" w:sz="2" w:space="0" w:color="auto"/>
            </w:tcBorders>
          </w:tcPr>
          <w:p w:rsidR="006B548F" w:rsidRPr="00171BA3" w:rsidRDefault="000F13D3" w:rsidP="002B0800">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52.172.342</w:t>
            </w:r>
          </w:p>
        </w:tc>
        <w:tc>
          <w:tcPr>
            <w:tcW w:w="1985" w:type="dxa"/>
            <w:tcBorders>
              <w:top w:val="single" w:sz="2" w:space="0" w:color="auto"/>
              <w:bottom w:val="single" w:sz="2" w:space="0" w:color="auto"/>
            </w:tcBorders>
            <w:vAlign w:val="center"/>
          </w:tcPr>
          <w:p w:rsidR="006B548F" w:rsidRPr="00171BA3" w:rsidRDefault="000F13D3" w:rsidP="002B0800">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7.875.891</w:t>
            </w:r>
          </w:p>
        </w:tc>
        <w:tc>
          <w:tcPr>
            <w:tcW w:w="1405" w:type="dxa"/>
            <w:tcBorders>
              <w:top w:val="single" w:sz="2" w:space="0" w:color="auto"/>
              <w:bottom w:val="single" w:sz="2" w:space="0" w:color="auto"/>
            </w:tcBorders>
            <w:vAlign w:val="center"/>
          </w:tcPr>
          <w:p w:rsidR="006B548F" w:rsidRPr="00171BA3" w:rsidRDefault="000F13D3" w:rsidP="002B0800">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28</w:t>
            </w:r>
          </w:p>
        </w:tc>
      </w:tr>
      <w:tr w:rsidR="006B548F" w:rsidTr="002B0800">
        <w:trPr>
          <w:cantSplit/>
          <w:trHeight w:val="198"/>
          <w:jc w:val="center"/>
        </w:trPr>
        <w:tc>
          <w:tcPr>
            <w:tcW w:w="3812" w:type="dxa"/>
            <w:tcBorders>
              <w:top w:val="single" w:sz="2" w:space="0" w:color="auto"/>
              <w:bottom w:val="single" w:sz="2" w:space="0" w:color="auto"/>
            </w:tcBorders>
            <w:vAlign w:val="center"/>
          </w:tcPr>
          <w:p w:rsidR="006B548F" w:rsidRPr="00BD2DEE" w:rsidRDefault="006B548F" w:rsidP="002B0800">
            <w:pPr>
              <w:pStyle w:val="texto"/>
              <w:numPr>
                <w:ilvl w:val="0"/>
                <w:numId w:val="23"/>
              </w:numPr>
              <w:spacing w:after="0"/>
              <w:ind w:left="179" w:hanging="269"/>
              <w:jc w:val="left"/>
              <w:rPr>
                <w:rFonts w:ascii="Arial Narrow" w:hAnsi="Arial Narrow"/>
                <w:sz w:val="20"/>
              </w:rPr>
            </w:pPr>
            <w:r>
              <w:rPr>
                <w:rFonts w:ascii="Arial Narrow" w:hAnsi="Arial Narrow"/>
                <w:sz w:val="20"/>
              </w:rPr>
              <w:t xml:space="preserve"> Transferencias corrientes</w:t>
            </w:r>
          </w:p>
        </w:tc>
        <w:tc>
          <w:tcPr>
            <w:tcW w:w="1445" w:type="dxa"/>
            <w:tcBorders>
              <w:top w:val="single" w:sz="2" w:space="0" w:color="auto"/>
              <w:bottom w:val="single" w:sz="2" w:space="0" w:color="auto"/>
            </w:tcBorders>
          </w:tcPr>
          <w:p w:rsidR="006B548F" w:rsidRPr="00171BA3" w:rsidRDefault="000F13D3" w:rsidP="002B0800">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48.154.674</w:t>
            </w:r>
          </w:p>
        </w:tc>
        <w:tc>
          <w:tcPr>
            <w:tcW w:w="1985" w:type="dxa"/>
            <w:tcBorders>
              <w:top w:val="single" w:sz="2" w:space="0" w:color="auto"/>
              <w:bottom w:val="single" w:sz="2" w:space="0" w:color="auto"/>
            </w:tcBorders>
            <w:vAlign w:val="center"/>
          </w:tcPr>
          <w:p w:rsidR="006B548F" w:rsidRPr="00171BA3" w:rsidRDefault="000F13D3" w:rsidP="002B0800">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2.161.811</w:t>
            </w:r>
          </w:p>
        </w:tc>
        <w:tc>
          <w:tcPr>
            <w:tcW w:w="1405" w:type="dxa"/>
            <w:tcBorders>
              <w:top w:val="single" w:sz="2" w:space="0" w:color="auto"/>
              <w:bottom w:val="single" w:sz="2" w:space="0" w:color="auto"/>
            </w:tcBorders>
            <w:vAlign w:val="center"/>
          </w:tcPr>
          <w:p w:rsidR="006B548F" w:rsidRPr="00171BA3" w:rsidRDefault="000F13D3" w:rsidP="002B0800">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7</w:t>
            </w:r>
          </w:p>
        </w:tc>
      </w:tr>
      <w:tr w:rsidR="006B548F" w:rsidTr="002B0800">
        <w:trPr>
          <w:cantSplit/>
          <w:trHeight w:val="198"/>
          <w:jc w:val="center"/>
        </w:trPr>
        <w:tc>
          <w:tcPr>
            <w:tcW w:w="3812" w:type="dxa"/>
            <w:tcBorders>
              <w:top w:val="single" w:sz="2" w:space="0" w:color="auto"/>
              <w:bottom w:val="single" w:sz="2" w:space="0" w:color="auto"/>
            </w:tcBorders>
            <w:vAlign w:val="center"/>
          </w:tcPr>
          <w:p w:rsidR="006B548F" w:rsidRPr="00BD2DEE" w:rsidRDefault="006B548F" w:rsidP="002B0800">
            <w:pPr>
              <w:pStyle w:val="texto"/>
              <w:numPr>
                <w:ilvl w:val="0"/>
                <w:numId w:val="24"/>
              </w:numPr>
              <w:spacing w:after="0"/>
              <w:ind w:left="179" w:hanging="284"/>
              <w:jc w:val="left"/>
              <w:rPr>
                <w:rFonts w:ascii="Arial Narrow" w:hAnsi="Arial Narrow"/>
                <w:sz w:val="20"/>
              </w:rPr>
            </w:pPr>
            <w:r>
              <w:rPr>
                <w:rFonts w:ascii="Arial Narrow" w:hAnsi="Arial Narrow"/>
                <w:sz w:val="20"/>
              </w:rPr>
              <w:t xml:space="preserve"> Inversiones</w:t>
            </w:r>
          </w:p>
        </w:tc>
        <w:tc>
          <w:tcPr>
            <w:tcW w:w="1445" w:type="dxa"/>
            <w:tcBorders>
              <w:top w:val="single" w:sz="2" w:space="0" w:color="auto"/>
              <w:bottom w:val="single" w:sz="2" w:space="0" w:color="auto"/>
            </w:tcBorders>
          </w:tcPr>
          <w:p w:rsidR="006B548F" w:rsidRPr="00171BA3" w:rsidRDefault="000F13D3" w:rsidP="002B0800">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4.3554.892</w:t>
            </w:r>
          </w:p>
        </w:tc>
        <w:tc>
          <w:tcPr>
            <w:tcW w:w="1985" w:type="dxa"/>
            <w:tcBorders>
              <w:top w:val="single" w:sz="2" w:space="0" w:color="auto"/>
              <w:bottom w:val="single" w:sz="2" w:space="0" w:color="auto"/>
            </w:tcBorders>
            <w:vAlign w:val="center"/>
          </w:tcPr>
          <w:p w:rsidR="006B548F" w:rsidRPr="00171BA3" w:rsidRDefault="000F13D3" w:rsidP="002B0800">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2.280.755</w:t>
            </w:r>
          </w:p>
        </w:tc>
        <w:tc>
          <w:tcPr>
            <w:tcW w:w="1405" w:type="dxa"/>
            <w:tcBorders>
              <w:top w:val="single" w:sz="2" w:space="0" w:color="auto"/>
              <w:bottom w:val="single" w:sz="2" w:space="0" w:color="auto"/>
            </w:tcBorders>
            <w:vAlign w:val="center"/>
          </w:tcPr>
          <w:p w:rsidR="006B548F" w:rsidRPr="00171BA3" w:rsidRDefault="000F13D3" w:rsidP="002B0800">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8</w:t>
            </w:r>
          </w:p>
        </w:tc>
      </w:tr>
      <w:tr w:rsidR="006B548F" w:rsidTr="002B0800">
        <w:trPr>
          <w:cantSplit/>
          <w:trHeight w:val="198"/>
          <w:jc w:val="center"/>
        </w:trPr>
        <w:tc>
          <w:tcPr>
            <w:tcW w:w="3812" w:type="dxa"/>
            <w:tcBorders>
              <w:top w:val="single" w:sz="2" w:space="0" w:color="auto"/>
              <w:bottom w:val="single" w:sz="2" w:space="0" w:color="auto"/>
            </w:tcBorders>
            <w:vAlign w:val="center"/>
          </w:tcPr>
          <w:p w:rsidR="006B548F" w:rsidRPr="00BD2DEE" w:rsidRDefault="006B548F" w:rsidP="002B0800">
            <w:pPr>
              <w:pStyle w:val="texto"/>
              <w:numPr>
                <w:ilvl w:val="0"/>
                <w:numId w:val="24"/>
              </w:numPr>
              <w:spacing w:after="0" w:line="0" w:lineRule="atLeast"/>
              <w:ind w:left="179" w:hanging="269"/>
              <w:jc w:val="left"/>
              <w:rPr>
                <w:rFonts w:ascii="Arial Narrow" w:hAnsi="Arial Narrow"/>
                <w:sz w:val="20"/>
              </w:rPr>
            </w:pPr>
            <w:r>
              <w:rPr>
                <w:rFonts w:ascii="Arial Narrow" w:hAnsi="Arial Narrow"/>
                <w:sz w:val="20"/>
              </w:rPr>
              <w:t xml:space="preserve"> Transferencias capital</w:t>
            </w:r>
          </w:p>
        </w:tc>
        <w:tc>
          <w:tcPr>
            <w:tcW w:w="1445" w:type="dxa"/>
            <w:tcBorders>
              <w:top w:val="single" w:sz="2" w:space="0" w:color="auto"/>
              <w:bottom w:val="single" w:sz="2" w:space="0" w:color="auto"/>
            </w:tcBorders>
          </w:tcPr>
          <w:p w:rsidR="006B548F" w:rsidRPr="00171BA3" w:rsidRDefault="000F13D3" w:rsidP="002B0800">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15.010</w:t>
            </w:r>
          </w:p>
        </w:tc>
        <w:tc>
          <w:tcPr>
            <w:tcW w:w="1985" w:type="dxa"/>
            <w:tcBorders>
              <w:top w:val="single" w:sz="2" w:space="0" w:color="auto"/>
              <w:bottom w:val="single" w:sz="2" w:space="0" w:color="auto"/>
            </w:tcBorders>
            <w:vAlign w:val="center"/>
          </w:tcPr>
          <w:p w:rsidR="006B548F" w:rsidRPr="00171BA3" w:rsidRDefault="000F13D3" w:rsidP="002B0800">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0</w:t>
            </w:r>
          </w:p>
        </w:tc>
        <w:tc>
          <w:tcPr>
            <w:tcW w:w="1405" w:type="dxa"/>
            <w:tcBorders>
              <w:top w:val="single" w:sz="2" w:space="0" w:color="auto"/>
              <w:bottom w:val="single" w:sz="2" w:space="0" w:color="auto"/>
            </w:tcBorders>
            <w:vAlign w:val="center"/>
          </w:tcPr>
          <w:p w:rsidR="006B548F" w:rsidRPr="00171BA3" w:rsidRDefault="000F13D3" w:rsidP="002B0800">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0</w:t>
            </w:r>
          </w:p>
        </w:tc>
      </w:tr>
      <w:tr w:rsidR="006B548F" w:rsidTr="002B0800">
        <w:trPr>
          <w:cantSplit/>
          <w:trHeight w:val="198"/>
          <w:jc w:val="center"/>
        </w:trPr>
        <w:tc>
          <w:tcPr>
            <w:tcW w:w="3812" w:type="dxa"/>
            <w:tcBorders>
              <w:top w:val="single" w:sz="2" w:space="0" w:color="auto"/>
            </w:tcBorders>
            <w:vAlign w:val="center"/>
          </w:tcPr>
          <w:p w:rsidR="006B548F" w:rsidRPr="00BD2DEE" w:rsidRDefault="006B548F" w:rsidP="002B0800">
            <w:pPr>
              <w:pStyle w:val="texto"/>
              <w:numPr>
                <w:ilvl w:val="0"/>
                <w:numId w:val="24"/>
              </w:numPr>
              <w:spacing w:after="0"/>
              <w:ind w:left="179" w:hanging="269"/>
              <w:jc w:val="left"/>
              <w:rPr>
                <w:rFonts w:ascii="Arial Narrow" w:hAnsi="Arial Narrow"/>
                <w:sz w:val="20"/>
              </w:rPr>
            </w:pPr>
            <w:r>
              <w:rPr>
                <w:rFonts w:ascii="Arial Narrow" w:hAnsi="Arial Narrow"/>
                <w:sz w:val="20"/>
              </w:rPr>
              <w:t xml:space="preserve"> Activos financieros</w:t>
            </w:r>
          </w:p>
        </w:tc>
        <w:tc>
          <w:tcPr>
            <w:tcW w:w="1445" w:type="dxa"/>
            <w:tcBorders>
              <w:top w:val="single" w:sz="2" w:space="0" w:color="auto"/>
            </w:tcBorders>
          </w:tcPr>
          <w:p w:rsidR="006B548F" w:rsidRPr="00171BA3" w:rsidRDefault="000F13D3" w:rsidP="002B0800">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240.010</w:t>
            </w:r>
          </w:p>
        </w:tc>
        <w:tc>
          <w:tcPr>
            <w:tcW w:w="1985" w:type="dxa"/>
            <w:tcBorders>
              <w:top w:val="single" w:sz="2" w:space="0" w:color="auto"/>
            </w:tcBorders>
            <w:vAlign w:val="center"/>
          </w:tcPr>
          <w:p w:rsidR="006B548F" w:rsidRPr="00171BA3" w:rsidRDefault="000F13D3" w:rsidP="002B0800">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0</w:t>
            </w:r>
          </w:p>
        </w:tc>
        <w:tc>
          <w:tcPr>
            <w:tcW w:w="1405" w:type="dxa"/>
            <w:tcBorders>
              <w:top w:val="single" w:sz="2" w:space="0" w:color="auto"/>
            </w:tcBorders>
            <w:vAlign w:val="center"/>
          </w:tcPr>
          <w:p w:rsidR="006B548F" w:rsidRPr="00171BA3" w:rsidRDefault="000F13D3" w:rsidP="002B0800">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0</w:t>
            </w:r>
          </w:p>
        </w:tc>
      </w:tr>
      <w:tr w:rsidR="006B548F" w:rsidRPr="00171BA3" w:rsidTr="002B0800">
        <w:trPr>
          <w:trHeight w:val="255"/>
          <w:jc w:val="center"/>
        </w:trPr>
        <w:tc>
          <w:tcPr>
            <w:tcW w:w="3812" w:type="dxa"/>
            <w:shd w:val="clear" w:color="auto" w:fill="8DB3E2" w:themeFill="text2" w:themeFillTint="66"/>
            <w:vAlign w:val="center"/>
          </w:tcPr>
          <w:p w:rsidR="006B548F" w:rsidRPr="00171BA3" w:rsidRDefault="006B548F" w:rsidP="00DF3538">
            <w:pPr>
              <w:pStyle w:val="cuadroCabe"/>
            </w:pPr>
            <w:r w:rsidRPr="00171BA3">
              <w:t>Total</w:t>
            </w:r>
          </w:p>
        </w:tc>
        <w:tc>
          <w:tcPr>
            <w:tcW w:w="1445" w:type="dxa"/>
            <w:shd w:val="clear" w:color="auto" w:fill="8DB3E2" w:themeFill="text2" w:themeFillTint="66"/>
          </w:tcPr>
          <w:p w:rsidR="006B548F" w:rsidRPr="00171BA3" w:rsidRDefault="000F13D3" w:rsidP="00780AC7">
            <w:pPr>
              <w:pStyle w:val="cuadroCabe"/>
              <w:jc w:val="right"/>
              <w:rPr>
                <w:color w:val="000000"/>
                <w:lang w:val="es-ES" w:eastAsia="es-ES"/>
              </w:rPr>
            </w:pPr>
            <w:r>
              <w:rPr>
                <w:color w:val="000000"/>
                <w:lang w:val="es-ES" w:eastAsia="es-ES"/>
              </w:rPr>
              <w:t>154.395.164</w:t>
            </w:r>
          </w:p>
        </w:tc>
        <w:tc>
          <w:tcPr>
            <w:tcW w:w="1985" w:type="dxa"/>
            <w:shd w:val="clear" w:color="auto" w:fill="8DB3E2" w:themeFill="text2" w:themeFillTint="66"/>
            <w:vAlign w:val="center"/>
          </w:tcPr>
          <w:p w:rsidR="006B548F" w:rsidRPr="00171BA3" w:rsidRDefault="000F13D3" w:rsidP="00780AC7">
            <w:pPr>
              <w:pStyle w:val="cuadroCabe"/>
              <w:jc w:val="right"/>
              <w:rPr>
                <w:color w:val="000000"/>
                <w:lang w:val="es-ES" w:eastAsia="es-ES"/>
              </w:rPr>
            </w:pPr>
            <w:r>
              <w:rPr>
                <w:color w:val="000000"/>
                <w:lang w:val="es-ES" w:eastAsia="es-ES"/>
              </w:rPr>
              <w:t>28.399.405</w:t>
            </w:r>
          </w:p>
        </w:tc>
        <w:tc>
          <w:tcPr>
            <w:tcW w:w="1405" w:type="dxa"/>
            <w:shd w:val="clear" w:color="auto" w:fill="8DB3E2" w:themeFill="text2" w:themeFillTint="66"/>
            <w:vAlign w:val="center"/>
          </w:tcPr>
          <w:p w:rsidR="006B548F" w:rsidRPr="00171BA3" w:rsidRDefault="000F13D3" w:rsidP="00780AC7">
            <w:pPr>
              <w:pStyle w:val="cuadroCabe"/>
              <w:jc w:val="right"/>
              <w:rPr>
                <w:color w:val="000000"/>
                <w:lang w:val="es-ES" w:eastAsia="es-ES"/>
              </w:rPr>
            </w:pPr>
            <w:r>
              <w:rPr>
                <w:color w:val="000000"/>
                <w:lang w:val="es-ES" w:eastAsia="es-ES"/>
              </w:rPr>
              <w:t>100</w:t>
            </w:r>
          </w:p>
        </w:tc>
      </w:tr>
    </w:tbl>
    <w:p w:rsidR="00D75D86" w:rsidRPr="00D75D86" w:rsidRDefault="00D75D86" w:rsidP="00C16593">
      <w:pPr>
        <w:pStyle w:val="texto"/>
        <w:spacing w:before="240" w:after="240"/>
      </w:pPr>
      <w:bookmarkStart w:id="40" w:name="_Toc67394584"/>
      <w:r>
        <w:t>El 57 por ciento del gasto se destinó a personal (16,08 millones), el 28 por ciento a gastos corrientes en bienes y servicios (7,88 millones), el 8 por ciento a inversiones (2,28 millones) y el siete por ciento restante a transferencias c</w:t>
      </w:r>
      <w:r>
        <w:t>o</w:t>
      </w:r>
      <w:r>
        <w:t>rrientes (2,16 millones).</w:t>
      </w:r>
    </w:p>
    <w:p w:rsidR="00D75D86" w:rsidRDefault="00D75D86" w:rsidP="00D75D86">
      <w:pPr>
        <w:pStyle w:val="texto"/>
        <w:spacing w:after="240"/>
      </w:pPr>
      <w:r>
        <w:t>El 65 por ciento del gasto corresponde al Departamento de Salud (18,60 m</w:t>
      </w:r>
      <w:r>
        <w:t>i</w:t>
      </w:r>
      <w:r>
        <w:t>llones, el 27 por ciento al Departamento de Educación (7,69 millones) y el 4 por ciento al Departamento de Derechos Sociales (1,23 millones).</w:t>
      </w:r>
    </w:p>
    <w:p w:rsidR="00D75D86" w:rsidRDefault="00075327" w:rsidP="00D75D86">
      <w:pPr>
        <w:pStyle w:val="texto"/>
        <w:spacing w:after="240"/>
      </w:pPr>
      <w:r>
        <w:t>Por otro lado, la ACFN ha formalizado en este periodo 735 contratos con 563 personas, de los cuales el 50 por ciento se han realizado por el Depart</w:t>
      </w:r>
      <w:r>
        <w:t>a</w:t>
      </w:r>
      <w:r>
        <w:t>mento de Educación (365), el 42 por ciento por el SNS-O (309) y el ocho por ciento restante por la ANADP (61).</w:t>
      </w:r>
    </w:p>
    <w:p w:rsidR="00E52D81" w:rsidRDefault="00E52D81" w:rsidP="00D75D86">
      <w:pPr>
        <w:pStyle w:val="texto"/>
        <w:spacing w:after="240"/>
      </w:pPr>
      <w:r>
        <w:t>En cuanto a los ingresos, está previsto que la ACFN reciba fondos del Estado y de Europa por un importe que a la fecha de redacción de este informe se de</w:t>
      </w:r>
      <w:r>
        <w:t>s</w:t>
      </w:r>
      <w:r>
        <w:t>conoce.</w:t>
      </w:r>
    </w:p>
    <w:p w:rsidR="006B548F" w:rsidRDefault="006B548F" w:rsidP="006B548F">
      <w:pPr>
        <w:pStyle w:val="atitulo2"/>
        <w:spacing w:before="240" w:after="120"/>
        <w:rPr>
          <w:bCs w:val="0"/>
          <w:iCs w:val="0"/>
        </w:rPr>
      </w:pPr>
      <w:bookmarkStart w:id="41" w:name="_Toc69373192"/>
      <w:r w:rsidRPr="00E171FA">
        <w:rPr>
          <w:bCs w:val="0"/>
          <w:iCs w:val="0"/>
        </w:rPr>
        <w:t>IV.</w:t>
      </w:r>
      <w:r>
        <w:rPr>
          <w:bCs w:val="0"/>
          <w:iCs w:val="0"/>
        </w:rPr>
        <w:t>5</w:t>
      </w:r>
      <w:r w:rsidR="002B0800">
        <w:rPr>
          <w:bCs w:val="0"/>
          <w:iCs w:val="0"/>
        </w:rPr>
        <w:t>.</w:t>
      </w:r>
      <w:r w:rsidRPr="00E171FA">
        <w:rPr>
          <w:bCs w:val="0"/>
          <w:iCs w:val="0"/>
        </w:rPr>
        <w:t xml:space="preserve"> </w:t>
      </w:r>
      <w:r>
        <w:rPr>
          <w:bCs w:val="0"/>
          <w:iCs w:val="0"/>
        </w:rPr>
        <w:t>Conclusión final y recomendaciones</w:t>
      </w:r>
      <w:bookmarkEnd w:id="40"/>
      <w:bookmarkEnd w:id="41"/>
    </w:p>
    <w:p w:rsidR="006B548F" w:rsidRDefault="006B548F" w:rsidP="006B548F">
      <w:pPr>
        <w:pStyle w:val="texto"/>
        <w:tabs>
          <w:tab w:val="clear" w:pos="2835"/>
          <w:tab w:val="clear" w:pos="3969"/>
          <w:tab w:val="clear" w:pos="5103"/>
          <w:tab w:val="clear" w:pos="6237"/>
          <w:tab w:val="clear" w:pos="7371"/>
        </w:tabs>
        <w:rPr>
          <w:szCs w:val="26"/>
        </w:rPr>
      </w:pPr>
      <w:r>
        <w:rPr>
          <w:szCs w:val="26"/>
        </w:rPr>
        <w:t xml:space="preserve">En </w:t>
      </w:r>
      <w:r w:rsidRPr="003A6595">
        <w:rPr>
          <w:szCs w:val="26"/>
        </w:rPr>
        <w:t>marzo de 2020</w:t>
      </w:r>
      <w:r>
        <w:rPr>
          <w:szCs w:val="26"/>
        </w:rPr>
        <w:t xml:space="preserve"> la OMS calificó como pandemia internacional la situación de emergencia de salud pública ocasionada por la COVID-19 declarada en enero de ese año,</w:t>
      </w:r>
      <w:r w:rsidRPr="003A6595">
        <w:rPr>
          <w:szCs w:val="26"/>
        </w:rPr>
        <w:t xml:space="preserve"> ya que su propagación </w:t>
      </w:r>
      <w:r>
        <w:rPr>
          <w:szCs w:val="26"/>
        </w:rPr>
        <w:t>suponía</w:t>
      </w:r>
      <w:r w:rsidRPr="003A6595">
        <w:rPr>
          <w:szCs w:val="26"/>
        </w:rPr>
        <w:t xml:space="preserve"> un riesgo para la salud pública de los países y exig</w:t>
      </w:r>
      <w:r>
        <w:rPr>
          <w:szCs w:val="26"/>
        </w:rPr>
        <w:t>ía</w:t>
      </w:r>
      <w:r w:rsidRPr="003A6595">
        <w:rPr>
          <w:szCs w:val="26"/>
        </w:rPr>
        <w:t xml:space="preserve"> u</w:t>
      </w:r>
      <w:r>
        <w:rPr>
          <w:szCs w:val="26"/>
        </w:rPr>
        <w:t>na respuesta internacional coor</w:t>
      </w:r>
      <w:r w:rsidRPr="003A6595">
        <w:rPr>
          <w:szCs w:val="26"/>
        </w:rPr>
        <w:t xml:space="preserve">dinada. </w:t>
      </w:r>
    </w:p>
    <w:p w:rsidR="006B548F" w:rsidRPr="003A6595" w:rsidRDefault="006B548F" w:rsidP="006B548F">
      <w:pPr>
        <w:pStyle w:val="texto"/>
        <w:tabs>
          <w:tab w:val="clear" w:pos="2835"/>
          <w:tab w:val="clear" w:pos="3969"/>
          <w:tab w:val="clear" w:pos="5103"/>
          <w:tab w:val="clear" w:pos="6237"/>
          <w:tab w:val="clear" w:pos="7371"/>
        </w:tabs>
        <w:rPr>
          <w:szCs w:val="26"/>
        </w:rPr>
      </w:pPr>
      <w:r>
        <w:rPr>
          <w:szCs w:val="26"/>
        </w:rPr>
        <w:t>La evolución de esta crisis sanitaria absolutamente desconocida e impredec</w:t>
      </w:r>
      <w:r>
        <w:rPr>
          <w:szCs w:val="26"/>
        </w:rPr>
        <w:t>i</w:t>
      </w:r>
      <w:r>
        <w:rPr>
          <w:szCs w:val="26"/>
        </w:rPr>
        <w:t xml:space="preserve">ble, implicó que la ACFN tuviera que articular un conjunto de medidas </w:t>
      </w:r>
      <w:r w:rsidRPr="003A6595">
        <w:rPr>
          <w:szCs w:val="26"/>
        </w:rPr>
        <w:t>de c</w:t>
      </w:r>
      <w:r w:rsidRPr="003A6595">
        <w:rPr>
          <w:szCs w:val="26"/>
        </w:rPr>
        <w:t>a</w:t>
      </w:r>
      <w:r w:rsidRPr="003A6595">
        <w:rPr>
          <w:szCs w:val="26"/>
        </w:rPr>
        <w:t>rácter extraordinario y urgent</w:t>
      </w:r>
      <w:r>
        <w:rPr>
          <w:szCs w:val="26"/>
        </w:rPr>
        <w:t>e por motivos de salud pública en un espacio co</w:t>
      </w:r>
      <w:r>
        <w:rPr>
          <w:szCs w:val="26"/>
        </w:rPr>
        <w:t>r</w:t>
      </w:r>
      <w:r>
        <w:rPr>
          <w:szCs w:val="26"/>
        </w:rPr>
        <w:t xml:space="preserve">to de tiempo, primando ante todo la atención de las personas. </w:t>
      </w:r>
    </w:p>
    <w:p w:rsidR="006B548F" w:rsidRPr="00075327" w:rsidRDefault="006B548F" w:rsidP="006B548F">
      <w:pPr>
        <w:pStyle w:val="texto"/>
      </w:pPr>
      <w:r>
        <w:lastRenderedPageBreak/>
        <w:t>La adopción de estas medidas conllevó un gasto significativo que en el p</w:t>
      </w:r>
      <w:r>
        <w:t>e</w:t>
      </w:r>
      <w:r>
        <w:t>riodo marzo 2020-diciembre de 2020 ascendió aproximadamente a 225 mill</w:t>
      </w:r>
      <w:r>
        <w:t>o</w:t>
      </w:r>
      <w:r>
        <w:t>nes y supuso la contratación de 3.407 personas. La ACFN recibió del Estado en este periodo 187,1 millones. La crisis sanitaria aún no ha finalizado y continúa precisando de una cantidad significativa de recursos públicos habiendo contab</w:t>
      </w:r>
      <w:r>
        <w:t>i</w:t>
      </w:r>
      <w:r>
        <w:t xml:space="preserve">lizado un gasto en el presupuesto de 2021 </w:t>
      </w:r>
      <w:r w:rsidRPr="00075327">
        <w:t xml:space="preserve">hasta </w:t>
      </w:r>
      <w:r w:rsidR="00075327" w:rsidRPr="00075327">
        <w:t>marzo</w:t>
      </w:r>
      <w:r w:rsidRPr="00075327">
        <w:t xml:space="preserve"> de </w:t>
      </w:r>
      <w:r w:rsidR="00075327" w:rsidRPr="00075327">
        <w:t>28,40 millones</w:t>
      </w:r>
      <w:r w:rsidRPr="00075327">
        <w:t>.</w:t>
      </w:r>
    </w:p>
    <w:p w:rsidR="006B548F" w:rsidRPr="00075327" w:rsidRDefault="006B548F" w:rsidP="006B548F">
      <w:pPr>
        <w:pStyle w:val="texto"/>
      </w:pPr>
      <w:r>
        <w:t>Hemos revisado la legalidad de los contratos de personal, de bienes corrie</w:t>
      </w:r>
      <w:r>
        <w:t>n</w:t>
      </w:r>
      <w:r>
        <w:t>tes y servicios y de inversiones, así como de las subvenciones tramitadas en el periodo marzo-diciembre de 2020</w:t>
      </w:r>
      <w:r w:rsidR="009F4BED">
        <w:t xml:space="preserve">. La conclusión es </w:t>
      </w:r>
      <w:r>
        <w:t>que, salvo excepciones, los procedimientos se han realizado de acuerdo a la normativa aplicable que se aprobó considerando la situación extraordinaria a la que la ACFN se enfrent</w:t>
      </w:r>
      <w:r>
        <w:t>a</w:t>
      </w:r>
      <w:r>
        <w:t>ba. En cuanto a la eficacia y eficiencia, solo se ha podido revisar el caso de los conciertos sanitarios en el que podemos concluir que se han aplicado estos principios de buena gestión</w:t>
      </w:r>
      <w:r w:rsidR="00075327">
        <w:t>.</w:t>
      </w:r>
    </w:p>
    <w:p w:rsidR="006B548F" w:rsidRPr="002552C4" w:rsidRDefault="008039BF" w:rsidP="006B548F">
      <w:pPr>
        <w:pStyle w:val="texto"/>
      </w:pPr>
      <w:r>
        <w:t xml:space="preserve">La </w:t>
      </w:r>
      <w:r w:rsidR="006B548F">
        <w:t xml:space="preserve">Cámara </w:t>
      </w:r>
      <w:r>
        <w:t xml:space="preserve">de Comptos </w:t>
      </w:r>
      <w:r w:rsidR="006B548F">
        <w:t>considera que, hasta la fecha de redacción de este i</w:t>
      </w:r>
      <w:r w:rsidR="006B548F">
        <w:t>n</w:t>
      </w:r>
      <w:r w:rsidR="006B548F">
        <w:t>forme, la ACFN ha gestionado de manera razonable la crisis sanitaria</w:t>
      </w:r>
      <w:r>
        <w:t xml:space="preserve"> en lo r</w:t>
      </w:r>
      <w:r>
        <w:t>e</w:t>
      </w:r>
      <w:r>
        <w:t xml:space="preserve">ferido a contratación de personal, </w:t>
      </w:r>
      <w:r w:rsidR="007A361A">
        <w:t xml:space="preserve">obras, </w:t>
      </w:r>
      <w:r>
        <w:t>compra de suministros y concesión de subvenciones;</w:t>
      </w:r>
      <w:r w:rsidR="006B548F">
        <w:t xml:space="preserve"> no </w:t>
      </w:r>
      <w:r>
        <w:t>obstante,</w:t>
      </w:r>
      <w:r w:rsidR="006B548F">
        <w:t xml:space="preserve"> la crisis sanitaria, social y económica producida por la COVID-19 no ha finalizado y esto implica que la ACFN deberá seguir ado</w:t>
      </w:r>
      <w:r w:rsidR="006B548F">
        <w:t>p</w:t>
      </w:r>
      <w:r w:rsidR="006B548F">
        <w:t>tando medidas que tendrán repercusión y efectos en el presupuesto.</w:t>
      </w:r>
    </w:p>
    <w:p w:rsidR="006B548F" w:rsidRPr="002552C4" w:rsidRDefault="006B548F" w:rsidP="006B548F">
      <w:pPr>
        <w:pStyle w:val="texto"/>
      </w:pPr>
      <w:r>
        <w:t>Teniendo en cuenta las conclusiones alcanzadas en nuestro trabajo</w:t>
      </w:r>
      <w:r w:rsidRPr="002552C4">
        <w:t xml:space="preserve"> recome</w:t>
      </w:r>
      <w:r w:rsidRPr="002552C4">
        <w:t>n</w:t>
      </w:r>
      <w:r w:rsidRPr="002552C4">
        <w:t xml:space="preserve">damos: </w:t>
      </w:r>
    </w:p>
    <w:p w:rsidR="006B548F" w:rsidRDefault="006B548F" w:rsidP="006532FD">
      <w:pPr>
        <w:pStyle w:val="texto"/>
        <w:numPr>
          <w:ilvl w:val="0"/>
          <w:numId w:val="10"/>
        </w:numPr>
        <w:tabs>
          <w:tab w:val="clear" w:pos="2835"/>
          <w:tab w:val="clear" w:pos="3969"/>
          <w:tab w:val="clear" w:pos="5103"/>
          <w:tab w:val="clear" w:pos="6237"/>
          <w:tab w:val="clear" w:pos="7371"/>
          <w:tab w:val="left" w:pos="567"/>
        </w:tabs>
        <w:ind w:left="0" w:firstLine="284"/>
        <w:rPr>
          <w:i/>
          <w:szCs w:val="26"/>
        </w:rPr>
      </w:pPr>
      <w:r w:rsidRPr="006532FD">
        <w:rPr>
          <w:i/>
          <w:szCs w:val="26"/>
        </w:rPr>
        <w:t>Articular procedimientos factibles de verificación de los requisitos exig</w:t>
      </w:r>
      <w:r w:rsidRPr="006532FD">
        <w:rPr>
          <w:i/>
          <w:szCs w:val="26"/>
        </w:rPr>
        <w:t>i</w:t>
      </w:r>
      <w:r w:rsidRPr="006532FD">
        <w:rPr>
          <w:i/>
          <w:szCs w:val="26"/>
        </w:rPr>
        <w:t>dos para ser beneficiario de ayudas</w:t>
      </w:r>
      <w:r w:rsidRPr="00CC3095">
        <w:rPr>
          <w:i/>
          <w:szCs w:val="26"/>
        </w:rPr>
        <w:t xml:space="preserve">. </w:t>
      </w:r>
    </w:p>
    <w:p w:rsidR="006B548F" w:rsidRDefault="006B548F" w:rsidP="006532FD">
      <w:pPr>
        <w:pStyle w:val="texto"/>
        <w:numPr>
          <w:ilvl w:val="0"/>
          <w:numId w:val="10"/>
        </w:numPr>
        <w:tabs>
          <w:tab w:val="clear" w:pos="2835"/>
          <w:tab w:val="clear" w:pos="3969"/>
          <w:tab w:val="clear" w:pos="5103"/>
          <w:tab w:val="clear" w:pos="6237"/>
          <w:tab w:val="clear" w:pos="7371"/>
          <w:tab w:val="left" w:pos="567"/>
        </w:tabs>
        <w:ind w:left="0" w:firstLine="284"/>
        <w:rPr>
          <w:i/>
          <w:szCs w:val="26"/>
        </w:rPr>
      </w:pPr>
      <w:r>
        <w:rPr>
          <w:i/>
          <w:szCs w:val="26"/>
        </w:rPr>
        <w:t xml:space="preserve">Verificar </w:t>
      </w:r>
      <w:r w:rsidR="001D6078">
        <w:rPr>
          <w:i/>
          <w:szCs w:val="26"/>
        </w:rPr>
        <w:t xml:space="preserve">en una muestra de centros </w:t>
      </w:r>
      <w:proofErr w:type="spellStart"/>
      <w:r w:rsidR="001D6078">
        <w:rPr>
          <w:i/>
          <w:szCs w:val="26"/>
        </w:rPr>
        <w:t>sociosanitarios</w:t>
      </w:r>
      <w:proofErr w:type="spellEnd"/>
      <w:r w:rsidR="001D6078">
        <w:rPr>
          <w:i/>
          <w:szCs w:val="26"/>
        </w:rPr>
        <w:t xml:space="preserve"> </w:t>
      </w:r>
      <w:r>
        <w:rPr>
          <w:i/>
          <w:szCs w:val="26"/>
        </w:rPr>
        <w:t xml:space="preserve">la </w:t>
      </w:r>
      <w:r w:rsidR="001D6078">
        <w:rPr>
          <w:i/>
          <w:szCs w:val="26"/>
        </w:rPr>
        <w:t>justificación</w:t>
      </w:r>
      <w:r>
        <w:rPr>
          <w:i/>
          <w:szCs w:val="26"/>
        </w:rPr>
        <w:t xml:space="preserve"> de </w:t>
      </w:r>
      <w:r w:rsidRPr="00CC3095">
        <w:rPr>
          <w:i/>
          <w:szCs w:val="26"/>
        </w:rPr>
        <w:t xml:space="preserve">los </w:t>
      </w:r>
      <w:r>
        <w:rPr>
          <w:i/>
          <w:szCs w:val="26"/>
        </w:rPr>
        <w:t>gastos extraordinarios</w:t>
      </w:r>
      <w:r w:rsidR="002E118B">
        <w:rPr>
          <w:i/>
          <w:szCs w:val="26"/>
        </w:rPr>
        <w:t xml:space="preserve"> de personal</w:t>
      </w:r>
      <w:r w:rsidRPr="00CC3095">
        <w:rPr>
          <w:i/>
          <w:szCs w:val="26"/>
        </w:rPr>
        <w:t xml:space="preserve"> </w:t>
      </w:r>
      <w:r>
        <w:rPr>
          <w:i/>
          <w:szCs w:val="26"/>
        </w:rPr>
        <w:t xml:space="preserve">remitidos </w:t>
      </w:r>
      <w:r w:rsidR="001D6078">
        <w:rPr>
          <w:i/>
          <w:szCs w:val="26"/>
        </w:rPr>
        <w:t>a la ANADP.</w:t>
      </w:r>
    </w:p>
    <w:p w:rsidR="006B548F" w:rsidRDefault="006B548F" w:rsidP="006532FD">
      <w:pPr>
        <w:pStyle w:val="texto"/>
        <w:numPr>
          <w:ilvl w:val="0"/>
          <w:numId w:val="10"/>
        </w:numPr>
        <w:tabs>
          <w:tab w:val="clear" w:pos="2835"/>
          <w:tab w:val="clear" w:pos="3969"/>
          <w:tab w:val="clear" w:pos="5103"/>
          <w:tab w:val="clear" w:pos="6237"/>
          <w:tab w:val="clear" w:pos="7371"/>
          <w:tab w:val="left" w:pos="567"/>
        </w:tabs>
        <w:ind w:left="0" w:firstLine="284"/>
        <w:rPr>
          <w:i/>
          <w:szCs w:val="26"/>
        </w:rPr>
      </w:pPr>
      <w:r>
        <w:rPr>
          <w:i/>
          <w:szCs w:val="26"/>
        </w:rPr>
        <w:t>Formalizar todos los expedientes de contratación tramitados por eme</w:t>
      </w:r>
      <w:r>
        <w:rPr>
          <w:i/>
          <w:szCs w:val="26"/>
        </w:rPr>
        <w:t>r</w:t>
      </w:r>
      <w:r>
        <w:rPr>
          <w:i/>
          <w:szCs w:val="26"/>
        </w:rPr>
        <w:t>gencia y publicarlos en el Portal de Contratación.</w:t>
      </w:r>
    </w:p>
    <w:p w:rsidR="00392C6B" w:rsidRDefault="00392C6B" w:rsidP="00392C6B">
      <w:pPr>
        <w:pStyle w:val="texto"/>
        <w:tabs>
          <w:tab w:val="clear" w:pos="2835"/>
          <w:tab w:val="clear" w:pos="3969"/>
          <w:tab w:val="clear" w:pos="5103"/>
          <w:tab w:val="clear" w:pos="6237"/>
          <w:tab w:val="clear" w:pos="7371"/>
          <w:tab w:val="left" w:pos="567"/>
        </w:tabs>
        <w:rPr>
          <w:i/>
          <w:szCs w:val="26"/>
        </w:rPr>
      </w:pPr>
    </w:p>
    <w:p w:rsidR="006B548F" w:rsidRDefault="00392C6B" w:rsidP="00392C6B">
      <w:pPr>
        <w:pStyle w:val="texto"/>
      </w:pPr>
      <w:r w:rsidRPr="00392C6B">
        <w:t>Informe que se emite a propuesta de la auditora Karen Moreno Orduña, re</w:t>
      </w:r>
      <w:r w:rsidRPr="00392C6B">
        <w:t>s</w:t>
      </w:r>
      <w:r w:rsidRPr="00392C6B">
        <w:t>ponsable de la realización de este trabajo, una vez cumplimentados los trámites previstos por la normativa vigente.</w:t>
      </w:r>
    </w:p>
    <w:p w:rsidR="006B548F" w:rsidRPr="00E732C8" w:rsidRDefault="006B548F" w:rsidP="00B12809">
      <w:pPr>
        <w:pStyle w:val="texto"/>
        <w:ind w:firstLine="0"/>
        <w:jc w:val="center"/>
      </w:pPr>
      <w:r w:rsidRPr="00E732C8">
        <w:t xml:space="preserve">Pamplona, a </w:t>
      </w:r>
      <w:r w:rsidR="00B12809">
        <w:t>16</w:t>
      </w:r>
      <w:r>
        <w:t xml:space="preserve"> de </w:t>
      </w:r>
      <w:r w:rsidR="00B12809">
        <w:t>abril</w:t>
      </w:r>
      <w:r>
        <w:t xml:space="preserve"> de 2021</w:t>
      </w:r>
    </w:p>
    <w:p w:rsidR="006B548F" w:rsidRDefault="004A49A4" w:rsidP="00B12809">
      <w:pPr>
        <w:pStyle w:val="texto"/>
        <w:ind w:firstLine="0"/>
        <w:jc w:val="center"/>
        <w:sectPr w:rsidR="006B548F" w:rsidSect="00D2472C">
          <w:headerReference w:type="even" r:id="rId15"/>
          <w:footerReference w:type="default" r:id="rId16"/>
          <w:type w:val="oddPage"/>
          <w:pgSz w:w="11907" w:h="16840" w:code="9"/>
          <w:pgMar w:top="2109" w:right="1559" w:bottom="1644" w:left="1559" w:header="369" w:footer="136" w:gutter="0"/>
          <w:pgNumType w:start="3"/>
          <w:cols w:space="720"/>
          <w:docGrid w:linePitch="360"/>
        </w:sectPr>
      </w:pPr>
      <w:r>
        <w:t>La presidenta</w:t>
      </w:r>
      <w:r w:rsidR="002A78B6">
        <w:t>, Asunción Olaechea Estanga</w:t>
      </w:r>
    </w:p>
    <w:p w:rsidR="00392C6B" w:rsidRDefault="00392C6B" w:rsidP="00392C6B">
      <w:pPr>
        <w:pStyle w:val="texto"/>
        <w:jc w:val="center"/>
      </w:pPr>
      <w:bookmarkStart w:id="42" w:name="_Toc59453089"/>
      <w:bookmarkStart w:id="43" w:name="_Toc67394585"/>
      <w:bookmarkStart w:id="44" w:name="_Toc69373193"/>
      <w:bookmarkStart w:id="45" w:name="_Toc511912038"/>
    </w:p>
    <w:p w:rsidR="00392C6B" w:rsidRDefault="00392C6B" w:rsidP="00392C6B">
      <w:pPr>
        <w:pStyle w:val="atitulo1"/>
        <w:jc w:val="right"/>
        <w:rPr>
          <w:rFonts w:eastAsiaTheme="minorHAnsi"/>
          <w:sz w:val="36"/>
          <w:szCs w:val="36"/>
        </w:rPr>
      </w:pPr>
    </w:p>
    <w:p w:rsidR="00392C6B" w:rsidRDefault="00392C6B" w:rsidP="00392C6B">
      <w:pPr>
        <w:pStyle w:val="atitulo1"/>
        <w:jc w:val="right"/>
        <w:rPr>
          <w:rFonts w:eastAsiaTheme="minorHAnsi"/>
          <w:sz w:val="36"/>
          <w:szCs w:val="36"/>
        </w:rPr>
      </w:pPr>
    </w:p>
    <w:p w:rsidR="00392C6B" w:rsidRDefault="00392C6B" w:rsidP="00392C6B">
      <w:pPr>
        <w:pStyle w:val="atitulo1"/>
        <w:jc w:val="right"/>
        <w:rPr>
          <w:rFonts w:eastAsiaTheme="minorHAnsi"/>
          <w:sz w:val="36"/>
          <w:szCs w:val="36"/>
        </w:rPr>
      </w:pPr>
      <w:bookmarkStart w:id="46" w:name="_Toc66949899"/>
      <w:r w:rsidRPr="00EC14AE">
        <w:rPr>
          <w:rFonts w:eastAsiaTheme="minorHAnsi"/>
          <w:sz w:val="36"/>
          <w:szCs w:val="36"/>
        </w:rPr>
        <w:t>Anexos</w:t>
      </w:r>
      <w:bookmarkEnd w:id="46"/>
    </w:p>
    <w:p w:rsidR="00392C6B" w:rsidRDefault="00392C6B">
      <w:pPr>
        <w:spacing w:after="0"/>
        <w:ind w:firstLine="0"/>
        <w:jc w:val="left"/>
        <w:rPr>
          <w:rFonts w:ascii="Arial" w:hAnsi="Arial"/>
          <w:b/>
          <w:color w:val="000000"/>
          <w:kern w:val="28"/>
          <w:sz w:val="25"/>
          <w:szCs w:val="26"/>
        </w:rPr>
      </w:pPr>
      <w:r>
        <w:br w:type="page"/>
      </w:r>
    </w:p>
    <w:p w:rsidR="00811A5F" w:rsidRDefault="00811A5F" w:rsidP="00811A5F">
      <w:pPr>
        <w:pStyle w:val="atitulo1"/>
      </w:pPr>
      <w:r w:rsidRPr="003D60A6">
        <w:lastRenderedPageBreak/>
        <w:t xml:space="preserve">Anexo 1. </w:t>
      </w:r>
      <w:r>
        <w:t>Marco normativo básico aplicable a la gestión de la COVID-19 en Navarra</w:t>
      </w:r>
      <w:bookmarkEnd w:id="42"/>
      <w:bookmarkEnd w:id="43"/>
      <w:bookmarkEnd w:id="44"/>
    </w:p>
    <w:p w:rsidR="00811A5F" w:rsidRPr="002B0800" w:rsidRDefault="00811A5F" w:rsidP="00811A5F">
      <w:pPr>
        <w:pStyle w:val="texto"/>
        <w:numPr>
          <w:ilvl w:val="0"/>
          <w:numId w:val="15"/>
        </w:numPr>
        <w:ind w:left="426" w:hanging="426"/>
        <w:rPr>
          <w:rFonts w:ascii="Arial" w:hAnsi="Arial" w:cs="Arial"/>
          <w:color w:val="000000"/>
          <w:sz w:val="24"/>
        </w:rPr>
      </w:pPr>
      <w:r w:rsidRPr="002B0800">
        <w:rPr>
          <w:rFonts w:ascii="Arial" w:hAnsi="Arial" w:cs="Arial"/>
          <w:sz w:val="24"/>
        </w:rPr>
        <w:t>Orden Foral 347E/2017, de 23 de marzo, del Consejero de Salud, por la que se aprueban las normas de gestión de las listas de aspirantes a la contratación temporal en los centros y establecimientos de los organismos autónomos adscritos al Departamento de Salud.</w:t>
      </w:r>
    </w:p>
    <w:p w:rsidR="00811A5F" w:rsidRPr="002B0800" w:rsidRDefault="00811A5F" w:rsidP="00811A5F">
      <w:pPr>
        <w:pStyle w:val="texto"/>
        <w:numPr>
          <w:ilvl w:val="0"/>
          <w:numId w:val="15"/>
        </w:numPr>
        <w:ind w:left="426" w:hanging="426"/>
        <w:rPr>
          <w:rFonts w:ascii="Arial" w:hAnsi="Arial" w:cs="Arial"/>
          <w:color w:val="000000"/>
          <w:sz w:val="24"/>
        </w:rPr>
      </w:pPr>
      <w:r w:rsidRPr="002B0800">
        <w:rPr>
          <w:rFonts w:ascii="Arial" w:hAnsi="Arial" w:cs="Arial"/>
          <w:color w:val="000000"/>
          <w:sz w:val="24"/>
        </w:rPr>
        <w:t>Instrucción 9/2020, de 13 de marzo de 2020, del Director Gerente del Servicio Navarro de Salud-</w:t>
      </w:r>
      <w:proofErr w:type="spellStart"/>
      <w:r w:rsidRPr="002B0800">
        <w:rPr>
          <w:rFonts w:ascii="Arial" w:hAnsi="Arial" w:cs="Arial"/>
          <w:color w:val="000000"/>
          <w:sz w:val="24"/>
        </w:rPr>
        <w:t>Osasunbidea</w:t>
      </w:r>
      <w:proofErr w:type="spellEnd"/>
      <w:r w:rsidRPr="002B0800">
        <w:rPr>
          <w:rFonts w:ascii="Arial" w:hAnsi="Arial" w:cs="Arial"/>
          <w:color w:val="000000"/>
          <w:sz w:val="24"/>
        </w:rPr>
        <w:t>, sobre medidas a adoptar en los centros de trabajo del Servicio Navarro de Salud-</w:t>
      </w:r>
      <w:proofErr w:type="spellStart"/>
      <w:r w:rsidRPr="002B0800">
        <w:rPr>
          <w:rFonts w:ascii="Arial" w:hAnsi="Arial" w:cs="Arial"/>
          <w:color w:val="000000"/>
          <w:sz w:val="24"/>
        </w:rPr>
        <w:t>Osasunbidea</w:t>
      </w:r>
      <w:proofErr w:type="spellEnd"/>
      <w:r w:rsidRPr="002B0800">
        <w:rPr>
          <w:rFonts w:ascii="Arial" w:hAnsi="Arial" w:cs="Arial"/>
          <w:color w:val="000000"/>
          <w:sz w:val="24"/>
        </w:rPr>
        <w:t>, con mot</w:t>
      </w:r>
      <w:r w:rsidRPr="002B0800">
        <w:rPr>
          <w:rFonts w:ascii="Arial" w:hAnsi="Arial" w:cs="Arial"/>
          <w:color w:val="000000"/>
          <w:sz w:val="24"/>
        </w:rPr>
        <w:t>i</w:t>
      </w:r>
      <w:r w:rsidRPr="002B0800">
        <w:rPr>
          <w:rFonts w:ascii="Arial" w:hAnsi="Arial" w:cs="Arial"/>
          <w:color w:val="000000"/>
          <w:sz w:val="24"/>
        </w:rPr>
        <w:t>vo del brote de COVID-19.</w:t>
      </w:r>
    </w:p>
    <w:p w:rsidR="00811A5F" w:rsidRPr="002B0800" w:rsidRDefault="00811A5F" w:rsidP="00811A5F">
      <w:pPr>
        <w:pStyle w:val="texto"/>
        <w:numPr>
          <w:ilvl w:val="0"/>
          <w:numId w:val="15"/>
        </w:numPr>
        <w:ind w:left="426" w:hanging="426"/>
        <w:rPr>
          <w:rFonts w:ascii="Arial" w:hAnsi="Arial" w:cs="Arial"/>
          <w:color w:val="000000"/>
          <w:sz w:val="24"/>
        </w:rPr>
      </w:pPr>
      <w:r w:rsidRPr="002B0800">
        <w:rPr>
          <w:rFonts w:ascii="Arial" w:hAnsi="Arial" w:cs="Arial"/>
          <w:color w:val="000000"/>
          <w:sz w:val="24"/>
        </w:rPr>
        <w:t>Orden SND/232/2020, de 15 de marzo, por la que se adoptan medidas en materia de recursos humanos y medios para la gestión de la situación de crisis sanitaria ocasionada por el COVID-19.</w:t>
      </w:r>
    </w:p>
    <w:p w:rsidR="00811A5F" w:rsidRPr="002B0800" w:rsidRDefault="00811A5F" w:rsidP="00811A5F">
      <w:pPr>
        <w:pStyle w:val="texto"/>
        <w:numPr>
          <w:ilvl w:val="0"/>
          <w:numId w:val="15"/>
        </w:numPr>
        <w:ind w:left="426" w:hanging="426"/>
        <w:rPr>
          <w:rFonts w:ascii="Arial" w:hAnsi="Arial" w:cs="Arial"/>
          <w:color w:val="000000"/>
          <w:sz w:val="24"/>
        </w:rPr>
      </w:pPr>
      <w:r w:rsidRPr="002B0800">
        <w:rPr>
          <w:rFonts w:ascii="Arial" w:hAnsi="Arial" w:cs="Arial"/>
          <w:color w:val="000000"/>
          <w:sz w:val="24"/>
        </w:rPr>
        <w:t>Decreto-Ley Foral 1/2020, de 18 de marzo, por el que se aprueban med</w:t>
      </w:r>
      <w:r w:rsidRPr="002B0800">
        <w:rPr>
          <w:rFonts w:ascii="Arial" w:hAnsi="Arial" w:cs="Arial"/>
          <w:color w:val="000000"/>
          <w:sz w:val="24"/>
        </w:rPr>
        <w:t>i</w:t>
      </w:r>
      <w:r w:rsidRPr="002B0800">
        <w:rPr>
          <w:rFonts w:ascii="Arial" w:hAnsi="Arial" w:cs="Arial"/>
          <w:color w:val="000000"/>
          <w:sz w:val="24"/>
        </w:rPr>
        <w:t>das urgentes para responder al impacto generado por la crisis sanitaria del coronavirus (COVID-19).</w:t>
      </w:r>
    </w:p>
    <w:p w:rsidR="00811A5F" w:rsidRPr="002B0800" w:rsidRDefault="00811A5F" w:rsidP="00811A5F">
      <w:pPr>
        <w:pStyle w:val="texto"/>
        <w:numPr>
          <w:ilvl w:val="0"/>
          <w:numId w:val="15"/>
        </w:numPr>
        <w:ind w:left="426" w:hanging="426"/>
        <w:rPr>
          <w:rFonts w:ascii="Arial" w:hAnsi="Arial" w:cs="Arial"/>
          <w:color w:val="000000"/>
          <w:sz w:val="24"/>
        </w:rPr>
      </w:pPr>
      <w:r w:rsidRPr="002B0800">
        <w:rPr>
          <w:rFonts w:ascii="Arial" w:hAnsi="Arial" w:cs="Arial"/>
          <w:color w:val="000000"/>
          <w:sz w:val="24"/>
        </w:rPr>
        <w:t>Ley Foral 6/2020, de 6 de abril, por la que se aprueban medidas urgentes para responder al impacto generado por la crisis sanitaria del coronavirus (COVID-19).</w:t>
      </w:r>
    </w:p>
    <w:p w:rsidR="00811A5F" w:rsidRPr="002B0800" w:rsidRDefault="00811A5F" w:rsidP="00811A5F">
      <w:pPr>
        <w:pStyle w:val="texto"/>
        <w:numPr>
          <w:ilvl w:val="0"/>
          <w:numId w:val="15"/>
        </w:numPr>
        <w:ind w:left="426" w:hanging="426"/>
        <w:rPr>
          <w:rFonts w:ascii="Arial" w:hAnsi="Arial" w:cs="Arial"/>
          <w:color w:val="000000"/>
          <w:sz w:val="24"/>
        </w:rPr>
      </w:pPr>
      <w:r w:rsidRPr="002B0800">
        <w:rPr>
          <w:rFonts w:ascii="Arial" w:hAnsi="Arial" w:cs="Arial"/>
          <w:color w:val="000000"/>
          <w:sz w:val="24"/>
        </w:rPr>
        <w:t>Ley Foral 7/2020, de 6 de abril, por la que se aprueban medidas urgentes para responder al impacto generado por la crisis sanitaria del coronavirus (COVID-19).</w:t>
      </w:r>
    </w:p>
    <w:p w:rsidR="00811A5F" w:rsidRPr="002B0800" w:rsidRDefault="00811A5F" w:rsidP="00811A5F">
      <w:pPr>
        <w:pStyle w:val="texto"/>
        <w:numPr>
          <w:ilvl w:val="0"/>
          <w:numId w:val="15"/>
        </w:numPr>
        <w:ind w:left="426" w:hanging="426"/>
        <w:rPr>
          <w:rFonts w:ascii="Arial" w:hAnsi="Arial" w:cs="Arial"/>
          <w:color w:val="000000"/>
          <w:sz w:val="24"/>
        </w:rPr>
      </w:pPr>
      <w:r w:rsidRPr="002B0800">
        <w:rPr>
          <w:rFonts w:ascii="Arial" w:hAnsi="Arial" w:cs="Arial"/>
          <w:color w:val="000000"/>
          <w:sz w:val="24"/>
        </w:rPr>
        <w:t>Resolución 284E/2020, de 6 de abril, del Director Gerente del Servicio Navarro de Salud-</w:t>
      </w:r>
      <w:proofErr w:type="spellStart"/>
      <w:r w:rsidRPr="002B0800">
        <w:rPr>
          <w:rFonts w:ascii="Arial" w:hAnsi="Arial" w:cs="Arial"/>
          <w:color w:val="000000"/>
          <w:sz w:val="24"/>
        </w:rPr>
        <w:t>Osasunbidea</w:t>
      </w:r>
      <w:proofErr w:type="spellEnd"/>
      <w:r w:rsidRPr="002B0800">
        <w:rPr>
          <w:rFonts w:ascii="Arial" w:hAnsi="Arial" w:cs="Arial"/>
          <w:color w:val="000000"/>
          <w:sz w:val="24"/>
        </w:rPr>
        <w:t>, por la que se determina el complemento de productividad COVID-19, por prolongación de jornada para el personal adscrito al Servicio Navarro de Salud-</w:t>
      </w:r>
      <w:proofErr w:type="spellStart"/>
      <w:r w:rsidRPr="002B0800">
        <w:rPr>
          <w:rFonts w:ascii="Arial" w:hAnsi="Arial" w:cs="Arial"/>
          <w:color w:val="000000"/>
          <w:sz w:val="24"/>
        </w:rPr>
        <w:t>Osasunbidea</w:t>
      </w:r>
      <w:proofErr w:type="spellEnd"/>
      <w:r w:rsidRPr="002B0800">
        <w:rPr>
          <w:rFonts w:ascii="Arial" w:hAnsi="Arial" w:cs="Arial"/>
          <w:color w:val="000000"/>
          <w:sz w:val="24"/>
        </w:rPr>
        <w:t>, con motivo de la cr</w:t>
      </w:r>
      <w:r w:rsidRPr="002B0800">
        <w:rPr>
          <w:rFonts w:ascii="Arial" w:hAnsi="Arial" w:cs="Arial"/>
          <w:color w:val="000000"/>
          <w:sz w:val="24"/>
        </w:rPr>
        <w:t>i</w:t>
      </w:r>
      <w:r w:rsidRPr="002B0800">
        <w:rPr>
          <w:rFonts w:ascii="Arial" w:hAnsi="Arial" w:cs="Arial"/>
          <w:color w:val="000000"/>
          <w:sz w:val="24"/>
        </w:rPr>
        <w:t>sis sanitaria ocasionada por el COVID-19.</w:t>
      </w:r>
    </w:p>
    <w:p w:rsidR="00811A5F" w:rsidRPr="002B0800" w:rsidRDefault="00811A5F" w:rsidP="00811A5F">
      <w:pPr>
        <w:pStyle w:val="texto"/>
        <w:numPr>
          <w:ilvl w:val="0"/>
          <w:numId w:val="15"/>
        </w:numPr>
        <w:ind w:left="426" w:hanging="426"/>
        <w:rPr>
          <w:rFonts w:ascii="Arial" w:hAnsi="Arial" w:cs="Arial"/>
          <w:color w:val="000000"/>
          <w:sz w:val="24"/>
        </w:rPr>
      </w:pPr>
      <w:r w:rsidRPr="002B0800">
        <w:rPr>
          <w:rFonts w:ascii="Arial" w:hAnsi="Arial" w:cs="Arial"/>
          <w:color w:val="000000"/>
          <w:sz w:val="24"/>
        </w:rPr>
        <w:t>Ley Foral 10/2020, de 8 de abril, por la que se modifica la Ley Foral 5/2020, de 4 de marzo, de Presupuestos Generales de Navarra para el año 2020.</w:t>
      </w:r>
    </w:p>
    <w:p w:rsidR="00811A5F" w:rsidRPr="002B0800" w:rsidRDefault="00811A5F" w:rsidP="00811A5F">
      <w:pPr>
        <w:pStyle w:val="texto"/>
        <w:numPr>
          <w:ilvl w:val="0"/>
          <w:numId w:val="15"/>
        </w:numPr>
        <w:ind w:left="426" w:hanging="426"/>
        <w:rPr>
          <w:rFonts w:ascii="Arial" w:hAnsi="Arial" w:cs="Arial"/>
          <w:color w:val="000000"/>
          <w:sz w:val="24"/>
        </w:rPr>
      </w:pPr>
      <w:r w:rsidRPr="002B0800">
        <w:rPr>
          <w:rFonts w:ascii="Arial" w:hAnsi="Arial" w:cs="Arial"/>
          <w:color w:val="000000"/>
          <w:sz w:val="24"/>
        </w:rPr>
        <w:t>Orden Foral 37/2020, de 8 de abril, del Consejero de Educación, por la que se aprueban las normas de gestión de las relaciones de aspirantes al desempeño, mediante contratación temporal, de puestos de trabajo d</w:t>
      </w:r>
      <w:r w:rsidRPr="002B0800">
        <w:rPr>
          <w:rFonts w:ascii="Arial" w:hAnsi="Arial" w:cs="Arial"/>
          <w:color w:val="000000"/>
          <w:sz w:val="24"/>
        </w:rPr>
        <w:t>o</w:t>
      </w:r>
      <w:r w:rsidRPr="002B0800">
        <w:rPr>
          <w:rFonts w:ascii="Arial" w:hAnsi="Arial" w:cs="Arial"/>
          <w:color w:val="000000"/>
          <w:sz w:val="24"/>
        </w:rPr>
        <w:t>centes al servicio del Departamento de Educación.</w:t>
      </w:r>
    </w:p>
    <w:p w:rsidR="00811A5F" w:rsidRPr="002B0800" w:rsidRDefault="00811A5F" w:rsidP="00811A5F">
      <w:pPr>
        <w:pStyle w:val="texto"/>
        <w:numPr>
          <w:ilvl w:val="0"/>
          <w:numId w:val="15"/>
        </w:numPr>
        <w:ind w:left="426" w:hanging="426"/>
        <w:rPr>
          <w:rFonts w:ascii="Arial" w:hAnsi="Arial" w:cs="Arial"/>
          <w:color w:val="000000"/>
          <w:sz w:val="24"/>
        </w:rPr>
      </w:pPr>
      <w:r w:rsidRPr="002B0800">
        <w:rPr>
          <w:rFonts w:ascii="Arial" w:hAnsi="Arial" w:cs="Arial"/>
          <w:color w:val="000000"/>
          <w:sz w:val="24"/>
        </w:rPr>
        <w:t>Decreto-Ley Foral 3/2020, de 15 de abril, por el que se aprueban medidas urgentes para responder al impacto generado por la crisis sanitaria del c</w:t>
      </w:r>
      <w:r w:rsidRPr="002B0800">
        <w:rPr>
          <w:rFonts w:ascii="Arial" w:hAnsi="Arial" w:cs="Arial"/>
          <w:color w:val="000000"/>
          <w:sz w:val="24"/>
        </w:rPr>
        <w:t>o</w:t>
      </w:r>
      <w:r w:rsidRPr="002B0800">
        <w:rPr>
          <w:rFonts w:ascii="Arial" w:hAnsi="Arial" w:cs="Arial"/>
          <w:color w:val="000000"/>
          <w:sz w:val="24"/>
        </w:rPr>
        <w:t>ronavirus (COVID-19).</w:t>
      </w:r>
    </w:p>
    <w:p w:rsidR="00811A5F" w:rsidRPr="002B0800" w:rsidRDefault="00811A5F" w:rsidP="00811A5F">
      <w:pPr>
        <w:pStyle w:val="texto"/>
        <w:numPr>
          <w:ilvl w:val="0"/>
          <w:numId w:val="15"/>
        </w:numPr>
        <w:ind w:left="426" w:hanging="426"/>
        <w:rPr>
          <w:rFonts w:ascii="Arial" w:hAnsi="Arial" w:cs="Arial"/>
          <w:color w:val="000000"/>
          <w:sz w:val="24"/>
        </w:rPr>
      </w:pPr>
      <w:r w:rsidRPr="002B0800">
        <w:rPr>
          <w:rFonts w:ascii="Arial" w:hAnsi="Arial" w:cs="Arial"/>
          <w:color w:val="000000"/>
          <w:sz w:val="24"/>
        </w:rPr>
        <w:t>Instrucción 10/2020, de 23 de abril, del Director Gerente del Servicio N</w:t>
      </w:r>
      <w:r w:rsidRPr="002B0800">
        <w:rPr>
          <w:rFonts w:ascii="Arial" w:hAnsi="Arial" w:cs="Arial"/>
          <w:color w:val="000000"/>
          <w:sz w:val="24"/>
        </w:rPr>
        <w:t>a</w:t>
      </w:r>
      <w:r w:rsidRPr="002B0800">
        <w:rPr>
          <w:rFonts w:ascii="Arial" w:hAnsi="Arial" w:cs="Arial"/>
          <w:color w:val="000000"/>
          <w:sz w:val="24"/>
        </w:rPr>
        <w:t>varro de Salud-</w:t>
      </w:r>
      <w:proofErr w:type="spellStart"/>
      <w:r w:rsidRPr="002B0800">
        <w:rPr>
          <w:rFonts w:ascii="Arial" w:hAnsi="Arial" w:cs="Arial"/>
          <w:color w:val="000000"/>
          <w:sz w:val="24"/>
        </w:rPr>
        <w:t>Osasunbidea</w:t>
      </w:r>
      <w:proofErr w:type="spellEnd"/>
      <w:r w:rsidRPr="002B0800">
        <w:rPr>
          <w:rFonts w:ascii="Arial" w:hAnsi="Arial" w:cs="Arial"/>
          <w:color w:val="000000"/>
          <w:sz w:val="24"/>
        </w:rPr>
        <w:t>, para dejar sin efectos los apartados 2, 3, 4 y 6 de la Instrucción 9/2020, de 13 de marzo, del Director Gerente del Se</w:t>
      </w:r>
      <w:r w:rsidRPr="002B0800">
        <w:rPr>
          <w:rFonts w:ascii="Arial" w:hAnsi="Arial" w:cs="Arial"/>
          <w:color w:val="000000"/>
          <w:sz w:val="24"/>
        </w:rPr>
        <w:t>r</w:t>
      </w:r>
      <w:r w:rsidRPr="002B0800">
        <w:rPr>
          <w:rFonts w:ascii="Arial" w:hAnsi="Arial" w:cs="Arial"/>
          <w:color w:val="000000"/>
          <w:sz w:val="24"/>
        </w:rPr>
        <w:lastRenderedPageBreak/>
        <w:t>vicio Navarro de Salud-</w:t>
      </w:r>
      <w:proofErr w:type="spellStart"/>
      <w:r w:rsidRPr="002B0800">
        <w:rPr>
          <w:rFonts w:ascii="Arial" w:hAnsi="Arial" w:cs="Arial"/>
          <w:color w:val="000000"/>
          <w:sz w:val="24"/>
        </w:rPr>
        <w:t>Osasunbidea</w:t>
      </w:r>
      <w:proofErr w:type="spellEnd"/>
      <w:r w:rsidRPr="002B0800">
        <w:rPr>
          <w:rFonts w:ascii="Arial" w:hAnsi="Arial" w:cs="Arial"/>
          <w:color w:val="000000"/>
          <w:sz w:val="24"/>
        </w:rPr>
        <w:t xml:space="preserve"> sobre medidas a adoptar en los ce</w:t>
      </w:r>
      <w:r w:rsidRPr="002B0800">
        <w:rPr>
          <w:rFonts w:ascii="Arial" w:hAnsi="Arial" w:cs="Arial"/>
          <w:color w:val="000000"/>
          <w:sz w:val="24"/>
        </w:rPr>
        <w:t>n</w:t>
      </w:r>
      <w:r w:rsidRPr="002B0800">
        <w:rPr>
          <w:rFonts w:ascii="Arial" w:hAnsi="Arial" w:cs="Arial"/>
          <w:color w:val="000000"/>
          <w:sz w:val="24"/>
        </w:rPr>
        <w:t>tros de trabajo del Servicio Navarro de Salud-</w:t>
      </w:r>
      <w:proofErr w:type="spellStart"/>
      <w:r w:rsidRPr="002B0800">
        <w:rPr>
          <w:rFonts w:ascii="Arial" w:hAnsi="Arial" w:cs="Arial"/>
          <w:color w:val="000000"/>
          <w:sz w:val="24"/>
        </w:rPr>
        <w:t>Osasunbidea</w:t>
      </w:r>
      <w:proofErr w:type="spellEnd"/>
      <w:r w:rsidRPr="002B0800">
        <w:rPr>
          <w:rFonts w:ascii="Arial" w:hAnsi="Arial" w:cs="Arial"/>
          <w:color w:val="000000"/>
          <w:sz w:val="24"/>
        </w:rPr>
        <w:t>, con motivo del brote de COVID-19.</w:t>
      </w:r>
    </w:p>
    <w:p w:rsidR="00811A5F" w:rsidRPr="002B0800" w:rsidRDefault="00811A5F" w:rsidP="00811A5F">
      <w:pPr>
        <w:pStyle w:val="texto"/>
        <w:numPr>
          <w:ilvl w:val="0"/>
          <w:numId w:val="15"/>
        </w:numPr>
        <w:ind w:left="426" w:hanging="426"/>
        <w:rPr>
          <w:rFonts w:ascii="Arial" w:hAnsi="Arial" w:cs="Arial"/>
          <w:color w:val="000000"/>
          <w:sz w:val="24"/>
        </w:rPr>
      </w:pPr>
      <w:r w:rsidRPr="002B0800">
        <w:rPr>
          <w:rFonts w:ascii="Arial" w:hAnsi="Arial" w:cs="Arial"/>
          <w:color w:val="000000"/>
          <w:sz w:val="24"/>
        </w:rPr>
        <w:t>Decreto-Ley Foral 4/2020, de 29 de abril, por el que se aprueban medidas urgentes para responder al impacto generado por la crisis sanitaria del c</w:t>
      </w:r>
      <w:r w:rsidRPr="002B0800">
        <w:rPr>
          <w:rFonts w:ascii="Arial" w:hAnsi="Arial" w:cs="Arial"/>
          <w:color w:val="000000"/>
          <w:sz w:val="24"/>
        </w:rPr>
        <w:t>o</w:t>
      </w:r>
      <w:r w:rsidRPr="002B0800">
        <w:rPr>
          <w:rFonts w:ascii="Arial" w:hAnsi="Arial" w:cs="Arial"/>
          <w:color w:val="000000"/>
          <w:sz w:val="24"/>
        </w:rPr>
        <w:t>ronavirus (COVID-19).</w:t>
      </w:r>
    </w:p>
    <w:p w:rsidR="00811A5F" w:rsidRPr="002B0800" w:rsidRDefault="00811A5F" w:rsidP="00811A5F">
      <w:pPr>
        <w:pStyle w:val="texto"/>
        <w:numPr>
          <w:ilvl w:val="0"/>
          <w:numId w:val="15"/>
        </w:numPr>
        <w:ind w:left="426" w:hanging="426"/>
        <w:rPr>
          <w:rFonts w:ascii="Arial" w:hAnsi="Arial" w:cs="Arial"/>
          <w:color w:val="000000"/>
          <w:sz w:val="24"/>
        </w:rPr>
      </w:pPr>
      <w:r w:rsidRPr="002B0800">
        <w:rPr>
          <w:rFonts w:ascii="Arial" w:hAnsi="Arial" w:cs="Arial"/>
          <w:color w:val="000000"/>
          <w:sz w:val="24"/>
        </w:rPr>
        <w:t>Orden Foral 17/2020, de 13 de mayo, del Consejero de Desarrollo Ec</w:t>
      </w:r>
      <w:r w:rsidRPr="002B0800">
        <w:rPr>
          <w:rFonts w:ascii="Arial" w:hAnsi="Arial" w:cs="Arial"/>
          <w:color w:val="000000"/>
          <w:sz w:val="24"/>
        </w:rPr>
        <w:t>o</w:t>
      </w:r>
      <w:r w:rsidRPr="002B0800">
        <w:rPr>
          <w:rFonts w:ascii="Arial" w:hAnsi="Arial" w:cs="Arial"/>
          <w:color w:val="000000"/>
          <w:sz w:val="24"/>
        </w:rPr>
        <w:t>nómico y Empresarial, por la que se establece el procedimiento de conc</w:t>
      </w:r>
      <w:r w:rsidRPr="002B0800">
        <w:rPr>
          <w:rFonts w:ascii="Arial" w:hAnsi="Arial" w:cs="Arial"/>
          <w:color w:val="000000"/>
          <w:sz w:val="24"/>
        </w:rPr>
        <w:t>e</w:t>
      </w:r>
      <w:r w:rsidRPr="002B0800">
        <w:rPr>
          <w:rFonts w:ascii="Arial" w:hAnsi="Arial" w:cs="Arial"/>
          <w:color w:val="000000"/>
          <w:sz w:val="24"/>
        </w:rPr>
        <w:t>sión de las ayudas a las trabajadoras y trabajadores autónomos reguladas en el Decreto-Ley Foral 3/2020, de 15 de abril, por el que se aprueban medidas urgentes para responder al impacto generado por la crisis sanit</w:t>
      </w:r>
      <w:r w:rsidRPr="002B0800">
        <w:rPr>
          <w:rFonts w:ascii="Arial" w:hAnsi="Arial" w:cs="Arial"/>
          <w:color w:val="000000"/>
          <w:sz w:val="24"/>
        </w:rPr>
        <w:t>a</w:t>
      </w:r>
      <w:r w:rsidRPr="002B0800">
        <w:rPr>
          <w:rFonts w:ascii="Arial" w:hAnsi="Arial" w:cs="Arial"/>
          <w:color w:val="000000"/>
          <w:sz w:val="24"/>
        </w:rPr>
        <w:t>ria del coronavirus (COVID-19).</w:t>
      </w:r>
    </w:p>
    <w:p w:rsidR="00811A5F" w:rsidRPr="002B0800" w:rsidRDefault="00811A5F" w:rsidP="00811A5F">
      <w:pPr>
        <w:pStyle w:val="texto"/>
        <w:numPr>
          <w:ilvl w:val="0"/>
          <w:numId w:val="15"/>
        </w:numPr>
        <w:ind w:left="426" w:hanging="426"/>
        <w:rPr>
          <w:rFonts w:ascii="Arial" w:hAnsi="Arial" w:cs="Arial"/>
          <w:color w:val="000000"/>
          <w:sz w:val="24"/>
        </w:rPr>
      </w:pPr>
      <w:r w:rsidRPr="002B0800">
        <w:rPr>
          <w:rFonts w:ascii="Arial" w:hAnsi="Arial" w:cs="Arial"/>
          <w:color w:val="000000"/>
          <w:sz w:val="24"/>
        </w:rPr>
        <w:t>Decreto-Ley Foral 5/2020, de 20 de mayo, por el que se aprueban med</w:t>
      </w:r>
      <w:r w:rsidRPr="002B0800">
        <w:rPr>
          <w:rFonts w:ascii="Arial" w:hAnsi="Arial" w:cs="Arial"/>
          <w:color w:val="000000"/>
          <w:sz w:val="24"/>
        </w:rPr>
        <w:t>i</w:t>
      </w:r>
      <w:r w:rsidRPr="002B0800">
        <w:rPr>
          <w:rFonts w:ascii="Arial" w:hAnsi="Arial" w:cs="Arial"/>
          <w:color w:val="000000"/>
          <w:sz w:val="24"/>
        </w:rPr>
        <w:t>das urgentes para responder al impacto generado por la crisis sanitaria del coronavirus (COVID-19).</w:t>
      </w:r>
    </w:p>
    <w:p w:rsidR="00811A5F" w:rsidRPr="002B0800" w:rsidRDefault="00811A5F" w:rsidP="00811A5F">
      <w:pPr>
        <w:pStyle w:val="texto"/>
        <w:numPr>
          <w:ilvl w:val="0"/>
          <w:numId w:val="15"/>
        </w:numPr>
        <w:ind w:left="426" w:hanging="426"/>
        <w:rPr>
          <w:rFonts w:ascii="Arial" w:hAnsi="Arial" w:cs="Arial"/>
          <w:color w:val="000000"/>
          <w:sz w:val="24"/>
        </w:rPr>
      </w:pPr>
      <w:r w:rsidRPr="002B0800">
        <w:rPr>
          <w:rFonts w:ascii="Arial" w:hAnsi="Arial" w:cs="Arial"/>
          <w:color w:val="000000"/>
          <w:sz w:val="24"/>
        </w:rPr>
        <w:t>Real Decreto-ley 22/2020, de 16 de junio, por el que se regula la creación del Fondo COVID-19 y se establecen las reglas relativas a su distribución y libramiento.</w:t>
      </w:r>
    </w:p>
    <w:p w:rsidR="00811A5F" w:rsidRPr="002B0800" w:rsidRDefault="00811A5F" w:rsidP="00811A5F">
      <w:pPr>
        <w:pStyle w:val="texto"/>
        <w:numPr>
          <w:ilvl w:val="0"/>
          <w:numId w:val="15"/>
        </w:numPr>
        <w:ind w:left="426" w:hanging="426"/>
        <w:rPr>
          <w:rFonts w:ascii="Arial" w:hAnsi="Arial" w:cs="Arial"/>
          <w:color w:val="000000"/>
          <w:sz w:val="24"/>
        </w:rPr>
      </w:pPr>
      <w:r w:rsidRPr="002B0800">
        <w:rPr>
          <w:rFonts w:ascii="Arial" w:hAnsi="Arial" w:cs="Arial"/>
          <w:color w:val="000000"/>
          <w:sz w:val="24"/>
        </w:rPr>
        <w:t>Decreto-Ley Foral 6/2020, de 17 de junio, por el que se aprueban med</w:t>
      </w:r>
      <w:r w:rsidRPr="002B0800">
        <w:rPr>
          <w:rFonts w:ascii="Arial" w:hAnsi="Arial" w:cs="Arial"/>
          <w:color w:val="000000"/>
          <w:sz w:val="24"/>
        </w:rPr>
        <w:t>i</w:t>
      </w:r>
      <w:r w:rsidRPr="002B0800">
        <w:rPr>
          <w:rFonts w:ascii="Arial" w:hAnsi="Arial" w:cs="Arial"/>
          <w:color w:val="000000"/>
          <w:sz w:val="24"/>
        </w:rPr>
        <w:t>das urgentes para responder al impacto generado por la crisis sanitaria del coronavirus (COVID-19).</w:t>
      </w:r>
    </w:p>
    <w:p w:rsidR="00811A5F" w:rsidRPr="002B0800" w:rsidRDefault="00811A5F" w:rsidP="00811A5F">
      <w:pPr>
        <w:pStyle w:val="texto"/>
        <w:numPr>
          <w:ilvl w:val="0"/>
          <w:numId w:val="15"/>
        </w:numPr>
        <w:ind w:left="426" w:hanging="426"/>
        <w:rPr>
          <w:rFonts w:ascii="Arial" w:hAnsi="Arial" w:cs="Arial"/>
          <w:color w:val="000000"/>
          <w:sz w:val="24"/>
        </w:rPr>
      </w:pPr>
      <w:r w:rsidRPr="002B0800">
        <w:rPr>
          <w:rFonts w:ascii="Arial" w:hAnsi="Arial" w:cs="Arial"/>
          <w:color w:val="000000"/>
          <w:sz w:val="24"/>
        </w:rPr>
        <w:t>Ley Foral 13/2020, de 1 de julio, de concesión, regulación y distribución de un crédito extraordinario de 25 millones de euros, con cargo al Fondo de Participación de las Haciendas Locales de Navarra, para cubrir las n</w:t>
      </w:r>
      <w:r w:rsidRPr="002B0800">
        <w:rPr>
          <w:rFonts w:ascii="Arial" w:hAnsi="Arial" w:cs="Arial"/>
          <w:color w:val="000000"/>
          <w:sz w:val="24"/>
        </w:rPr>
        <w:t>e</w:t>
      </w:r>
      <w:r w:rsidRPr="002B0800">
        <w:rPr>
          <w:rFonts w:ascii="Arial" w:hAnsi="Arial" w:cs="Arial"/>
          <w:color w:val="000000"/>
          <w:sz w:val="24"/>
        </w:rPr>
        <w:t>cesidades de las entidades locales derivadas de la adopción de medidas de carácter extraordinario y urgente por motivos de salud pública motiv</w:t>
      </w:r>
      <w:r w:rsidRPr="002B0800">
        <w:rPr>
          <w:rFonts w:ascii="Arial" w:hAnsi="Arial" w:cs="Arial"/>
          <w:color w:val="000000"/>
          <w:sz w:val="24"/>
        </w:rPr>
        <w:t>a</w:t>
      </w:r>
      <w:r w:rsidRPr="002B0800">
        <w:rPr>
          <w:rFonts w:ascii="Arial" w:hAnsi="Arial" w:cs="Arial"/>
          <w:color w:val="000000"/>
          <w:sz w:val="24"/>
        </w:rPr>
        <w:t>das por el COVID-19.</w:t>
      </w:r>
    </w:p>
    <w:p w:rsidR="00811A5F" w:rsidRPr="002B0800" w:rsidRDefault="00811A5F" w:rsidP="00811A5F">
      <w:pPr>
        <w:pStyle w:val="texto"/>
        <w:numPr>
          <w:ilvl w:val="0"/>
          <w:numId w:val="15"/>
        </w:numPr>
        <w:ind w:left="426" w:hanging="426"/>
        <w:rPr>
          <w:rFonts w:ascii="Arial" w:hAnsi="Arial" w:cs="Arial"/>
          <w:color w:val="000000"/>
          <w:sz w:val="24"/>
        </w:rPr>
      </w:pPr>
      <w:r w:rsidRPr="002B0800">
        <w:rPr>
          <w:rFonts w:ascii="Arial" w:hAnsi="Arial" w:cs="Arial"/>
          <w:color w:val="000000"/>
          <w:sz w:val="24"/>
        </w:rPr>
        <w:t>Decreto-Ley Foral 7/2020, de 22 de julio, por el que se aprueban medidas preventivas extraordinarias para hace frente a la crisis sanitaria del cor</w:t>
      </w:r>
      <w:r w:rsidRPr="002B0800">
        <w:rPr>
          <w:rFonts w:ascii="Arial" w:hAnsi="Arial" w:cs="Arial"/>
          <w:color w:val="000000"/>
          <w:sz w:val="24"/>
        </w:rPr>
        <w:t>o</w:t>
      </w:r>
      <w:r w:rsidRPr="002B0800">
        <w:rPr>
          <w:rFonts w:ascii="Arial" w:hAnsi="Arial" w:cs="Arial"/>
          <w:color w:val="000000"/>
          <w:sz w:val="24"/>
        </w:rPr>
        <w:t>navirus (COVID-19), una vez superada la fase 3 del Plan para la trans</w:t>
      </w:r>
      <w:r w:rsidRPr="002B0800">
        <w:rPr>
          <w:rFonts w:ascii="Arial" w:hAnsi="Arial" w:cs="Arial"/>
          <w:color w:val="000000"/>
          <w:sz w:val="24"/>
        </w:rPr>
        <w:t>i</w:t>
      </w:r>
      <w:r w:rsidRPr="002B0800">
        <w:rPr>
          <w:rFonts w:ascii="Arial" w:hAnsi="Arial" w:cs="Arial"/>
          <w:color w:val="000000"/>
          <w:sz w:val="24"/>
        </w:rPr>
        <w:t>ción hacia una nueva normalidad.</w:t>
      </w:r>
    </w:p>
    <w:p w:rsidR="00811A5F" w:rsidRPr="002B0800" w:rsidRDefault="00811A5F" w:rsidP="00811A5F">
      <w:pPr>
        <w:pStyle w:val="texto"/>
        <w:numPr>
          <w:ilvl w:val="0"/>
          <w:numId w:val="15"/>
        </w:numPr>
        <w:ind w:left="426" w:hanging="426"/>
        <w:rPr>
          <w:rFonts w:ascii="Arial" w:hAnsi="Arial" w:cs="Arial"/>
          <w:color w:val="000000"/>
          <w:sz w:val="24"/>
        </w:rPr>
      </w:pPr>
      <w:r w:rsidRPr="002B0800">
        <w:rPr>
          <w:rFonts w:ascii="Arial" w:hAnsi="Arial" w:cs="Arial"/>
          <w:color w:val="000000"/>
          <w:sz w:val="24"/>
        </w:rPr>
        <w:t>Decreto-Ley Foral 8/2020, de 17 de agosto, por el que se aprueban en la Comunidad Foral de Navarra medidas extraordinarias para responder a</w:t>
      </w:r>
      <w:r w:rsidRPr="002B0800">
        <w:rPr>
          <w:rFonts w:ascii="Arial" w:hAnsi="Arial" w:cs="Arial"/>
          <w:color w:val="000000"/>
          <w:sz w:val="24"/>
        </w:rPr>
        <w:t>n</w:t>
      </w:r>
      <w:r w:rsidRPr="002B0800">
        <w:rPr>
          <w:rFonts w:ascii="Arial" w:hAnsi="Arial" w:cs="Arial"/>
          <w:color w:val="000000"/>
          <w:sz w:val="24"/>
        </w:rPr>
        <w:t>te la situación de especial riesgo derivada del incremento de casos posit</w:t>
      </w:r>
      <w:r w:rsidRPr="002B0800">
        <w:rPr>
          <w:rFonts w:ascii="Arial" w:hAnsi="Arial" w:cs="Arial"/>
          <w:color w:val="000000"/>
          <w:sz w:val="24"/>
        </w:rPr>
        <w:t>i</w:t>
      </w:r>
      <w:r w:rsidRPr="002B0800">
        <w:rPr>
          <w:rFonts w:ascii="Arial" w:hAnsi="Arial" w:cs="Arial"/>
          <w:color w:val="000000"/>
          <w:sz w:val="24"/>
        </w:rPr>
        <w:t>vos por COVID-19.</w:t>
      </w:r>
    </w:p>
    <w:p w:rsidR="00477D89" w:rsidRPr="002B0800" w:rsidRDefault="00477D89" w:rsidP="00811A5F">
      <w:pPr>
        <w:pStyle w:val="texto"/>
        <w:numPr>
          <w:ilvl w:val="0"/>
          <w:numId w:val="15"/>
        </w:numPr>
        <w:ind w:left="426" w:hanging="426"/>
        <w:rPr>
          <w:rFonts w:ascii="Arial" w:hAnsi="Arial" w:cs="Arial"/>
          <w:sz w:val="24"/>
        </w:rPr>
      </w:pPr>
      <w:r w:rsidRPr="002B0800">
        <w:rPr>
          <w:rFonts w:ascii="Arial" w:hAnsi="Arial" w:cs="Arial"/>
          <w:sz w:val="24"/>
        </w:rPr>
        <w:t>Orden Foral 75/2020, de 31 de agosto, del Consejero de Educación, por la que se aprueba el Protocolo de prevención y organización para el des</w:t>
      </w:r>
      <w:r w:rsidRPr="002B0800">
        <w:rPr>
          <w:rFonts w:ascii="Arial" w:hAnsi="Arial" w:cs="Arial"/>
          <w:sz w:val="24"/>
        </w:rPr>
        <w:t>a</w:t>
      </w:r>
      <w:r w:rsidRPr="002B0800">
        <w:rPr>
          <w:rFonts w:ascii="Arial" w:hAnsi="Arial" w:cs="Arial"/>
          <w:sz w:val="24"/>
        </w:rPr>
        <w:t>rrollo de la actividad educativa presencial para el curso académico 2020/2021.</w:t>
      </w:r>
    </w:p>
    <w:p w:rsidR="00811A5F" w:rsidRPr="002B0800" w:rsidRDefault="00811A5F" w:rsidP="00811A5F">
      <w:pPr>
        <w:pStyle w:val="texto"/>
        <w:numPr>
          <w:ilvl w:val="0"/>
          <w:numId w:val="15"/>
        </w:numPr>
        <w:ind w:left="426" w:hanging="426"/>
        <w:rPr>
          <w:rFonts w:ascii="Arial" w:hAnsi="Arial" w:cs="Arial"/>
          <w:sz w:val="24"/>
        </w:rPr>
      </w:pPr>
      <w:r w:rsidRPr="002B0800">
        <w:rPr>
          <w:rFonts w:ascii="Arial" w:hAnsi="Arial" w:cs="Arial"/>
          <w:color w:val="000000"/>
          <w:sz w:val="24"/>
        </w:rPr>
        <w:t>Ley Foral 14/2020, de 1 de septiembre, por la que se aprueban medidas extraordinarias para hacer frente a la crisis sanitaria del coronavirus (C</w:t>
      </w:r>
      <w:r w:rsidRPr="002B0800">
        <w:rPr>
          <w:rFonts w:ascii="Arial" w:hAnsi="Arial" w:cs="Arial"/>
          <w:color w:val="000000"/>
          <w:sz w:val="24"/>
        </w:rPr>
        <w:t>O</w:t>
      </w:r>
      <w:r w:rsidRPr="002B0800">
        <w:rPr>
          <w:rFonts w:ascii="Arial" w:hAnsi="Arial" w:cs="Arial"/>
          <w:color w:val="000000"/>
          <w:sz w:val="24"/>
        </w:rPr>
        <w:lastRenderedPageBreak/>
        <w:t>VID-19), una vez superada la fase 3 del Plan para la transición hacia una nueva normalidad.</w:t>
      </w:r>
    </w:p>
    <w:p w:rsidR="00811A5F" w:rsidRPr="002B0800" w:rsidRDefault="00811A5F" w:rsidP="00811A5F">
      <w:pPr>
        <w:pStyle w:val="texto"/>
        <w:numPr>
          <w:ilvl w:val="0"/>
          <w:numId w:val="15"/>
        </w:numPr>
        <w:ind w:left="426" w:hanging="426"/>
        <w:rPr>
          <w:rFonts w:ascii="Arial" w:hAnsi="Arial" w:cs="Arial"/>
          <w:color w:val="000000"/>
          <w:sz w:val="24"/>
        </w:rPr>
      </w:pPr>
      <w:r w:rsidRPr="002B0800">
        <w:rPr>
          <w:rFonts w:ascii="Arial" w:hAnsi="Arial" w:cs="Arial"/>
          <w:color w:val="000000"/>
          <w:sz w:val="24"/>
        </w:rPr>
        <w:t>Decreto-Ley Foral 9/2020, de 16 de septiembre, por el que se establece el régimen sancionador por el incumplimiento de las medidas de prevención y contención sanitarias para afrontar la situación de crisis sanitaria oc</w:t>
      </w:r>
      <w:r w:rsidRPr="002B0800">
        <w:rPr>
          <w:rFonts w:ascii="Arial" w:hAnsi="Arial" w:cs="Arial"/>
          <w:color w:val="000000"/>
          <w:sz w:val="24"/>
        </w:rPr>
        <w:t>a</w:t>
      </w:r>
      <w:r w:rsidRPr="002B0800">
        <w:rPr>
          <w:rFonts w:ascii="Arial" w:hAnsi="Arial" w:cs="Arial"/>
          <w:color w:val="000000"/>
          <w:sz w:val="24"/>
        </w:rPr>
        <w:t>sionada por COVID-19, en la Comunidad Foral de Navarra.</w:t>
      </w:r>
    </w:p>
    <w:p w:rsidR="00811A5F" w:rsidRPr="002B0800" w:rsidRDefault="00811A5F" w:rsidP="00811A5F">
      <w:pPr>
        <w:pStyle w:val="texto"/>
        <w:numPr>
          <w:ilvl w:val="0"/>
          <w:numId w:val="15"/>
        </w:numPr>
        <w:ind w:left="426" w:hanging="426"/>
        <w:rPr>
          <w:rFonts w:ascii="Arial" w:hAnsi="Arial" w:cs="Arial"/>
          <w:color w:val="000000"/>
          <w:sz w:val="24"/>
        </w:rPr>
      </w:pPr>
      <w:r w:rsidRPr="002B0800">
        <w:rPr>
          <w:rFonts w:ascii="Arial" w:hAnsi="Arial" w:cs="Arial"/>
          <w:color w:val="000000"/>
          <w:sz w:val="24"/>
        </w:rPr>
        <w:t>Real Decreto-ley 29/2020, de 29 de septiembre, de medidas urgentes en materia de teletrabajo en las Administraciones Públicas y de recursos humanos en el Sistema Nacional de Salud para hacer frente a la crisis sanitaria ocasionada por la COVID-19.</w:t>
      </w:r>
    </w:p>
    <w:p w:rsidR="00811A5F" w:rsidRDefault="00811A5F" w:rsidP="00811A5F">
      <w:pPr>
        <w:pStyle w:val="texto"/>
        <w:ind w:left="426" w:firstLine="0"/>
      </w:pPr>
    </w:p>
    <w:p w:rsidR="00477D89" w:rsidRDefault="00477D89" w:rsidP="00811A5F">
      <w:pPr>
        <w:pStyle w:val="texto"/>
        <w:ind w:left="426" w:firstLine="0"/>
        <w:sectPr w:rsidR="00477D89" w:rsidSect="00811A5F">
          <w:footerReference w:type="default" r:id="rId17"/>
          <w:type w:val="oddPage"/>
          <w:pgSz w:w="11907" w:h="16840" w:code="9"/>
          <w:pgMar w:top="2109" w:right="1559" w:bottom="1644" w:left="1559" w:header="369" w:footer="136" w:gutter="0"/>
          <w:cols w:space="720"/>
          <w:docGrid w:linePitch="360"/>
        </w:sectPr>
      </w:pPr>
    </w:p>
    <w:p w:rsidR="00811A5F" w:rsidRPr="003D60A6" w:rsidRDefault="00811A5F" w:rsidP="007A0000"/>
    <w:tbl>
      <w:tblPr>
        <w:tblW w:w="13183"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140"/>
        <w:gridCol w:w="1200"/>
        <w:gridCol w:w="9843"/>
      </w:tblGrid>
      <w:tr w:rsidR="00811A5F" w:rsidRPr="00D85F54" w:rsidTr="007C5DE1">
        <w:trPr>
          <w:trHeight w:val="300"/>
        </w:trPr>
        <w:tc>
          <w:tcPr>
            <w:tcW w:w="2140" w:type="dxa"/>
            <w:shd w:val="clear" w:color="auto" w:fill="8DB3E2" w:themeFill="text2" w:themeFillTint="66"/>
            <w:noWrap/>
            <w:vAlign w:val="center"/>
            <w:hideMark/>
          </w:tcPr>
          <w:p w:rsidR="00811A5F" w:rsidRPr="00D85F54" w:rsidRDefault="00811A5F" w:rsidP="006E625A">
            <w:pPr>
              <w:pStyle w:val="cuadroCabe"/>
              <w:rPr>
                <w:lang w:val="es-ES" w:eastAsia="es-ES"/>
              </w:rPr>
            </w:pPr>
            <w:r w:rsidRPr="00D85F54">
              <w:rPr>
                <w:lang w:val="es-ES" w:eastAsia="es-ES"/>
              </w:rPr>
              <w:t>Norma</w:t>
            </w:r>
          </w:p>
        </w:tc>
        <w:tc>
          <w:tcPr>
            <w:tcW w:w="1200" w:type="dxa"/>
            <w:shd w:val="clear" w:color="auto" w:fill="8DB3E2" w:themeFill="text2" w:themeFillTint="66"/>
            <w:noWrap/>
            <w:vAlign w:val="center"/>
            <w:hideMark/>
          </w:tcPr>
          <w:p w:rsidR="00811A5F" w:rsidRPr="00D85F54" w:rsidRDefault="00811A5F" w:rsidP="006E625A">
            <w:pPr>
              <w:pStyle w:val="cuadroCabe"/>
              <w:rPr>
                <w:lang w:val="es-ES" w:eastAsia="es-ES"/>
              </w:rPr>
            </w:pPr>
            <w:r w:rsidRPr="00D85F54">
              <w:rPr>
                <w:lang w:val="es-ES" w:eastAsia="es-ES"/>
              </w:rPr>
              <w:t>Fecha</w:t>
            </w:r>
          </w:p>
        </w:tc>
        <w:tc>
          <w:tcPr>
            <w:tcW w:w="9843" w:type="dxa"/>
            <w:shd w:val="clear" w:color="auto" w:fill="8DB3E2" w:themeFill="text2" w:themeFillTint="66"/>
            <w:noWrap/>
            <w:vAlign w:val="center"/>
            <w:hideMark/>
          </w:tcPr>
          <w:p w:rsidR="00811A5F" w:rsidRPr="00D85F54" w:rsidRDefault="00811A5F" w:rsidP="002B0800">
            <w:pPr>
              <w:pStyle w:val="cuadroCabe"/>
              <w:jc w:val="left"/>
              <w:rPr>
                <w:lang w:val="es-ES" w:eastAsia="es-ES"/>
              </w:rPr>
            </w:pPr>
            <w:r w:rsidRPr="00D85F54">
              <w:rPr>
                <w:lang w:val="es-ES" w:eastAsia="es-ES"/>
              </w:rPr>
              <w:t>Aspectos incluidos relacionados con medidas extraordinarias para paliar los efectos de la COVID-19</w:t>
            </w:r>
          </w:p>
        </w:tc>
      </w:tr>
      <w:tr w:rsidR="00811A5F" w:rsidRPr="00962556" w:rsidTr="007C5DE1">
        <w:trPr>
          <w:trHeight w:val="300"/>
        </w:trPr>
        <w:tc>
          <w:tcPr>
            <w:tcW w:w="2140" w:type="dxa"/>
            <w:tcBorders>
              <w:bottom w:val="single" w:sz="2" w:space="0" w:color="auto"/>
            </w:tcBorders>
            <w:shd w:val="clear" w:color="auto" w:fill="auto"/>
            <w:noWrap/>
            <w:vAlign w:val="center"/>
          </w:tcPr>
          <w:p w:rsidR="00811A5F" w:rsidRPr="00D85F54" w:rsidRDefault="00811A5F" w:rsidP="003810F9">
            <w:pPr>
              <w:spacing w:after="0"/>
              <w:ind w:firstLine="0"/>
              <w:jc w:val="left"/>
              <w:rPr>
                <w:rFonts w:ascii="Arial" w:hAnsi="Arial" w:cs="Arial"/>
                <w:color w:val="000000"/>
                <w:sz w:val="18"/>
                <w:szCs w:val="18"/>
                <w:lang w:val="es-ES" w:eastAsia="es-ES"/>
              </w:rPr>
            </w:pPr>
            <w:r>
              <w:rPr>
                <w:rFonts w:ascii="Arial" w:hAnsi="Arial" w:cs="Arial"/>
                <w:color w:val="000000"/>
                <w:sz w:val="18"/>
                <w:szCs w:val="18"/>
                <w:lang w:val="es-ES" w:eastAsia="es-ES"/>
              </w:rPr>
              <w:t>Orden Foral 347E/2017</w:t>
            </w:r>
          </w:p>
        </w:tc>
        <w:tc>
          <w:tcPr>
            <w:tcW w:w="1200" w:type="dxa"/>
            <w:tcBorders>
              <w:bottom w:val="single" w:sz="2" w:space="0" w:color="auto"/>
            </w:tcBorders>
            <w:shd w:val="clear" w:color="auto" w:fill="auto"/>
            <w:noWrap/>
            <w:vAlign w:val="center"/>
          </w:tcPr>
          <w:p w:rsidR="00811A5F" w:rsidRPr="00D85F54" w:rsidRDefault="00811A5F" w:rsidP="003810F9">
            <w:pPr>
              <w:spacing w:after="0"/>
              <w:ind w:firstLine="0"/>
              <w:jc w:val="left"/>
              <w:rPr>
                <w:rFonts w:ascii="Arial" w:hAnsi="Arial" w:cs="Arial"/>
                <w:color w:val="000000"/>
                <w:sz w:val="18"/>
                <w:szCs w:val="18"/>
                <w:lang w:val="es-ES" w:eastAsia="es-ES"/>
              </w:rPr>
            </w:pPr>
            <w:r>
              <w:rPr>
                <w:rFonts w:ascii="Arial" w:hAnsi="Arial" w:cs="Arial"/>
                <w:color w:val="000000"/>
                <w:sz w:val="18"/>
                <w:szCs w:val="18"/>
                <w:lang w:val="es-ES" w:eastAsia="es-ES"/>
              </w:rPr>
              <w:t>23 marzo</w:t>
            </w:r>
          </w:p>
        </w:tc>
        <w:tc>
          <w:tcPr>
            <w:tcW w:w="9843" w:type="dxa"/>
            <w:tcBorders>
              <w:bottom w:val="single" w:sz="2" w:space="0" w:color="auto"/>
            </w:tcBorders>
            <w:shd w:val="clear" w:color="auto" w:fill="auto"/>
            <w:noWrap/>
            <w:vAlign w:val="center"/>
          </w:tcPr>
          <w:p w:rsidR="00811A5F" w:rsidRPr="00D85F54" w:rsidRDefault="00811A5F" w:rsidP="002B0800">
            <w:pPr>
              <w:spacing w:after="0"/>
              <w:ind w:firstLine="0"/>
              <w:jc w:val="left"/>
              <w:rPr>
                <w:rFonts w:ascii="Arial" w:hAnsi="Arial" w:cs="Arial"/>
                <w:color w:val="000000"/>
                <w:sz w:val="18"/>
                <w:szCs w:val="18"/>
                <w:lang w:val="es-ES" w:eastAsia="es-ES"/>
              </w:rPr>
            </w:pPr>
            <w:r>
              <w:rPr>
                <w:rFonts w:ascii="Arial" w:hAnsi="Arial" w:cs="Arial"/>
                <w:color w:val="000000"/>
                <w:sz w:val="18"/>
                <w:szCs w:val="18"/>
                <w:lang w:val="es-ES" w:eastAsia="es-ES"/>
              </w:rPr>
              <w:t>Normas gestión listas aspirantes contratación temporal centros y establecimientos organismos autónomos Departamento de Salud</w:t>
            </w:r>
          </w:p>
        </w:tc>
      </w:tr>
      <w:tr w:rsidR="00811A5F" w:rsidRPr="00D85F54" w:rsidTr="007C5DE1">
        <w:trPr>
          <w:trHeight w:val="300"/>
        </w:trPr>
        <w:tc>
          <w:tcPr>
            <w:tcW w:w="2140" w:type="dxa"/>
            <w:tcBorders>
              <w:top w:val="single" w:sz="2" w:space="0" w:color="auto"/>
              <w:bottom w:val="single" w:sz="2" w:space="0" w:color="auto"/>
            </w:tcBorders>
            <w:shd w:val="clear" w:color="auto" w:fill="auto"/>
            <w:noWrap/>
            <w:vAlign w:val="center"/>
          </w:tcPr>
          <w:p w:rsidR="00811A5F" w:rsidRPr="00D85F54" w:rsidRDefault="00811A5F" w:rsidP="003810F9">
            <w:pPr>
              <w:spacing w:after="0"/>
              <w:ind w:firstLine="0"/>
              <w:jc w:val="left"/>
              <w:rPr>
                <w:rFonts w:ascii="Arial" w:hAnsi="Arial" w:cs="Arial"/>
                <w:color w:val="000000"/>
                <w:sz w:val="18"/>
                <w:szCs w:val="18"/>
                <w:lang w:val="es-ES" w:eastAsia="es-ES"/>
              </w:rPr>
            </w:pPr>
            <w:r>
              <w:rPr>
                <w:rFonts w:ascii="Arial" w:hAnsi="Arial" w:cs="Arial"/>
                <w:color w:val="000000"/>
                <w:sz w:val="18"/>
                <w:szCs w:val="18"/>
                <w:lang w:val="es-ES" w:eastAsia="es-ES"/>
              </w:rPr>
              <w:t>Instrucción 9/2020</w:t>
            </w:r>
          </w:p>
        </w:tc>
        <w:tc>
          <w:tcPr>
            <w:tcW w:w="1200" w:type="dxa"/>
            <w:tcBorders>
              <w:top w:val="single" w:sz="2" w:space="0" w:color="auto"/>
              <w:bottom w:val="single" w:sz="2" w:space="0" w:color="auto"/>
            </w:tcBorders>
            <w:shd w:val="clear" w:color="auto" w:fill="auto"/>
            <w:noWrap/>
            <w:vAlign w:val="center"/>
          </w:tcPr>
          <w:p w:rsidR="00811A5F" w:rsidRPr="00D85F54" w:rsidRDefault="00811A5F" w:rsidP="003810F9">
            <w:pPr>
              <w:spacing w:after="0"/>
              <w:ind w:firstLine="0"/>
              <w:jc w:val="left"/>
              <w:rPr>
                <w:rFonts w:ascii="Arial" w:hAnsi="Arial" w:cs="Arial"/>
                <w:color w:val="000000"/>
                <w:sz w:val="18"/>
                <w:szCs w:val="18"/>
                <w:lang w:val="es-ES" w:eastAsia="es-ES"/>
              </w:rPr>
            </w:pPr>
            <w:r>
              <w:rPr>
                <w:rFonts w:ascii="Arial" w:hAnsi="Arial" w:cs="Arial"/>
                <w:color w:val="000000"/>
                <w:sz w:val="18"/>
                <w:szCs w:val="18"/>
                <w:lang w:val="es-ES" w:eastAsia="es-ES"/>
              </w:rPr>
              <w:t>13 marzo</w:t>
            </w:r>
          </w:p>
        </w:tc>
        <w:tc>
          <w:tcPr>
            <w:tcW w:w="9843" w:type="dxa"/>
            <w:tcBorders>
              <w:top w:val="single" w:sz="2" w:space="0" w:color="auto"/>
              <w:bottom w:val="single" w:sz="2" w:space="0" w:color="auto"/>
            </w:tcBorders>
            <w:shd w:val="clear" w:color="auto" w:fill="auto"/>
            <w:noWrap/>
            <w:vAlign w:val="center"/>
          </w:tcPr>
          <w:p w:rsidR="00811A5F" w:rsidRPr="00D85F54" w:rsidRDefault="00811A5F" w:rsidP="002B0800">
            <w:pPr>
              <w:spacing w:after="0"/>
              <w:ind w:firstLine="0"/>
              <w:jc w:val="left"/>
              <w:rPr>
                <w:rFonts w:ascii="Arial" w:hAnsi="Arial" w:cs="Arial"/>
                <w:color w:val="000000"/>
                <w:sz w:val="18"/>
                <w:szCs w:val="18"/>
                <w:lang w:val="es-ES" w:eastAsia="es-ES"/>
              </w:rPr>
            </w:pPr>
            <w:r>
              <w:rPr>
                <w:rFonts w:ascii="Arial" w:hAnsi="Arial" w:cs="Arial"/>
                <w:color w:val="000000"/>
                <w:sz w:val="18"/>
                <w:szCs w:val="18"/>
                <w:lang w:val="es-ES" w:eastAsia="es-ES"/>
              </w:rPr>
              <w:t>Medidas personal centros de trabajo del SNS-O por COVID-19</w:t>
            </w:r>
          </w:p>
        </w:tc>
      </w:tr>
      <w:tr w:rsidR="00811A5F" w:rsidRPr="00962556" w:rsidTr="007C5DE1">
        <w:trPr>
          <w:trHeight w:val="300"/>
        </w:trPr>
        <w:tc>
          <w:tcPr>
            <w:tcW w:w="2140" w:type="dxa"/>
            <w:tcBorders>
              <w:top w:val="single" w:sz="2" w:space="0" w:color="auto"/>
              <w:bottom w:val="single" w:sz="2" w:space="0" w:color="auto"/>
            </w:tcBorders>
            <w:shd w:val="clear" w:color="auto" w:fill="auto"/>
            <w:noWrap/>
            <w:vAlign w:val="center"/>
            <w:hideMark/>
          </w:tcPr>
          <w:p w:rsidR="00811A5F" w:rsidRPr="00D85F54" w:rsidRDefault="00811A5F" w:rsidP="00477D89">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O</w:t>
            </w:r>
            <w:r w:rsidR="00477D89">
              <w:rPr>
                <w:rFonts w:ascii="Arial Narrow" w:hAnsi="Arial Narrow" w:cs="Calibri"/>
                <w:color w:val="000000"/>
                <w:lang w:val="es-ES" w:eastAsia="es-ES"/>
              </w:rPr>
              <w:t>rden</w:t>
            </w:r>
            <w:r w:rsidRPr="00D85F54">
              <w:rPr>
                <w:rFonts w:ascii="Arial Narrow" w:hAnsi="Arial Narrow" w:cs="Calibri"/>
                <w:color w:val="000000"/>
                <w:lang w:val="es-ES" w:eastAsia="es-ES"/>
              </w:rPr>
              <w:t xml:space="preserve"> SND/232/2020</w:t>
            </w:r>
          </w:p>
        </w:tc>
        <w:tc>
          <w:tcPr>
            <w:tcW w:w="1200" w:type="dxa"/>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15 marzo</w:t>
            </w: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 xml:space="preserve">Recursos humanos y medios </w:t>
            </w:r>
            <w:r>
              <w:rPr>
                <w:rFonts w:ascii="Arial Narrow" w:hAnsi="Arial Narrow" w:cs="Calibri"/>
                <w:color w:val="000000"/>
                <w:lang w:val="es-ES" w:eastAsia="es-ES"/>
              </w:rPr>
              <w:t>gestión COVID-19</w:t>
            </w:r>
          </w:p>
        </w:tc>
      </w:tr>
      <w:tr w:rsidR="00811A5F" w:rsidRPr="00D85F54" w:rsidTr="007C5DE1">
        <w:trPr>
          <w:trHeight w:val="300"/>
        </w:trPr>
        <w:tc>
          <w:tcPr>
            <w:tcW w:w="2140" w:type="dxa"/>
            <w:vMerge w:val="restart"/>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DLF 1/2020</w:t>
            </w:r>
          </w:p>
        </w:tc>
        <w:tc>
          <w:tcPr>
            <w:tcW w:w="1200" w:type="dxa"/>
            <w:vMerge w:val="restart"/>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18 marzo</w:t>
            </w: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 xml:space="preserve">Personal (prestación servicios, listas contratación personal temporal, reincorporación personal sindical, jubilado, etc.) </w:t>
            </w:r>
          </w:p>
        </w:tc>
      </w:tr>
      <w:tr w:rsidR="00811A5F" w:rsidRPr="00D85F54" w:rsidTr="007C5DE1">
        <w:trPr>
          <w:trHeight w:val="300"/>
        </w:trPr>
        <w:tc>
          <w:tcPr>
            <w:tcW w:w="214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120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Servicios sociales (contratación cuidadores en domicilio, contratación zonas rurales)</w:t>
            </w:r>
          </w:p>
        </w:tc>
      </w:tr>
      <w:tr w:rsidR="00811A5F" w:rsidRPr="00D85F54" w:rsidTr="007C5DE1">
        <w:trPr>
          <w:trHeight w:val="300"/>
        </w:trPr>
        <w:tc>
          <w:tcPr>
            <w:tcW w:w="214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120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Gestión admón. Pública (contratación y encargos, contabilización y gestión presupuestaria, subvenciones, etc.)</w:t>
            </w:r>
          </w:p>
        </w:tc>
      </w:tr>
      <w:tr w:rsidR="00811A5F" w:rsidRPr="00D85F54" w:rsidTr="007C5DE1">
        <w:trPr>
          <w:trHeight w:val="300"/>
        </w:trPr>
        <w:tc>
          <w:tcPr>
            <w:tcW w:w="214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120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Económico-fiscales (fondo gastos COVID-19)</w:t>
            </w:r>
          </w:p>
        </w:tc>
      </w:tr>
      <w:tr w:rsidR="00811A5F" w:rsidRPr="00D85F54" w:rsidTr="007C5DE1">
        <w:trPr>
          <w:trHeight w:val="765"/>
        </w:trPr>
        <w:tc>
          <w:tcPr>
            <w:tcW w:w="2140" w:type="dxa"/>
            <w:vMerge w:val="restart"/>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DLF 2/2020</w:t>
            </w:r>
          </w:p>
        </w:tc>
        <w:tc>
          <w:tcPr>
            <w:tcW w:w="1200" w:type="dxa"/>
            <w:vMerge w:val="restart"/>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25 marzo</w:t>
            </w:r>
          </w:p>
        </w:tc>
        <w:tc>
          <w:tcPr>
            <w:tcW w:w="9843" w:type="dxa"/>
            <w:tcBorders>
              <w:top w:val="single" w:sz="2" w:space="0" w:color="auto"/>
              <w:bottom w:val="single" w:sz="2" w:space="0" w:color="auto"/>
            </w:tcBorders>
            <w:shd w:val="clear" w:color="auto" w:fill="auto"/>
            <w:vAlign w:val="center"/>
            <w:hideMark/>
          </w:tcPr>
          <w:p w:rsidR="00811A5F" w:rsidRPr="00D85F54" w:rsidRDefault="00811A5F" w:rsidP="002B0800">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 xml:space="preserve">Gestión admón. Pública (contratación, conciertos sociales, subvenciones Departamento Derechos Sociales y Políticas Migratorias y Justicia, centros </w:t>
            </w:r>
            <w:proofErr w:type="spellStart"/>
            <w:r w:rsidRPr="00D85F54">
              <w:rPr>
                <w:rFonts w:ascii="Arial Narrow" w:hAnsi="Arial Narrow" w:cs="Calibri"/>
                <w:color w:val="000000"/>
                <w:lang w:val="es-ES" w:eastAsia="es-ES"/>
              </w:rPr>
              <w:t>sociosanitarios</w:t>
            </w:r>
            <w:proofErr w:type="spellEnd"/>
            <w:r w:rsidRPr="00D85F54">
              <w:rPr>
                <w:rFonts w:ascii="Arial Narrow" w:hAnsi="Arial Narrow" w:cs="Calibri"/>
                <w:color w:val="000000"/>
                <w:lang w:val="es-ES" w:eastAsia="es-ES"/>
              </w:rPr>
              <w:t xml:space="preserve"> provisionales, puesta a disposición de centros y establecimientos privados y de las mutuas, así c</w:t>
            </w:r>
            <w:r w:rsidRPr="00D85F54">
              <w:rPr>
                <w:rFonts w:ascii="Arial Narrow" w:hAnsi="Arial Narrow" w:cs="Calibri"/>
                <w:color w:val="000000"/>
                <w:lang w:val="es-ES" w:eastAsia="es-ES"/>
              </w:rPr>
              <w:t>o</w:t>
            </w:r>
            <w:r w:rsidRPr="00D85F54">
              <w:rPr>
                <w:rFonts w:ascii="Arial Narrow" w:hAnsi="Arial Narrow" w:cs="Calibri"/>
                <w:color w:val="000000"/>
                <w:lang w:val="es-ES" w:eastAsia="es-ES"/>
              </w:rPr>
              <w:t>mo de su personal, tiempos máximos estancia recursos acogida víctimas violencia género)</w:t>
            </w:r>
          </w:p>
        </w:tc>
      </w:tr>
      <w:tr w:rsidR="00811A5F" w:rsidRPr="00D85F54" w:rsidTr="007C5DE1">
        <w:trPr>
          <w:trHeight w:val="300"/>
        </w:trPr>
        <w:tc>
          <w:tcPr>
            <w:tcW w:w="214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120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Vivienda (vigencia cédulas habitabilidad y plazos fin obras, promoción vivienda protegida, derecho subjetivo a vivienda, etc.)</w:t>
            </w:r>
          </w:p>
        </w:tc>
      </w:tr>
      <w:tr w:rsidR="00811A5F" w:rsidRPr="00D85F54" w:rsidTr="007C5DE1">
        <w:trPr>
          <w:trHeight w:val="300"/>
        </w:trPr>
        <w:tc>
          <w:tcPr>
            <w:tcW w:w="214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120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Fiscales (suspensión plazos ámbito tributario, aplazamiento excepcional deudas tributarias)</w:t>
            </w:r>
          </w:p>
        </w:tc>
      </w:tr>
      <w:tr w:rsidR="00811A5F" w:rsidRPr="00D85F54" w:rsidTr="007C5DE1">
        <w:trPr>
          <w:trHeight w:val="300"/>
        </w:trPr>
        <w:tc>
          <w:tcPr>
            <w:tcW w:w="2140" w:type="dxa"/>
            <w:vMerge w:val="restart"/>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LF 6/2020</w:t>
            </w:r>
          </w:p>
        </w:tc>
        <w:tc>
          <w:tcPr>
            <w:tcW w:w="1200" w:type="dxa"/>
            <w:vMerge w:val="restart"/>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6 abril</w:t>
            </w: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 xml:space="preserve">Personal (prestación servicios, listas contratación personal temporal, reincorporación personal sindical, jubilado, etc.) </w:t>
            </w:r>
          </w:p>
        </w:tc>
      </w:tr>
      <w:tr w:rsidR="00811A5F" w:rsidRPr="00D85F54" w:rsidTr="007C5DE1">
        <w:trPr>
          <w:trHeight w:val="300"/>
        </w:trPr>
        <w:tc>
          <w:tcPr>
            <w:tcW w:w="214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120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Servicios sociales (contratación cuidadores en domicilio, contratación zonas rurales)</w:t>
            </w:r>
          </w:p>
        </w:tc>
      </w:tr>
      <w:tr w:rsidR="00811A5F" w:rsidRPr="00D85F54" w:rsidTr="007C5DE1">
        <w:trPr>
          <w:trHeight w:val="300"/>
        </w:trPr>
        <w:tc>
          <w:tcPr>
            <w:tcW w:w="214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120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Gestión admón. Pública (contratación y encargos, contabilización y gestión presupuestaria, subvenciones, etc.)</w:t>
            </w:r>
          </w:p>
        </w:tc>
      </w:tr>
      <w:tr w:rsidR="00811A5F" w:rsidRPr="00D85F54" w:rsidTr="007C5DE1">
        <w:trPr>
          <w:trHeight w:val="300"/>
        </w:trPr>
        <w:tc>
          <w:tcPr>
            <w:tcW w:w="214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120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Económico-fiscales (fondo gastos COVID-19 y fondo extraordinario gastos entidades locales COVID-19)</w:t>
            </w:r>
          </w:p>
        </w:tc>
      </w:tr>
      <w:tr w:rsidR="00811A5F" w:rsidRPr="00D85F54" w:rsidTr="007C5DE1">
        <w:trPr>
          <w:trHeight w:val="765"/>
        </w:trPr>
        <w:tc>
          <w:tcPr>
            <w:tcW w:w="2140" w:type="dxa"/>
            <w:vMerge w:val="restart"/>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LF 7/2020</w:t>
            </w:r>
          </w:p>
        </w:tc>
        <w:tc>
          <w:tcPr>
            <w:tcW w:w="1200" w:type="dxa"/>
            <w:vMerge w:val="restart"/>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6 abril</w:t>
            </w:r>
          </w:p>
        </w:tc>
        <w:tc>
          <w:tcPr>
            <w:tcW w:w="9843" w:type="dxa"/>
            <w:tcBorders>
              <w:top w:val="single" w:sz="2" w:space="0" w:color="auto"/>
              <w:bottom w:val="single" w:sz="2" w:space="0" w:color="auto"/>
            </w:tcBorders>
            <w:shd w:val="clear" w:color="auto" w:fill="auto"/>
            <w:vAlign w:val="center"/>
            <w:hideMark/>
          </w:tcPr>
          <w:p w:rsidR="00811A5F" w:rsidRPr="00D85F54" w:rsidRDefault="00811A5F" w:rsidP="002B0800">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 xml:space="preserve">Gestión admón. Pública (contratación, conciertos sociales, subvenciones Departamento Derechos Sociales y Políticas Migratorias y Justicia, centros </w:t>
            </w:r>
            <w:proofErr w:type="spellStart"/>
            <w:r w:rsidRPr="00D85F54">
              <w:rPr>
                <w:rFonts w:ascii="Arial Narrow" w:hAnsi="Arial Narrow" w:cs="Calibri"/>
                <w:color w:val="000000"/>
                <w:lang w:val="es-ES" w:eastAsia="es-ES"/>
              </w:rPr>
              <w:t>sociosanitarios</w:t>
            </w:r>
            <w:proofErr w:type="spellEnd"/>
            <w:r w:rsidRPr="00D85F54">
              <w:rPr>
                <w:rFonts w:ascii="Arial Narrow" w:hAnsi="Arial Narrow" w:cs="Calibri"/>
                <w:color w:val="000000"/>
                <w:lang w:val="es-ES" w:eastAsia="es-ES"/>
              </w:rPr>
              <w:t xml:space="preserve"> provisionales, puesta a disposición de centros y establecimientos privados y de las mutuas</w:t>
            </w:r>
            <w:r>
              <w:rPr>
                <w:rFonts w:ascii="Arial Narrow" w:hAnsi="Arial Narrow" w:cs="Calibri"/>
                <w:color w:val="000000"/>
                <w:lang w:val="es-ES" w:eastAsia="es-ES"/>
              </w:rPr>
              <w:t xml:space="preserve"> y</w:t>
            </w:r>
            <w:r w:rsidRPr="00D85F54">
              <w:rPr>
                <w:rFonts w:ascii="Arial Narrow" w:hAnsi="Arial Narrow" w:cs="Calibri"/>
                <w:color w:val="000000"/>
                <w:lang w:val="es-ES" w:eastAsia="es-ES"/>
              </w:rPr>
              <w:t xml:space="preserve"> su pe</w:t>
            </w:r>
            <w:r w:rsidRPr="00D85F54">
              <w:rPr>
                <w:rFonts w:ascii="Arial Narrow" w:hAnsi="Arial Narrow" w:cs="Calibri"/>
                <w:color w:val="000000"/>
                <w:lang w:val="es-ES" w:eastAsia="es-ES"/>
              </w:rPr>
              <w:t>r</w:t>
            </w:r>
            <w:r w:rsidRPr="00D85F54">
              <w:rPr>
                <w:rFonts w:ascii="Arial Narrow" w:hAnsi="Arial Narrow" w:cs="Calibri"/>
                <w:color w:val="000000"/>
                <w:lang w:val="es-ES" w:eastAsia="es-ES"/>
              </w:rPr>
              <w:t>sonal, tiempos máximos estancia recursos acogida víctimas violencia género y recursos de acogida provisionales para mujeres ví</w:t>
            </w:r>
            <w:r w:rsidRPr="00D85F54">
              <w:rPr>
                <w:rFonts w:ascii="Arial Narrow" w:hAnsi="Arial Narrow" w:cs="Calibri"/>
                <w:color w:val="000000"/>
                <w:lang w:val="es-ES" w:eastAsia="es-ES"/>
              </w:rPr>
              <w:t>c</w:t>
            </w:r>
            <w:r w:rsidRPr="00D85F54">
              <w:rPr>
                <w:rFonts w:ascii="Arial Narrow" w:hAnsi="Arial Narrow" w:cs="Calibri"/>
                <w:color w:val="000000"/>
                <w:lang w:val="es-ES" w:eastAsia="es-ES"/>
              </w:rPr>
              <w:t>timas de violencia de género)</w:t>
            </w:r>
          </w:p>
        </w:tc>
      </w:tr>
      <w:tr w:rsidR="00811A5F" w:rsidRPr="00D85F54" w:rsidTr="007C5DE1">
        <w:trPr>
          <w:trHeight w:val="300"/>
        </w:trPr>
        <w:tc>
          <w:tcPr>
            <w:tcW w:w="214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120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Vivienda (vigencia cédulas habitabilidad y plazos fin obras, promoción vivienda protegida, derecho subjetivo a vivienda, etc.)</w:t>
            </w:r>
          </w:p>
        </w:tc>
      </w:tr>
      <w:tr w:rsidR="00811A5F" w:rsidRPr="00D85F54" w:rsidTr="007C5DE1">
        <w:trPr>
          <w:trHeight w:val="300"/>
        </w:trPr>
        <w:tc>
          <w:tcPr>
            <w:tcW w:w="214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120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Fiscales (suspensión plazos ámbito tributario, aplazamiento excepcional deudas tributarias y precios públicos y tasas municipales)</w:t>
            </w:r>
          </w:p>
        </w:tc>
      </w:tr>
      <w:tr w:rsidR="00811A5F" w:rsidRPr="00D85F54" w:rsidTr="007C5DE1">
        <w:trPr>
          <w:trHeight w:val="300"/>
        </w:trPr>
        <w:tc>
          <w:tcPr>
            <w:tcW w:w="2140" w:type="dxa"/>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Res 284E/2020</w:t>
            </w:r>
          </w:p>
        </w:tc>
        <w:tc>
          <w:tcPr>
            <w:tcW w:w="1200" w:type="dxa"/>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6 abril</w:t>
            </w: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Determinación complemento productividad COVID-19 personal SNS-O</w:t>
            </w:r>
          </w:p>
        </w:tc>
      </w:tr>
      <w:tr w:rsidR="00811A5F" w:rsidRPr="00D85F54" w:rsidTr="007C5DE1">
        <w:trPr>
          <w:trHeight w:val="300"/>
        </w:trPr>
        <w:tc>
          <w:tcPr>
            <w:tcW w:w="2140" w:type="dxa"/>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D</w:t>
            </w:r>
            <w:r w:rsidRPr="00D85F54">
              <w:rPr>
                <w:rFonts w:ascii="Arial Narrow" w:hAnsi="Arial Narrow" w:cs="Calibri"/>
                <w:color w:val="000000"/>
                <w:lang w:val="es-ES" w:eastAsia="es-ES"/>
              </w:rPr>
              <w:t>LF 8/2020</w:t>
            </w:r>
          </w:p>
        </w:tc>
        <w:tc>
          <w:tcPr>
            <w:tcW w:w="1200" w:type="dxa"/>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8 abril</w:t>
            </w: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Suplemento crédito necesidades medidas COVID-19</w:t>
            </w:r>
          </w:p>
        </w:tc>
      </w:tr>
      <w:tr w:rsidR="00811A5F" w:rsidRPr="00D85F54" w:rsidTr="007C5DE1">
        <w:trPr>
          <w:trHeight w:val="300"/>
        </w:trPr>
        <w:tc>
          <w:tcPr>
            <w:tcW w:w="2140" w:type="dxa"/>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D</w:t>
            </w:r>
            <w:r w:rsidRPr="00D85F54">
              <w:rPr>
                <w:rFonts w:ascii="Arial Narrow" w:hAnsi="Arial Narrow" w:cs="Calibri"/>
                <w:color w:val="000000"/>
                <w:lang w:val="es-ES" w:eastAsia="es-ES"/>
              </w:rPr>
              <w:t>LF 9/2020</w:t>
            </w:r>
          </w:p>
        </w:tc>
        <w:tc>
          <w:tcPr>
            <w:tcW w:w="1200" w:type="dxa"/>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8 abril</w:t>
            </w: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Crédito extraordinario necesidades medidas COVID-19</w:t>
            </w:r>
          </w:p>
        </w:tc>
      </w:tr>
    </w:tbl>
    <w:p w:rsidR="007A0000" w:rsidRDefault="007A0000">
      <w:pPr>
        <w:spacing w:after="0"/>
        <w:ind w:firstLine="0"/>
        <w:jc w:val="left"/>
      </w:pPr>
      <w:r>
        <w:br w:type="page"/>
      </w:r>
    </w:p>
    <w:p w:rsidR="007A0000" w:rsidRDefault="007A0000"/>
    <w:tbl>
      <w:tblPr>
        <w:tblW w:w="13183"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140"/>
        <w:gridCol w:w="1200"/>
        <w:gridCol w:w="9843"/>
      </w:tblGrid>
      <w:tr w:rsidR="002B0800" w:rsidRPr="00D85F54" w:rsidTr="00B46545">
        <w:trPr>
          <w:trHeight w:val="300"/>
        </w:trPr>
        <w:tc>
          <w:tcPr>
            <w:tcW w:w="2140" w:type="dxa"/>
            <w:shd w:val="clear" w:color="auto" w:fill="8DB3E2" w:themeFill="text2" w:themeFillTint="66"/>
            <w:noWrap/>
            <w:vAlign w:val="center"/>
            <w:hideMark/>
          </w:tcPr>
          <w:p w:rsidR="002B0800" w:rsidRPr="00D85F54" w:rsidRDefault="002B0800" w:rsidP="00B46545">
            <w:pPr>
              <w:pStyle w:val="cuadroCabe"/>
              <w:rPr>
                <w:lang w:val="es-ES" w:eastAsia="es-ES"/>
              </w:rPr>
            </w:pPr>
            <w:r w:rsidRPr="00D85F54">
              <w:rPr>
                <w:lang w:val="es-ES" w:eastAsia="es-ES"/>
              </w:rPr>
              <w:t>Norma</w:t>
            </w:r>
          </w:p>
        </w:tc>
        <w:tc>
          <w:tcPr>
            <w:tcW w:w="1200" w:type="dxa"/>
            <w:shd w:val="clear" w:color="auto" w:fill="8DB3E2" w:themeFill="text2" w:themeFillTint="66"/>
            <w:noWrap/>
            <w:vAlign w:val="center"/>
            <w:hideMark/>
          </w:tcPr>
          <w:p w:rsidR="002B0800" w:rsidRPr="00D85F54" w:rsidRDefault="002B0800" w:rsidP="00B46545">
            <w:pPr>
              <w:pStyle w:val="cuadroCabe"/>
              <w:rPr>
                <w:lang w:val="es-ES" w:eastAsia="es-ES"/>
              </w:rPr>
            </w:pPr>
            <w:r w:rsidRPr="00D85F54">
              <w:rPr>
                <w:lang w:val="es-ES" w:eastAsia="es-ES"/>
              </w:rPr>
              <w:t>Fecha</w:t>
            </w:r>
          </w:p>
        </w:tc>
        <w:tc>
          <w:tcPr>
            <w:tcW w:w="9843" w:type="dxa"/>
            <w:shd w:val="clear" w:color="auto" w:fill="8DB3E2" w:themeFill="text2" w:themeFillTint="66"/>
            <w:noWrap/>
            <w:vAlign w:val="center"/>
            <w:hideMark/>
          </w:tcPr>
          <w:p w:rsidR="002B0800" w:rsidRPr="00D85F54" w:rsidRDefault="002B0800" w:rsidP="00B46545">
            <w:pPr>
              <w:pStyle w:val="cuadroCabe"/>
              <w:jc w:val="left"/>
              <w:rPr>
                <w:lang w:val="es-ES" w:eastAsia="es-ES"/>
              </w:rPr>
            </w:pPr>
            <w:r w:rsidRPr="00D85F54">
              <w:rPr>
                <w:lang w:val="es-ES" w:eastAsia="es-ES"/>
              </w:rPr>
              <w:t>Aspectos incluidos relacionados con medidas extraordinarias para paliar los efectos de la COVID-19</w:t>
            </w:r>
          </w:p>
        </w:tc>
      </w:tr>
      <w:tr w:rsidR="00811A5F" w:rsidRPr="00D85F54" w:rsidTr="007C5DE1">
        <w:trPr>
          <w:trHeight w:val="300"/>
        </w:trPr>
        <w:tc>
          <w:tcPr>
            <w:tcW w:w="2140" w:type="dxa"/>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LF 10/2020</w:t>
            </w:r>
          </w:p>
        </w:tc>
        <w:tc>
          <w:tcPr>
            <w:tcW w:w="1200" w:type="dxa"/>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8 abril</w:t>
            </w: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Modificación Ley Foral 5/2020 de Presupuestos Generales de Navarra para 2020</w:t>
            </w:r>
          </w:p>
        </w:tc>
      </w:tr>
      <w:tr w:rsidR="00811A5F" w:rsidRPr="00D85F54" w:rsidTr="007C5DE1">
        <w:trPr>
          <w:trHeight w:val="300"/>
        </w:trPr>
        <w:tc>
          <w:tcPr>
            <w:tcW w:w="2140" w:type="dxa"/>
            <w:tcBorders>
              <w:top w:val="single" w:sz="2" w:space="0" w:color="auto"/>
              <w:bottom w:val="single" w:sz="2" w:space="0" w:color="auto"/>
            </w:tcBorders>
            <w:shd w:val="clear" w:color="auto" w:fill="auto"/>
            <w:noWrap/>
            <w:vAlign w:val="center"/>
          </w:tcPr>
          <w:p w:rsidR="00811A5F" w:rsidRPr="00D85F54" w:rsidRDefault="00811A5F" w:rsidP="003810F9">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Orden Foral 37/2020</w:t>
            </w:r>
          </w:p>
        </w:tc>
        <w:tc>
          <w:tcPr>
            <w:tcW w:w="1200" w:type="dxa"/>
            <w:tcBorders>
              <w:top w:val="single" w:sz="2" w:space="0" w:color="auto"/>
              <w:bottom w:val="single" w:sz="2" w:space="0" w:color="auto"/>
            </w:tcBorders>
            <w:shd w:val="clear" w:color="auto" w:fill="auto"/>
            <w:noWrap/>
            <w:vAlign w:val="center"/>
          </w:tcPr>
          <w:p w:rsidR="00811A5F" w:rsidRPr="00D85F54" w:rsidRDefault="00811A5F" w:rsidP="003810F9">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8 abril</w:t>
            </w:r>
          </w:p>
        </w:tc>
        <w:tc>
          <w:tcPr>
            <w:tcW w:w="9843" w:type="dxa"/>
            <w:tcBorders>
              <w:top w:val="single" w:sz="2" w:space="0" w:color="auto"/>
              <w:bottom w:val="single" w:sz="2" w:space="0" w:color="auto"/>
            </w:tcBorders>
            <w:shd w:val="clear" w:color="auto" w:fill="auto"/>
            <w:noWrap/>
            <w:vAlign w:val="bottom"/>
          </w:tcPr>
          <w:p w:rsidR="00811A5F" w:rsidRPr="00D85F54" w:rsidRDefault="00811A5F" w:rsidP="002B0800">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Normas gestión relaciones aspirantes al desempeño mediante contratación temporal de puestos de trabajo del Departamento de Educación</w:t>
            </w:r>
          </w:p>
        </w:tc>
      </w:tr>
      <w:tr w:rsidR="00811A5F" w:rsidRPr="00D85F54" w:rsidTr="007C5DE1">
        <w:trPr>
          <w:trHeight w:val="300"/>
        </w:trPr>
        <w:tc>
          <w:tcPr>
            <w:tcW w:w="2140" w:type="dxa"/>
            <w:vMerge w:val="restart"/>
            <w:tcBorders>
              <w:top w:val="single" w:sz="2" w:space="0" w:color="auto"/>
              <w:bottom w:val="single" w:sz="2" w:space="0" w:color="auto"/>
            </w:tcBorders>
            <w:shd w:val="clear" w:color="auto" w:fill="auto"/>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DLF 3/2020 (convalidado según BON 27 abril de 2020)</w:t>
            </w:r>
          </w:p>
        </w:tc>
        <w:tc>
          <w:tcPr>
            <w:tcW w:w="1200" w:type="dxa"/>
            <w:vMerge w:val="restart"/>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15 abril</w:t>
            </w: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Ayudas personas trabajadoras autónomas</w:t>
            </w:r>
          </w:p>
        </w:tc>
      </w:tr>
      <w:tr w:rsidR="00811A5F" w:rsidRPr="00D85F54" w:rsidTr="007C5DE1">
        <w:trPr>
          <w:trHeight w:val="765"/>
        </w:trPr>
        <w:tc>
          <w:tcPr>
            <w:tcW w:w="214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120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9843" w:type="dxa"/>
            <w:tcBorders>
              <w:top w:val="single" w:sz="2" w:space="0" w:color="auto"/>
              <w:bottom w:val="single" w:sz="2" w:space="0" w:color="auto"/>
            </w:tcBorders>
            <w:shd w:val="clear" w:color="auto" w:fill="auto"/>
            <w:vAlign w:val="center"/>
            <w:hideMark/>
          </w:tcPr>
          <w:p w:rsidR="00811A5F" w:rsidRPr="00D85F54" w:rsidRDefault="00811A5F" w:rsidP="002B0800">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Gestión admón. Pública (abono precio contratación suministros y equipamiento COVID-19, donaciones apoyo COVID-19, segundo abono a entidades locales para Servicios Sociales de Base, abono ayudas emergencia social entidades locales por COVID-19, m</w:t>
            </w:r>
            <w:r w:rsidRPr="00D85F54">
              <w:rPr>
                <w:rFonts w:ascii="Arial Narrow" w:hAnsi="Arial Narrow" w:cs="Calibri"/>
                <w:color w:val="000000"/>
                <w:lang w:val="es-ES" w:eastAsia="es-ES"/>
              </w:rPr>
              <w:t>e</w:t>
            </w:r>
            <w:r w:rsidRPr="00D85F54">
              <w:rPr>
                <w:rFonts w:ascii="Arial Narrow" w:hAnsi="Arial Narrow" w:cs="Calibri"/>
                <w:color w:val="000000"/>
                <w:lang w:val="es-ES" w:eastAsia="es-ES"/>
              </w:rPr>
              <w:t xml:space="preserve">didas organizativas asistencia sanitaria en centros residenciales 3ª edad, discapacidad, centros </w:t>
            </w:r>
            <w:proofErr w:type="spellStart"/>
            <w:r w:rsidRPr="00D85F54">
              <w:rPr>
                <w:rFonts w:ascii="Arial Narrow" w:hAnsi="Arial Narrow" w:cs="Calibri"/>
                <w:color w:val="000000"/>
                <w:lang w:val="es-ES" w:eastAsia="es-ES"/>
              </w:rPr>
              <w:t>psicogeriátricos</w:t>
            </w:r>
            <w:proofErr w:type="spellEnd"/>
            <w:r w:rsidRPr="00D85F54">
              <w:rPr>
                <w:rFonts w:ascii="Arial Narrow" w:hAnsi="Arial Narrow" w:cs="Calibri"/>
                <w:color w:val="000000"/>
                <w:lang w:val="es-ES" w:eastAsia="es-ES"/>
              </w:rPr>
              <w:t xml:space="preserve"> y centros asimil</w:t>
            </w:r>
            <w:r w:rsidRPr="00D85F54">
              <w:rPr>
                <w:rFonts w:ascii="Arial Narrow" w:hAnsi="Arial Narrow" w:cs="Calibri"/>
                <w:color w:val="000000"/>
                <w:lang w:val="es-ES" w:eastAsia="es-ES"/>
              </w:rPr>
              <w:t>a</w:t>
            </w:r>
            <w:r w:rsidRPr="00D85F54">
              <w:rPr>
                <w:rFonts w:ascii="Arial Narrow" w:hAnsi="Arial Narrow" w:cs="Calibri"/>
                <w:color w:val="000000"/>
                <w:lang w:val="es-ES" w:eastAsia="es-ES"/>
              </w:rPr>
              <w:t>dos)</w:t>
            </w:r>
          </w:p>
        </w:tc>
      </w:tr>
      <w:tr w:rsidR="00811A5F" w:rsidRPr="00D85F54" w:rsidTr="007C5DE1">
        <w:trPr>
          <w:trHeight w:val="300"/>
        </w:trPr>
        <w:tc>
          <w:tcPr>
            <w:tcW w:w="214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120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Fomento investigación científica y técnica sobre COVID-19</w:t>
            </w:r>
          </w:p>
        </w:tc>
      </w:tr>
      <w:tr w:rsidR="00811A5F" w:rsidRPr="00D85F54" w:rsidTr="007C5DE1">
        <w:trPr>
          <w:trHeight w:val="300"/>
        </w:trPr>
        <w:tc>
          <w:tcPr>
            <w:tcW w:w="214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120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Coordinación se</w:t>
            </w:r>
            <w:r>
              <w:rPr>
                <w:rFonts w:ascii="Arial Narrow" w:hAnsi="Arial Narrow" w:cs="Calibri"/>
                <w:color w:val="000000"/>
                <w:lang w:val="es-ES" w:eastAsia="es-ES"/>
              </w:rPr>
              <w:t>rvicios prevención de Navarra p</w:t>
            </w:r>
            <w:r w:rsidRPr="00D85F54">
              <w:rPr>
                <w:rFonts w:ascii="Arial Narrow" w:hAnsi="Arial Narrow" w:cs="Calibri"/>
                <w:color w:val="000000"/>
                <w:lang w:val="es-ES" w:eastAsia="es-ES"/>
              </w:rPr>
              <w:t>o</w:t>
            </w:r>
            <w:r>
              <w:rPr>
                <w:rFonts w:ascii="Arial Narrow" w:hAnsi="Arial Narrow" w:cs="Calibri"/>
                <w:color w:val="000000"/>
                <w:lang w:val="es-ES" w:eastAsia="es-ES"/>
              </w:rPr>
              <w:t>r</w:t>
            </w:r>
            <w:r w:rsidRPr="00D85F54">
              <w:rPr>
                <w:rFonts w:ascii="Arial Narrow" w:hAnsi="Arial Narrow" w:cs="Calibri"/>
                <w:color w:val="000000"/>
                <w:lang w:val="es-ES" w:eastAsia="es-ES"/>
              </w:rPr>
              <w:t xml:space="preserve"> parte del Instituto de Salud Pública y Laboral de Navarra </w:t>
            </w:r>
          </w:p>
        </w:tc>
      </w:tr>
      <w:tr w:rsidR="00811A5F" w:rsidRPr="00D85F54" w:rsidTr="007C5DE1">
        <w:trPr>
          <w:trHeight w:val="370"/>
        </w:trPr>
        <w:tc>
          <w:tcPr>
            <w:tcW w:w="2140" w:type="dxa"/>
            <w:tcBorders>
              <w:top w:val="single" w:sz="2" w:space="0" w:color="auto"/>
              <w:bottom w:val="single" w:sz="2" w:space="0" w:color="auto"/>
            </w:tcBorders>
            <w:shd w:val="clear" w:color="auto" w:fill="auto"/>
            <w:noWrap/>
            <w:vAlign w:val="center"/>
          </w:tcPr>
          <w:p w:rsidR="00811A5F" w:rsidRPr="00D85F54" w:rsidRDefault="00811A5F" w:rsidP="003810F9">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Instrucción 10/2020</w:t>
            </w:r>
          </w:p>
        </w:tc>
        <w:tc>
          <w:tcPr>
            <w:tcW w:w="1200" w:type="dxa"/>
            <w:tcBorders>
              <w:top w:val="single" w:sz="2" w:space="0" w:color="auto"/>
              <w:bottom w:val="single" w:sz="2" w:space="0" w:color="auto"/>
            </w:tcBorders>
            <w:shd w:val="clear" w:color="auto" w:fill="auto"/>
            <w:noWrap/>
            <w:vAlign w:val="center"/>
          </w:tcPr>
          <w:p w:rsidR="00811A5F" w:rsidRPr="00D85F54" w:rsidRDefault="00811A5F" w:rsidP="003810F9">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23 abril</w:t>
            </w:r>
          </w:p>
        </w:tc>
        <w:tc>
          <w:tcPr>
            <w:tcW w:w="9843" w:type="dxa"/>
            <w:tcBorders>
              <w:top w:val="single" w:sz="2" w:space="0" w:color="auto"/>
              <w:bottom w:val="single" w:sz="2" w:space="0" w:color="auto"/>
            </w:tcBorders>
            <w:shd w:val="clear" w:color="auto" w:fill="auto"/>
            <w:vAlign w:val="center"/>
          </w:tcPr>
          <w:p w:rsidR="00811A5F" w:rsidRPr="00D85F54" w:rsidRDefault="00811A5F" w:rsidP="002B0800">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Deja sin efecto parte de la Instrucción 9/2020</w:t>
            </w:r>
          </w:p>
        </w:tc>
      </w:tr>
      <w:tr w:rsidR="00811A5F" w:rsidRPr="00D85F54" w:rsidTr="007C5DE1">
        <w:trPr>
          <w:trHeight w:val="510"/>
        </w:trPr>
        <w:tc>
          <w:tcPr>
            <w:tcW w:w="2140" w:type="dxa"/>
            <w:vMerge w:val="restart"/>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DLF 4/2020</w:t>
            </w:r>
          </w:p>
        </w:tc>
        <w:tc>
          <w:tcPr>
            <w:tcW w:w="1200" w:type="dxa"/>
            <w:vMerge w:val="restart"/>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29 abril</w:t>
            </w:r>
          </w:p>
        </w:tc>
        <w:tc>
          <w:tcPr>
            <w:tcW w:w="9843" w:type="dxa"/>
            <w:tcBorders>
              <w:top w:val="single" w:sz="2" w:space="0" w:color="auto"/>
              <w:bottom w:val="single" w:sz="2" w:space="0" w:color="auto"/>
            </w:tcBorders>
            <w:shd w:val="clear" w:color="auto" w:fill="auto"/>
            <w:vAlign w:val="center"/>
            <w:hideMark/>
          </w:tcPr>
          <w:p w:rsidR="00811A5F" w:rsidRPr="00D85F54" w:rsidRDefault="00811A5F" w:rsidP="002B0800">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Ámbito tributario (tributos sobre juego, impuesto grandes establecimientos comerciales, plazos e ingreso impuesto sucesiones y donaciones e impuesto transmisiones patrimoniales y actos jurídicos documentados, plazo exención reinversión vivienda habitual, deducción creación empleo, etc.)</w:t>
            </w:r>
          </w:p>
        </w:tc>
      </w:tr>
      <w:tr w:rsidR="00811A5F" w:rsidRPr="00D85F54" w:rsidTr="007C5DE1">
        <w:trPr>
          <w:trHeight w:val="300"/>
        </w:trPr>
        <w:tc>
          <w:tcPr>
            <w:tcW w:w="214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120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Flexibilización temporal del uso del fondo de educación y promoción de cooperativas para paliar efectos COVID-19</w:t>
            </w:r>
          </w:p>
        </w:tc>
      </w:tr>
      <w:tr w:rsidR="00811A5F" w:rsidRPr="00D85F54" w:rsidTr="007C5DE1">
        <w:trPr>
          <w:trHeight w:val="300"/>
        </w:trPr>
        <w:tc>
          <w:tcPr>
            <w:tcW w:w="2140" w:type="dxa"/>
            <w:vMerge w:val="restart"/>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DLF 5/2020</w:t>
            </w:r>
          </w:p>
        </w:tc>
        <w:tc>
          <w:tcPr>
            <w:tcW w:w="1200" w:type="dxa"/>
            <w:vMerge w:val="restart"/>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20 mayo</w:t>
            </w: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Vivienda (vigencia cédulas habitabilidad, derecho subjetivo a vivienda y subvenciones inquilinos viviendas protegidas)</w:t>
            </w:r>
          </w:p>
        </w:tc>
      </w:tr>
      <w:tr w:rsidR="00811A5F" w:rsidRPr="00D85F54" w:rsidTr="007C5DE1">
        <w:trPr>
          <w:trHeight w:val="300"/>
        </w:trPr>
        <w:tc>
          <w:tcPr>
            <w:tcW w:w="214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120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Contratación pública (medidas complementarias, contratos públicos interpretación artística y espectáculos suspendidos o resueltos)</w:t>
            </w:r>
          </w:p>
        </w:tc>
      </w:tr>
      <w:tr w:rsidR="00811A5F" w:rsidRPr="00D85F54" w:rsidTr="007C5DE1">
        <w:trPr>
          <w:trHeight w:val="300"/>
        </w:trPr>
        <w:tc>
          <w:tcPr>
            <w:tcW w:w="2140" w:type="dxa"/>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RDL 22/2020</w:t>
            </w:r>
          </w:p>
        </w:tc>
        <w:tc>
          <w:tcPr>
            <w:tcW w:w="1200" w:type="dxa"/>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16 junio</w:t>
            </w: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 xml:space="preserve">Creación Fondo </w:t>
            </w:r>
            <w:r>
              <w:rPr>
                <w:rFonts w:ascii="Arial Narrow" w:hAnsi="Arial Narrow" w:cs="Calibri"/>
                <w:color w:val="000000"/>
                <w:lang w:val="es-ES" w:eastAsia="es-ES"/>
              </w:rPr>
              <w:t>COVID-19 y reglas sobre su distri</w:t>
            </w:r>
            <w:r w:rsidRPr="00D85F54">
              <w:rPr>
                <w:rFonts w:ascii="Arial Narrow" w:hAnsi="Arial Narrow" w:cs="Calibri"/>
                <w:color w:val="000000"/>
                <w:lang w:val="es-ES" w:eastAsia="es-ES"/>
              </w:rPr>
              <w:t>bución y libramiento</w:t>
            </w:r>
          </w:p>
        </w:tc>
      </w:tr>
      <w:tr w:rsidR="00811A5F" w:rsidRPr="00D85F54" w:rsidTr="007C5DE1">
        <w:trPr>
          <w:trHeight w:val="356"/>
        </w:trPr>
        <w:tc>
          <w:tcPr>
            <w:tcW w:w="2140" w:type="dxa"/>
            <w:vMerge w:val="restart"/>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DLF 6/2020</w:t>
            </w:r>
          </w:p>
        </w:tc>
        <w:tc>
          <w:tcPr>
            <w:tcW w:w="1200" w:type="dxa"/>
            <w:vMerge w:val="restart"/>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17 junio</w:t>
            </w:r>
          </w:p>
        </w:tc>
        <w:tc>
          <w:tcPr>
            <w:tcW w:w="9843" w:type="dxa"/>
            <w:tcBorders>
              <w:top w:val="single" w:sz="2" w:space="0" w:color="auto"/>
              <w:bottom w:val="single" w:sz="2" w:space="0" w:color="auto"/>
            </w:tcBorders>
            <w:shd w:val="clear" w:color="auto" w:fill="auto"/>
            <w:vAlign w:val="center"/>
            <w:hideMark/>
          </w:tcPr>
          <w:p w:rsidR="00811A5F" w:rsidRPr="00D85F54" w:rsidRDefault="00811A5F" w:rsidP="002B0800">
            <w:pPr>
              <w:spacing w:after="0"/>
              <w:ind w:firstLine="0"/>
              <w:jc w:val="left"/>
              <w:rPr>
                <w:rFonts w:ascii="Arial Narrow" w:hAnsi="Arial Narrow" w:cs="Calibri"/>
                <w:color w:val="000000"/>
                <w:sz w:val="19"/>
                <w:szCs w:val="19"/>
                <w:lang w:val="es-ES" w:eastAsia="es-ES"/>
              </w:rPr>
            </w:pPr>
            <w:r w:rsidRPr="00D85F54">
              <w:rPr>
                <w:rFonts w:ascii="Arial Narrow" w:hAnsi="Arial Narrow" w:cs="Calibri"/>
                <w:color w:val="000000"/>
                <w:sz w:val="19"/>
                <w:szCs w:val="19"/>
                <w:lang w:val="es-ES" w:eastAsia="es-ES"/>
              </w:rPr>
              <w:t>Contratos concesión servicios transporte público regular interurbano por carretera (cálculo y procedimiento de la compensación económica extraordinaria)</w:t>
            </w:r>
          </w:p>
        </w:tc>
      </w:tr>
      <w:tr w:rsidR="00811A5F" w:rsidRPr="00D85F54" w:rsidTr="007C5DE1">
        <w:trPr>
          <w:trHeight w:val="300"/>
        </w:trPr>
        <w:tc>
          <w:tcPr>
            <w:tcW w:w="214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120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Servicios sociales (suspensión abono renta garantizada en determinados supuestos)</w:t>
            </w:r>
          </w:p>
        </w:tc>
      </w:tr>
      <w:tr w:rsidR="00811A5F" w:rsidRPr="00D85F54" w:rsidTr="007C5DE1">
        <w:trPr>
          <w:trHeight w:val="300"/>
        </w:trPr>
        <w:tc>
          <w:tcPr>
            <w:tcW w:w="214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120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Ordenación del territorio (autorización excepcional instalación sistemas generación energía eólica y tendidos eléctricos de evacu</w:t>
            </w:r>
            <w:r w:rsidRPr="00D85F54">
              <w:rPr>
                <w:rFonts w:ascii="Arial Narrow" w:hAnsi="Arial Narrow" w:cs="Calibri"/>
                <w:color w:val="000000"/>
                <w:lang w:val="es-ES" w:eastAsia="es-ES"/>
              </w:rPr>
              <w:t>a</w:t>
            </w:r>
            <w:r w:rsidRPr="00D85F54">
              <w:rPr>
                <w:rFonts w:ascii="Arial Narrow" w:hAnsi="Arial Narrow" w:cs="Calibri"/>
                <w:color w:val="000000"/>
                <w:lang w:val="es-ES" w:eastAsia="es-ES"/>
              </w:rPr>
              <w:t>ción)</w:t>
            </w:r>
          </w:p>
        </w:tc>
      </w:tr>
      <w:tr w:rsidR="00811A5F" w:rsidRPr="00D85F54" w:rsidTr="007C5DE1">
        <w:trPr>
          <w:trHeight w:val="510"/>
        </w:trPr>
        <w:tc>
          <w:tcPr>
            <w:tcW w:w="214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120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9843" w:type="dxa"/>
            <w:tcBorders>
              <w:top w:val="single" w:sz="2" w:space="0" w:color="auto"/>
              <w:bottom w:val="single" w:sz="2" w:space="0" w:color="auto"/>
            </w:tcBorders>
            <w:shd w:val="clear" w:color="auto" w:fill="auto"/>
            <w:vAlign w:val="center"/>
            <w:hideMark/>
          </w:tcPr>
          <w:p w:rsidR="00811A5F" w:rsidRPr="00D85F54" w:rsidRDefault="00811A5F" w:rsidP="002B0800">
            <w:pPr>
              <w:spacing w:after="0"/>
              <w:ind w:firstLine="0"/>
              <w:jc w:val="left"/>
              <w:rPr>
                <w:rFonts w:ascii="Arial Narrow" w:hAnsi="Arial Narrow" w:cs="Calibri"/>
                <w:color w:val="000000"/>
                <w:sz w:val="19"/>
                <w:szCs w:val="19"/>
                <w:lang w:val="es-ES" w:eastAsia="es-ES"/>
              </w:rPr>
            </w:pPr>
            <w:r w:rsidRPr="00D85F54">
              <w:rPr>
                <w:rFonts w:ascii="Arial Narrow" w:hAnsi="Arial Narrow" w:cs="Calibri"/>
                <w:color w:val="000000"/>
                <w:sz w:val="19"/>
                <w:szCs w:val="19"/>
                <w:lang w:val="es-ES" w:eastAsia="es-ES"/>
              </w:rPr>
              <w:t>Ámbito tributario (presentación impuesto sociedades, plazo presentación cuentas fundaciones, suspensión facturas electricidad, gas y pr</w:t>
            </w:r>
            <w:r w:rsidRPr="00D85F54">
              <w:rPr>
                <w:rFonts w:ascii="Arial Narrow" w:hAnsi="Arial Narrow" w:cs="Calibri"/>
                <w:color w:val="000000"/>
                <w:sz w:val="19"/>
                <w:szCs w:val="19"/>
                <w:lang w:val="es-ES" w:eastAsia="es-ES"/>
              </w:rPr>
              <w:t>o</w:t>
            </w:r>
            <w:r w:rsidRPr="00D85F54">
              <w:rPr>
                <w:rFonts w:ascii="Arial Narrow" w:hAnsi="Arial Narrow" w:cs="Calibri"/>
                <w:color w:val="000000"/>
                <w:sz w:val="19"/>
                <w:szCs w:val="19"/>
                <w:lang w:val="es-ES" w:eastAsia="es-ES"/>
              </w:rPr>
              <w:t>ductos derivados del petróleo, seguro colectivo gratuito personal sanitario, deducción cuotas a la Seguridad Social por cuidados de determ</w:t>
            </w:r>
            <w:r w:rsidRPr="00D85F54">
              <w:rPr>
                <w:rFonts w:ascii="Arial Narrow" w:hAnsi="Arial Narrow" w:cs="Calibri"/>
                <w:color w:val="000000"/>
                <w:sz w:val="19"/>
                <w:szCs w:val="19"/>
                <w:lang w:val="es-ES" w:eastAsia="es-ES"/>
              </w:rPr>
              <w:t>i</w:t>
            </w:r>
            <w:r w:rsidRPr="00D85F54">
              <w:rPr>
                <w:rFonts w:ascii="Arial Narrow" w:hAnsi="Arial Narrow" w:cs="Calibri"/>
                <w:color w:val="000000"/>
                <w:sz w:val="19"/>
                <w:szCs w:val="19"/>
                <w:lang w:val="es-ES" w:eastAsia="es-ES"/>
              </w:rPr>
              <w:t>nadas personas, etc.)</w:t>
            </w:r>
          </w:p>
        </w:tc>
      </w:tr>
      <w:tr w:rsidR="00811A5F" w:rsidRPr="00D85F54" w:rsidTr="007C5DE1">
        <w:trPr>
          <w:trHeight w:val="300"/>
        </w:trPr>
        <w:tc>
          <w:tcPr>
            <w:tcW w:w="2140" w:type="dxa"/>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LF 13/2020</w:t>
            </w:r>
          </w:p>
        </w:tc>
        <w:tc>
          <w:tcPr>
            <w:tcW w:w="1200" w:type="dxa"/>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1 julio</w:t>
            </w:r>
          </w:p>
        </w:tc>
        <w:tc>
          <w:tcPr>
            <w:tcW w:w="9843" w:type="dxa"/>
            <w:tcBorders>
              <w:top w:val="single" w:sz="2" w:space="0" w:color="auto"/>
              <w:bottom w:val="single" w:sz="2" w:space="0" w:color="auto"/>
            </w:tcBorders>
            <w:shd w:val="clear" w:color="auto" w:fill="auto"/>
            <w:vAlign w:val="center"/>
            <w:hideMark/>
          </w:tcPr>
          <w:p w:rsidR="00811A5F" w:rsidRPr="00D85F54" w:rsidRDefault="00811A5F" w:rsidP="002B0800">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Crédito extraordinario</w:t>
            </w:r>
            <w:r>
              <w:rPr>
                <w:rFonts w:ascii="Arial Narrow" w:hAnsi="Arial Narrow" w:cs="Calibri"/>
                <w:color w:val="000000"/>
                <w:lang w:val="es-ES" w:eastAsia="es-ES"/>
              </w:rPr>
              <w:t xml:space="preserve"> de 25 millones</w:t>
            </w:r>
            <w:r w:rsidRPr="00D85F54">
              <w:rPr>
                <w:rFonts w:ascii="Arial Narrow" w:hAnsi="Arial Narrow" w:cs="Calibri"/>
                <w:color w:val="000000"/>
                <w:lang w:val="es-ES" w:eastAsia="es-ES"/>
              </w:rPr>
              <w:t xml:space="preserve"> con cargo al Fondo Participación Haciendas Locales para necesidades COVID-19 de entidades locales</w:t>
            </w:r>
          </w:p>
        </w:tc>
      </w:tr>
      <w:tr w:rsidR="00811A5F" w:rsidRPr="00D85F54" w:rsidTr="007C5DE1">
        <w:trPr>
          <w:trHeight w:val="300"/>
        </w:trPr>
        <w:tc>
          <w:tcPr>
            <w:tcW w:w="2140" w:type="dxa"/>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DLF 7/2020</w:t>
            </w:r>
          </w:p>
        </w:tc>
        <w:tc>
          <w:tcPr>
            <w:tcW w:w="1200" w:type="dxa"/>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22 julio</w:t>
            </w: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Ocio nocturno (limitación horarios, actividades, celebraciones, ocupaciones máximas por mesas o grupos de mesa)</w:t>
            </w:r>
          </w:p>
        </w:tc>
      </w:tr>
    </w:tbl>
    <w:p w:rsidR="002B0800" w:rsidRDefault="002B0800">
      <w:r>
        <w:br w:type="page"/>
      </w:r>
    </w:p>
    <w:p w:rsidR="007A0000" w:rsidRDefault="007A0000"/>
    <w:tbl>
      <w:tblPr>
        <w:tblW w:w="13183"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140"/>
        <w:gridCol w:w="1200"/>
        <w:gridCol w:w="9843"/>
      </w:tblGrid>
      <w:tr w:rsidR="0010329E" w:rsidRPr="00D85F54" w:rsidTr="00B46545">
        <w:trPr>
          <w:trHeight w:val="300"/>
        </w:trPr>
        <w:tc>
          <w:tcPr>
            <w:tcW w:w="2140" w:type="dxa"/>
            <w:shd w:val="clear" w:color="auto" w:fill="8DB3E2" w:themeFill="text2" w:themeFillTint="66"/>
            <w:noWrap/>
            <w:vAlign w:val="center"/>
            <w:hideMark/>
          </w:tcPr>
          <w:p w:rsidR="0010329E" w:rsidRPr="00D85F54" w:rsidRDefault="0010329E" w:rsidP="00B46545">
            <w:pPr>
              <w:pStyle w:val="cuadroCabe"/>
              <w:rPr>
                <w:lang w:val="es-ES" w:eastAsia="es-ES"/>
              </w:rPr>
            </w:pPr>
            <w:r w:rsidRPr="00D85F54">
              <w:rPr>
                <w:lang w:val="es-ES" w:eastAsia="es-ES"/>
              </w:rPr>
              <w:t>Norma</w:t>
            </w:r>
          </w:p>
        </w:tc>
        <w:tc>
          <w:tcPr>
            <w:tcW w:w="1200" w:type="dxa"/>
            <w:shd w:val="clear" w:color="auto" w:fill="8DB3E2" w:themeFill="text2" w:themeFillTint="66"/>
            <w:noWrap/>
            <w:vAlign w:val="center"/>
            <w:hideMark/>
          </w:tcPr>
          <w:p w:rsidR="0010329E" w:rsidRPr="00D85F54" w:rsidRDefault="0010329E" w:rsidP="00B46545">
            <w:pPr>
              <w:pStyle w:val="cuadroCabe"/>
              <w:rPr>
                <w:lang w:val="es-ES" w:eastAsia="es-ES"/>
              </w:rPr>
            </w:pPr>
            <w:r w:rsidRPr="00D85F54">
              <w:rPr>
                <w:lang w:val="es-ES" w:eastAsia="es-ES"/>
              </w:rPr>
              <w:t>Fecha</w:t>
            </w:r>
          </w:p>
        </w:tc>
        <w:tc>
          <w:tcPr>
            <w:tcW w:w="9843" w:type="dxa"/>
            <w:shd w:val="clear" w:color="auto" w:fill="8DB3E2" w:themeFill="text2" w:themeFillTint="66"/>
            <w:noWrap/>
            <w:vAlign w:val="center"/>
            <w:hideMark/>
          </w:tcPr>
          <w:p w:rsidR="0010329E" w:rsidRPr="00D85F54" w:rsidRDefault="0010329E" w:rsidP="00B46545">
            <w:pPr>
              <w:pStyle w:val="cuadroCabe"/>
              <w:jc w:val="left"/>
              <w:rPr>
                <w:lang w:val="es-ES" w:eastAsia="es-ES"/>
              </w:rPr>
            </w:pPr>
            <w:r w:rsidRPr="00D85F54">
              <w:rPr>
                <w:lang w:val="es-ES" w:eastAsia="es-ES"/>
              </w:rPr>
              <w:t>Aspectos incluidos relacionados con medidas extraordinarias para paliar los efectos de la COVID-19</w:t>
            </w:r>
          </w:p>
        </w:tc>
      </w:tr>
      <w:tr w:rsidR="00811A5F" w:rsidRPr="00D85F54" w:rsidTr="007C5DE1">
        <w:trPr>
          <w:trHeight w:val="300"/>
        </w:trPr>
        <w:tc>
          <w:tcPr>
            <w:tcW w:w="2140" w:type="dxa"/>
            <w:vMerge w:val="restart"/>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DLF 8/2020</w:t>
            </w:r>
          </w:p>
        </w:tc>
        <w:tc>
          <w:tcPr>
            <w:tcW w:w="1200" w:type="dxa"/>
            <w:vMerge w:val="restart"/>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17 agosto</w:t>
            </w: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Ocio nocturno, hostelería y restauración, consumo de alcohol y actividad sociedades gastronómicas y peñas</w:t>
            </w:r>
          </w:p>
        </w:tc>
      </w:tr>
      <w:tr w:rsidR="00811A5F" w:rsidRPr="00D85F54" w:rsidTr="007C5DE1">
        <w:trPr>
          <w:trHeight w:val="300"/>
        </w:trPr>
        <w:tc>
          <w:tcPr>
            <w:tcW w:w="214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120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 xml:space="preserve">Centros </w:t>
            </w:r>
            <w:proofErr w:type="spellStart"/>
            <w:r w:rsidRPr="00D85F54">
              <w:rPr>
                <w:rFonts w:ascii="Arial Narrow" w:hAnsi="Arial Narrow" w:cs="Calibri"/>
                <w:color w:val="000000"/>
                <w:lang w:val="es-ES" w:eastAsia="es-ES"/>
              </w:rPr>
              <w:t>sociosanitarios</w:t>
            </w:r>
            <w:proofErr w:type="spellEnd"/>
            <w:r w:rsidRPr="00D85F54">
              <w:rPr>
                <w:rFonts w:ascii="Arial Narrow" w:hAnsi="Arial Narrow" w:cs="Calibri"/>
                <w:color w:val="000000"/>
                <w:lang w:val="es-ES" w:eastAsia="es-ES"/>
              </w:rPr>
              <w:t xml:space="preserve"> residenciales (realización PCR, visitas y salidas de residentes</w:t>
            </w:r>
            <w:r>
              <w:rPr>
                <w:rFonts w:ascii="Arial Narrow" w:hAnsi="Arial Narrow" w:cs="Calibri"/>
                <w:color w:val="000000"/>
                <w:lang w:val="es-ES" w:eastAsia="es-ES"/>
              </w:rPr>
              <w:t>)</w:t>
            </w:r>
          </w:p>
        </w:tc>
      </w:tr>
      <w:tr w:rsidR="00811A5F" w:rsidRPr="00D85F54" w:rsidTr="007C5DE1">
        <w:trPr>
          <w:trHeight w:val="300"/>
        </w:trPr>
        <w:tc>
          <w:tcPr>
            <w:tcW w:w="214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120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 xml:space="preserve">Eventos y actividades multitudinarias </w:t>
            </w:r>
          </w:p>
        </w:tc>
      </w:tr>
      <w:tr w:rsidR="00811A5F" w:rsidRPr="00D85F54" w:rsidTr="007C5DE1">
        <w:trPr>
          <w:trHeight w:val="300"/>
        </w:trPr>
        <w:tc>
          <w:tcPr>
            <w:tcW w:w="214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120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Ámbito sanitario (cribados con PCR en grupos específicos y consumo de tabaco y asimilados)</w:t>
            </w:r>
          </w:p>
        </w:tc>
      </w:tr>
      <w:tr w:rsidR="00811A5F" w:rsidRPr="00D85F54" w:rsidTr="007C5DE1">
        <w:trPr>
          <w:trHeight w:val="300"/>
        </w:trPr>
        <w:tc>
          <w:tcPr>
            <w:tcW w:w="214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1200" w:type="dxa"/>
            <w:vMerge/>
            <w:tcBorders>
              <w:top w:val="single" w:sz="2" w:space="0" w:color="auto"/>
              <w:bottom w:val="single" w:sz="2" w:space="0" w:color="auto"/>
            </w:tcBorders>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Personal (horas extraordinarias)</w:t>
            </w:r>
          </w:p>
        </w:tc>
      </w:tr>
      <w:tr w:rsidR="00811A5F" w:rsidRPr="00D85F54" w:rsidTr="007C5DE1">
        <w:trPr>
          <w:trHeight w:val="300"/>
        </w:trPr>
        <w:tc>
          <w:tcPr>
            <w:tcW w:w="2140" w:type="dxa"/>
            <w:tcBorders>
              <w:top w:val="single" w:sz="2" w:space="0" w:color="auto"/>
              <w:bottom w:val="single" w:sz="2" w:space="0" w:color="auto"/>
            </w:tcBorders>
            <w:shd w:val="clear" w:color="auto" w:fill="auto"/>
            <w:noWrap/>
            <w:vAlign w:val="center"/>
            <w:hideMark/>
          </w:tcPr>
          <w:p w:rsidR="00811A5F" w:rsidRPr="00D85F54" w:rsidRDefault="00477D89" w:rsidP="003810F9">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OF 35/2020</w:t>
            </w:r>
          </w:p>
        </w:tc>
        <w:tc>
          <w:tcPr>
            <w:tcW w:w="1200" w:type="dxa"/>
            <w:tcBorders>
              <w:top w:val="single" w:sz="2" w:space="0" w:color="auto"/>
              <w:bottom w:val="single" w:sz="2" w:space="0" w:color="auto"/>
            </w:tcBorders>
            <w:shd w:val="clear" w:color="auto" w:fill="auto"/>
            <w:noWrap/>
            <w:vAlign w:val="center"/>
            <w:hideMark/>
          </w:tcPr>
          <w:p w:rsidR="00811A5F" w:rsidRPr="00D85F54" w:rsidRDefault="00477D89" w:rsidP="00477D89">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3</w:t>
            </w:r>
            <w:r w:rsidR="00811A5F">
              <w:rPr>
                <w:rFonts w:ascii="Arial Narrow" w:hAnsi="Arial Narrow" w:cs="Calibri"/>
                <w:color w:val="000000"/>
                <w:lang w:val="es-ES" w:eastAsia="es-ES"/>
              </w:rPr>
              <w:t xml:space="preserve">1 </w:t>
            </w:r>
            <w:r>
              <w:rPr>
                <w:rFonts w:ascii="Arial Narrow" w:hAnsi="Arial Narrow" w:cs="Calibri"/>
                <w:color w:val="000000"/>
                <w:lang w:val="es-ES" w:eastAsia="es-ES"/>
              </w:rPr>
              <w:t>agosto</w:t>
            </w:r>
          </w:p>
        </w:tc>
        <w:tc>
          <w:tcPr>
            <w:tcW w:w="9843" w:type="dxa"/>
            <w:tcBorders>
              <w:top w:val="single" w:sz="2" w:space="0" w:color="auto"/>
              <w:bottom w:val="single" w:sz="2" w:space="0" w:color="auto"/>
            </w:tcBorders>
            <w:shd w:val="clear" w:color="auto" w:fill="auto"/>
            <w:noWrap/>
            <w:vAlign w:val="center"/>
            <w:hideMark/>
          </w:tcPr>
          <w:p w:rsidR="00811A5F" w:rsidRPr="00D85F54" w:rsidRDefault="00477D89" w:rsidP="002B0800">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Protocolo actuación curso académico 2020/2021</w:t>
            </w:r>
          </w:p>
        </w:tc>
      </w:tr>
      <w:tr w:rsidR="00477D89" w:rsidRPr="00D85F54" w:rsidTr="007C5DE1">
        <w:trPr>
          <w:trHeight w:val="300"/>
        </w:trPr>
        <w:tc>
          <w:tcPr>
            <w:tcW w:w="2140" w:type="dxa"/>
            <w:tcBorders>
              <w:top w:val="single" w:sz="2" w:space="0" w:color="auto"/>
              <w:bottom w:val="single" w:sz="2" w:space="0" w:color="auto"/>
            </w:tcBorders>
            <w:shd w:val="clear" w:color="auto" w:fill="auto"/>
            <w:noWrap/>
            <w:vAlign w:val="center"/>
            <w:hideMark/>
          </w:tcPr>
          <w:p w:rsidR="00477D89" w:rsidRPr="00D85F54" w:rsidRDefault="00477D89" w:rsidP="00D94FF9">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LF 14/2020</w:t>
            </w:r>
          </w:p>
        </w:tc>
        <w:tc>
          <w:tcPr>
            <w:tcW w:w="1200" w:type="dxa"/>
            <w:tcBorders>
              <w:top w:val="single" w:sz="2" w:space="0" w:color="auto"/>
              <w:bottom w:val="single" w:sz="2" w:space="0" w:color="auto"/>
            </w:tcBorders>
            <w:shd w:val="clear" w:color="auto" w:fill="auto"/>
            <w:noWrap/>
            <w:vAlign w:val="center"/>
            <w:hideMark/>
          </w:tcPr>
          <w:p w:rsidR="00477D89" w:rsidRPr="00D85F54" w:rsidRDefault="00477D89" w:rsidP="00D94FF9">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1 septiembre</w:t>
            </w:r>
          </w:p>
        </w:tc>
        <w:tc>
          <w:tcPr>
            <w:tcW w:w="9843" w:type="dxa"/>
            <w:tcBorders>
              <w:top w:val="single" w:sz="2" w:space="0" w:color="auto"/>
              <w:bottom w:val="single" w:sz="2" w:space="0" w:color="auto"/>
            </w:tcBorders>
            <w:shd w:val="clear" w:color="auto" w:fill="auto"/>
            <w:noWrap/>
            <w:vAlign w:val="center"/>
            <w:hideMark/>
          </w:tcPr>
          <w:p w:rsidR="00477D89" w:rsidRPr="00D85F54" w:rsidRDefault="00477D89" w:rsidP="002B0800">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Condiciones laborales básicas profesorado enseñanza pública y concertada de Navarra</w:t>
            </w:r>
          </w:p>
        </w:tc>
      </w:tr>
      <w:tr w:rsidR="00811A5F" w:rsidRPr="00D85F54" w:rsidTr="007C5DE1">
        <w:trPr>
          <w:trHeight w:val="300"/>
        </w:trPr>
        <w:tc>
          <w:tcPr>
            <w:tcW w:w="2140" w:type="dxa"/>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DLF 9/2020</w:t>
            </w:r>
          </w:p>
        </w:tc>
        <w:tc>
          <w:tcPr>
            <w:tcW w:w="1200" w:type="dxa"/>
            <w:tcBorders>
              <w:top w:val="single" w:sz="2" w:space="0" w:color="auto"/>
              <w:bottom w:val="single" w:sz="2" w:space="0" w:color="auto"/>
            </w:tcBorders>
            <w:shd w:val="clear" w:color="auto" w:fill="auto"/>
            <w:noWrap/>
            <w:vAlign w:val="center"/>
            <w:hideMark/>
          </w:tcPr>
          <w:p w:rsidR="00811A5F" w:rsidRPr="00D85F54" w:rsidRDefault="00811A5F" w:rsidP="003810F9">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16 septiembre</w:t>
            </w:r>
          </w:p>
        </w:tc>
        <w:tc>
          <w:tcPr>
            <w:tcW w:w="9843" w:type="dxa"/>
            <w:tcBorders>
              <w:top w:val="single" w:sz="2" w:space="0" w:color="auto"/>
              <w:bottom w:val="single" w:sz="2" w:space="0" w:color="auto"/>
            </w:tcBorders>
            <w:shd w:val="clear" w:color="auto" w:fill="auto"/>
            <w:noWrap/>
            <w:vAlign w:val="center"/>
            <w:hideMark/>
          </w:tcPr>
          <w:p w:rsidR="00811A5F" w:rsidRPr="00D85F54" w:rsidRDefault="00811A5F" w:rsidP="002B0800">
            <w:pPr>
              <w:spacing w:after="0"/>
              <w:ind w:firstLine="0"/>
              <w:jc w:val="left"/>
              <w:rPr>
                <w:rFonts w:ascii="Arial Narrow" w:hAnsi="Arial Narrow" w:cs="Calibri"/>
                <w:color w:val="000000"/>
                <w:lang w:val="es-ES" w:eastAsia="es-ES"/>
              </w:rPr>
            </w:pPr>
            <w:r w:rsidRPr="00D85F54">
              <w:rPr>
                <w:rFonts w:ascii="Arial Narrow" w:hAnsi="Arial Narrow" w:cs="Calibri"/>
                <w:color w:val="000000"/>
                <w:lang w:val="es-ES" w:eastAsia="es-ES"/>
              </w:rPr>
              <w:t>Régimen infracciones y sanciones, procedimientos sancionador incumplimiento medidas COVID-19</w:t>
            </w:r>
          </w:p>
        </w:tc>
      </w:tr>
      <w:tr w:rsidR="00811A5F" w:rsidRPr="00D85F54" w:rsidTr="007C5DE1">
        <w:trPr>
          <w:trHeight w:val="300"/>
        </w:trPr>
        <w:tc>
          <w:tcPr>
            <w:tcW w:w="2140" w:type="dxa"/>
            <w:tcBorders>
              <w:top w:val="single" w:sz="2" w:space="0" w:color="auto"/>
            </w:tcBorders>
            <w:shd w:val="clear" w:color="auto" w:fill="auto"/>
            <w:noWrap/>
            <w:vAlign w:val="center"/>
          </w:tcPr>
          <w:p w:rsidR="00811A5F" w:rsidRDefault="00811A5F" w:rsidP="003810F9">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RDL 29/2020</w:t>
            </w:r>
          </w:p>
        </w:tc>
        <w:tc>
          <w:tcPr>
            <w:tcW w:w="1200" w:type="dxa"/>
            <w:tcBorders>
              <w:top w:val="single" w:sz="2" w:space="0" w:color="auto"/>
            </w:tcBorders>
            <w:shd w:val="clear" w:color="auto" w:fill="auto"/>
            <w:noWrap/>
            <w:vAlign w:val="center"/>
          </w:tcPr>
          <w:p w:rsidR="00811A5F" w:rsidRDefault="00811A5F" w:rsidP="003810F9">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29 septiembre</w:t>
            </w:r>
          </w:p>
        </w:tc>
        <w:tc>
          <w:tcPr>
            <w:tcW w:w="9843" w:type="dxa"/>
            <w:tcBorders>
              <w:top w:val="single" w:sz="2" w:space="0" w:color="auto"/>
            </w:tcBorders>
            <w:shd w:val="clear" w:color="auto" w:fill="auto"/>
            <w:noWrap/>
            <w:vAlign w:val="center"/>
          </w:tcPr>
          <w:p w:rsidR="00811A5F" w:rsidRDefault="00811A5F" w:rsidP="002B0800">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Medidas urgentes en materia de teletrabajo y RRHH en el Sistema Nacional de Salud</w:t>
            </w:r>
          </w:p>
        </w:tc>
      </w:tr>
      <w:bookmarkEnd w:id="45"/>
    </w:tbl>
    <w:p w:rsidR="00811A5F" w:rsidRPr="004B2F01" w:rsidRDefault="00811A5F" w:rsidP="00811A5F">
      <w:pPr>
        <w:pStyle w:val="texto"/>
        <w:ind w:firstLine="0"/>
      </w:pPr>
    </w:p>
    <w:p w:rsidR="006B548F" w:rsidRPr="004B2F01" w:rsidRDefault="006B548F" w:rsidP="007A0000">
      <w:pPr>
        <w:pStyle w:val="texto"/>
        <w:ind w:firstLine="0"/>
      </w:pPr>
    </w:p>
    <w:sectPr w:rsidR="006B548F" w:rsidRPr="004B2F01" w:rsidSect="003810F9">
      <w:footerReference w:type="default" r:id="rId18"/>
      <w:pgSz w:w="16840" w:h="11907" w:orient="landscape" w:code="9"/>
      <w:pgMar w:top="1559" w:right="2109" w:bottom="1559" w:left="1644" w:header="369" w:footer="1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C6B" w:rsidRDefault="00392C6B">
      <w:r>
        <w:separator/>
      </w:r>
    </w:p>
    <w:p w:rsidR="00392C6B" w:rsidRDefault="00392C6B"/>
    <w:p w:rsidR="00392C6B" w:rsidRDefault="00392C6B"/>
    <w:p w:rsidR="00392C6B" w:rsidRDefault="00392C6B"/>
  </w:endnote>
  <w:endnote w:type="continuationSeparator" w:id="0">
    <w:p w:rsidR="00392C6B" w:rsidRDefault="00392C6B">
      <w:r>
        <w:continuationSeparator/>
      </w:r>
    </w:p>
    <w:p w:rsidR="00392C6B" w:rsidRDefault="00392C6B"/>
    <w:p w:rsidR="00392C6B" w:rsidRDefault="00392C6B"/>
    <w:p w:rsidR="00392C6B" w:rsidRDefault="00392C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ajan">
    <w:panose1 w:val="00000000000000000000"/>
    <w:charset w:val="00"/>
    <w:family w:val="roman"/>
    <w:notTrueType/>
    <w:pitch w:val="variable"/>
    <w:sig w:usb0="00000003" w:usb1="00000000" w:usb2="00000000" w:usb3="00000000" w:csb0="00000001" w:csb1="00000000"/>
  </w:font>
  <w:font w:name="GillSans">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C6B" w:rsidRDefault="00392C6B"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92C6B" w:rsidRDefault="00392C6B"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C6B" w:rsidRPr="00F03814" w:rsidRDefault="00392C6B"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52E3698D" wp14:editId="79553124">
          <wp:extent cx="219075" cy="371475"/>
          <wp:effectExtent l="0" t="0" r="9525" b="9525"/>
          <wp:docPr id="9" name="Imagen 9"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392C6B" w:rsidRPr="00F74E38" w:rsidRDefault="00392C6B" w:rsidP="00F03814">
    <w:pPr>
      <w:pStyle w:val="Piedepgina"/>
      <w:tabs>
        <w:tab w:val="clear" w:pos="4252"/>
        <w:tab w:val="clear" w:pos="8504"/>
        <w:tab w:val="center" w:pos="4560"/>
      </w:tabs>
      <w:ind w:right="360"/>
      <w:jc w:val="left"/>
      <w:rPr>
        <w:rStyle w:val="Nmerodepgin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C6B" w:rsidRDefault="00392C6B"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C6B" w:rsidRPr="00F03814" w:rsidRDefault="00392C6B"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530ACA24" wp14:editId="5FF9BBE4">
          <wp:extent cx="219075" cy="371475"/>
          <wp:effectExtent l="0" t="0" r="9525" b="9525"/>
          <wp:docPr id="11" name="Imagen 11"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717C03">
      <w:rPr>
        <w:rStyle w:val="Nmerodepgina"/>
        <w:noProof/>
        <w:szCs w:val="24"/>
      </w:rPr>
      <w:t>28</w:t>
    </w:r>
    <w:r w:rsidRPr="001D4F09">
      <w:rPr>
        <w:rStyle w:val="Nmerodepgina"/>
        <w:szCs w:val="24"/>
      </w:rPr>
      <w:fldChar w:fldCharType="end"/>
    </w:r>
    <w:r w:rsidRPr="001D4F09">
      <w:rPr>
        <w:rStyle w:val="Nmerodepgina"/>
        <w:szCs w:val="24"/>
      </w:rPr>
      <w:t xml:space="preserve"> -</w:t>
    </w:r>
  </w:p>
  <w:p w:rsidR="00392C6B" w:rsidRDefault="00392C6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C6B" w:rsidRPr="007C5DE1" w:rsidRDefault="00392C6B" w:rsidP="007C5DE1">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Style w:val="Nmerodepgina"/>
        <w:szCs w:val="24"/>
      </w:rPr>
    </w:pPr>
    <w:r>
      <w:rPr>
        <w:rFonts w:ascii="GillSans" w:hAnsi="GillSans"/>
        <w:noProof/>
        <w:lang w:val="es-ES" w:eastAsia="es-ES"/>
      </w:rPr>
      <w:drawing>
        <wp:inline distT="0" distB="0" distL="0" distR="0" wp14:anchorId="0AA9FA7D" wp14:editId="35FB4D06">
          <wp:extent cx="219075" cy="371475"/>
          <wp:effectExtent l="0" t="0" r="9525" b="9525"/>
          <wp:docPr id="12" name="Imagen 12"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717C03">
      <w:rPr>
        <w:rStyle w:val="Nmerodepgina"/>
        <w:noProof/>
        <w:szCs w:val="24"/>
      </w:rPr>
      <w:t>34</w:t>
    </w:r>
    <w:r w:rsidRPr="001D4F09">
      <w:rPr>
        <w:rStyle w:val="Nmerodepgina"/>
        <w:szCs w:val="24"/>
      </w:rPr>
      <w:fldChar w:fldCharType="end"/>
    </w:r>
    <w:r w:rsidRPr="001D4F09">
      <w:rPr>
        <w:rStyle w:val="Nmerodepgina"/>
        <w:szCs w:val="24"/>
      </w:rPr>
      <w:t xml:space="preserve"> -</w:t>
    </w:r>
  </w:p>
  <w:p w:rsidR="00392C6B" w:rsidRDefault="00392C6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C6B" w:rsidRPr="007C5DE1" w:rsidRDefault="00392C6B" w:rsidP="00DA1151">
    <w:pPr>
      <w:pStyle w:val="Piedepgina"/>
      <w:tabs>
        <w:tab w:val="clear" w:pos="2835"/>
        <w:tab w:val="clear" w:pos="3969"/>
        <w:tab w:val="clear" w:pos="4252"/>
        <w:tab w:val="clear" w:pos="5103"/>
        <w:tab w:val="clear" w:pos="6237"/>
        <w:tab w:val="clear" w:pos="7371"/>
        <w:tab w:val="clear" w:pos="8504"/>
        <w:tab w:val="center" w:pos="6521"/>
      </w:tabs>
      <w:spacing w:after="0"/>
      <w:ind w:right="29"/>
      <w:jc w:val="left"/>
      <w:rPr>
        <w:rStyle w:val="Nmerodepgina"/>
        <w:szCs w:val="24"/>
      </w:rPr>
    </w:pPr>
    <w:r>
      <w:rPr>
        <w:rFonts w:ascii="GillSans" w:hAnsi="GillSans"/>
        <w:noProof/>
        <w:lang w:val="es-ES" w:eastAsia="es-ES"/>
      </w:rPr>
      <w:drawing>
        <wp:inline distT="0" distB="0" distL="0" distR="0" wp14:anchorId="095ADF2A" wp14:editId="7E300844">
          <wp:extent cx="219075" cy="371475"/>
          <wp:effectExtent l="0" t="0" r="9525" b="9525"/>
          <wp:docPr id="28" name="Imagen 28"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717C03">
      <w:rPr>
        <w:rStyle w:val="Nmerodepgina"/>
        <w:noProof/>
        <w:szCs w:val="24"/>
      </w:rPr>
      <w:t>37</w:t>
    </w:r>
    <w:r w:rsidRPr="001D4F09">
      <w:rPr>
        <w:rStyle w:val="Nmerodepgina"/>
        <w:szCs w:val="24"/>
      </w:rPr>
      <w:fldChar w:fldCharType="end"/>
    </w:r>
    <w:r w:rsidRPr="001D4F09">
      <w:rPr>
        <w:rStyle w:val="Nmerodepgina"/>
        <w:szCs w:val="24"/>
      </w:rPr>
      <w:t xml:space="preserve"> -</w:t>
    </w:r>
  </w:p>
  <w:p w:rsidR="00392C6B" w:rsidRDefault="00392C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C6B" w:rsidRDefault="00392C6B" w:rsidP="0049412A">
      <w:pPr>
        <w:ind w:firstLine="0"/>
      </w:pPr>
      <w:r>
        <w:separator/>
      </w:r>
    </w:p>
  </w:footnote>
  <w:footnote w:type="continuationSeparator" w:id="0">
    <w:p w:rsidR="00392C6B" w:rsidRDefault="00392C6B">
      <w:r>
        <w:continuationSeparator/>
      </w:r>
    </w:p>
    <w:p w:rsidR="00392C6B" w:rsidRDefault="00392C6B"/>
    <w:p w:rsidR="00392C6B" w:rsidRDefault="00392C6B"/>
    <w:p w:rsidR="00392C6B" w:rsidRDefault="00392C6B"/>
  </w:footnote>
  <w:footnote w:id="1">
    <w:p w:rsidR="00392C6B" w:rsidRDefault="00392C6B" w:rsidP="0049412A">
      <w:pPr>
        <w:pStyle w:val="Textonotapie"/>
        <w:ind w:firstLine="0"/>
      </w:pPr>
      <w:r>
        <w:rPr>
          <w:rStyle w:val="Refdenotaalpie"/>
        </w:rPr>
        <w:footnoteRef/>
      </w:r>
      <w:r>
        <w:t xml:space="preserve"> Esta partida presupuestaria no se catalogó como COVID, pero hemos verificado que parte del gasto se or</w:t>
      </w:r>
      <w:r>
        <w:t>i</w:t>
      </w:r>
      <w:r>
        <w:t>ginó debido a esta circunstancia; en concreto, 144.444 euros a 31 de diciembre de 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C6B" w:rsidRDefault="00392C6B" w:rsidP="007C36BE">
    <w:pPr>
      <w:pStyle w:val="Encabezado"/>
      <w:pBdr>
        <w:bottom w:val="single" w:sz="4" w:space="1" w:color="auto"/>
      </w:pBdr>
      <w:spacing w:after="40"/>
      <w:ind w:firstLine="0"/>
      <w:jc w:val="left"/>
      <w:rPr>
        <w:lang w:val="es-ES"/>
      </w:rPr>
    </w:pPr>
    <w:r>
      <w:rPr>
        <w:b/>
        <w:noProof/>
        <w:lang w:val="es-ES" w:eastAsia="es-ES"/>
      </w:rPr>
      <w:drawing>
        <wp:inline distT="0" distB="0" distL="0" distR="0" wp14:anchorId="30F86DAA" wp14:editId="4593D1C6">
          <wp:extent cx="771525" cy="762000"/>
          <wp:effectExtent l="0" t="0" r="9525" b="0"/>
          <wp:docPr id="8" name="Imagen 8"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392C6B" w:rsidRPr="0059650E" w:rsidRDefault="00392C6B" w:rsidP="00891D73">
    <w:pPr>
      <w:pStyle w:val="Encabezado"/>
      <w:pBdr>
        <w:bottom w:val="single" w:sz="4" w:space="1" w:color="auto"/>
      </w:pBdr>
      <w:ind w:firstLine="0"/>
      <w:rPr>
        <w:lang w:val="es-ES"/>
      </w:rPr>
    </w:pPr>
    <w:r>
      <w:rPr>
        <w:lang w:val="es-ES"/>
      </w:rPr>
      <w:t>informe de fiscalización SOBRE gestión de la covid-19 por la administración de la comunidad foral de navarra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C6B" w:rsidRDefault="00392C6B" w:rsidP="006A2D41">
    <w:pPr>
      <w:pStyle w:val="Encabezado"/>
      <w:ind w:firstLine="0"/>
      <w:jc w:val="left"/>
    </w:pPr>
    <w:r>
      <w:rPr>
        <w:noProof/>
        <w:lang w:val="es-ES" w:eastAsia="es-ES"/>
      </w:rPr>
      <w:drawing>
        <wp:inline distT="0" distB="0" distL="0" distR="0" wp14:anchorId="544B39FF" wp14:editId="64FCD881">
          <wp:extent cx="771525" cy="762000"/>
          <wp:effectExtent l="0" t="0" r="9525" b="0"/>
          <wp:docPr id="10" name="Imagen 10"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C6B" w:rsidRDefault="00392C6B"/>
  <w:p w:rsidR="00392C6B" w:rsidRDefault="00392C6B"/>
  <w:p w:rsidR="00392C6B" w:rsidRDefault="00392C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1C75BA3"/>
    <w:multiLevelType w:val="singleLevel"/>
    <w:tmpl w:val="42C62EEE"/>
    <w:lvl w:ilvl="0">
      <w:start w:val="1"/>
      <w:numFmt w:val="bullet"/>
      <w:lvlText w:val=""/>
      <w:lvlJc w:val="left"/>
      <w:pPr>
        <w:tabs>
          <w:tab w:val="num" w:pos="360"/>
        </w:tabs>
        <w:ind w:left="0" w:firstLine="0"/>
      </w:pPr>
      <w:rPr>
        <w:rFonts w:ascii="Symbol" w:hAnsi="Symbol" w:hint="default"/>
      </w:rPr>
    </w:lvl>
  </w:abstractNum>
  <w:abstractNum w:abstractNumId="2">
    <w:nsid w:val="038A6561"/>
    <w:multiLevelType w:val="hybridMultilevel"/>
    <w:tmpl w:val="5DA622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A74228E"/>
    <w:multiLevelType w:val="hybridMultilevel"/>
    <w:tmpl w:val="AC5A68DA"/>
    <w:lvl w:ilvl="0" w:tplc="0C0A0001">
      <w:start w:val="1"/>
      <w:numFmt w:val="bullet"/>
      <w:lvlText w:val=""/>
      <w:lvlJc w:val="left"/>
      <w:pPr>
        <w:ind w:left="1004" w:hanging="360"/>
      </w:pPr>
      <w:rPr>
        <w:rFonts w:ascii="Symbol" w:hAnsi="Symbol" w:hint="default"/>
      </w:rPr>
    </w:lvl>
    <w:lvl w:ilvl="1" w:tplc="0C0A0001">
      <w:start w:val="1"/>
      <w:numFmt w:val="bullet"/>
      <w:lvlText w:val=""/>
      <w:lvlJc w:val="left"/>
      <w:pPr>
        <w:ind w:left="1724" w:hanging="360"/>
      </w:pPr>
      <w:rPr>
        <w:rFonts w:ascii="Symbol" w:hAnsi="Symbol" w:hint="default"/>
      </w:r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5">
    <w:nsid w:val="199117F5"/>
    <w:multiLevelType w:val="hybridMultilevel"/>
    <w:tmpl w:val="9DBA5B6E"/>
    <w:lvl w:ilvl="0" w:tplc="0C0A0001">
      <w:start w:val="1"/>
      <w:numFmt w:val="bullet"/>
      <w:lvlText w:val=""/>
      <w:lvlJc w:val="left"/>
      <w:pPr>
        <w:ind w:left="1004" w:hanging="360"/>
      </w:pPr>
      <w:rPr>
        <w:rFonts w:ascii="Symbol" w:hAnsi="Symbol"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
    <w:nsid w:val="1C341D8A"/>
    <w:multiLevelType w:val="hybridMultilevel"/>
    <w:tmpl w:val="C7BCF734"/>
    <w:lvl w:ilvl="0" w:tplc="0C0A0017">
      <w:start w:val="1"/>
      <w:numFmt w:val="lowerLetter"/>
      <w:lvlText w:val="%1)"/>
      <w:lvlJc w:val="left"/>
      <w:pPr>
        <w:ind w:left="1004" w:hanging="360"/>
      </w:pPr>
      <w:rPr>
        <w:rFonts w:hint="default"/>
      </w:rPr>
    </w:lvl>
    <w:lvl w:ilvl="1" w:tplc="0C0A0017">
      <w:start w:val="1"/>
      <w:numFmt w:val="lowerLetter"/>
      <w:lvlText w:val="%2)"/>
      <w:lvlJc w:val="left"/>
      <w:pPr>
        <w:ind w:left="1724" w:hanging="360"/>
      </w:pPr>
      <w:rPr>
        <w:rFonts w:hint="default"/>
      </w:r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7">
    <w:nsid w:val="1E403E93"/>
    <w:multiLevelType w:val="hybridMultilevel"/>
    <w:tmpl w:val="996AE5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0F6353A"/>
    <w:multiLevelType w:val="hybridMultilevel"/>
    <w:tmpl w:val="E89682B4"/>
    <w:lvl w:ilvl="0" w:tplc="0C0A0017">
      <w:start w:val="1"/>
      <w:numFmt w:val="lowerLetter"/>
      <w:lvlText w:val="%1)"/>
      <w:lvlJc w:val="left"/>
      <w:pPr>
        <w:ind w:left="1004" w:hanging="360"/>
      </w:pPr>
      <w:rPr>
        <w:rFont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nsid w:val="268B6F22"/>
    <w:multiLevelType w:val="hybridMultilevel"/>
    <w:tmpl w:val="83AE38DA"/>
    <w:lvl w:ilvl="0" w:tplc="89B45918">
      <w:start w:val="1"/>
      <w:numFmt w:val="bullet"/>
      <w:lvlText w:val=""/>
      <w:lvlJc w:val="left"/>
      <w:pPr>
        <w:ind w:left="1004" w:hanging="360"/>
      </w:pPr>
      <w:rPr>
        <w:rFonts w:ascii="Symbol" w:hAnsi="Symbol" w:hint="default"/>
        <w:color w:val="auto"/>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0">
    <w:nsid w:val="3357516C"/>
    <w:multiLevelType w:val="hybridMultilevel"/>
    <w:tmpl w:val="41BA0B38"/>
    <w:lvl w:ilvl="0" w:tplc="424A8CBC">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1645C11"/>
    <w:multiLevelType w:val="hybridMultilevel"/>
    <w:tmpl w:val="98F46C0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2">
    <w:nsid w:val="43E56E2C"/>
    <w:multiLevelType w:val="hybridMultilevel"/>
    <w:tmpl w:val="B882E752"/>
    <w:lvl w:ilvl="0" w:tplc="0C0A0017">
      <w:start w:val="1"/>
      <w:numFmt w:val="lowerLetter"/>
      <w:lvlText w:val="%1)"/>
      <w:lvlJc w:val="left"/>
      <w:pPr>
        <w:ind w:left="1004" w:hanging="360"/>
      </w:pPr>
      <w:rPr>
        <w:rFonts w:hint="default"/>
      </w:rPr>
    </w:lvl>
    <w:lvl w:ilvl="1" w:tplc="0C0A0001">
      <w:start w:val="1"/>
      <w:numFmt w:val="bullet"/>
      <w:lvlText w:val=""/>
      <w:lvlJc w:val="left"/>
      <w:pPr>
        <w:ind w:left="1724" w:hanging="360"/>
      </w:pPr>
      <w:rPr>
        <w:rFonts w:ascii="Symbol" w:hAnsi="Symbol" w:hint="default"/>
      </w:r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3">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nsid w:val="47BB12E1"/>
    <w:multiLevelType w:val="hybridMultilevel"/>
    <w:tmpl w:val="7ECA962E"/>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8AB0003"/>
    <w:multiLevelType w:val="hybridMultilevel"/>
    <w:tmpl w:val="7ECA962E"/>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EAB4891"/>
    <w:multiLevelType w:val="hybridMultilevel"/>
    <w:tmpl w:val="280CE2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19C66C4"/>
    <w:multiLevelType w:val="hybridMultilevel"/>
    <w:tmpl w:val="72E2D608"/>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19">
    <w:nsid w:val="6ADE110F"/>
    <w:multiLevelType w:val="hybridMultilevel"/>
    <w:tmpl w:val="3E0A98CA"/>
    <w:lvl w:ilvl="0" w:tplc="0C0A0017">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0">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1">
    <w:nsid w:val="6E6E3B02"/>
    <w:multiLevelType w:val="hybridMultilevel"/>
    <w:tmpl w:val="A09AD3BE"/>
    <w:lvl w:ilvl="0" w:tplc="0C0A0001">
      <w:start w:val="1"/>
      <w:numFmt w:val="bullet"/>
      <w:lvlText w:val=""/>
      <w:lvlJc w:val="left"/>
      <w:pPr>
        <w:ind w:left="1065" w:hanging="360"/>
      </w:pPr>
      <w:rPr>
        <w:rFonts w:ascii="Symbol" w:hAnsi="Symbo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2">
    <w:nsid w:val="6FFF4D88"/>
    <w:multiLevelType w:val="hybridMultilevel"/>
    <w:tmpl w:val="55FE667A"/>
    <w:lvl w:ilvl="0" w:tplc="0C0A0017">
      <w:start w:val="1"/>
      <w:numFmt w:val="lowerLetter"/>
      <w:lvlText w:val="%1)"/>
      <w:lvlJc w:val="left"/>
      <w:pPr>
        <w:ind w:left="1004" w:hanging="360"/>
      </w:pPr>
      <w:rPr>
        <w:rFont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3">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abstractNum w:abstractNumId="24">
    <w:nsid w:val="7F3E3184"/>
    <w:multiLevelType w:val="hybridMultilevel"/>
    <w:tmpl w:val="280CE2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3"/>
  </w:num>
  <w:num w:numId="2">
    <w:abstractNumId w:val="18"/>
  </w:num>
  <w:num w:numId="3">
    <w:abstractNumId w:val="4"/>
  </w:num>
  <w:num w:numId="4">
    <w:abstractNumId w:val="13"/>
  </w:num>
  <w:num w:numId="5">
    <w:abstractNumId w:val="20"/>
  </w:num>
  <w:num w:numId="6">
    <w:abstractNumId w:val="4"/>
  </w:num>
  <w:num w:numId="7">
    <w:abstractNumId w:val="4"/>
  </w:num>
  <w:num w:numId="8">
    <w:abstractNumId w:val="4"/>
  </w:num>
  <w:num w:numId="9">
    <w:abstractNumId w:val="1"/>
  </w:num>
  <w:num w:numId="10">
    <w:abstractNumId w:val="5"/>
  </w:num>
  <w:num w:numId="11">
    <w:abstractNumId w:val="3"/>
  </w:num>
  <w:num w:numId="12">
    <w:abstractNumId w:val="6"/>
  </w:num>
  <w:num w:numId="13">
    <w:abstractNumId w:val="10"/>
  </w:num>
  <w:num w:numId="14">
    <w:abstractNumId w:val="9"/>
  </w:num>
  <w:num w:numId="15">
    <w:abstractNumId w:val="21"/>
  </w:num>
  <w:num w:numId="16">
    <w:abstractNumId w:val="16"/>
  </w:num>
  <w:num w:numId="17">
    <w:abstractNumId w:val="15"/>
  </w:num>
  <w:num w:numId="18">
    <w:abstractNumId w:val="19"/>
  </w:num>
  <w:num w:numId="19">
    <w:abstractNumId w:val="12"/>
  </w:num>
  <w:num w:numId="20">
    <w:abstractNumId w:val="17"/>
  </w:num>
  <w:num w:numId="21">
    <w:abstractNumId w:val="2"/>
  </w:num>
  <w:num w:numId="22">
    <w:abstractNumId w:val="7"/>
  </w:num>
  <w:num w:numId="23">
    <w:abstractNumId w:val="24"/>
  </w:num>
  <w:num w:numId="24">
    <w:abstractNumId w:val="14"/>
  </w:num>
  <w:num w:numId="25">
    <w:abstractNumId w:val="11"/>
  </w:num>
  <w:num w:numId="26">
    <w:abstractNumId w:val="8"/>
  </w:num>
  <w:num w:numId="27">
    <w:abstractNumId w:val="22"/>
  </w:num>
  <w:num w:numId="28">
    <w:abstractNumId w:val="0"/>
    <w:lvlOverride w:ilvl="0">
      <w:lvl w:ilvl="0">
        <w:start w:val="1"/>
        <w:numFmt w:val="bullet"/>
        <w:lvlText w:val=""/>
        <w:legacy w:legacy="1" w:legacySpace="0" w:legacyIndent="283"/>
        <w:lvlJc w:val="left"/>
        <w:pPr>
          <w:ind w:left="425"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32E"/>
    <w:rsid w:val="000019D8"/>
    <w:rsid w:val="00006736"/>
    <w:rsid w:val="00006A97"/>
    <w:rsid w:val="0001123B"/>
    <w:rsid w:val="00012A7F"/>
    <w:rsid w:val="000170C1"/>
    <w:rsid w:val="00017A3A"/>
    <w:rsid w:val="0003572F"/>
    <w:rsid w:val="00036E42"/>
    <w:rsid w:val="0004373B"/>
    <w:rsid w:val="000448FA"/>
    <w:rsid w:val="00053A42"/>
    <w:rsid w:val="0005517D"/>
    <w:rsid w:val="0006133D"/>
    <w:rsid w:val="00063585"/>
    <w:rsid w:val="00071CD0"/>
    <w:rsid w:val="000746EA"/>
    <w:rsid w:val="00075327"/>
    <w:rsid w:val="00075692"/>
    <w:rsid w:val="00087B8D"/>
    <w:rsid w:val="00093D67"/>
    <w:rsid w:val="00093E60"/>
    <w:rsid w:val="000A18B7"/>
    <w:rsid w:val="000A2C1E"/>
    <w:rsid w:val="000A4697"/>
    <w:rsid w:val="000B2728"/>
    <w:rsid w:val="000B3943"/>
    <w:rsid w:val="000B4477"/>
    <w:rsid w:val="000C0704"/>
    <w:rsid w:val="000C2B07"/>
    <w:rsid w:val="000C39CC"/>
    <w:rsid w:val="000C7566"/>
    <w:rsid w:val="000D13D5"/>
    <w:rsid w:val="000D188E"/>
    <w:rsid w:val="000D5335"/>
    <w:rsid w:val="000E7B86"/>
    <w:rsid w:val="000F13D3"/>
    <w:rsid w:val="000F2B66"/>
    <w:rsid w:val="000F3D83"/>
    <w:rsid w:val="00100F12"/>
    <w:rsid w:val="0010329E"/>
    <w:rsid w:val="00103589"/>
    <w:rsid w:val="001045C9"/>
    <w:rsid w:val="00107CC1"/>
    <w:rsid w:val="0011162B"/>
    <w:rsid w:val="00111A92"/>
    <w:rsid w:val="001145C3"/>
    <w:rsid w:val="00115431"/>
    <w:rsid w:val="001161D2"/>
    <w:rsid w:val="00131DF1"/>
    <w:rsid w:val="00132C38"/>
    <w:rsid w:val="00133984"/>
    <w:rsid w:val="001365C4"/>
    <w:rsid w:val="0014147D"/>
    <w:rsid w:val="00141D29"/>
    <w:rsid w:val="0014506A"/>
    <w:rsid w:val="0014728F"/>
    <w:rsid w:val="001521A2"/>
    <w:rsid w:val="00152358"/>
    <w:rsid w:val="00155BFF"/>
    <w:rsid w:val="00160F66"/>
    <w:rsid w:val="001633AF"/>
    <w:rsid w:val="00164FEC"/>
    <w:rsid w:val="00166A6C"/>
    <w:rsid w:val="001728D0"/>
    <w:rsid w:val="00173EDD"/>
    <w:rsid w:val="0017402B"/>
    <w:rsid w:val="00181D37"/>
    <w:rsid w:val="001835B7"/>
    <w:rsid w:val="0018426B"/>
    <w:rsid w:val="00185A37"/>
    <w:rsid w:val="00194309"/>
    <w:rsid w:val="0019660E"/>
    <w:rsid w:val="001B39E2"/>
    <w:rsid w:val="001C06FE"/>
    <w:rsid w:val="001C2B26"/>
    <w:rsid w:val="001C3A32"/>
    <w:rsid w:val="001D4F09"/>
    <w:rsid w:val="001D6078"/>
    <w:rsid w:val="001D7C08"/>
    <w:rsid w:val="001F1482"/>
    <w:rsid w:val="001F20D7"/>
    <w:rsid w:val="001F4C31"/>
    <w:rsid w:val="001F7744"/>
    <w:rsid w:val="002014EB"/>
    <w:rsid w:val="00202B1A"/>
    <w:rsid w:val="00202BCF"/>
    <w:rsid w:val="002032B0"/>
    <w:rsid w:val="00204979"/>
    <w:rsid w:val="00211D69"/>
    <w:rsid w:val="002179DB"/>
    <w:rsid w:val="00227E48"/>
    <w:rsid w:val="00230577"/>
    <w:rsid w:val="0023159D"/>
    <w:rsid w:val="0023209D"/>
    <w:rsid w:val="002333F8"/>
    <w:rsid w:val="00233D79"/>
    <w:rsid w:val="00237657"/>
    <w:rsid w:val="002408EB"/>
    <w:rsid w:val="00242BA7"/>
    <w:rsid w:val="002437B5"/>
    <w:rsid w:val="00244EF1"/>
    <w:rsid w:val="00246F21"/>
    <w:rsid w:val="00253E78"/>
    <w:rsid w:val="00255780"/>
    <w:rsid w:val="00255A30"/>
    <w:rsid w:val="00262C3C"/>
    <w:rsid w:val="00264C88"/>
    <w:rsid w:val="0026532C"/>
    <w:rsid w:val="0026575D"/>
    <w:rsid w:val="002705B0"/>
    <w:rsid w:val="002717A6"/>
    <w:rsid w:val="00272015"/>
    <w:rsid w:val="00273C10"/>
    <w:rsid w:val="00274B4C"/>
    <w:rsid w:val="00276264"/>
    <w:rsid w:val="00281DCA"/>
    <w:rsid w:val="00297B04"/>
    <w:rsid w:val="002A056C"/>
    <w:rsid w:val="002A66A5"/>
    <w:rsid w:val="002A6EBB"/>
    <w:rsid w:val="002A78B6"/>
    <w:rsid w:val="002B0800"/>
    <w:rsid w:val="002B21E9"/>
    <w:rsid w:val="002B2B87"/>
    <w:rsid w:val="002B4E0F"/>
    <w:rsid w:val="002B5754"/>
    <w:rsid w:val="002C7026"/>
    <w:rsid w:val="002C7E08"/>
    <w:rsid w:val="002D089F"/>
    <w:rsid w:val="002D5635"/>
    <w:rsid w:val="002D65E8"/>
    <w:rsid w:val="002D68BD"/>
    <w:rsid w:val="002D7D32"/>
    <w:rsid w:val="002E02E5"/>
    <w:rsid w:val="002E0478"/>
    <w:rsid w:val="002E0791"/>
    <w:rsid w:val="002E118B"/>
    <w:rsid w:val="002E1B92"/>
    <w:rsid w:val="002E7B81"/>
    <w:rsid w:val="002F09FB"/>
    <w:rsid w:val="002F0FE3"/>
    <w:rsid w:val="002F1AF0"/>
    <w:rsid w:val="002F1F60"/>
    <w:rsid w:val="002F2530"/>
    <w:rsid w:val="002F272A"/>
    <w:rsid w:val="002F3225"/>
    <w:rsid w:val="002F53B4"/>
    <w:rsid w:val="002F76D6"/>
    <w:rsid w:val="00303506"/>
    <w:rsid w:val="00307057"/>
    <w:rsid w:val="00312819"/>
    <w:rsid w:val="00312E9C"/>
    <w:rsid w:val="00313875"/>
    <w:rsid w:val="003203BF"/>
    <w:rsid w:val="00321369"/>
    <w:rsid w:val="00330787"/>
    <w:rsid w:val="00337493"/>
    <w:rsid w:val="0034285F"/>
    <w:rsid w:val="003464A4"/>
    <w:rsid w:val="00351684"/>
    <w:rsid w:val="00353EFB"/>
    <w:rsid w:val="00354458"/>
    <w:rsid w:val="00363653"/>
    <w:rsid w:val="0036509D"/>
    <w:rsid w:val="00366A59"/>
    <w:rsid w:val="0037228C"/>
    <w:rsid w:val="003738FD"/>
    <w:rsid w:val="00374505"/>
    <w:rsid w:val="003810BE"/>
    <w:rsid w:val="003810F9"/>
    <w:rsid w:val="00386F6C"/>
    <w:rsid w:val="00387709"/>
    <w:rsid w:val="00387794"/>
    <w:rsid w:val="00392C6B"/>
    <w:rsid w:val="00397162"/>
    <w:rsid w:val="003A335E"/>
    <w:rsid w:val="003A3C8E"/>
    <w:rsid w:val="003A3DD2"/>
    <w:rsid w:val="003A4853"/>
    <w:rsid w:val="003B3573"/>
    <w:rsid w:val="003B5813"/>
    <w:rsid w:val="003C03EA"/>
    <w:rsid w:val="003C196B"/>
    <w:rsid w:val="003C4C39"/>
    <w:rsid w:val="003C6E1D"/>
    <w:rsid w:val="003D058C"/>
    <w:rsid w:val="003D76B1"/>
    <w:rsid w:val="003E17A6"/>
    <w:rsid w:val="003E4AA5"/>
    <w:rsid w:val="003F14A4"/>
    <w:rsid w:val="003F1CEC"/>
    <w:rsid w:val="003F43BF"/>
    <w:rsid w:val="003F6BE4"/>
    <w:rsid w:val="00403CF8"/>
    <w:rsid w:val="00407459"/>
    <w:rsid w:val="00414D01"/>
    <w:rsid w:val="004170FE"/>
    <w:rsid w:val="004209E6"/>
    <w:rsid w:val="0042324B"/>
    <w:rsid w:val="004234E8"/>
    <w:rsid w:val="00426805"/>
    <w:rsid w:val="00430150"/>
    <w:rsid w:val="004302F9"/>
    <w:rsid w:val="0043229B"/>
    <w:rsid w:val="00435287"/>
    <w:rsid w:val="00440A22"/>
    <w:rsid w:val="0045550E"/>
    <w:rsid w:val="00456456"/>
    <w:rsid w:val="00462367"/>
    <w:rsid w:val="00463954"/>
    <w:rsid w:val="0046490C"/>
    <w:rsid w:val="00470287"/>
    <w:rsid w:val="00470733"/>
    <w:rsid w:val="004768F5"/>
    <w:rsid w:val="00477C53"/>
    <w:rsid w:val="00477D89"/>
    <w:rsid w:val="00485380"/>
    <w:rsid w:val="00493D87"/>
    <w:rsid w:val="0049412A"/>
    <w:rsid w:val="004950D4"/>
    <w:rsid w:val="0049629A"/>
    <w:rsid w:val="004A0506"/>
    <w:rsid w:val="004A2342"/>
    <w:rsid w:val="004A2F62"/>
    <w:rsid w:val="004A49A4"/>
    <w:rsid w:val="004B1DB8"/>
    <w:rsid w:val="004B2F01"/>
    <w:rsid w:val="004B4182"/>
    <w:rsid w:val="004B4538"/>
    <w:rsid w:val="004B6FB6"/>
    <w:rsid w:val="004C3423"/>
    <w:rsid w:val="004C571D"/>
    <w:rsid w:val="004D35A2"/>
    <w:rsid w:val="004D384F"/>
    <w:rsid w:val="004D5FD1"/>
    <w:rsid w:val="004F7C93"/>
    <w:rsid w:val="00506105"/>
    <w:rsid w:val="00513162"/>
    <w:rsid w:val="00521C3D"/>
    <w:rsid w:val="00525809"/>
    <w:rsid w:val="00535130"/>
    <w:rsid w:val="00537302"/>
    <w:rsid w:val="00555509"/>
    <w:rsid w:val="00560890"/>
    <w:rsid w:val="00561C5B"/>
    <w:rsid w:val="00564F2D"/>
    <w:rsid w:val="00566CDA"/>
    <w:rsid w:val="0056727E"/>
    <w:rsid w:val="00567BA6"/>
    <w:rsid w:val="00570033"/>
    <w:rsid w:val="00570147"/>
    <w:rsid w:val="0057307E"/>
    <w:rsid w:val="00573A4C"/>
    <w:rsid w:val="00574B79"/>
    <w:rsid w:val="00574D12"/>
    <w:rsid w:val="005778B4"/>
    <w:rsid w:val="005800B4"/>
    <w:rsid w:val="0058070B"/>
    <w:rsid w:val="0058296F"/>
    <w:rsid w:val="0059551D"/>
    <w:rsid w:val="00595E80"/>
    <w:rsid w:val="0059650E"/>
    <w:rsid w:val="00596953"/>
    <w:rsid w:val="005A518C"/>
    <w:rsid w:val="005A6030"/>
    <w:rsid w:val="005B57AD"/>
    <w:rsid w:val="005B722E"/>
    <w:rsid w:val="005C02FE"/>
    <w:rsid w:val="005C50AC"/>
    <w:rsid w:val="005C6406"/>
    <w:rsid w:val="005D69D1"/>
    <w:rsid w:val="005E210D"/>
    <w:rsid w:val="005F0440"/>
    <w:rsid w:val="005F2425"/>
    <w:rsid w:val="005F5EC7"/>
    <w:rsid w:val="005F7207"/>
    <w:rsid w:val="005F7FCF"/>
    <w:rsid w:val="00600EF7"/>
    <w:rsid w:val="00607691"/>
    <w:rsid w:val="0061062C"/>
    <w:rsid w:val="00613183"/>
    <w:rsid w:val="006133F0"/>
    <w:rsid w:val="00616888"/>
    <w:rsid w:val="006176BE"/>
    <w:rsid w:val="006212CB"/>
    <w:rsid w:val="006279F9"/>
    <w:rsid w:val="006369EE"/>
    <w:rsid w:val="0064332E"/>
    <w:rsid w:val="0064700E"/>
    <w:rsid w:val="00650183"/>
    <w:rsid w:val="00650677"/>
    <w:rsid w:val="006532FD"/>
    <w:rsid w:val="006538A3"/>
    <w:rsid w:val="006736A9"/>
    <w:rsid w:val="00673BC7"/>
    <w:rsid w:val="00674975"/>
    <w:rsid w:val="00675D39"/>
    <w:rsid w:val="00676CA2"/>
    <w:rsid w:val="006825F8"/>
    <w:rsid w:val="0068560B"/>
    <w:rsid w:val="006A1277"/>
    <w:rsid w:val="006A2602"/>
    <w:rsid w:val="006A2D41"/>
    <w:rsid w:val="006A67E1"/>
    <w:rsid w:val="006B548F"/>
    <w:rsid w:val="006C36FB"/>
    <w:rsid w:val="006C4DAC"/>
    <w:rsid w:val="006C7D62"/>
    <w:rsid w:val="006D0B23"/>
    <w:rsid w:val="006D2ED6"/>
    <w:rsid w:val="006D5685"/>
    <w:rsid w:val="006E1987"/>
    <w:rsid w:val="006E23B2"/>
    <w:rsid w:val="006E5207"/>
    <w:rsid w:val="006E625A"/>
    <w:rsid w:val="006F5C70"/>
    <w:rsid w:val="006F6A20"/>
    <w:rsid w:val="007047B2"/>
    <w:rsid w:val="00704DE7"/>
    <w:rsid w:val="00706868"/>
    <w:rsid w:val="007078B8"/>
    <w:rsid w:val="00715E32"/>
    <w:rsid w:val="007162D1"/>
    <w:rsid w:val="00716463"/>
    <w:rsid w:val="0071706E"/>
    <w:rsid w:val="00717C03"/>
    <w:rsid w:val="00727292"/>
    <w:rsid w:val="00742F6A"/>
    <w:rsid w:val="007446E8"/>
    <w:rsid w:val="00751553"/>
    <w:rsid w:val="0075165E"/>
    <w:rsid w:val="0075167B"/>
    <w:rsid w:val="00754E10"/>
    <w:rsid w:val="00762A29"/>
    <w:rsid w:val="0076327D"/>
    <w:rsid w:val="00767745"/>
    <w:rsid w:val="007707FC"/>
    <w:rsid w:val="00770BE3"/>
    <w:rsid w:val="0077177A"/>
    <w:rsid w:val="007728A8"/>
    <w:rsid w:val="00780AC7"/>
    <w:rsid w:val="0078595C"/>
    <w:rsid w:val="00785A76"/>
    <w:rsid w:val="00787852"/>
    <w:rsid w:val="007915BC"/>
    <w:rsid w:val="007967FA"/>
    <w:rsid w:val="00797E7A"/>
    <w:rsid w:val="007A0000"/>
    <w:rsid w:val="007A0EA6"/>
    <w:rsid w:val="007A2D9E"/>
    <w:rsid w:val="007A361A"/>
    <w:rsid w:val="007A72D9"/>
    <w:rsid w:val="007B0381"/>
    <w:rsid w:val="007B0F3D"/>
    <w:rsid w:val="007B148D"/>
    <w:rsid w:val="007B18C8"/>
    <w:rsid w:val="007B28DE"/>
    <w:rsid w:val="007B47F2"/>
    <w:rsid w:val="007B7A5F"/>
    <w:rsid w:val="007C36BE"/>
    <w:rsid w:val="007C5DE1"/>
    <w:rsid w:val="007D4CA5"/>
    <w:rsid w:val="007D53ED"/>
    <w:rsid w:val="007D6001"/>
    <w:rsid w:val="007D7F94"/>
    <w:rsid w:val="007E1B76"/>
    <w:rsid w:val="007E219A"/>
    <w:rsid w:val="007E37BF"/>
    <w:rsid w:val="007E6593"/>
    <w:rsid w:val="007F1101"/>
    <w:rsid w:val="007F2CB1"/>
    <w:rsid w:val="008039BF"/>
    <w:rsid w:val="00803D20"/>
    <w:rsid w:val="008112A0"/>
    <w:rsid w:val="00811A5F"/>
    <w:rsid w:val="00811E5E"/>
    <w:rsid w:val="0081696D"/>
    <w:rsid w:val="00816E01"/>
    <w:rsid w:val="008173D0"/>
    <w:rsid w:val="008217D1"/>
    <w:rsid w:val="00823235"/>
    <w:rsid w:val="008249F1"/>
    <w:rsid w:val="00824AF2"/>
    <w:rsid w:val="00826686"/>
    <w:rsid w:val="00835563"/>
    <w:rsid w:val="00836511"/>
    <w:rsid w:val="00836B02"/>
    <w:rsid w:val="00836EC6"/>
    <w:rsid w:val="0083741E"/>
    <w:rsid w:val="00837985"/>
    <w:rsid w:val="00840E3D"/>
    <w:rsid w:val="00841D8C"/>
    <w:rsid w:val="00842220"/>
    <w:rsid w:val="00844111"/>
    <w:rsid w:val="00844F74"/>
    <w:rsid w:val="00845FF6"/>
    <w:rsid w:val="00846382"/>
    <w:rsid w:val="00850F57"/>
    <w:rsid w:val="008536C2"/>
    <w:rsid w:val="008600C7"/>
    <w:rsid w:val="008617D0"/>
    <w:rsid w:val="00861A60"/>
    <w:rsid w:val="00862357"/>
    <w:rsid w:val="00862D02"/>
    <w:rsid w:val="008637B9"/>
    <w:rsid w:val="00864194"/>
    <w:rsid w:val="00870399"/>
    <w:rsid w:val="008711EC"/>
    <w:rsid w:val="008718FE"/>
    <w:rsid w:val="00872946"/>
    <w:rsid w:val="00883928"/>
    <w:rsid w:val="00883DDE"/>
    <w:rsid w:val="00891D73"/>
    <w:rsid w:val="00892A44"/>
    <w:rsid w:val="008A0500"/>
    <w:rsid w:val="008A2DE8"/>
    <w:rsid w:val="008A312D"/>
    <w:rsid w:val="008A3E09"/>
    <w:rsid w:val="008A3E57"/>
    <w:rsid w:val="008A77A7"/>
    <w:rsid w:val="008B090B"/>
    <w:rsid w:val="008B3F34"/>
    <w:rsid w:val="008C56B9"/>
    <w:rsid w:val="008D05E0"/>
    <w:rsid w:val="008D2600"/>
    <w:rsid w:val="008E0AC0"/>
    <w:rsid w:val="008E221A"/>
    <w:rsid w:val="008E3FFE"/>
    <w:rsid w:val="008E60BE"/>
    <w:rsid w:val="008E6B74"/>
    <w:rsid w:val="008F0FAF"/>
    <w:rsid w:val="008F4354"/>
    <w:rsid w:val="008F46CD"/>
    <w:rsid w:val="008F6480"/>
    <w:rsid w:val="008F7740"/>
    <w:rsid w:val="00900CA2"/>
    <w:rsid w:val="00903653"/>
    <w:rsid w:val="00910A52"/>
    <w:rsid w:val="00911479"/>
    <w:rsid w:val="0091484D"/>
    <w:rsid w:val="00925E71"/>
    <w:rsid w:val="0093329F"/>
    <w:rsid w:val="00937043"/>
    <w:rsid w:val="009445D3"/>
    <w:rsid w:val="00955A8A"/>
    <w:rsid w:val="009573C3"/>
    <w:rsid w:val="0096400D"/>
    <w:rsid w:val="00966600"/>
    <w:rsid w:val="009671D9"/>
    <w:rsid w:val="00971352"/>
    <w:rsid w:val="00975E5B"/>
    <w:rsid w:val="00977C8F"/>
    <w:rsid w:val="00977F94"/>
    <w:rsid w:val="009863E9"/>
    <w:rsid w:val="009868A1"/>
    <w:rsid w:val="00992E20"/>
    <w:rsid w:val="009936FC"/>
    <w:rsid w:val="00993925"/>
    <w:rsid w:val="00993977"/>
    <w:rsid w:val="009A05D1"/>
    <w:rsid w:val="009A28AC"/>
    <w:rsid w:val="009A3A5B"/>
    <w:rsid w:val="009A3F2A"/>
    <w:rsid w:val="009B2AAC"/>
    <w:rsid w:val="009B3521"/>
    <w:rsid w:val="009B541C"/>
    <w:rsid w:val="009B70E7"/>
    <w:rsid w:val="009C08AC"/>
    <w:rsid w:val="009C4460"/>
    <w:rsid w:val="009D7192"/>
    <w:rsid w:val="009E0E38"/>
    <w:rsid w:val="009E1A35"/>
    <w:rsid w:val="009F09AA"/>
    <w:rsid w:val="009F2C16"/>
    <w:rsid w:val="009F2C1B"/>
    <w:rsid w:val="009F335C"/>
    <w:rsid w:val="009F4BED"/>
    <w:rsid w:val="00A002B5"/>
    <w:rsid w:val="00A0260C"/>
    <w:rsid w:val="00A041B5"/>
    <w:rsid w:val="00A04F8C"/>
    <w:rsid w:val="00A05158"/>
    <w:rsid w:val="00A13BF5"/>
    <w:rsid w:val="00A14837"/>
    <w:rsid w:val="00A225E3"/>
    <w:rsid w:val="00A23A26"/>
    <w:rsid w:val="00A24A8F"/>
    <w:rsid w:val="00A25708"/>
    <w:rsid w:val="00A25BF0"/>
    <w:rsid w:val="00A3026E"/>
    <w:rsid w:val="00A4576A"/>
    <w:rsid w:val="00A45AD0"/>
    <w:rsid w:val="00A45EE9"/>
    <w:rsid w:val="00A53C14"/>
    <w:rsid w:val="00A61410"/>
    <w:rsid w:val="00A6198A"/>
    <w:rsid w:val="00A65108"/>
    <w:rsid w:val="00A7067F"/>
    <w:rsid w:val="00A707A7"/>
    <w:rsid w:val="00A718FD"/>
    <w:rsid w:val="00A72341"/>
    <w:rsid w:val="00A76D1C"/>
    <w:rsid w:val="00A776ED"/>
    <w:rsid w:val="00A80E50"/>
    <w:rsid w:val="00A8137F"/>
    <w:rsid w:val="00A83663"/>
    <w:rsid w:val="00A83B0F"/>
    <w:rsid w:val="00A84216"/>
    <w:rsid w:val="00A90BFA"/>
    <w:rsid w:val="00A92BF3"/>
    <w:rsid w:val="00A943C8"/>
    <w:rsid w:val="00A950A4"/>
    <w:rsid w:val="00A9520D"/>
    <w:rsid w:val="00A95F86"/>
    <w:rsid w:val="00A9747D"/>
    <w:rsid w:val="00AA00A6"/>
    <w:rsid w:val="00AA6BA8"/>
    <w:rsid w:val="00AA7F5A"/>
    <w:rsid w:val="00AB2340"/>
    <w:rsid w:val="00AB5FE4"/>
    <w:rsid w:val="00AB659D"/>
    <w:rsid w:val="00AC02D7"/>
    <w:rsid w:val="00AC229F"/>
    <w:rsid w:val="00AD7671"/>
    <w:rsid w:val="00AE53E8"/>
    <w:rsid w:val="00AE6FE4"/>
    <w:rsid w:val="00AF2059"/>
    <w:rsid w:val="00AF2B3F"/>
    <w:rsid w:val="00AF3D84"/>
    <w:rsid w:val="00AF4161"/>
    <w:rsid w:val="00AF580B"/>
    <w:rsid w:val="00B007C8"/>
    <w:rsid w:val="00B12809"/>
    <w:rsid w:val="00B14410"/>
    <w:rsid w:val="00B15E61"/>
    <w:rsid w:val="00B16412"/>
    <w:rsid w:val="00B24F35"/>
    <w:rsid w:val="00B32C88"/>
    <w:rsid w:val="00B34747"/>
    <w:rsid w:val="00B42E49"/>
    <w:rsid w:val="00B46545"/>
    <w:rsid w:val="00B47D7C"/>
    <w:rsid w:val="00B50903"/>
    <w:rsid w:val="00B62FFE"/>
    <w:rsid w:val="00B65013"/>
    <w:rsid w:val="00B7123A"/>
    <w:rsid w:val="00B72BF4"/>
    <w:rsid w:val="00B7435C"/>
    <w:rsid w:val="00B75895"/>
    <w:rsid w:val="00B76F38"/>
    <w:rsid w:val="00B8085D"/>
    <w:rsid w:val="00B81EFF"/>
    <w:rsid w:val="00B82496"/>
    <w:rsid w:val="00B836BB"/>
    <w:rsid w:val="00B84122"/>
    <w:rsid w:val="00B862B0"/>
    <w:rsid w:val="00B9066C"/>
    <w:rsid w:val="00BA2B7C"/>
    <w:rsid w:val="00BA3EBC"/>
    <w:rsid w:val="00BB142A"/>
    <w:rsid w:val="00BB34B9"/>
    <w:rsid w:val="00BB35C2"/>
    <w:rsid w:val="00BB3B9E"/>
    <w:rsid w:val="00BB553B"/>
    <w:rsid w:val="00BC28D7"/>
    <w:rsid w:val="00BC376C"/>
    <w:rsid w:val="00BC6321"/>
    <w:rsid w:val="00BC7817"/>
    <w:rsid w:val="00BD3819"/>
    <w:rsid w:val="00BD642D"/>
    <w:rsid w:val="00BD6988"/>
    <w:rsid w:val="00BE1904"/>
    <w:rsid w:val="00BE1A77"/>
    <w:rsid w:val="00BE4742"/>
    <w:rsid w:val="00BE7383"/>
    <w:rsid w:val="00BE754D"/>
    <w:rsid w:val="00BF1DB9"/>
    <w:rsid w:val="00BF44E3"/>
    <w:rsid w:val="00BF6D10"/>
    <w:rsid w:val="00BF6E79"/>
    <w:rsid w:val="00C03F6C"/>
    <w:rsid w:val="00C05E95"/>
    <w:rsid w:val="00C12108"/>
    <w:rsid w:val="00C121D9"/>
    <w:rsid w:val="00C13453"/>
    <w:rsid w:val="00C16593"/>
    <w:rsid w:val="00C220F9"/>
    <w:rsid w:val="00C2541C"/>
    <w:rsid w:val="00C26862"/>
    <w:rsid w:val="00C30458"/>
    <w:rsid w:val="00C31DA6"/>
    <w:rsid w:val="00C33260"/>
    <w:rsid w:val="00C4598F"/>
    <w:rsid w:val="00C46D0D"/>
    <w:rsid w:val="00C50360"/>
    <w:rsid w:val="00C54E12"/>
    <w:rsid w:val="00C55468"/>
    <w:rsid w:val="00C6078F"/>
    <w:rsid w:val="00C622C3"/>
    <w:rsid w:val="00C63BD5"/>
    <w:rsid w:val="00C74906"/>
    <w:rsid w:val="00C81B40"/>
    <w:rsid w:val="00C81FEA"/>
    <w:rsid w:val="00C83969"/>
    <w:rsid w:val="00C86C95"/>
    <w:rsid w:val="00CA05EB"/>
    <w:rsid w:val="00CA3515"/>
    <w:rsid w:val="00CA3A05"/>
    <w:rsid w:val="00CB14E9"/>
    <w:rsid w:val="00CB6D90"/>
    <w:rsid w:val="00CB72C3"/>
    <w:rsid w:val="00CC15C0"/>
    <w:rsid w:val="00CC45E4"/>
    <w:rsid w:val="00CD019F"/>
    <w:rsid w:val="00CD27C5"/>
    <w:rsid w:val="00CE4169"/>
    <w:rsid w:val="00CE7894"/>
    <w:rsid w:val="00CF06A1"/>
    <w:rsid w:val="00CF1467"/>
    <w:rsid w:val="00CF48D6"/>
    <w:rsid w:val="00CF57D6"/>
    <w:rsid w:val="00CF6C1B"/>
    <w:rsid w:val="00D019D5"/>
    <w:rsid w:val="00D040FE"/>
    <w:rsid w:val="00D168FD"/>
    <w:rsid w:val="00D16F64"/>
    <w:rsid w:val="00D2472C"/>
    <w:rsid w:val="00D279BA"/>
    <w:rsid w:val="00D404B5"/>
    <w:rsid w:val="00D42621"/>
    <w:rsid w:val="00D4406D"/>
    <w:rsid w:val="00D447CB"/>
    <w:rsid w:val="00D47D16"/>
    <w:rsid w:val="00D505F4"/>
    <w:rsid w:val="00D51CE1"/>
    <w:rsid w:val="00D562F2"/>
    <w:rsid w:val="00D61B93"/>
    <w:rsid w:val="00D67E4A"/>
    <w:rsid w:val="00D7181A"/>
    <w:rsid w:val="00D7219A"/>
    <w:rsid w:val="00D75D86"/>
    <w:rsid w:val="00D763FD"/>
    <w:rsid w:val="00D90AD1"/>
    <w:rsid w:val="00D941F7"/>
    <w:rsid w:val="00D94FF9"/>
    <w:rsid w:val="00DA1151"/>
    <w:rsid w:val="00DA4DDF"/>
    <w:rsid w:val="00DB0804"/>
    <w:rsid w:val="00DB2D91"/>
    <w:rsid w:val="00DB2FC4"/>
    <w:rsid w:val="00DB4241"/>
    <w:rsid w:val="00DC382A"/>
    <w:rsid w:val="00DC7281"/>
    <w:rsid w:val="00DE1923"/>
    <w:rsid w:val="00DE2B33"/>
    <w:rsid w:val="00DE638B"/>
    <w:rsid w:val="00DE72EE"/>
    <w:rsid w:val="00DF3538"/>
    <w:rsid w:val="00DF37E5"/>
    <w:rsid w:val="00E034FE"/>
    <w:rsid w:val="00E041E5"/>
    <w:rsid w:val="00E04888"/>
    <w:rsid w:val="00E0763B"/>
    <w:rsid w:val="00E10302"/>
    <w:rsid w:val="00E12CFE"/>
    <w:rsid w:val="00E17EC5"/>
    <w:rsid w:val="00E26BFD"/>
    <w:rsid w:val="00E27E90"/>
    <w:rsid w:val="00E33D02"/>
    <w:rsid w:val="00E34F2C"/>
    <w:rsid w:val="00E35D79"/>
    <w:rsid w:val="00E36872"/>
    <w:rsid w:val="00E417F4"/>
    <w:rsid w:val="00E4641E"/>
    <w:rsid w:val="00E51697"/>
    <w:rsid w:val="00E519AE"/>
    <w:rsid w:val="00E52D81"/>
    <w:rsid w:val="00E57AF7"/>
    <w:rsid w:val="00E6241B"/>
    <w:rsid w:val="00E64FCC"/>
    <w:rsid w:val="00E70168"/>
    <w:rsid w:val="00E703B6"/>
    <w:rsid w:val="00E72200"/>
    <w:rsid w:val="00E72B1B"/>
    <w:rsid w:val="00E75D47"/>
    <w:rsid w:val="00E766F5"/>
    <w:rsid w:val="00E77652"/>
    <w:rsid w:val="00E77D71"/>
    <w:rsid w:val="00E82948"/>
    <w:rsid w:val="00E90218"/>
    <w:rsid w:val="00E913BB"/>
    <w:rsid w:val="00E95F2E"/>
    <w:rsid w:val="00EA1508"/>
    <w:rsid w:val="00EA1541"/>
    <w:rsid w:val="00EA32E4"/>
    <w:rsid w:val="00EA45FC"/>
    <w:rsid w:val="00EA7E36"/>
    <w:rsid w:val="00EB0898"/>
    <w:rsid w:val="00EB627B"/>
    <w:rsid w:val="00EB6D94"/>
    <w:rsid w:val="00EC4183"/>
    <w:rsid w:val="00EC6468"/>
    <w:rsid w:val="00EC6708"/>
    <w:rsid w:val="00ED207C"/>
    <w:rsid w:val="00ED325A"/>
    <w:rsid w:val="00ED3F41"/>
    <w:rsid w:val="00ED5615"/>
    <w:rsid w:val="00ED692E"/>
    <w:rsid w:val="00ED69AF"/>
    <w:rsid w:val="00EE1847"/>
    <w:rsid w:val="00EE240E"/>
    <w:rsid w:val="00EE688E"/>
    <w:rsid w:val="00EE6A6D"/>
    <w:rsid w:val="00EF03E2"/>
    <w:rsid w:val="00EF7F8B"/>
    <w:rsid w:val="00F03814"/>
    <w:rsid w:val="00F07A09"/>
    <w:rsid w:val="00F12512"/>
    <w:rsid w:val="00F1390C"/>
    <w:rsid w:val="00F14D98"/>
    <w:rsid w:val="00F158AE"/>
    <w:rsid w:val="00F17591"/>
    <w:rsid w:val="00F20C5E"/>
    <w:rsid w:val="00F36A1D"/>
    <w:rsid w:val="00F44278"/>
    <w:rsid w:val="00F51B65"/>
    <w:rsid w:val="00F52AAB"/>
    <w:rsid w:val="00F52EB6"/>
    <w:rsid w:val="00F55260"/>
    <w:rsid w:val="00F6316B"/>
    <w:rsid w:val="00F65AE0"/>
    <w:rsid w:val="00F74E38"/>
    <w:rsid w:val="00F76D6F"/>
    <w:rsid w:val="00F778B0"/>
    <w:rsid w:val="00F83BC2"/>
    <w:rsid w:val="00F92EC1"/>
    <w:rsid w:val="00F94C47"/>
    <w:rsid w:val="00FA0421"/>
    <w:rsid w:val="00FA3389"/>
    <w:rsid w:val="00FA3476"/>
    <w:rsid w:val="00FA495F"/>
    <w:rsid w:val="00FB0C10"/>
    <w:rsid w:val="00FB2599"/>
    <w:rsid w:val="00FB3C36"/>
    <w:rsid w:val="00FB4280"/>
    <w:rsid w:val="00FB7CCE"/>
    <w:rsid w:val="00FC01C8"/>
    <w:rsid w:val="00FC5027"/>
    <w:rsid w:val="00FC50C7"/>
    <w:rsid w:val="00FC511D"/>
    <w:rsid w:val="00FC68BC"/>
    <w:rsid w:val="00FD11D4"/>
    <w:rsid w:val="00FD225D"/>
    <w:rsid w:val="00FD2384"/>
    <w:rsid w:val="00FE452E"/>
    <w:rsid w:val="00FF3111"/>
    <w:rsid w:val="00FF3E46"/>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qFormat/>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rsid w:val="001D4F09"/>
  </w:style>
  <w:style w:type="paragraph" w:customStyle="1" w:styleId="cuadroCabe">
    <w:name w:val="cuadroCabe"/>
    <w:basedOn w:val="cuatexto"/>
    <w:qFormat/>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1Car">
    <w:name w:val="atitulo1 Car"/>
    <w:basedOn w:val="Fuentedeprrafopredeter"/>
    <w:link w:val="atitulo1"/>
    <w:locked/>
    <w:rsid w:val="006C4DAC"/>
    <w:rPr>
      <w:rFonts w:ascii="Arial" w:hAnsi="Arial"/>
      <w:b/>
      <w:color w:val="000000"/>
      <w:kern w:val="28"/>
      <w:sz w:val="25"/>
      <w:szCs w:val="26"/>
      <w:lang w:val="es-ES_tradnl" w:eastAsia="en-US"/>
    </w:rPr>
  </w:style>
  <w:style w:type="character" w:customStyle="1" w:styleId="atitulo2Car">
    <w:name w:val="atitulo2 Car"/>
    <w:link w:val="atitulo2"/>
    <w:locked/>
    <w:rsid w:val="006C4DAC"/>
    <w:rPr>
      <w:rFonts w:ascii="Arial" w:hAnsi="Arial"/>
      <w:bCs/>
      <w:iCs/>
      <w:color w:val="000000"/>
      <w:spacing w:val="10"/>
      <w:kern w:val="28"/>
      <w:sz w:val="25"/>
      <w:szCs w:val="26"/>
      <w:lang w:val="es-ES_tradnl" w:eastAsia="en-US"/>
    </w:rPr>
  </w:style>
  <w:style w:type="paragraph" w:styleId="Textonotapie">
    <w:name w:val="footnote text"/>
    <w:basedOn w:val="Normal"/>
    <w:link w:val="TextonotapieCar"/>
    <w:unhideWhenUsed/>
    <w:rsid w:val="0049412A"/>
    <w:pPr>
      <w:spacing w:after="0"/>
    </w:pPr>
  </w:style>
  <w:style w:type="character" w:customStyle="1" w:styleId="TextonotapieCar">
    <w:name w:val="Texto nota pie Car"/>
    <w:basedOn w:val="Fuentedeprrafopredeter"/>
    <w:link w:val="Textonotapie"/>
    <w:rsid w:val="0049412A"/>
    <w:rPr>
      <w:lang w:val="es-ES_tradnl" w:eastAsia="en-US"/>
    </w:rPr>
  </w:style>
  <w:style w:type="character" w:styleId="Refdenotaalpie">
    <w:name w:val="footnote reference"/>
    <w:basedOn w:val="Fuentedeprrafopredeter"/>
    <w:unhideWhenUsed/>
    <w:rsid w:val="0049412A"/>
    <w:rPr>
      <w:vertAlign w:val="superscript"/>
    </w:rPr>
  </w:style>
  <w:style w:type="paragraph" w:styleId="NormalWeb">
    <w:name w:val="Normal (Web)"/>
    <w:basedOn w:val="Normal"/>
    <w:uiPriority w:val="99"/>
    <w:unhideWhenUsed/>
    <w:rsid w:val="00676CA2"/>
    <w:pPr>
      <w:spacing w:before="100" w:beforeAutospacing="1" w:after="100" w:afterAutospacing="1"/>
      <w:ind w:firstLine="0"/>
      <w:jc w:val="left"/>
    </w:pPr>
    <w:rPr>
      <w:rFonts w:eastAsiaTheme="minorEastAsia"/>
      <w:sz w:val="24"/>
      <w:szCs w:val="24"/>
      <w:lang w:val="es-ES" w:eastAsia="es-ES"/>
    </w:rPr>
  </w:style>
  <w:style w:type="paragraph" w:styleId="Prrafodelista">
    <w:name w:val="List Paragraph"/>
    <w:basedOn w:val="Normal"/>
    <w:uiPriority w:val="34"/>
    <w:qFormat/>
    <w:rsid w:val="00676CA2"/>
    <w:pPr>
      <w:ind w:left="720"/>
      <w:contextualSpacing/>
    </w:pPr>
  </w:style>
  <w:style w:type="character" w:customStyle="1" w:styleId="PiedepginaCar">
    <w:name w:val="Pie de página Car"/>
    <w:basedOn w:val="Fuentedeprrafopredeter"/>
    <w:link w:val="Piedepgina"/>
    <w:uiPriority w:val="99"/>
    <w:rsid w:val="00676CA2"/>
    <w:rPr>
      <w:spacing w:val="6"/>
      <w:lang w:val="es-ES_tradnl" w:eastAsia="en-US"/>
    </w:rPr>
  </w:style>
  <w:style w:type="numbering" w:customStyle="1" w:styleId="Sinlista1">
    <w:name w:val="Sin lista1"/>
    <w:next w:val="Sinlista"/>
    <w:uiPriority w:val="99"/>
    <w:semiHidden/>
    <w:unhideWhenUsed/>
    <w:rsid w:val="00676CA2"/>
  </w:style>
  <w:style w:type="character" w:customStyle="1" w:styleId="TextodegloboCar">
    <w:name w:val="Texto de globo Car"/>
    <w:basedOn w:val="Fuentedeprrafopredeter"/>
    <w:link w:val="Textodeglobo"/>
    <w:uiPriority w:val="99"/>
    <w:semiHidden/>
    <w:rsid w:val="00676CA2"/>
    <w:rPr>
      <w:rFonts w:ascii="Tahoma" w:hAnsi="Tahoma" w:cs="Tahoma"/>
      <w:sz w:val="16"/>
      <w:szCs w:val="16"/>
      <w:lang w:val="es-ES_tradnl" w:eastAsia="en-US"/>
    </w:rPr>
  </w:style>
  <w:style w:type="character" w:customStyle="1" w:styleId="atitulo3Car">
    <w:name w:val="atitulo3 Car"/>
    <w:link w:val="atitulo3"/>
    <w:rsid w:val="00676CA2"/>
    <w:rPr>
      <w:rFonts w:ascii="Arial" w:hAnsi="Arial"/>
      <w:i/>
      <w:iCs/>
      <w:color w:val="000000"/>
      <w:spacing w:val="10"/>
      <w:kern w:val="28"/>
      <w:sz w:val="25"/>
      <w:szCs w:val="26"/>
      <w:lang w:val="es-ES_tradnl" w:eastAsia="en-US"/>
    </w:rPr>
  </w:style>
  <w:style w:type="paragraph" w:customStyle="1" w:styleId="xl1">
    <w:name w:val="xl1"/>
    <w:basedOn w:val="Normal"/>
    <w:rsid w:val="00676CA2"/>
    <w:pPr>
      <w:spacing w:before="100" w:beforeAutospacing="1" w:after="100" w:afterAutospacing="1"/>
      <w:ind w:firstLine="0"/>
      <w:jc w:val="left"/>
    </w:pPr>
    <w:rPr>
      <w:sz w:val="24"/>
      <w:szCs w:val="24"/>
      <w:lang w:val="es-ES" w:eastAsia="es-ES"/>
    </w:rPr>
  </w:style>
  <w:style w:type="paragraph" w:customStyle="1" w:styleId="xl2">
    <w:name w:val="xl2"/>
    <w:basedOn w:val="Normal"/>
    <w:rsid w:val="00676CA2"/>
    <w:pPr>
      <w:spacing w:before="100" w:beforeAutospacing="1" w:after="100" w:afterAutospacing="1"/>
      <w:ind w:firstLine="0"/>
      <w:jc w:val="left"/>
    </w:pPr>
    <w:rPr>
      <w:sz w:val="24"/>
      <w:szCs w:val="24"/>
      <w:lang w:val="es-ES" w:eastAsia="es-ES"/>
    </w:rPr>
  </w:style>
  <w:style w:type="paragraph" w:styleId="Revisin">
    <w:name w:val="Revision"/>
    <w:hidden/>
    <w:uiPriority w:val="99"/>
    <w:semiHidden/>
    <w:rsid w:val="00676CA2"/>
    <w:rPr>
      <w:lang w:val="es-ES_tradnl" w:eastAsia="en-US"/>
    </w:rPr>
  </w:style>
  <w:style w:type="character" w:styleId="Textoennegrita">
    <w:name w:val="Strong"/>
    <w:basedOn w:val="Fuentedeprrafopredeter"/>
    <w:uiPriority w:val="22"/>
    <w:qFormat/>
    <w:rsid w:val="00676CA2"/>
    <w:rPr>
      <w:b/>
      <w:bCs/>
    </w:rPr>
  </w:style>
  <w:style w:type="paragraph" w:customStyle="1" w:styleId="Default">
    <w:name w:val="Default"/>
    <w:rsid w:val="00676CA2"/>
    <w:pPr>
      <w:autoSpaceDE w:val="0"/>
      <w:autoSpaceDN w:val="0"/>
      <w:adjustRightInd w:val="0"/>
    </w:pPr>
    <w:rPr>
      <w:rFonts w:ascii="Arial" w:hAnsi="Arial" w:cs="Arial"/>
      <w:color w:val="000000"/>
      <w:sz w:val="24"/>
      <w:szCs w:val="24"/>
    </w:rPr>
  </w:style>
  <w:style w:type="paragraph" w:styleId="TtulodeTDC">
    <w:name w:val="TOC Heading"/>
    <w:basedOn w:val="Ttulo1"/>
    <w:next w:val="Normal"/>
    <w:uiPriority w:val="39"/>
    <w:unhideWhenUsed/>
    <w:qFormat/>
    <w:rsid w:val="00D4406D"/>
    <w:pPr>
      <w:keepLines/>
      <w:spacing w:after="0" w:line="259" w:lineRule="auto"/>
      <w:ind w:firstLine="0"/>
      <w:jc w:val="left"/>
      <w:outlineLvl w:val="9"/>
    </w:pPr>
    <w:rPr>
      <w:rFonts w:asciiTheme="majorHAnsi" w:eastAsiaTheme="majorEastAsia" w:hAnsiTheme="majorHAnsi" w:cstheme="majorBidi"/>
      <w:b w:val="0"/>
      <w:bCs w:val="0"/>
      <w:color w:val="365F91" w:themeColor="accent1" w:themeShade="BF"/>
      <w:kern w:val="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qFormat/>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rsid w:val="001D4F09"/>
  </w:style>
  <w:style w:type="paragraph" w:customStyle="1" w:styleId="cuadroCabe">
    <w:name w:val="cuadroCabe"/>
    <w:basedOn w:val="cuatexto"/>
    <w:qFormat/>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1Car">
    <w:name w:val="atitulo1 Car"/>
    <w:basedOn w:val="Fuentedeprrafopredeter"/>
    <w:link w:val="atitulo1"/>
    <w:locked/>
    <w:rsid w:val="006C4DAC"/>
    <w:rPr>
      <w:rFonts w:ascii="Arial" w:hAnsi="Arial"/>
      <w:b/>
      <w:color w:val="000000"/>
      <w:kern w:val="28"/>
      <w:sz w:val="25"/>
      <w:szCs w:val="26"/>
      <w:lang w:val="es-ES_tradnl" w:eastAsia="en-US"/>
    </w:rPr>
  </w:style>
  <w:style w:type="character" w:customStyle="1" w:styleId="atitulo2Car">
    <w:name w:val="atitulo2 Car"/>
    <w:link w:val="atitulo2"/>
    <w:locked/>
    <w:rsid w:val="006C4DAC"/>
    <w:rPr>
      <w:rFonts w:ascii="Arial" w:hAnsi="Arial"/>
      <w:bCs/>
      <w:iCs/>
      <w:color w:val="000000"/>
      <w:spacing w:val="10"/>
      <w:kern w:val="28"/>
      <w:sz w:val="25"/>
      <w:szCs w:val="26"/>
      <w:lang w:val="es-ES_tradnl" w:eastAsia="en-US"/>
    </w:rPr>
  </w:style>
  <w:style w:type="paragraph" w:styleId="Textonotapie">
    <w:name w:val="footnote text"/>
    <w:basedOn w:val="Normal"/>
    <w:link w:val="TextonotapieCar"/>
    <w:unhideWhenUsed/>
    <w:rsid w:val="0049412A"/>
    <w:pPr>
      <w:spacing w:after="0"/>
    </w:pPr>
  </w:style>
  <w:style w:type="character" w:customStyle="1" w:styleId="TextonotapieCar">
    <w:name w:val="Texto nota pie Car"/>
    <w:basedOn w:val="Fuentedeprrafopredeter"/>
    <w:link w:val="Textonotapie"/>
    <w:rsid w:val="0049412A"/>
    <w:rPr>
      <w:lang w:val="es-ES_tradnl" w:eastAsia="en-US"/>
    </w:rPr>
  </w:style>
  <w:style w:type="character" w:styleId="Refdenotaalpie">
    <w:name w:val="footnote reference"/>
    <w:basedOn w:val="Fuentedeprrafopredeter"/>
    <w:unhideWhenUsed/>
    <w:rsid w:val="0049412A"/>
    <w:rPr>
      <w:vertAlign w:val="superscript"/>
    </w:rPr>
  </w:style>
  <w:style w:type="paragraph" w:styleId="NormalWeb">
    <w:name w:val="Normal (Web)"/>
    <w:basedOn w:val="Normal"/>
    <w:uiPriority w:val="99"/>
    <w:unhideWhenUsed/>
    <w:rsid w:val="00676CA2"/>
    <w:pPr>
      <w:spacing w:before="100" w:beforeAutospacing="1" w:after="100" w:afterAutospacing="1"/>
      <w:ind w:firstLine="0"/>
      <w:jc w:val="left"/>
    </w:pPr>
    <w:rPr>
      <w:rFonts w:eastAsiaTheme="minorEastAsia"/>
      <w:sz w:val="24"/>
      <w:szCs w:val="24"/>
      <w:lang w:val="es-ES" w:eastAsia="es-ES"/>
    </w:rPr>
  </w:style>
  <w:style w:type="paragraph" w:styleId="Prrafodelista">
    <w:name w:val="List Paragraph"/>
    <w:basedOn w:val="Normal"/>
    <w:uiPriority w:val="34"/>
    <w:qFormat/>
    <w:rsid w:val="00676CA2"/>
    <w:pPr>
      <w:ind w:left="720"/>
      <w:contextualSpacing/>
    </w:pPr>
  </w:style>
  <w:style w:type="character" w:customStyle="1" w:styleId="PiedepginaCar">
    <w:name w:val="Pie de página Car"/>
    <w:basedOn w:val="Fuentedeprrafopredeter"/>
    <w:link w:val="Piedepgina"/>
    <w:uiPriority w:val="99"/>
    <w:rsid w:val="00676CA2"/>
    <w:rPr>
      <w:spacing w:val="6"/>
      <w:lang w:val="es-ES_tradnl" w:eastAsia="en-US"/>
    </w:rPr>
  </w:style>
  <w:style w:type="numbering" w:customStyle="1" w:styleId="Sinlista1">
    <w:name w:val="Sin lista1"/>
    <w:next w:val="Sinlista"/>
    <w:uiPriority w:val="99"/>
    <w:semiHidden/>
    <w:unhideWhenUsed/>
    <w:rsid w:val="00676CA2"/>
  </w:style>
  <w:style w:type="character" w:customStyle="1" w:styleId="TextodegloboCar">
    <w:name w:val="Texto de globo Car"/>
    <w:basedOn w:val="Fuentedeprrafopredeter"/>
    <w:link w:val="Textodeglobo"/>
    <w:uiPriority w:val="99"/>
    <w:semiHidden/>
    <w:rsid w:val="00676CA2"/>
    <w:rPr>
      <w:rFonts w:ascii="Tahoma" w:hAnsi="Tahoma" w:cs="Tahoma"/>
      <w:sz w:val="16"/>
      <w:szCs w:val="16"/>
      <w:lang w:val="es-ES_tradnl" w:eastAsia="en-US"/>
    </w:rPr>
  </w:style>
  <w:style w:type="character" w:customStyle="1" w:styleId="atitulo3Car">
    <w:name w:val="atitulo3 Car"/>
    <w:link w:val="atitulo3"/>
    <w:rsid w:val="00676CA2"/>
    <w:rPr>
      <w:rFonts w:ascii="Arial" w:hAnsi="Arial"/>
      <w:i/>
      <w:iCs/>
      <w:color w:val="000000"/>
      <w:spacing w:val="10"/>
      <w:kern w:val="28"/>
      <w:sz w:val="25"/>
      <w:szCs w:val="26"/>
      <w:lang w:val="es-ES_tradnl" w:eastAsia="en-US"/>
    </w:rPr>
  </w:style>
  <w:style w:type="paragraph" w:customStyle="1" w:styleId="xl1">
    <w:name w:val="xl1"/>
    <w:basedOn w:val="Normal"/>
    <w:rsid w:val="00676CA2"/>
    <w:pPr>
      <w:spacing w:before="100" w:beforeAutospacing="1" w:after="100" w:afterAutospacing="1"/>
      <w:ind w:firstLine="0"/>
      <w:jc w:val="left"/>
    </w:pPr>
    <w:rPr>
      <w:sz w:val="24"/>
      <w:szCs w:val="24"/>
      <w:lang w:val="es-ES" w:eastAsia="es-ES"/>
    </w:rPr>
  </w:style>
  <w:style w:type="paragraph" w:customStyle="1" w:styleId="xl2">
    <w:name w:val="xl2"/>
    <w:basedOn w:val="Normal"/>
    <w:rsid w:val="00676CA2"/>
    <w:pPr>
      <w:spacing w:before="100" w:beforeAutospacing="1" w:after="100" w:afterAutospacing="1"/>
      <w:ind w:firstLine="0"/>
      <w:jc w:val="left"/>
    </w:pPr>
    <w:rPr>
      <w:sz w:val="24"/>
      <w:szCs w:val="24"/>
      <w:lang w:val="es-ES" w:eastAsia="es-ES"/>
    </w:rPr>
  </w:style>
  <w:style w:type="paragraph" w:styleId="Revisin">
    <w:name w:val="Revision"/>
    <w:hidden/>
    <w:uiPriority w:val="99"/>
    <w:semiHidden/>
    <w:rsid w:val="00676CA2"/>
    <w:rPr>
      <w:lang w:val="es-ES_tradnl" w:eastAsia="en-US"/>
    </w:rPr>
  </w:style>
  <w:style w:type="character" w:styleId="Textoennegrita">
    <w:name w:val="Strong"/>
    <w:basedOn w:val="Fuentedeprrafopredeter"/>
    <w:uiPriority w:val="22"/>
    <w:qFormat/>
    <w:rsid w:val="00676CA2"/>
    <w:rPr>
      <w:b/>
      <w:bCs/>
    </w:rPr>
  </w:style>
  <w:style w:type="paragraph" w:customStyle="1" w:styleId="Default">
    <w:name w:val="Default"/>
    <w:rsid w:val="00676CA2"/>
    <w:pPr>
      <w:autoSpaceDE w:val="0"/>
      <w:autoSpaceDN w:val="0"/>
      <w:adjustRightInd w:val="0"/>
    </w:pPr>
    <w:rPr>
      <w:rFonts w:ascii="Arial" w:hAnsi="Arial" w:cs="Arial"/>
      <w:color w:val="000000"/>
      <w:sz w:val="24"/>
      <w:szCs w:val="24"/>
    </w:rPr>
  </w:style>
  <w:style w:type="paragraph" w:styleId="TtulodeTDC">
    <w:name w:val="TOC Heading"/>
    <w:basedOn w:val="Ttulo1"/>
    <w:next w:val="Normal"/>
    <w:uiPriority w:val="39"/>
    <w:unhideWhenUsed/>
    <w:qFormat/>
    <w:rsid w:val="00D4406D"/>
    <w:pPr>
      <w:keepLines/>
      <w:spacing w:after="0" w:line="259" w:lineRule="auto"/>
      <w:ind w:firstLine="0"/>
      <w:jc w:val="left"/>
      <w:outlineLvl w:val="9"/>
    </w:pPr>
    <w:rPr>
      <w:rFonts w:asciiTheme="majorHAnsi" w:eastAsiaTheme="majorEastAsia" w:hAnsiTheme="majorHAnsi" w:cstheme="majorBidi"/>
      <w:b w:val="0"/>
      <w:bCs w:val="0"/>
      <w:color w:val="365F91" w:themeColor="accent1" w:themeShade="BF"/>
      <w:kern w:val="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1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5845-445D-9F86-28882527BA8F}"/>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5845-445D-9F86-28882527BA8F}"/>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5845-445D-9F86-28882527BA8F}"/>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5845-445D-9F86-28882527BA8F}"/>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5845-445D-9F86-28882527BA8F}"/>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5845-445D-9F86-28882527BA8F}"/>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5845-445D-9F86-28882527BA8F}"/>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5845-445D-9F86-28882527BA8F}"/>
              </c:ext>
            </c:extLst>
          </c:dPt>
          <c:dLbls>
            <c:dLbl>
              <c:idx val="0"/>
              <c:layout>
                <c:manualLayout>
                  <c:x val="0.34261105466655378"/>
                  <c:y val="8.5729677585051275E-2"/>
                </c:manualLayout>
              </c:layout>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5845-445D-9F86-28882527BA8F}"/>
                </c:ext>
              </c:extLst>
            </c:dLbl>
            <c:dLbl>
              <c:idx val="1"/>
              <c:layout>
                <c:manualLayout>
                  <c:x val="0.12834910253153839"/>
                  <c:y val="0.16143830768170681"/>
                </c:manualLayout>
              </c:layout>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5845-445D-9F86-28882527BA8F}"/>
                </c:ext>
              </c:extLst>
            </c:dLbl>
            <c:dLbl>
              <c:idx val="2"/>
              <c:layout>
                <c:manualLayout>
                  <c:x val="4.7933727034120736E-2"/>
                  <c:y val="7.9670660433500864E-2"/>
                </c:manualLayout>
              </c:layout>
              <c:tx>
                <c:rich>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r>
                      <a:rPr lang="en-US" baseline="0"/>
                      <a:t>Educación; </a:t>
                    </a:r>
                    <a:fld id="{2F095451-1021-4BC0-AAC2-3133F3D15691}" type="VALUE">
                      <a:rPr lang="en-US" baseline="0"/>
                      <a:pPr>
                        <a:defRPr sz="1200" b="0" i="0" u="none" strike="noStrike" kern="1200" baseline="0">
                          <a:solidFill>
                            <a:schemeClr val="tx1">
                              <a:lumMod val="75000"/>
                              <a:lumOff val="25000"/>
                            </a:schemeClr>
                          </a:solidFill>
                          <a:latin typeface="+mn-lt"/>
                          <a:ea typeface="+mn-ea"/>
                          <a:cs typeface="+mn-cs"/>
                        </a:defRPr>
                      </a:pPr>
                      <a:t>[VALOR]</a:t>
                    </a:fld>
                    <a:endParaRPr lang="en-US" baseline="0"/>
                  </a:p>
                </c:rich>
              </c:tx>
              <c:spPr>
                <a:noFill/>
                <a:ln>
                  <a:noFill/>
                </a:ln>
                <a:effectLst/>
              </c:spPr>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5-5845-445D-9F86-28882527BA8F}"/>
                </c:ext>
              </c:extLst>
            </c:dLbl>
            <c:dLbl>
              <c:idx val="3"/>
              <c:layout>
                <c:manualLayout>
                  <c:x val="0.14698885925549629"/>
                  <c:y val="-0.22073021003639462"/>
                </c:manualLayout>
              </c:layout>
              <c:tx>
                <c:rich>
                  <a:bodyPr/>
                  <a:lstStyle/>
                  <a:p>
                    <a:fld id="{44658877-112A-4866-BECE-0623628BFA38}" type="CATEGORYNAME">
                      <a:rPr lang="en-US" sz="1200"/>
                      <a:pPr/>
                      <a:t>[NOMBRE DE CATEGORÍA]</a:t>
                    </a:fld>
                    <a:r>
                      <a:rPr lang="en-US" baseline="0"/>
                      <a:t>; </a:t>
                    </a:r>
                    <a:fld id="{1E0BDF25-38D4-438A-80E6-D531466817B5}" type="VALUE">
                      <a:rPr lang="en-US" sz="1200" baseline="0"/>
                      <a:pPr/>
                      <a:t>[VALOR]</a:t>
                    </a:fld>
                    <a:endParaRPr lang="en-US" baseline="0"/>
                  </a:p>
                </c:rich>
              </c:tx>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7-5845-445D-9F86-28882527BA8F}"/>
                </c:ext>
              </c:extLst>
            </c:dLbl>
            <c:dLbl>
              <c:idx val="4"/>
              <c:layout>
                <c:manualLayout>
                  <c:x val="9.0988626421697281E-3"/>
                  <c:y val="0.15534047827354913"/>
                </c:manualLayout>
              </c:layout>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9-5845-445D-9F86-28882527BA8F}"/>
                </c:ext>
              </c:extLst>
            </c:dLbl>
            <c:dLbl>
              <c:idx val="5"/>
              <c:layout>
                <c:manualLayout>
                  <c:x val="-4.6269730900572917E-2"/>
                  <c:y val="2.6882108486439196E-2"/>
                </c:manualLayout>
              </c:layout>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manualLayout>
                      <c:w val="0.24891361866057066"/>
                      <c:h val="0.11877486077963405"/>
                    </c:manualLayout>
                  </c15:layout>
                </c:ext>
                <c:ext xmlns:c16="http://schemas.microsoft.com/office/drawing/2014/chart" uri="{C3380CC4-5D6E-409C-BE32-E72D297353CC}">
                  <c16:uniqueId val="{0000000B-5845-445D-9F86-28882527BA8F}"/>
                </c:ext>
              </c:extLst>
            </c:dLbl>
            <c:dLbl>
              <c:idx val="6"/>
              <c:layout>
                <c:manualLayout>
                  <c:x val="3.5658573928258969E-2"/>
                  <c:y val="-2.3163823272090989E-2"/>
                </c:manualLayout>
              </c:layout>
              <c:tx>
                <c:rich>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fld id="{3B576016-6350-4219-B247-26CA029D8016}" type="CATEGORYNAME">
                      <a:rPr lang="en-US" sz="1100"/>
                      <a:pPr>
                        <a:defRPr sz="1100" b="0" i="0" u="none" strike="noStrike" kern="1200" baseline="0">
                          <a:solidFill>
                            <a:schemeClr val="tx1">
                              <a:lumMod val="75000"/>
                              <a:lumOff val="25000"/>
                            </a:schemeClr>
                          </a:solidFill>
                          <a:latin typeface="+mn-lt"/>
                          <a:ea typeface="+mn-ea"/>
                          <a:cs typeface="+mn-cs"/>
                        </a:defRPr>
                      </a:pPr>
                      <a:t>[NOMBRE DE CATEGORÍA]</a:t>
                    </a:fld>
                    <a:r>
                      <a:rPr lang="en-US" sz="1100" baseline="0"/>
                      <a:t>; 2%</a:t>
                    </a:r>
                  </a:p>
                </c:rich>
              </c:tx>
              <c:spPr>
                <a:noFill/>
                <a:ln>
                  <a:noFill/>
                </a:ln>
                <a:effectLst/>
              </c:spPr>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D-5845-445D-9F86-28882527BA8F}"/>
                </c:ext>
              </c:extLst>
            </c:dLbl>
            <c:dLbl>
              <c:idx val="7"/>
              <c:layout>
                <c:manualLayout>
                  <c:x val="0.25557764654418197"/>
                  <c:y val="1.0921799912625601E-3"/>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F-5845-445D-9F86-28882527BA8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Hoja1!$A$1:$A$8</c:f>
              <c:strCache>
                <c:ptCount val="8"/>
                <c:pt idx="0">
                  <c:v>Economía y Hacienda</c:v>
                </c:pt>
                <c:pt idx="1">
                  <c:v>Cohesión Territorial</c:v>
                </c:pt>
                <c:pt idx="2">
                  <c:v>Educación </c:v>
                </c:pt>
                <c:pt idx="3">
                  <c:v>Salud</c:v>
                </c:pt>
                <c:pt idx="4">
                  <c:v>Desarrollo Económico y Empresarial</c:v>
                </c:pt>
                <c:pt idx="5">
                  <c:v>Derechos Sociales</c:v>
                </c:pt>
                <c:pt idx="6">
                  <c:v>Otros</c:v>
                </c:pt>
                <c:pt idx="7">
                  <c:v>Univ., Innovación y Transf. Digital</c:v>
                </c:pt>
              </c:strCache>
            </c:strRef>
          </c:cat>
          <c:val>
            <c:numRef>
              <c:f>Hoja1!$B$1:$B$8</c:f>
              <c:numCache>
                <c:formatCode>0%</c:formatCode>
                <c:ptCount val="8"/>
                <c:pt idx="0">
                  <c:v>3.9954195236812748E-2</c:v>
                </c:pt>
                <c:pt idx="1">
                  <c:v>0.11727716801993142</c:v>
                </c:pt>
                <c:pt idx="2">
                  <c:v>8.1180340710363313E-2</c:v>
                </c:pt>
                <c:pt idx="3">
                  <c:v>0.44748351294160482</c:v>
                </c:pt>
                <c:pt idx="4">
                  <c:v>0.18909108415812434</c:v>
                </c:pt>
                <c:pt idx="5">
                  <c:v>7.6855785897876852E-2</c:v>
                </c:pt>
                <c:pt idx="6">
                  <c:v>0.03</c:v>
                </c:pt>
                <c:pt idx="7">
                  <c:v>1.9953166317374229E-2</c:v>
                </c:pt>
              </c:numCache>
            </c:numRef>
          </c:val>
          <c:extLst xmlns:c16r2="http://schemas.microsoft.com/office/drawing/2015/06/chart">
            <c:ext xmlns:c16="http://schemas.microsoft.com/office/drawing/2014/chart" uri="{C3380CC4-5D6E-409C-BE32-E72D297353CC}">
              <c16:uniqueId val="{00000010-5845-445D-9F86-28882527BA8F}"/>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EBA23-E28E-4481-8BB1-423770995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10614</Words>
  <Characters>60242</Characters>
  <Application>Microsoft Office Word</Application>
  <DocSecurity>0</DocSecurity>
  <Lines>502</Lines>
  <Paragraphs>141</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70715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D426745</dc:creator>
  <cp:lastModifiedBy>Aranaz, Carlota</cp:lastModifiedBy>
  <cp:revision>4</cp:revision>
  <cp:lastPrinted>2021-04-15T09:48:00Z</cp:lastPrinted>
  <dcterms:created xsi:type="dcterms:W3CDTF">2021-04-16T11:07:00Z</dcterms:created>
  <dcterms:modified xsi:type="dcterms:W3CDTF">2021-04-28T08:05:00Z</dcterms:modified>
</cp:coreProperties>
</file>