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“Rider-en legea” onetsi ostean banatzaileen kontratazioak kontrolatzeari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Eskubide Sozialetako kontseilariak maiatzaren 20ko Osoko Bilkuran ahoz erantzun dezan:</w:t>
      </w:r>
    </w:p>
    <w:p>
      <w:pPr>
        <w:pStyle w:val="0"/>
        <w:suppressAutoHyphens w:val="false"/>
        <w:rPr>
          <w:rStyle w:val="1"/>
        </w:rPr>
      </w:pPr>
      <w:r>
        <w:rPr>
          <w:rStyle w:val="1"/>
        </w:rPr>
        <w:t xml:space="preserve">“Ryder-en legea” onetsi ostean, nolako kontrolak eginen ditu Nafarroako Gobernuak banatzaileak enpresek kontrataturik daudela ziurtatze aldera?</w:t>
      </w:r>
    </w:p>
    <w:p>
      <w:pPr>
        <w:pStyle w:val="0"/>
        <w:suppressAutoHyphens w:val="false"/>
        <w:rPr>
          <w:rStyle w:val="1"/>
        </w:rPr>
      </w:pPr>
      <w:r>
        <w:rPr>
          <w:rStyle w:val="1"/>
        </w:rPr>
        <w:t xml:space="preserve">Iruñean, 2021eko maiatzaren 13an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