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Aiegiko 2. poligonoko 372. lurzatian dagoen XII. mendeko uharkaren titulartasunari buruzkoa. Galdera 2021eko martxoaren 16ko 36. Nafarroako Parlamentuko Aldizkari Ofizialean argitaratu zen.</w:t>
      </w:r>
    </w:p>
    <w:p>
      <w:pPr>
        <w:pStyle w:val="0"/>
        <w:suppressAutoHyphens w:val="false"/>
        <w:rPr>
          <w:rStyle w:val="1"/>
        </w:rPr>
      </w:pPr>
      <w:r>
        <w:rPr>
          <w:rStyle w:val="1"/>
        </w:rPr>
        <w:t xml:space="preserve">Iruñean, 2020ko apirilaren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(10-21/PES-00125), jakin nahi baitu norena den Aiegiko 2. poligonoko 372. lurzatian (40º38´52´´ N 2º3´1´´W) dagoen XII. mendeko uharkaren titulartasuna. Hona Nafarroako Gobernuko Kultura eta Kiroleko kontseilariak ematen duen informazioa:</w:t>
      </w:r>
    </w:p>
    <w:p>
      <w:pPr>
        <w:pStyle w:val="0"/>
        <w:suppressAutoHyphens w:val="false"/>
        <w:rPr>
          <w:rStyle w:val="1"/>
        </w:rPr>
      </w:pPr>
      <w:r>
        <w:rPr>
          <w:rStyle w:val="1"/>
        </w:rPr>
        <w:t xml:space="preserve">Aiegiko 2. poligonoko 372. lurzatiaren titulartasuna ez da Nafarroako Gobernuarena. Lur-ondasunen Erregistroko ondasunen titulartasuna datu babestua da 12/2006 Foru Legearen arabera, eta titularraren baimenik ezean irispide mugatua du.</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apirilaren 15ean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