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CA5" w:rsidRDefault="00BC3A3A" w:rsidP="007A14AD">
      <w:pPr>
        <w:ind w:firstLine="540"/>
        <w:rPr>
          <w:rFonts w:cs="Arial"/>
          <w:color w:val="000000"/>
          <w:szCs w:val="24"/>
        </w:rPr>
      </w:pPr>
      <w:r w:rsidRPr="00E07A7D">
        <w:rPr>
          <w:rFonts w:cs="Arial"/>
          <w:color w:val="000000"/>
          <w:szCs w:val="24"/>
        </w:rPr>
        <w:t xml:space="preserve">El Consejero </w:t>
      </w:r>
      <w:r>
        <w:rPr>
          <w:rFonts w:cs="Arial"/>
          <w:color w:val="000000"/>
          <w:szCs w:val="24"/>
        </w:rPr>
        <w:t>d</w:t>
      </w:r>
      <w:r w:rsidRPr="00E07A7D">
        <w:rPr>
          <w:rFonts w:cs="Arial"/>
          <w:color w:val="000000"/>
          <w:szCs w:val="24"/>
        </w:rPr>
        <w:t xml:space="preserve">e </w:t>
      </w:r>
      <w:r>
        <w:rPr>
          <w:rFonts w:cs="Arial"/>
          <w:color w:val="000000"/>
          <w:szCs w:val="24"/>
        </w:rPr>
        <w:t>Ordenación d</w:t>
      </w:r>
      <w:r w:rsidRPr="00E07A7D">
        <w:rPr>
          <w:rFonts w:cs="Arial"/>
          <w:color w:val="000000"/>
          <w:szCs w:val="24"/>
        </w:rPr>
        <w:t xml:space="preserve">el Territorio, Vivienda, Paisaje </w:t>
      </w:r>
      <w:r>
        <w:rPr>
          <w:rFonts w:cs="Arial"/>
          <w:color w:val="000000"/>
          <w:szCs w:val="24"/>
        </w:rPr>
        <w:t>y</w:t>
      </w:r>
      <w:r w:rsidRPr="00E07A7D">
        <w:rPr>
          <w:rFonts w:cs="Arial"/>
          <w:color w:val="000000"/>
          <w:szCs w:val="24"/>
        </w:rPr>
        <w:t xml:space="preserve"> Proyectos Estratégicos</w:t>
      </w:r>
      <w:r w:rsidRPr="00A56CCF">
        <w:rPr>
          <w:rFonts w:cs="Arial"/>
          <w:color w:val="000000"/>
          <w:szCs w:val="24"/>
        </w:rPr>
        <w:t>, en relación con la pregunta escrita</w:t>
      </w:r>
      <w:r w:rsidR="007A14AD">
        <w:rPr>
          <w:rFonts w:cs="Arial"/>
          <w:color w:val="000000"/>
          <w:szCs w:val="24"/>
        </w:rPr>
        <w:t xml:space="preserve"> </w:t>
      </w:r>
      <w:r w:rsidR="00697CA3">
        <w:rPr>
          <w:rFonts w:cs="Arial"/>
        </w:rPr>
        <w:t>10-2</w:t>
      </w:r>
      <w:r w:rsidR="00740C06">
        <w:rPr>
          <w:rFonts w:cs="Arial"/>
        </w:rPr>
        <w:t>1</w:t>
      </w:r>
      <w:r w:rsidR="007A14AD">
        <w:rPr>
          <w:rFonts w:cs="Arial"/>
        </w:rPr>
        <w:t>/</w:t>
      </w:r>
      <w:r w:rsidR="004E0FBC">
        <w:rPr>
          <w:rFonts w:cs="Arial"/>
        </w:rPr>
        <w:t>PES-00149</w:t>
      </w:r>
      <w:r w:rsidR="007A14AD">
        <w:rPr>
          <w:rFonts w:cs="Arial"/>
        </w:rPr>
        <w:t xml:space="preserve">, </w:t>
      </w:r>
      <w:r>
        <w:rPr>
          <w:rFonts w:cs="Arial"/>
        </w:rPr>
        <w:t xml:space="preserve">formulada por el parlamentario </w:t>
      </w:r>
      <w:r w:rsidR="004E0FBC">
        <w:rPr>
          <w:rFonts w:cs="Arial"/>
        </w:rPr>
        <w:t xml:space="preserve">don </w:t>
      </w:r>
      <w:r w:rsidR="00EA56D5">
        <w:rPr>
          <w:rFonts w:cs="Arial"/>
        </w:rPr>
        <w:t>Adolfo Araiz Flamarique,</w:t>
      </w:r>
      <w:r>
        <w:rPr>
          <w:rFonts w:cs="Arial"/>
        </w:rPr>
        <w:t xml:space="preserve"> adscrito</w:t>
      </w:r>
      <w:r w:rsidRPr="00BC3A3A">
        <w:rPr>
          <w:rFonts w:cs="Arial"/>
        </w:rPr>
        <w:t xml:space="preserve"> al Grupo Parlamentario</w:t>
      </w:r>
      <w:r>
        <w:rPr>
          <w:rFonts w:cs="Arial"/>
        </w:rPr>
        <w:t xml:space="preserve"> </w:t>
      </w:r>
      <w:r w:rsidR="004E0FBC">
        <w:rPr>
          <w:rFonts w:cs="Arial"/>
        </w:rPr>
        <w:t>E.H. Bildu</w:t>
      </w:r>
      <w:r w:rsidR="00EA56D5">
        <w:rPr>
          <w:rFonts w:cs="Arial"/>
        </w:rPr>
        <w:t xml:space="preserve"> Nafarroa</w:t>
      </w:r>
      <w:r w:rsidRPr="00BC3A3A">
        <w:rPr>
          <w:rFonts w:cs="Arial"/>
        </w:rPr>
        <w:t>,</w:t>
      </w:r>
      <w:r w:rsidR="00505D3A">
        <w:rPr>
          <w:rFonts w:cs="Arial"/>
        </w:rPr>
        <w:t xml:space="preserve"> tiene el honor de informarle l</w:t>
      </w:r>
      <w:r w:rsidR="0037547B" w:rsidRPr="006402C3">
        <w:rPr>
          <w:rFonts w:cs="Arial"/>
          <w:color w:val="000000"/>
          <w:szCs w:val="24"/>
        </w:rPr>
        <w:t>o siguiente</w:t>
      </w:r>
      <w:r w:rsidR="0015615E">
        <w:rPr>
          <w:rFonts w:cs="Arial"/>
          <w:color w:val="000000"/>
          <w:szCs w:val="24"/>
        </w:rPr>
        <w:t>:</w:t>
      </w:r>
    </w:p>
    <w:p w:rsidR="00405CA5" w:rsidRDefault="003C20E3" w:rsidP="00885759">
      <w:pPr>
        <w:ind w:left="708"/>
        <w:rPr>
          <w:rFonts w:ascii="Arial Narrow" w:hAnsi="Arial Narrow"/>
          <w:b/>
          <w:sz w:val="22"/>
          <w:szCs w:val="22"/>
        </w:rPr>
      </w:pPr>
      <w:r>
        <w:rPr>
          <w:rFonts w:ascii="Arial Narrow" w:hAnsi="Arial Narrow"/>
          <w:b/>
          <w:sz w:val="22"/>
          <w:szCs w:val="22"/>
        </w:rPr>
        <w:t>1-</w:t>
      </w:r>
      <w:r w:rsidR="00DB479D">
        <w:rPr>
          <w:rFonts w:ascii="Arial Narrow" w:hAnsi="Arial Narrow"/>
          <w:b/>
          <w:sz w:val="22"/>
          <w:szCs w:val="22"/>
        </w:rPr>
        <w:t xml:space="preserve"> </w:t>
      </w:r>
      <w:r w:rsidR="003A517A" w:rsidRPr="009C3E9F">
        <w:rPr>
          <w:rFonts w:ascii="Arial Narrow" w:hAnsi="Arial Narrow"/>
          <w:b/>
          <w:sz w:val="22"/>
          <w:szCs w:val="22"/>
        </w:rPr>
        <w:t>¿</w:t>
      </w:r>
      <w:r w:rsidR="003A517A" w:rsidRPr="0063015D">
        <w:rPr>
          <w:rFonts w:ascii="Arial Narrow" w:hAnsi="Arial Narrow"/>
          <w:b/>
          <w:sz w:val="22"/>
          <w:szCs w:val="22"/>
        </w:rPr>
        <w:t>Qué medidas va a tomar el Gobierno de Navarra en su condición de miembro de la Junta de Compensación de PSIS del área turístico, hotelera, deportiva y residencial del entorno del Palacio de Aroztegia para que la actuación de dicha Junta se ajuste a la legalidad y de cumplimiento a lo establecido por el Acuerdo 64/2019, de 23 de julio del Tribunal Administrativo de Contratos Públicos?</w:t>
      </w:r>
    </w:p>
    <w:p w:rsidR="00885759" w:rsidRDefault="00DA1907" w:rsidP="00885759">
      <w:pPr>
        <w:spacing w:before="100" w:beforeAutospacing="1" w:after="100" w:afterAutospacing="1"/>
        <w:rPr>
          <w:rFonts w:ascii="Arial Narrow" w:hAnsi="Arial Narrow"/>
          <w:color w:val="111111"/>
          <w:sz w:val="22"/>
          <w:szCs w:val="22"/>
        </w:rPr>
      </w:pPr>
      <w:r>
        <w:rPr>
          <w:rFonts w:ascii="Arial Narrow" w:hAnsi="Arial Narrow"/>
          <w:color w:val="111111"/>
          <w:sz w:val="22"/>
          <w:szCs w:val="22"/>
        </w:rPr>
        <w:t xml:space="preserve">El </w:t>
      </w:r>
      <w:r w:rsidRPr="0063015D">
        <w:rPr>
          <w:rFonts w:ascii="Arial Narrow" w:hAnsi="Arial Narrow"/>
          <w:color w:val="111111"/>
          <w:sz w:val="22"/>
          <w:szCs w:val="22"/>
        </w:rPr>
        <w:t xml:space="preserve">Acuerdo 64/2019, de 23 de julio, del Tribunal Administrativo de Contratos Públicos de Navarra, estimó la reclamación especial en materia de contratación pública formulada por D. Juan Ignacio Barcos Pérez, actuando en representación del sindicato </w:t>
      </w:r>
      <w:r w:rsidRPr="0063015D">
        <w:rPr>
          <w:rFonts w:ascii="Arial Narrow" w:hAnsi="Arial Narrow"/>
          <w:i/>
          <w:iCs/>
          <w:color w:val="111111"/>
          <w:sz w:val="22"/>
          <w:szCs w:val="22"/>
        </w:rPr>
        <w:t>"Langile Abertzaleen Batzordeak (LAB)",</w:t>
      </w:r>
      <w:r w:rsidRPr="0063015D">
        <w:rPr>
          <w:rFonts w:ascii="Arial Narrow" w:hAnsi="Arial Narrow"/>
          <w:color w:val="111111"/>
          <w:sz w:val="22"/>
          <w:szCs w:val="22"/>
        </w:rPr>
        <w:t xml:space="preserve"> frente al </w:t>
      </w:r>
      <w:r w:rsidRPr="0063015D">
        <w:rPr>
          <w:rFonts w:ascii="Arial Narrow" w:hAnsi="Arial Narrow"/>
          <w:i/>
          <w:iCs/>
          <w:color w:val="111111"/>
          <w:sz w:val="22"/>
          <w:szCs w:val="22"/>
        </w:rPr>
        <w:t>"Pliego regulador para la contratación de las obras de la primera fase de la obra de urbanización del proyecto de urbanización de Junta de Compensación de P.S.I.S. del área turístico, hotelera, deportiva y residencial del entorno de Palacio de Arozteguía de Baztán",</w:t>
      </w:r>
      <w:r w:rsidRPr="0063015D">
        <w:rPr>
          <w:rFonts w:ascii="Arial Narrow" w:hAnsi="Arial Narrow"/>
          <w:color w:val="111111"/>
          <w:sz w:val="22"/>
          <w:szCs w:val="22"/>
        </w:rPr>
        <w:t xml:space="preserve"> anulando dicho Pliego y declarando la imposibilidad de continuar el procedimiento de adjudicación. </w:t>
      </w:r>
    </w:p>
    <w:p w:rsidR="00885759" w:rsidRDefault="00FD7295" w:rsidP="00885759">
      <w:pPr>
        <w:spacing w:before="100" w:beforeAutospacing="1" w:after="100" w:afterAutospacing="1"/>
        <w:rPr>
          <w:rFonts w:ascii="Arial Narrow" w:hAnsi="Arial Narrow" w:cs="Times-Italic"/>
          <w:iCs/>
          <w:sz w:val="22"/>
          <w:szCs w:val="22"/>
        </w:rPr>
      </w:pPr>
      <w:r>
        <w:rPr>
          <w:rFonts w:ascii="Arial Narrow" w:hAnsi="Arial Narrow" w:cs="Times-Italic"/>
          <w:iCs/>
          <w:sz w:val="22"/>
          <w:szCs w:val="22"/>
        </w:rPr>
        <w:t>La</w:t>
      </w:r>
      <w:r w:rsidR="00DA1907" w:rsidRPr="0063015D">
        <w:rPr>
          <w:rFonts w:ascii="Arial Narrow" w:hAnsi="Arial Narrow" w:cs="Times-Italic"/>
          <w:iCs/>
          <w:sz w:val="22"/>
          <w:szCs w:val="22"/>
        </w:rPr>
        <w:t xml:space="preserve"> Dirección General </w:t>
      </w:r>
      <w:r w:rsidR="00DA1907">
        <w:rPr>
          <w:rFonts w:ascii="Arial Narrow" w:hAnsi="Arial Narrow" w:cs="Times-Italic"/>
          <w:iCs/>
          <w:sz w:val="22"/>
          <w:szCs w:val="22"/>
        </w:rPr>
        <w:t>tuvo</w:t>
      </w:r>
      <w:r w:rsidR="00DA1907" w:rsidRPr="0063015D">
        <w:rPr>
          <w:rFonts w:ascii="Arial Narrow" w:hAnsi="Arial Narrow" w:cs="Times-Italic"/>
          <w:iCs/>
          <w:sz w:val="22"/>
          <w:szCs w:val="22"/>
        </w:rPr>
        <w:t xml:space="preserve"> conocimiento a través de la representación que ostenta una de sus técnicas en la Junta de Compensación de la inclusión en el orden del día de la Junta de Compensación celebrada el pasado 20 de septiembre de 2019 de la ratificación de la interposición por el presidente de la Junta del Recurso Contencioso-Administrativo nº 304/2019 contra el Acuerdo del Tribunal Administrativo de Contratos Públicos de Navarra de 23 de Julio de 2.019. El citado acuerdo anula el pliego de Condiciones de la contratación de la primera fase de las obras de urbanización y declara imposibilidad de continuar el procedimiento de adjudicación. </w:t>
      </w:r>
      <w:r w:rsidR="00DA1907">
        <w:rPr>
          <w:rFonts w:ascii="Arial Narrow" w:hAnsi="Arial Narrow" w:cs="Times-Italic"/>
          <w:iCs/>
          <w:sz w:val="22"/>
          <w:szCs w:val="22"/>
        </w:rPr>
        <w:t>La citada acta ha sido aprobada en la última asamblea de la junta de Compensación celebrada el día 3 de mayo de 2021.</w:t>
      </w:r>
    </w:p>
    <w:p w:rsidR="00405CA5" w:rsidRDefault="00DA1907" w:rsidP="009C3E9F">
      <w:pPr>
        <w:autoSpaceDE w:val="0"/>
        <w:autoSpaceDN w:val="0"/>
        <w:adjustRightInd w:val="0"/>
        <w:rPr>
          <w:rFonts w:ascii="Arial Narrow" w:hAnsi="Arial Narrow"/>
          <w:sz w:val="22"/>
          <w:szCs w:val="22"/>
        </w:rPr>
      </w:pPr>
      <w:r w:rsidRPr="0063015D">
        <w:rPr>
          <w:rFonts w:ascii="Arial Narrow" w:hAnsi="Arial Narrow" w:cs="Times-Italic"/>
          <w:iCs/>
          <w:sz w:val="22"/>
          <w:szCs w:val="22"/>
        </w:rPr>
        <w:t xml:space="preserve">Por otra parte, el Ayuntamiento de Baztan en escrito dirigido a esta Dirección General el pasado 11 </w:t>
      </w:r>
      <w:r>
        <w:rPr>
          <w:rFonts w:ascii="Arial Narrow" w:hAnsi="Arial Narrow" w:cs="Times-Italic"/>
          <w:iCs/>
          <w:sz w:val="22"/>
          <w:szCs w:val="22"/>
        </w:rPr>
        <w:t xml:space="preserve"> </w:t>
      </w:r>
      <w:r w:rsidRPr="0063015D">
        <w:rPr>
          <w:rFonts w:ascii="Arial Narrow" w:hAnsi="Arial Narrow" w:cs="Times-Italic"/>
          <w:iCs/>
          <w:sz w:val="22"/>
          <w:szCs w:val="22"/>
        </w:rPr>
        <w:t xml:space="preserve">de marzo de 2021 ha informado que la  </w:t>
      </w:r>
      <w:r w:rsidRPr="0063015D">
        <w:rPr>
          <w:rFonts w:ascii="Arial Narrow" w:hAnsi="Arial Narrow"/>
          <w:sz w:val="22"/>
          <w:szCs w:val="22"/>
        </w:rPr>
        <w:t>Sala de lo Contencioso-Administrativo, mediante Sentencia 137/2020, de 15 de junio de 2020, desestimó el recurso presentado por la Junta, confirmando el</w:t>
      </w:r>
      <w:r>
        <w:rPr>
          <w:rFonts w:ascii="Arial Narrow" w:hAnsi="Arial Narrow"/>
          <w:sz w:val="22"/>
          <w:szCs w:val="22"/>
        </w:rPr>
        <w:t xml:space="preserve"> </w:t>
      </w:r>
      <w:r w:rsidRPr="0063015D">
        <w:rPr>
          <w:rFonts w:ascii="Arial Narrow" w:hAnsi="Arial Narrow"/>
          <w:sz w:val="22"/>
          <w:szCs w:val="22"/>
        </w:rPr>
        <w:t xml:space="preserve">ACUERDO 64/2019, de 23 de julio, del Tribunal Administrativo de Contratos Públicos de Navarra, por </w:t>
      </w:r>
      <w:r>
        <w:rPr>
          <w:rFonts w:ascii="Arial Narrow" w:hAnsi="Arial Narrow"/>
          <w:sz w:val="22"/>
          <w:szCs w:val="22"/>
        </w:rPr>
        <w:t xml:space="preserve"> </w:t>
      </w:r>
      <w:r w:rsidRPr="0063015D">
        <w:rPr>
          <w:rFonts w:ascii="Arial Narrow" w:hAnsi="Arial Narrow"/>
          <w:sz w:val="22"/>
          <w:szCs w:val="22"/>
        </w:rPr>
        <w:t>el que anulaba el "Pliego regulador para la contratación de las obras de la primera fase de la obra de urbanización del proyecto de urbanización de Junta de Compensación de P.S.I.S. del área turístico, hotelera, deportiva y residencial del entorno de Palacio de Arozteguía de Baztan", y declaraba la imposibilidad de continuar el procedimiento de adjudicación, por ser el mismo conforme al ordenamiento jurídico.</w:t>
      </w:r>
    </w:p>
    <w:p w:rsidR="00405CA5" w:rsidRDefault="00DA1907" w:rsidP="009C3E9F">
      <w:pPr>
        <w:autoSpaceDE w:val="0"/>
        <w:autoSpaceDN w:val="0"/>
        <w:adjustRightInd w:val="0"/>
        <w:rPr>
          <w:rFonts w:ascii="Arial Narrow" w:hAnsi="Arial Narrow" w:cs="Times-Italic"/>
          <w:iCs/>
          <w:sz w:val="22"/>
          <w:szCs w:val="22"/>
        </w:rPr>
      </w:pPr>
      <w:r w:rsidRPr="0063015D">
        <w:rPr>
          <w:rFonts w:ascii="Arial Narrow" w:hAnsi="Arial Narrow" w:cs="Times-Italic"/>
          <w:iCs/>
          <w:sz w:val="22"/>
          <w:szCs w:val="22"/>
        </w:rPr>
        <w:lastRenderedPageBreak/>
        <w:t xml:space="preserve">Finalmente, la promotora en escrito presentado al Consejero de Ordenación del Territorio, Vivienda, Paisaje y Proyectos Estratégicos ha comunicado que, desestimado el recurso, con fecha 18 de septiembre de 2020, se presentó escrito de preparación del recurso de casación ante el Tribunal Supremo y ante el Tribunal Superior de Justicia de Navarra, que ha sido admitido a trámite mediante auto de 3 de noviembre de 2020. </w:t>
      </w:r>
      <w:r>
        <w:rPr>
          <w:rFonts w:ascii="Arial Narrow" w:hAnsi="Arial Narrow" w:cs="Times-Italic"/>
          <w:iCs/>
          <w:sz w:val="22"/>
          <w:szCs w:val="22"/>
        </w:rPr>
        <w:t>Posteriormente, el 3 de mayo, en la última Asamblea celebrada por la junta, por la Presidencia de ésta se ha dado cuenta tanto de la desestimación del recurso contencioso administrativo citado contra el Acuerdo del Tribunal Administrativo de Contratos como de la interposición del recurso de casación.</w:t>
      </w:r>
    </w:p>
    <w:p w:rsidR="00405CA5" w:rsidRDefault="00DA1907" w:rsidP="009C3E9F">
      <w:pPr>
        <w:autoSpaceDE w:val="0"/>
        <w:autoSpaceDN w:val="0"/>
        <w:adjustRightInd w:val="0"/>
        <w:rPr>
          <w:rFonts w:ascii="Arial Narrow" w:hAnsi="Arial Narrow" w:cs="Times-Italic"/>
          <w:iCs/>
          <w:sz w:val="22"/>
          <w:szCs w:val="22"/>
        </w:rPr>
      </w:pPr>
      <w:r>
        <w:rPr>
          <w:rFonts w:ascii="Arial Narrow" w:hAnsi="Arial Narrow" w:cs="Times-Italic"/>
          <w:iCs/>
          <w:sz w:val="22"/>
          <w:szCs w:val="22"/>
        </w:rPr>
        <w:t xml:space="preserve">A la luz de los </w:t>
      </w:r>
      <w:r w:rsidR="00AF542E">
        <w:rPr>
          <w:rFonts w:ascii="Arial Narrow" w:hAnsi="Arial Narrow" w:cs="Times-Italic"/>
          <w:iCs/>
          <w:sz w:val="22"/>
          <w:szCs w:val="22"/>
        </w:rPr>
        <w:t>hechos,</w:t>
      </w:r>
      <w:r w:rsidRPr="00CB5A44">
        <w:rPr>
          <w:rFonts w:ascii="Arial Narrow" w:hAnsi="Arial Narrow" w:cs="Times-Italic"/>
          <w:iCs/>
          <w:sz w:val="22"/>
          <w:szCs w:val="22"/>
        </w:rPr>
        <w:t xml:space="preserve"> </w:t>
      </w:r>
      <w:r>
        <w:rPr>
          <w:rFonts w:ascii="Arial Narrow" w:hAnsi="Arial Narrow" w:cs="Times-Italic"/>
          <w:iCs/>
          <w:sz w:val="22"/>
          <w:szCs w:val="22"/>
        </w:rPr>
        <w:t>así como a la vista de</w:t>
      </w:r>
      <w:r w:rsidRPr="0063015D">
        <w:rPr>
          <w:rFonts w:ascii="Arial Narrow" w:hAnsi="Arial Narrow" w:cs="Times-Italic"/>
          <w:iCs/>
          <w:sz w:val="22"/>
          <w:szCs w:val="22"/>
        </w:rPr>
        <w:t xml:space="preserve"> la documentación citada y aportada por las partes</w:t>
      </w:r>
      <w:r>
        <w:rPr>
          <w:rFonts w:ascii="Arial Narrow" w:hAnsi="Arial Narrow" w:cs="Times-Italic"/>
          <w:iCs/>
          <w:sz w:val="22"/>
          <w:szCs w:val="22"/>
        </w:rPr>
        <w:t>,</w:t>
      </w:r>
      <w:r w:rsidRPr="0063015D">
        <w:rPr>
          <w:rFonts w:ascii="Arial Narrow" w:hAnsi="Arial Narrow" w:cs="Times-Italic"/>
          <w:iCs/>
          <w:sz w:val="22"/>
          <w:szCs w:val="22"/>
        </w:rPr>
        <w:t xml:space="preserve"> dicha sentencia no es firme ni se ha solicitado la ejecución provisional de la misma, por lo que se puede concluir que, no existiría una actuación ilegal por parte de la Junta de Compensación en cuanto al inicio de las obras de urbanización, si bien a este respecto conviene aclarar la posición jurídica de este Departamento: </w:t>
      </w:r>
    </w:p>
    <w:p w:rsidR="00DA1907" w:rsidRDefault="00FD7295" w:rsidP="009C3E9F">
      <w:pPr>
        <w:autoSpaceDE w:val="0"/>
        <w:autoSpaceDN w:val="0"/>
        <w:adjustRightInd w:val="0"/>
        <w:rPr>
          <w:rFonts w:ascii="Arial Narrow" w:hAnsi="Arial Narrow" w:cs="Times-Italic"/>
          <w:i/>
          <w:iCs/>
          <w:sz w:val="22"/>
          <w:szCs w:val="22"/>
        </w:rPr>
      </w:pPr>
      <w:r>
        <w:rPr>
          <w:rFonts w:ascii="Arial Narrow" w:hAnsi="Arial Narrow" w:cs="Times-Italic"/>
          <w:iCs/>
          <w:sz w:val="22"/>
          <w:szCs w:val="22"/>
        </w:rPr>
        <w:t>La</w:t>
      </w:r>
      <w:r w:rsidR="00DA1907" w:rsidRPr="0063015D">
        <w:rPr>
          <w:rFonts w:ascii="Arial Narrow" w:hAnsi="Arial Narrow" w:cs="Times-Roman"/>
          <w:sz w:val="22"/>
          <w:szCs w:val="22"/>
        </w:rPr>
        <w:t xml:space="preserve"> Dirección General de Ordenación del Territorio no es competente para la supervisión del proceso de ejecución de las obras de urbanización del PSIS de Aroztegia. La Administración Foral, dentro de sus competencias, ha tramitado el instrumento de planificación territorial correspondiente, el PSIS “Palacio Aroztegia” de Lekaroz (Baztan), así como los proyectos de reparcelación y de urbanización que derivan del mismo. No obstante, es competencia del Ayuntamiento de Baztan la supervisión y vigilancia de las obras de urbanización, administración que efectuará su recepción, la que exigirá las correspondientes garantías y avales, y la que devolverá las garantías exigidas tras la finalización de los períodos de garantía. Finalmente, será la competente para la conservación y mantenimiento de la urbanización una vez sea recepcionada. Nos remitimos nuevamente al contenido de la Resolución 765E/2017, de 28 de noviembre, de la Directora General de Medio Ambiente y Ordenación del Territorio, por la que se aprueba definitivamente el Proyecto de Urbanización del PSIS, que señala “</w:t>
      </w:r>
      <w:r w:rsidR="00DA1907" w:rsidRPr="0063015D">
        <w:rPr>
          <w:rFonts w:ascii="Arial Narrow" w:hAnsi="Arial Narrow" w:cs="Times-Italic"/>
          <w:i/>
          <w:iCs/>
          <w:sz w:val="22"/>
          <w:szCs w:val="22"/>
        </w:rPr>
        <w:t>al Ayuntamiento de Baztan, como responsable</w:t>
      </w:r>
      <w:r w:rsidR="00DA1907" w:rsidRPr="0063015D">
        <w:rPr>
          <w:rFonts w:ascii="Arial Narrow" w:hAnsi="Arial Narrow" w:cs="Times-Roman"/>
          <w:sz w:val="22"/>
          <w:szCs w:val="22"/>
        </w:rPr>
        <w:t xml:space="preserve"> </w:t>
      </w:r>
      <w:r w:rsidR="00DA1907" w:rsidRPr="0063015D">
        <w:rPr>
          <w:rFonts w:ascii="Arial Narrow" w:hAnsi="Arial Narrow" w:cs="Times-Italic"/>
          <w:i/>
          <w:iCs/>
          <w:sz w:val="22"/>
          <w:szCs w:val="22"/>
        </w:rPr>
        <w:t>del seguimiento de las obras de urbanización y de su recepción al final de las mismas.”</w:t>
      </w:r>
    </w:p>
    <w:p w:rsidR="00405CA5" w:rsidRDefault="008B20B7" w:rsidP="009C3E9F">
      <w:pPr>
        <w:autoSpaceDE w:val="0"/>
        <w:autoSpaceDN w:val="0"/>
        <w:adjustRightInd w:val="0"/>
        <w:rPr>
          <w:rFonts w:ascii="Arial Narrow" w:hAnsi="Arial Narrow" w:cs="Times-Italic"/>
          <w:iCs/>
          <w:sz w:val="22"/>
          <w:szCs w:val="22"/>
        </w:rPr>
      </w:pPr>
      <w:r>
        <w:rPr>
          <w:rFonts w:ascii="Arial Narrow" w:hAnsi="Arial Narrow" w:cs="Times-Italic"/>
          <w:iCs/>
          <w:sz w:val="22"/>
          <w:szCs w:val="22"/>
        </w:rPr>
        <w:t>En la medida en que la</w:t>
      </w:r>
      <w:r w:rsidR="00DA1907" w:rsidRPr="0063015D">
        <w:rPr>
          <w:rFonts w:ascii="Arial Narrow" w:hAnsi="Arial Narrow" w:cs="Times-Italic"/>
          <w:iCs/>
          <w:sz w:val="22"/>
          <w:szCs w:val="22"/>
        </w:rPr>
        <w:t xml:space="preserve"> Dirección General no es competente para la supervisión de las obras de urbanización, </w:t>
      </w:r>
      <w:r w:rsidR="00DA1907">
        <w:rPr>
          <w:rFonts w:ascii="Arial Narrow" w:hAnsi="Arial Narrow" w:cs="Times-Italic"/>
          <w:iCs/>
          <w:sz w:val="22"/>
          <w:szCs w:val="22"/>
        </w:rPr>
        <w:t xml:space="preserve">conviene adelantar que </w:t>
      </w:r>
      <w:r w:rsidR="00DA1907" w:rsidRPr="0063015D">
        <w:rPr>
          <w:rFonts w:ascii="Arial Narrow" w:hAnsi="Arial Narrow" w:cs="Times-Italic"/>
          <w:iCs/>
          <w:sz w:val="22"/>
          <w:szCs w:val="22"/>
        </w:rPr>
        <w:t>tampoco lo es para tramitar expediente alguno en relación con una hipotética actuación o ilegal de la Junta de Compensación.</w:t>
      </w:r>
    </w:p>
    <w:p w:rsidR="00405CA5" w:rsidRDefault="00DA1907" w:rsidP="009C3E9F">
      <w:pPr>
        <w:autoSpaceDE w:val="0"/>
        <w:autoSpaceDN w:val="0"/>
        <w:adjustRightInd w:val="0"/>
        <w:rPr>
          <w:rFonts w:ascii="Arial Narrow" w:hAnsi="Arial Narrow" w:cs="Times-Italic"/>
          <w:iCs/>
          <w:sz w:val="22"/>
          <w:szCs w:val="22"/>
        </w:rPr>
      </w:pPr>
      <w:r>
        <w:rPr>
          <w:rFonts w:ascii="Arial Narrow" w:hAnsi="Arial Narrow" w:cs="Times-Italic"/>
          <w:iCs/>
          <w:sz w:val="22"/>
          <w:szCs w:val="22"/>
        </w:rPr>
        <w:t>Además, en este momento y en</w:t>
      </w:r>
      <w:r w:rsidRPr="0063015D">
        <w:rPr>
          <w:rFonts w:ascii="Arial Narrow" w:hAnsi="Arial Narrow" w:cs="Times-Italic"/>
          <w:iCs/>
          <w:sz w:val="22"/>
          <w:szCs w:val="22"/>
        </w:rPr>
        <w:t xml:space="preserve"> la medida en que la </w:t>
      </w:r>
      <w:r>
        <w:rPr>
          <w:rFonts w:ascii="Arial Narrow" w:hAnsi="Arial Narrow" w:cs="Times-Italic"/>
          <w:iCs/>
          <w:sz w:val="22"/>
          <w:szCs w:val="22"/>
        </w:rPr>
        <w:t>S</w:t>
      </w:r>
      <w:r w:rsidRPr="0063015D">
        <w:rPr>
          <w:rFonts w:ascii="Arial Narrow" w:hAnsi="Arial Narrow" w:cs="Times-Italic"/>
          <w:iCs/>
          <w:sz w:val="22"/>
          <w:szCs w:val="22"/>
        </w:rPr>
        <w:t xml:space="preserve">entencia desestimando el </w:t>
      </w:r>
      <w:r>
        <w:rPr>
          <w:rFonts w:ascii="Arial Narrow" w:hAnsi="Arial Narrow" w:cs="Times-Italic"/>
          <w:iCs/>
          <w:sz w:val="22"/>
          <w:szCs w:val="22"/>
        </w:rPr>
        <w:t>R</w:t>
      </w:r>
      <w:r w:rsidRPr="0063015D">
        <w:rPr>
          <w:rFonts w:ascii="Arial Narrow" w:hAnsi="Arial Narrow" w:cs="Times-Italic"/>
          <w:iCs/>
          <w:sz w:val="22"/>
          <w:szCs w:val="22"/>
        </w:rPr>
        <w:t xml:space="preserve">ecurso </w:t>
      </w:r>
      <w:r>
        <w:rPr>
          <w:rFonts w:ascii="Arial Narrow" w:hAnsi="Arial Narrow" w:cs="Times-Italic"/>
          <w:iCs/>
          <w:sz w:val="22"/>
          <w:szCs w:val="22"/>
        </w:rPr>
        <w:t xml:space="preserve">interpuesto por la Junta de Compensación </w:t>
      </w:r>
      <w:r w:rsidRPr="0063015D">
        <w:rPr>
          <w:rFonts w:ascii="Arial Narrow" w:hAnsi="Arial Narrow" w:cs="Times-Italic"/>
          <w:iCs/>
          <w:sz w:val="22"/>
          <w:szCs w:val="22"/>
        </w:rPr>
        <w:t>y confirmando</w:t>
      </w:r>
      <w:r w:rsidRPr="0063015D">
        <w:rPr>
          <w:rFonts w:ascii="Arial Narrow" w:hAnsi="Arial Narrow"/>
          <w:sz w:val="22"/>
          <w:szCs w:val="22"/>
        </w:rPr>
        <w:t xml:space="preserve"> el ACUERDO 64/2019, de 23 de julio, del Tribunal Administrativo de Contratos Públicos de Navarra</w:t>
      </w:r>
      <w:r w:rsidRPr="0063015D">
        <w:rPr>
          <w:rFonts w:ascii="Arial Narrow" w:hAnsi="Arial Narrow" w:cs="Times-Italic"/>
          <w:iCs/>
          <w:sz w:val="22"/>
          <w:szCs w:val="22"/>
        </w:rPr>
        <w:t xml:space="preserve"> no es firme, </w:t>
      </w:r>
      <w:r>
        <w:rPr>
          <w:rFonts w:ascii="Arial Narrow" w:hAnsi="Arial Narrow" w:cs="Times-Italic"/>
          <w:iCs/>
          <w:sz w:val="22"/>
          <w:szCs w:val="22"/>
        </w:rPr>
        <w:t>no procede la adopción de medidas frente a una actuación que no es ilegal.</w:t>
      </w:r>
    </w:p>
    <w:p w:rsidR="00961955" w:rsidRPr="0063015D" w:rsidRDefault="00DA1907" w:rsidP="009C3E9F">
      <w:pPr>
        <w:spacing w:before="100" w:beforeAutospacing="1" w:after="100" w:afterAutospacing="1"/>
        <w:rPr>
          <w:rFonts w:ascii="Arial Narrow" w:hAnsi="Arial Narrow"/>
          <w:color w:val="111111"/>
          <w:sz w:val="22"/>
          <w:szCs w:val="22"/>
        </w:rPr>
      </w:pPr>
      <w:r w:rsidRPr="0063015D">
        <w:rPr>
          <w:rFonts w:ascii="Arial Narrow" w:hAnsi="Arial Narrow"/>
          <w:color w:val="111111"/>
          <w:sz w:val="22"/>
          <w:szCs w:val="22"/>
        </w:rPr>
        <w:t xml:space="preserve">Por </w:t>
      </w:r>
      <w:r>
        <w:rPr>
          <w:rFonts w:ascii="Arial Narrow" w:hAnsi="Arial Narrow"/>
          <w:color w:val="111111"/>
          <w:sz w:val="22"/>
          <w:szCs w:val="22"/>
        </w:rPr>
        <w:t>ú</w:t>
      </w:r>
      <w:r w:rsidRPr="0063015D">
        <w:rPr>
          <w:rFonts w:ascii="Arial Narrow" w:hAnsi="Arial Narrow"/>
          <w:color w:val="111111"/>
          <w:sz w:val="22"/>
          <w:szCs w:val="22"/>
        </w:rPr>
        <w:t>ltimo</w:t>
      </w:r>
      <w:r>
        <w:rPr>
          <w:rFonts w:ascii="Arial Narrow" w:hAnsi="Arial Narrow"/>
          <w:color w:val="111111"/>
          <w:sz w:val="22"/>
          <w:szCs w:val="22"/>
        </w:rPr>
        <w:t>,</w:t>
      </w:r>
      <w:r w:rsidRPr="0063015D">
        <w:rPr>
          <w:rFonts w:ascii="Arial Narrow" w:hAnsi="Arial Narrow"/>
          <w:color w:val="111111"/>
          <w:sz w:val="22"/>
          <w:szCs w:val="22"/>
        </w:rPr>
        <w:t xml:space="preserve"> conviene aclarar </w:t>
      </w:r>
      <w:r w:rsidR="00AF542E">
        <w:rPr>
          <w:rFonts w:ascii="Arial Narrow" w:hAnsi="Arial Narrow"/>
          <w:color w:val="111111"/>
          <w:sz w:val="22"/>
          <w:szCs w:val="22"/>
        </w:rPr>
        <w:t>que,</w:t>
      </w:r>
      <w:r>
        <w:rPr>
          <w:rFonts w:ascii="Arial Narrow" w:hAnsi="Arial Narrow"/>
          <w:color w:val="111111"/>
          <w:sz w:val="22"/>
          <w:szCs w:val="22"/>
        </w:rPr>
        <w:t xml:space="preserve"> en todo caso, </w:t>
      </w:r>
      <w:r w:rsidRPr="0063015D">
        <w:rPr>
          <w:rFonts w:ascii="Arial Narrow" w:hAnsi="Arial Narrow"/>
          <w:color w:val="111111"/>
          <w:sz w:val="22"/>
          <w:szCs w:val="22"/>
        </w:rPr>
        <w:t xml:space="preserve">no se puede hablar de la ejecución del </w:t>
      </w:r>
      <w:r>
        <w:rPr>
          <w:rFonts w:ascii="Arial Narrow" w:hAnsi="Arial Narrow"/>
          <w:color w:val="111111"/>
          <w:sz w:val="22"/>
          <w:szCs w:val="22"/>
        </w:rPr>
        <w:t>A</w:t>
      </w:r>
      <w:r w:rsidRPr="0063015D">
        <w:rPr>
          <w:rFonts w:ascii="Arial Narrow" w:hAnsi="Arial Narrow"/>
          <w:color w:val="111111"/>
          <w:sz w:val="22"/>
          <w:szCs w:val="22"/>
        </w:rPr>
        <w:t xml:space="preserve">cuerdo del Tribunal Administrativo de </w:t>
      </w:r>
      <w:r w:rsidR="00AF542E" w:rsidRPr="0063015D">
        <w:rPr>
          <w:rFonts w:ascii="Arial Narrow" w:hAnsi="Arial Narrow"/>
          <w:color w:val="111111"/>
          <w:sz w:val="22"/>
          <w:szCs w:val="22"/>
        </w:rPr>
        <w:t>Contratos,</w:t>
      </w:r>
      <w:r w:rsidRPr="0063015D">
        <w:rPr>
          <w:rFonts w:ascii="Arial Narrow" w:hAnsi="Arial Narrow"/>
          <w:color w:val="111111"/>
          <w:sz w:val="22"/>
          <w:szCs w:val="22"/>
        </w:rPr>
        <w:t xml:space="preserve"> sino </w:t>
      </w:r>
      <w:r w:rsidR="00AF542E" w:rsidRPr="0063015D">
        <w:rPr>
          <w:rFonts w:ascii="Arial Narrow" w:hAnsi="Arial Narrow"/>
          <w:color w:val="111111"/>
          <w:sz w:val="22"/>
          <w:szCs w:val="22"/>
        </w:rPr>
        <w:t>que,</w:t>
      </w:r>
      <w:r w:rsidRPr="0063015D">
        <w:rPr>
          <w:rFonts w:ascii="Arial Narrow" w:hAnsi="Arial Narrow"/>
          <w:color w:val="111111"/>
          <w:sz w:val="22"/>
          <w:szCs w:val="22"/>
        </w:rPr>
        <w:t xml:space="preserve"> en todo caso, procedería la ejecución de la </w:t>
      </w:r>
      <w:r>
        <w:rPr>
          <w:rFonts w:ascii="Arial Narrow" w:hAnsi="Arial Narrow"/>
          <w:color w:val="111111"/>
          <w:sz w:val="22"/>
          <w:szCs w:val="22"/>
        </w:rPr>
        <w:t>S</w:t>
      </w:r>
      <w:r w:rsidRPr="0063015D">
        <w:rPr>
          <w:rFonts w:ascii="Arial Narrow" w:hAnsi="Arial Narrow"/>
          <w:color w:val="111111"/>
          <w:sz w:val="22"/>
          <w:szCs w:val="22"/>
        </w:rPr>
        <w:t xml:space="preserve">entencia del </w:t>
      </w:r>
      <w:r w:rsidRPr="0063015D">
        <w:rPr>
          <w:rFonts w:ascii="Arial Narrow" w:hAnsi="Arial Narrow"/>
          <w:color w:val="111111"/>
          <w:sz w:val="22"/>
          <w:szCs w:val="22"/>
        </w:rPr>
        <w:lastRenderedPageBreak/>
        <w:t>Tribunal Superior de Justicia confirmatoria de dicho acuerdo. En este sentido, el artículo 91 de la LJCA dispone:</w:t>
      </w:r>
    </w:p>
    <w:p w:rsidR="00DA1907" w:rsidRPr="0063015D" w:rsidRDefault="00DA1907" w:rsidP="009C3E9F">
      <w:pPr>
        <w:spacing w:before="100" w:beforeAutospacing="1" w:after="100" w:afterAutospacing="1"/>
        <w:rPr>
          <w:rFonts w:ascii="Arial Narrow" w:hAnsi="Arial Narrow"/>
          <w:i/>
          <w:color w:val="111111"/>
          <w:sz w:val="22"/>
          <w:szCs w:val="22"/>
        </w:rPr>
      </w:pPr>
      <w:r>
        <w:rPr>
          <w:rFonts w:ascii="Arial Narrow" w:hAnsi="Arial Narrow"/>
          <w:i/>
          <w:color w:val="111111"/>
          <w:sz w:val="22"/>
          <w:szCs w:val="22"/>
        </w:rPr>
        <w:t>“</w:t>
      </w:r>
      <w:r w:rsidRPr="0063015D">
        <w:rPr>
          <w:rFonts w:ascii="Arial Narrow" w:hAnsi="Arial Narrow"/>
          <w:i/>
          <w:color w:val="111111"/>
          <w:sz w:val="22"/>
          <w:szCs w:val="22"/>
        </w:rPr>
        <w:t>1. La preparación del recurso de casación no impedirá la ejecución provisional de la sentencia recurrida.</w:t>
      </w:r>
    </w:p>
    <w:p w:rsidR="00DA1907" w:rsidRPr="0063015D" w:rsidRDefault="00DA1907" w:rsidP="009C3E9F">
      <w:pPr>
        <w:spacing w:before="100" w:beforeAutospacing="1" w:after="100" w:afterAutospacing="1"/>
        <w:rPr>
          <w:rFonts w:ascii="Arial Narrow" w:hAnsi="Arial Narrow"/>
          <w:i/>
          <w:color w:val="111111"/>
          <w:sz w:val="22"/>
          <w:szCs w:val="22"/>
        </w:rPr>
      </w:pPr>
      <w:r w:rsidRPr="0063015D">
        <w:rPr>
          <w:rFonts w:ascii="Arial Narrow" w:hAnsi="Arial Narrow"/>
          <w:i/>
          <w:color w:val="111111"/>
          <w:sz w:val="22"/>
          <w:szCs w:val="22"/>
        </w:rPr>
        <w:t>Las partes favorecidas por la sentencia podrán instar su ejecución provisional. Cuando de ésta pudieran derivarse perjuicios de cualquier naturaleza, podrán acordarse las medidas que sean adecuadas para evitar o paliar dichos perjuicios. Igualmente podrá exigirse la presentación de caución o garantía para responder de aquéllos. No podrá llevarse a efecto la ejecución provisional hasta que la caución o la medida acordada esté constituida y acreditada en autos.</w:t>
      </w:r>
    </w:p>
    <w:p w:rsidR="00DA1907" w:rsidRPr="0063015D" w:rsidRDefault="00DA1907" w:rsidP="009C3E9F">
      <w:pPr>
        <w:spacing w:before="100" w:beforeAutospacing="1" w:after="100" w:afterAutospacing="1"/>
        <w:rPr>
          <w:rFonts w:ascii="Arial Narrow" w:hAnsi="Arial Narrow"/>
          <w:i/>
          <w:color w:val="111111"/>
          <w:sz w:val="22"/>
          <w:szCs w:val="22"/>
        </w:rPr>
      </w:pPr>
      <w:r w:rsidRPr="0063015D">
        <w:rPr>
          <w:rFonts w:ascii="Arial Narrow" w:hAnsi="Arial Narrow"/>
          <w:i/>
          <w:color w:val="111111"/>
          <w:sz w:val="22"/>
          <w:szCs w:val="22"/>
        </w:rPr>
        <w:t>2.La constitución de la caución se ajustará a lo establecido en el artículo 133.2 de esta Ley.</w:t>
      </w:r>
    </w:p>
    <w:p w:rsidR="00DA1907" w:rsidRPr="0063015D" w:rsidRDefault="00DA1907" w:rsidP="009C3E9F">
      <w:pPr>
        <w:spacing w:before="100" w:beforeAutospacing="1" w:after="100" w:afterAutospacing="1"/>
        <w:rPr>
          <w:rFonts w:ascii="Arial Narrow" w:hAnsi="Arial Narrow"/>
          <w:i/>
          <w:color w:val="111111"/>
          <w:sz w:val="22"/>
          <w:szCs w:val="22"/>
        </w:rPr>
      </w:pPr>
      <w:r w:rsidRPr="0063015D">
        <w:rPr>
          <w:rFonts w:ascii="Arial Narrow" w:hAnsi="Arial Narrow"/>
          <w:i/>
          <w:color w:val="111111"/>
          <w:sz w:val="22"/>
          <w:szCs w:val="22"/>
        </w:rPr>
        <w:t>3.El Tribunal de instancia denegará la ejecución provisional cuando pueda crear situaciones irreversibles o causar perjuicios de difícil reparación.</w:t>
      </w:r>
    </w:p>
    <w:p w:rsidR="00DA1907" w:rsidRPr="0063015D" w:rsidRDefault="00DA1907" w:rsidP="009C3E9F">
      <w:pPr>
        <w:spacing w:before="100" w:beforeAutospacing="1" w:after="100" w:afterAutospacing="1"/>
        <w:rPr>
          <w:rFonts w:ascii="Arial Narrow" w:hAnsi="Arial Narrow"/>
          <w:i/>
          <w:color w:val="111111"/>
          <w:sz w:val="22"/>
          <w:szCs w:val="22"/>
        </w:rPr>
      </w:pPr>
      <w:r w:rsidRPr="0063015D">
        <w:rPr>
          <w:rFonts w:ascii="Arial Narrow" w:hAnsi="Arial Narrow"/>
          <w:i/>
          <w:color w:val="111111"/>
          <w:sz w:val="22"/>
          <w:szCs w:val="22"/>
        </w:rPr>
        <w:t>4.Cuando se tenga por preparado un recurso de casación, el Letrado de la Administración de Justicia dejara testimonio bastante de los autos y de la resolución recurrida a los efectos previstos en este artículo</w:t>
      </w:r>
      <w:r>
        <w:rPr>
          <w:rFonts w:ascii="Arial Narrow" w:hAnsi="Arial Narrow"/>
          <w:i/>
          <w:color w:val="111111"/>
          <w:sz w:val="22"/>
          <w:szCs w:val="22"/>
        </w:rPr>
        <w:t>”</w:t>
      </w:r>
      <w:r w:rsidRPr="0063015D">
        <w:rPr>
          <w:rFonts w:ascii="Arial Narrow" w:hAnsi="Arial Narrow"/>
          <w:i/>
          <w:color w:val="111111"/>
          <w:sz w:val="22"/>
          <w:szCs w:val="22"/>
        </w:rPr>
        <w:t>.</w:t>
      </w:r>
    </w:p>
    <w:p w:rsidR="00DA1907" w:rsidRPr="0063015D" w:rsidRDefault="00DA1907" w:rsidP="009C3E9F">
      <w:pPr>
        <w:spacing w:before="100" w:beforeAutospacing="1" w:after="100" w:afterAutospacing="1"/>
        <w:rPr>
          <w:rFonts w:ascii="Arial Narrow" w:hAnsi="Arial Narrow"/>
          <w:sz w:val="22"/>
          <w:szCs w:val="22"/>
        </w:rPr>
      </w:pPr>
      <w:r w:rsidRPr="0063015D">
        <w:rPr>
          <w:rFonts w:ascii="Arial Narrow" w:hAnsi="Arial Narrow"/>
          <w:sz w:val="22"/>
          <w:szCs w:val="22"/>
        </w:rPr>
        <w:t>Por tanto, el recurso de casación no es, en principio, impedimento alguno para la ejecución provisional de la sentencia de instancia, siempre que concurran los presupuestos previstos en el artículo 91 LJCA.</w:t>
      </w:r>
    </w:p>
    <w:p w:rsidR="00DA1907" w:rsidRPr="0063015D" w:rsidRDefault="00DA1907" w:rsidP="009C3E9F">
      <w:pPr>
        <w:shd w:val="clear" w:color="auto" w:fill="FFFFFF"/>
        <w:spacing w:before="100" w:beforeAutospacing="1" w:after="300"/>
        <w:rPr>
          <w:rFonts w:ascii="Arial Narrow" w:hAnsi="Arial Narrow"/>
          <w:sz w:val="22"/>
          <w:szCs w:val="22"/>
        </w:rPr>
      </w:pPr>
      <w:r w:rsidRPr="0063015D">
        <w:rPr>
          <w:rFonts w:ascii="Arial Narrow" w:hAnsi="Arial Narrow"/>
          <w:sz w:val="22"/>
          <w:szCs w:val="22"/>
        </w:rPr>
        <w:t>No obstante</w:t>
      </w:r>
      <w:r>
        <w:rPr>
          <w:rFonts w:ascii="Arial Narrow" w:hAnsi="Arial Narrow"/>
          <w:sz w:val="22"/>
          <w:szCs w:val="22"/>
        </w:rPr>
        <w:t>,</w:t>
      </w:r>
      <w:r w:rsidRPr="0063015D">
        <w:rPr>
          <w:rFonts w:ascii="Arial Narrow" w:hAnsi="Arial Narrow"/>
          <w:sz w:val="22"/>
          <w:szCs w:val="22"/>
        </w:rPr>
        <w:t xml:space="preserve"> solo puede solicitar </w:t>
      </w:r>
      <w:r>
        <w:rPr>
          <w:rFonts w:ascii="Arial Narrow" w:hAnsi="Arial Narrow"/>
          <w:sz w:val="22"/>
          <w:szCs w:val="22"/>
        </w:rPr>
        <w:t>la</w:t>
      </w:r>
      <w:r w:rsidRPr="0063015D">
        <w:rPr>
          <w:rFonts w:ascii="Arial Narrow" w:hAnsi="Arial Narrow"/>
          <w:sz w:val="22"/>
          <w:szCs w:val="22"/>
        </w:rPr>
        <w:t xml:space="preserve"> ejecución provisional de la sentencia quien haya sido parte en la instancia (se hayan constituido en parte procesal) y se haya visto favorecido por la sentencia.</w:t>
      </w:r>
    </w:p>
    <w:p w:rsidR="00DA1907" w:rsidRPr="0063015D" w:rsidRDefault="00DA1907" w:rsidP="009C3E9F">
      <w:pPr>
        <w:shd w:val="clear" w:color="auto" w:fill="FFFFFF"/>
        <w:spacing w:before="100" w:beforeAutospacing="1" w:after="300"/>
        <w:rPr>
          <w:rFonts w:ascii="Arial Narrow" w:hAnsi="Arial Narrow"/>
          <w:sz w:val="22"/>
          <w:szCs w:val="22"/>
        </w:rPr>
      </w:pPr>
      <w:r w:rsidRPr="0063015D">
        <w:rPr>
          <w:rFonts w:ascii="Arial Narrow" w:hAnsi="Arial Narrow"/>
          <w:sz w:val="22"/>
          <w:szCs w:val="22"/>
        </w:rPr>
        <w:t xml:space="preserve">En este sentido, el </w:t>
      </w:r>
      <w:r w:rsidRPr="00A61251">
        <w:rPr>
          <w:rFonts w:ascii="Arial Narrow" w:hAnsi="Arial Narrow"/>
          <w:sz w:val="22"/>
          <w:szCs w:val="22"/>
        </w:rPr>
        <w:t>Auto de TS de 20 de febrero de 2014</w:t>
      </w:r>
      <w:r w:rsidRPr="0063015D">
        <w:rPr>
          <w:rFonts w:ascii="Arial Narrow" w:hAnsi="Arial Narrow"/>
          <w:sz w:val="22"/>
          <w:szCs w:val="22"/>
        </w:rPr>
        <w:t xml:space="preserve"> </w:t>
      </w:r>
      <w:r>
        <w:rPr>
          <w:rFonts w:ascii="Arial Narrow" w:hAnsi="Arial Narrow"/>
          <w:sz w:val="22"/>
          <w:szCs w:val="22"/>
        </w:rPr>
        <w:t>(</w:t>
      </w:r>
      <w:r w:rsidRPr="0063015D">
        <w:rPr>
          <w:rFonts w:ascii="Arial Narrow" w:hAnsi="Arial Narrow"/>
          <w:sz w:val="22"/>
          <w:szCs w:val="22"/>
        </w:rPr>
        <w:t>recurso de casación nº 1783/2012</w:t>
      </w:r>
      <w:r>
        <w:rPr>
          <w:rFonts w:ascii="Arial Narrow" w:hAnsi="Arial Narrow"/>
          <w:sz w:val="22"/>
          <w:szCs w:val="22"/>
        </w:rPr>
        <w:t>)</w:t>
      </w:r>
      <w:r w:rsidRPr="0063015D">
        <w:rPr>
          <w:rFonts w:ascii="Arial Narrow" w:hAnsi="Arial Narrow"/>
          <w:sz w:val="22"/>
          <w:szCs w:val="22"/>
        </w:rPr>
        <w:t>:</w:t>
      </w:r>
    </w:p>
    <w:p w:rsidR="00DA1907" w:rsidRPr="0063015D" w:rsidRDefault="00DA1907" w:rsidP="009C3E9F">
      <w:pPr>
        <w:shd w:val="clear" w:color="auto" w:fill="FFFFFF"/>
        <w:spacing w:before="100" w:beforeAutospacing="1" w:after="300"/>
        <w:rPr>
          <w:rFonts w:ascii="Arial Narrow" w:hAnsi="Arial Narrow"/>
          <w:sz w:val="22"/>
          <w:szCs w:val="22"/>
        </w:rPr>
      </w:pPr>
      <w:r w:rsidRPr="0063015D">
        <w:rPr>
          <w:rStyle w:val="nfasis"/>
          <w:rFonts w:ascii="Arial Narrow" w:hAnsi="Arial Narrow"/>
          <w:sz w:val="22"/>
          <w:szCs w:val="22"/>
        </w:rPr>
        <w:t>“En dichos autos hemos negado la legitimación del Ministerio Fiscal para recurrir los Autos dictados en incidentes de ejecución provisional de sentencia, dado que la Ley Jurisdiccional limita en su art. 91 la posibilidad de instar aquella a las «partes favorecidas por el fallo» refiriéndose por tanto, a diferencia de otros trámites, a quienes se hayan constituido en parte procesal en el procedimiento en el que se dictó la resolución cuya ejecución provisional se pretende – sentencia de 18 de marzo de 2009-, recurso de casación 1104/2007 , –cuya doctrina se reitera en las posteriores Sentencias de 11 de mayo de 2009, recurso de casación 3924/2007 y 14 de enero de 2010, recurso de casación 5228/2007 — advierte que «la expresión de «partes favorecidas» hace referencia a una doble cualidad. De un lado, que forzosamente ha de tratarse de quien ha sido una «parte» en el proceso. Y de otro, que esa parte procesal ha resultado «favorecida», o beneficiada, por lo decidido en la sentencia. (…).</w:t>
      </w:r>
    </w:p>
    <w:p w:rsidR="00DA1907" w:rsidRPr="0063015D" w:rsidRDefault="00DA1907" w:rsidP="009C3E9F">
      <w:pPr>
        <w:shd w:val="clear" w:color="auto" w:fill="FFFFFF"/>
        <w:spacing w:before="100" w:beforeAutospacing="1" w:after="300"/>
        <w:rPr>
          <w:rFonts w:ascii="Arial Narrow" w:hAnsi="Arial Narrow"/>
          <w:sz w:val="22"/>
          <w:szCs w:val="22"/>
        </w:rPr>
      </w:pPr>
      <w:r w:rsidRPr="0063015D">
        <w:rPr>
          <w:rStyle w:val="nfasis"/>
          <w:rFonts w:ascii="Arial Narrow" w:hAnsi="Arial Narrow"/>
          <w:sz w:val="22"/>
          <w:szCs w:val="22"/>
        </w:rPr>
        <w:lastRenderedPageBreak/>
        <w:t xml:space="preserve">En este sentido, es claro el diferente alcance de la legitimación para conseguir la plena ejecución de las sentencias que en el art. 109.1 LJCA se atribuye, además de a las partes procesales «a las personas afectadas por el fallo», mientras que, el art. 91, a propósito de la ejecución provisional al referirlo exclusivamente a las «partes favorecidas por la sentencia» lo limita a las partes procesales”. </w:t>
      </w:r>
    </w:p>
    <w:p w:rsidR="00405CA5" w:rsidRDefault="00DA1907" w:rsidP="009C3E9F">
      <w:pPr>
        <w:spacing w:before="100" w:beforeAutospacing="1" w:after="100" w:afterAutospacing="1"/>
        <w:rPr>
          <w:rFonts w:ascii="Arial Narrow" w:hAnsi="Arial Narrow"/>
          <w:color w:val="111111"/>
          <w:sz w:val="22"/>
          <w:szCs w:val="22"/>
        </w:rPr>
      </w:pPr>
      <w:r>
        <w:rPr>
          <w:rFonts w:ascii="Arial Narrow" w:hAnsi="Arial Narrow"/>
          <w:color w:val="111111"/>
          <w:sz w:val="22"/>
          <w:szCs w:val="22"/>
        </w:rPr>
        <w:t>Esta</w:t>
      </w:r>
      <w:r w:rsidRPr="0063015D">
        <w:rPr>
          <w:rFonts w:ascii="Arial Narrow" w:hAnsi="Arial Narrow"/>
          <w:color w:val="111111"/>
          <w:sz w:val="22"/>
          <w:szCs w:val="22"/>
        </w:rPr>
        <w:t xml:space="preserve"> Administración no ha sido parte en el proceso contencioso administrativo, proceso en el que tampoco se personó el sindicato LAB ni el Ayuntamiento de Baztán</w:t>
      </w:r>
      <w:r>
        <w:rPr>
          <w:rFonts w:ascii="Arial Narrow" w:hAnsi="Arial Narrow"/>
          <w:color w:val="111111"/>
          <w:sz w:val="22"/>
          <w:szCs w:val="22"/>
        </w:rPr>
        <w:t xml:space="preserve"> </w:t>
      </w:r>
      <w:r w:rsidRPr="0063015D">
        <w:rPr>
          <w:rFonts w:ascii="Arial Narrow" w:hAnsi="Arial Narrow"/>
          <w:color w:val="111111"/>
          <w:sz w:val="22"/>
          <w:szCs w:val="22"/>
        </w:rPr>
        <w:t>por</w:t>
      </w:r>
      <w:r>
        <w:rPr>
          <w:rFonts w:ascii="Arial Narrow" w:hAnsi="Arial Narrow"/>
          <w:color w:val="111111"/>
          <w:sz w:val="22"/>
          <w:szCs w:val="22"/>
        </w:rPr>
        <w:t xml:space="preserve"> lo que </w:t>
      </w:r>
      <w:r w:rsidRPr="0063015D">
        <w:rPr>
          <w:rFonts w:ascii="Arial Narrow" w:hAnsi="Arial Narrow"/>
          <w:color w:val="111111"/>
          <w:sz w:val="22"/>
          <w:szCs w:val="22"/>
        </w:rPr>
        <w:t>resulta imposible</w:t>
      </w:r>
      <w:r>
        <w:rPr>
          <w:rFonts w:ascii="Arial Narrow" w:hAnsi="Arial Narrow"/>
          <w:color w:val="111111"/>
          <w:sz w:val="22"/>
          <w:szCs w:val="22"/>
        </w:rPr>
        <w:t xml:space="preserve"> instar</w:t>
      </w:r>
      <w:r w:rsidRPr="0063015D">
        <w:rPr>
          <w:rFonts w:ascii="Arial Narrow" w:hAnsi="Arial Narrow"/>
          <w:color w:val="111111"/>
          <w:sz w:val="22"/>
          <w:szCs w:val="22"/>
        </w:rPr>
        <w:t xml:space="preserve"> la ejecución provisional de la sentencia.</w:t>
      </w:r>
    </w:p>
    <w:p w:rsidR="00405CA5" w:rsidRDefault="003C20E3" w:rsidP="009C3E9F">
      <w:pPr>
        <w:pStyle w:val="Prrafodelista"/>
        <w:spacing w:before="100" w:beforeAutospacing="1" w:after="100" w:afterAutospacing="1" w:line="240" w:lineRule="auto"/>
        <w:ind w:left="720"/>
        <w:contextualSpacing/>
        <w:jc w:val="both"/>
        <w:rPr>
          <w:rFonts w:ascii="Arial Narrow" w:hAnsi="Arial Narrow"/>
          <w:b/>
          <w:color w:val="111111"/>
          <w:sz w:val="22"/>
          <w:szCs w:val="22"/>
        </w:rPr>
      </w:pPr>
      <w:r>
        <w:rPr>
          <w:rFonts w:ascii="Arial Narrow" w:hAnsi="Arial Narrow"/>
          <w:b/>
          <w:color w:val="111111"/>
          <w:sz w:val="22"/>
          <w:szCs w:val="22"/>
        </w:rPr>
        <w:t>2-</w:t>
      </w:r>
      <w:r w:rsidR="00DB479D">
        <w:rPr>
          <w:rFonts w:ascii="Arial Narrow" w:hAnsi="Arial Narrow"/>
          <w:b/>
          <w:color w:val="111111"/>
          <w:sz w:val="22"/>
          <w:szCs w:val="22"/>
        </w:rPr>
        <w:t xml:space="preserve"> </w:t>
      </w:r>
      <w:r w:rsidR="003A517A" w:rsidRPr="0063015D">
        <w:rPr>
          <w:rFonts w:ascii="Arial Narrow" w:hAnsi="Arial Narrow"/>
          <w:b/>
          <w:color w:val="111111"/>
          <w:sz w:val="22"/>
          <w:szCs w:val="22"/>
        </w:rPr>
        <w:t>¿Le ha sido notificado al Servicio de Territorio y Paisaje – tal y como se recogía en la Resolución 765E/2017, de 28 de noviembre de 2017 de la Directora General de Medio Ambiente y Ordenación del Territorio, por la que se aprobó definitivamente el Proyecto de Urbanización de la Junta de Compensación del P.S.I. S de área turístico, hotelera, deportiva y residencial del entorno de Palacio de Arozteg</w:t>
      </w:r>
      <w:r w:rsidR="003A517A">
        <w:rPr>
          <w:rFonts w:ascii="Arial Narrow" w:hAnsi="Arial Narrow"/>
          <w:b/>
          <w:color w:val="111111"/>
          <w:sz w:val="22"/>
          <w:szCs w:val="22"/>
        </w:rPr>
        <w:t>i</w:t>
      </w:r>
      <w:r w:rsidR="003A517A" w:rsidRPr="0063015D">
        <w:rPr>
          <w:rFonts w:ascii="Arial Narrow" w:hAnsi="Arial Narrow"/>
          <w:b/>
          <w:color w:val="111111"/>
          <w:sz w:val="22"/>
          <w:szCs w:val="22"/>
        </w:rPr>
        <w:t>a de Baztán- el comienzo de las obras?</w:t>
      </w:r>
    </w:p>
    <w:p w:rsidR="00405CA5" w:rsidRDefault="00A61251" w:rsidP="009C3E9F">
      <w:pPr>
        <w:rPr>
          <w:rFonts w:ascii="Arial Narrow" w:hAnsi="Arial Narrow" w:cs="Arial"/>
          <w:i/>
          <w:sz w:val="22"/>
          <w:szCs w:val="22"/>
        </w:rPr>
      </w:pPr>
      <w:r w:rsidRPr="0063015D">
        <w:rPr>
          <w:rFonts w:ascii="Arial Narrow" w:hAnsi="Arial Narrow" w:cs="Arial"/>
          <w:sz w:val="22"/>
          <w:szCs w:val="22"/>
        </w:rPr>
        <w:t xml:space="preserve">La Resolución </w:t>
      </w:r>
      <w:proofErr w:type="spellStart"/>
      <w:r w:rsidRPr="0063015D">
        <w:rPr>
          <w:rFonts w:ascii="Arial Narrow" w:hAnsi="Arial Narrow" w:cs="Arial"/>
          <w:sz w:val="22"/>
          <w:szCs w:val="22"/>
        </w:rPr>
        <w:t>765E</w:t>
      </w:r>
      <w:proofErr w:type="spellEnd"/>
      <w:r w:rsidRPr="0063015D">
        <w:rPr>
          <w:rFonts w:ascii="Arial Narrow" w:hAnsi="Arial Narrow" w:cs="Arial"/>
          <w:sz w:val="22"/>
          <w:szCs w:val="22"/>
        </w:rPr>
        <w:t xml:space="preserve">/2017, de 28 de noviembre, de la Directora General de Medio Ambiente y Ordenación del Territorio, por la que se aprueba definitivamente el Proyecto de Urbanización del PSIS, estableció la siguiente determinación: </w:t>
      </w:r>
      <w:r w:rsidRPr="0063015D">
        <w:rPr>
          <w:rFonts w:ascii="Arial Narrow" w:hAnsi="Arial Narrow" w:cs="Arial"/>
          <w:i/>
          <w:sz w:val="22"/>
          <w:szCs w:val="22"/>
        </w:rPr>
        <w:t>“Indicar que las fechas de comienzo y final de las obras deberán comunicarse con suficiente antelación al Servicio de Territorio y Paisaje y al Ayuntamiento de Baztan, entidad esta última responsable del seguimiento de las obras de urbanización y de su recepción al final de las mismas.”</w:t>
      </w:r>
    </w:p>
    <w:p w:rsidR="00405CA5" w:rsidRDefault="00A61251" w:rsidP="009C3E9F">
      <w:pPr>
        <w:rPr>
          <w:rFonts w:ascii="Arial Narrow" w:hAnsi="Arial Narrow"/>
          <w:sz w:val="22"/>
          <w:szCs w:val="22"/>
        </w:rPr>
      </w:pPr>
      <w:bookmarkStart w:id="0" w:name="_GoBack"/>
      <w:r w:rsidRPr="0063015D">
        <w:rPr>
          <w:rFonts w:ascii="Arial Narrow" w:hAnsi="Arial Narrow"/>
          <w:sz w:val="22"/>
          <w:szCs w:val="22"/>
        </w:rPr>
        <w:t xml:space="preserve">En cumplimiento de la mencionada determinación, D. </w:t>
      </w:r>
      <w:r w:rsidR="00284143" w:rsidRPr="0063015D">
        <w:rPr>
          <w:rFonts w:ascii="Arial Narrow" w:hAnsi="Arial Narrow"/>
          <w:sz w:val="22"/>
          <w:szCs w:val="22"/>
        </w:rPr>
        <w:t xml:space="preserve">Salvador </w:t>
      </w:r>
      <w:proofErr w:type="spellStart"/>
      <w:r w:rsidR="00284143" w:rsidRPr="0063015D">
        <w:rPr>
          <w:rFonts w:ascii="Arial Narrow" w:hAnsi="Arial Narrow"/>
          <w:sz w:val="22"/>
          <w:szCs w:val="22"/>
        </w:rPr>
        <w:t>Urbistondo</w:t>
      </w:r>
      <w:proofErr w:type="spellEnd"/>
      <w:r w:rsidR="00284143" w:rsidRPr="0063015D">
        <w:rPr>
          <w:rFonts w:ascii="Arial Narrow" w:hAnsi="Arial Narrow"/>
          <w:sz w:val="22"/>
          <w:szCs w:val="22"/>
        </w:rPr>
        <w:t xml:space="preserve"> </w:t>
      </w:r>
      <w:proofErr w:type="spellStart"/>
      <w:r w:rsidR="00284143" w:rsidRPr="0063015D">
        <w:rPr>
          <w:rFonts w:ascii="Arial Narrow" w:hAnsi="Arial Narrow"/>
          <w:sz w:val="22"/>
          <w:szCs w:val="22"/>
        </w:rPr>
        <w:t>Arotzarena</w:t>
      </w:r>
      <w:proofErr w:type="spellEnd"/>
      <w:r w:rsidRPr="0063015D">
        <w:rPr>
          <w:rFonts w:ascii="Arial Narrow" w:hAnsi="Arial Narrow"/>
          <w:sz w:val="22"/>
          <w:szCs w:val="22"/>
        </w:rPr>
        <w:t xml:space="preserve">, en nombre y representación como Presidente de la </w:t>
      </w:r>
      <w:r w:rsidR="00284143" w:rsidRPr="0063015D">
        <w:rPr>
          <w:rFonts w:ascii="Arial Narrow" w:hAnsi="Arial Narrow"/>
          <w:sz w:val="22"/>
          <w:szCs w:val="22"/>
        </w:rPr>
        <w:t xml:space="preserve">Junta de Compensación de </w:t>
      </w:r>
      <w:r w:rsidRPr="0063015D">
        <w:rPr>
          <w:rFonts w:ascii="Arial Narrow" w:hAnsi="Arial Narrow"/>
          <w:sz w:val="22"/>
          <w:szCs w:val="22"/>
        </w:rPr>
        <w:t xml:space="preserve">P.S.I.S. </w:t>
      </w:r>
      <w:r w:rsidR="00284143" w:rsidRPr="0063015D">
        <w:rPr>
          <w:rFonts w:ascii="Arial Narrow" w:hAnsi="Arial Narrow"/>
          <w:sz w:val="22"/>
          <w:szCs w:val="22"/>
        </w:rPr>
        <w:t xml:space="preserve">Área </w:t>
      </w:r>
      <w:r w:rsidR="001C7113" w:rsidRPr="0063015D">
        <w:rPr>
          <w:rFonts w:ascii="Arial Narrow" w:hAnsi="Arial Narrow"/>
          <w:sz w:val="22"/>
          <w:szCs w:val="22"/>
        </w:rPr>
        <w:t>turístico</w:t>
      </w:r>
      <w:r w:rsidRPr="0063015D">
        <w:rPr>
          <w:rFonts w:ascii="Arial Narrow" w:hAnsi="Arial Narrow"/>
          <w:sz w:val="22"/>
          <w:szCs w:val="22"/>
        </w:rPr>
        <w:t xml:space="preserve">, </w:t>
      </w:r>
      <w:r w:rsidR="001C7113" w:rsidRPr="0063015D">
        <w:rPr>
          <w:rFonts w:ascii="Arial Narrow" w:hAnsi="Arial Narrow"/>
          <w:sz w:val="22"/>
          <w:szCs w:val="22"/>
        </w:rPr>
        <w:t>hotelera</w:t>
      </w:r>
      <w:r w:rsidRPr="0063015D">
        <w:rPr>
          <w:rFonts w:ascii="Arial Narrow" w:hAnsi="Arial Narrow"/>
          <w:sz w:val="22"/>
          <w:szCs w:val="22"/>
        </w:rPr>
        <w:t xml:space="preserve">, </w:t>
      </w:r>
      <w:r w:rsidR="001C7113" w:rsidRPr="0063015D">
        <w:rPr>
          <w:rFonts w:ascii="Arial Narrow" w:hAnsi="Arial Narrow"/>
          <w:sz w:val="22"/>
          <w:szCs w:val="22"/>
        </w:rPr>
        <w:t xml:space="preserve">deportiva y residencial del entorno de palacio de </w:t>
      </w:r>
      <w:proofErr w:type="spellStart"/>
      <w:r w:rsidR="001C7113" w:rsidRPr="0063015D">
        <w:rPr>
          <w:rFonts w:ascii="Arial Narrow" w:hAnsi="Arial Narrow"/>
          <w:sz w:val="22"/>
          <w:szCs w:val="22"/>
        </w:rPr>
        <w:t>Arozteguía</w:t>
      </w:r>
      <w:proofErr w:type="spellEnd"/>
      <w:r w:rsidR="001C7113" w:rsidRPr="0063015D">
        <w:rPr>
          <w:rFonts w:ascii="Arial Narrow" w:hAnsi="Arial Narrow"/>
          <w:sz w:val="22"/>
          <w:szCs w:val="22"/>
        </w:rPr>
        <w:t xml:space="preserve"> de </w:t>
      </w:r>
      <w:proofErr w:type="spellStart"/>
      <w:r w:rsidR="001C7113" w:rsidRPr="0063015D">
        <w:rPr>
          <w:rFonts w:ascii="Arial Narrow" w:hAnsi="Arial Narrow"/>
          <w:sz w:val="22"/>
          <w:szCs w:val="22"/>
        </w:rPr>
        <w:t>Baztan</w:t>
      </w:r>
      <w:proofErr w:type="spellEnd"/>
      <w:r w:rsidRPr="0063015D">
        <w:rPr>
          <w:rFonts w:ascii="Arial Narrow" w:hAnsi="Arial Narrow"/>
          <w:sz w:val="22"/>
          <w:szCs w:val="22"/>
        </w:rPr>
        <w:t xml:space="preserve">, comunicó a esta Dirección General de Ordenación del Territorio el día 3 de marzo de 2003, que la firma del Acta de Replanteo ( determinante del comienzo de las obras de urbanización)  inicialmente fechada para el 8 de marzo de 2021, quedaba fijada para el </w:t>
      </w:r>
      <w:r w:rsidRPr="0063015D">
        <w:rPr>
          <w:rFonts w:ascii="Arial Narrow" w:hAnsi="Arial Narrow"/>
          <w:bCs/>
          <w:sz w:val="22"/>
          <w:szCs w:val="22"/>
        </w:rPr>
        <w:t>18 de marzo de 2021 a las 10 horas en las inmediaciones del Palacio de Arozteguía</w:t>
      </w:r>
      <w:r w:rsidRPr="0063015D">
        <w:rPr>
          <w:rFonts w:ascii="Arial Narrow" w:hAnsi="Arial Narrow"/>
          <w:sz w:val="22"/>
          <w:szCs w:val="22"/>
        </w:rPr>
        <w:t xml:space="preserve">. </w:t>
      </w:r>
    </w:p>
    <w:bookmarkEnd w:id="0"/>
    <w:p w:rsidR="00405CA5" w:rsidRDefault="00A61251" w:rsidP="009C3E9F">
      <w:pPr>
        <w:pStyle w:val="Default"/>
        <w:jc w:val="both"/>
        <w:rPr>
          <w:rFonts w:ascii="Arial Narrow" w:hAnsi="Arial Narrow"/>
          <w:sz w:val="22"/>
          <w:szCs w:val="22"/>
        </w:rPr>
      </w:pPr>
      <w:r w:rsidRPr="0063015D">
        <w:rPr>
          <w:rFonts w:ascii="Arial Narrow" w:hAnsi="Arial Narrow"/>
          <w:sz w:val="22"/>
          <w:szCs w:val="22"/>
        </w:rPr>
        <w:t>Por lo tanto, existe constancia documental de aviso del inicio de las obras de urbanización en la fecha señalada.</w:t>
      </w:r>
    </w:p>
    <w:p w:rsidR="00405CA5" w:rsidRDefault="003C20E3" w:rsidP="009C3E9F">
      <w:pPr>
        <w:pStyle w:val="Prrafodelista"/>
        <w:spacing w:before="100" w:beforeAutospacing="1" w:after="100" w:afterAutospacing="1" w:line="240" w:lineRule="auto"/>
        <w:ind w:left="360"/>
        <w:contextualSpacing/>
        <w:jc w:val="both"/>
        <w:rPr>
          <w:rFonts w:ascii="Arial Narrow" w:hAnsi="Arial Narrow"/>
          <w:b/>
          <w:color w:val="111111"/>
          <w:sz w:val="22"/>
          <w:szCs w:val="22"/>
        </w:rPr>
      </w:pPr>
      <w:r>
        <w:rPr>
          <w:rFonts w:ascii="Arial Narrow" w:hAnsi="Arial Narrow"/>
          <w:b/>
          <w:color w:val="111111"/>
          <w:sz w:val="22"/>
          <w:szCs w:val="22"/>
        </w:rPr>
        <w:t>3-</w:t>
      </w:r>
      <w:r w:rsidR="00DB479D">
        <w:rPr>
          <w:rFonts w:ascii="Arial Narrow" w:hAnsi="Arial Narrow"/>
          <w:b/>
          <w:color w:val="111111"/>
          <w:sz w:val="22"/>
          <w:szCs w:val="22"/>
        </w:rPr>
        <w:t xml:space="preserve"> </w:t>
      </w:r>
      <w:r w:rsidR="003A517A" w:rsidRPr="0063015D">
        <w:rPr>
          <w:rFonts w:ascii="Arial Narrow" w:hAnsi="Arial Narrow"/>
          <w:b/>
          <w:color w:val="111111"/>
          <w:sz w:val="22"/>
          <w:szCs w:val="22"/>
        </w:rPr>
        <w:t>¿Ha previsto el Gobierno la incoación de algún expediente sancionador a la Junta de Compensación de P.S.I.S. del área turístico, hotelera, deportiva y residencial del entorno de Palacio de Arozteg</w:t>
      </w:r>
      <w:r w:rsidR="003A517A">
        <w:rPr>
          <w:rFonts w:ascii="Arial Narrow" w:hAnsi="Arial Narrow"/>
          <w:b/>
          <w:color w:val="111111"/>
          <w:sz w:val="22"/>
          <w:szCs w:val="22"/>
        </w:rPr>
        <w:t>i</w:t>
      </w:r>
      <w:r w:rsidR="003A517A" w:rsidRPr="0063015D">
        <w:rPr>
          <w:rFonts w:ascii="Arial Narrow" w:hAnsi="Arial Narrow"/>
          <w:b/>
          <w:color w:val="111111"/>
          <w:sz w:val="22"/>
          <w:szCs w:val="22"/>
        </w:rPr>
        <w:t xml:space="preserve">a de Baztán por este comienzo ilegal de las obras? </w:t>
      </w:r>
    </w:p>
    <w:p w:rsidR="00405CA5" w:rsidRDefault="00A61251" w:rsidP="009C3E9F">
      <w:pPr>
        <w:autoSpaceDE w:val="0"/>
        <w:autoSpaceDN w:val="0"/>
        <w:adjustRightInd w:val="0"/>
        <w:rPr>
          <w:rFonts w:ascii="Arial Narrow" w:hAnsi="Arial Narrow" w:cs="Times-Italic"/>
          <w:iCs/>
          <w:sz w:val="22"/>
          <w:szCs w:val="22"/>
        </w:rPr>
      </w:pPr>
      <w:r w:rsidRPr="0063015D">
        <w:rPr>
          <w:rFonts w:ascii="Arial Narrow" w:hAnsi="Arial Narrow"/>
          <w:color w:val="111111"/>
          <w:sz w:val="22"/>
          <w:szCs w:val="22"/>
        </w:rPr>
        <w:t xml:space="preserve">En primer lugar, </w:t>
      </w:r>
      <w:r w:rsidRPr="0063015D">
        <w:rPr>
          <w:rFonts w:ascii="Arial Narrow" w:hAnsi="Arial Narrow" w:cs="Times-Italic"/>
          <w:iCs/>
          <w:sz w:val="22"/>
          <w:szCs w:val="22"/>
        </w:rPr>
        <w:t>tal y como se ha señalado en la contestación a la primera de las preguntas, en la medida</w:t>
      </w:r>
      <w:r w:rsidR="008B20B7">
        <w:rPr>
          <w:rFonts w:ascii="Arial Narrow" w:hAnsi="Arial Narrow" w:cs="Times-Italic"/>
          <w:iCs/>
          <w:sz w:val="22"/>
          <w:szCs w:val="22"/>
        </w:rPr>
        <w:t xml:space="preserve"> en que la</w:t>
      </w:r>
      <w:r w:rsidRPr="0063015D">
        <w:rPr>
          <w:rFonts w:ascii="Arial Narrow" w:hAnsi="Arial Narrow" w:cs="Times-Italic"/>
          <w:iCs/>
          <w:sz w:val="22"/>
          <w:szCs w:val="22"/>
        </w:rPr>
        <w:t xml:space="preserve"> Dirección General no es competente para la supervisión de las obras de urbanización, tampoco lo es para tramitar expediente sancionador alguno en relación con una hipotética actuación o ilegal de la </w:t>
      </w:r>
      <w:r w:rsidRPr="0063015D">
        <w:rPr>
          <w:rFonts w:ascii="Arial Narrow" w:hAnsi="Arial Narrow" w:cs="Times-Italic"/>
          <w:iCs/>
          <w:sz w:val="22"/>
          <w:szCs w:val="22"/>
        </w:rPr>
        <w:lastRenderedPageBreak/>
        <w:t xml:space="preserve">Junta de Compensación. La incoación y tramitación de un expediente sancionador correspondería al ayuntamiento. </w:t>
      </w:r>
    </w:p>
    <w:p w:rsidR="00405CA5" w:rsidRDefault="00A61251" w:rsidP="009C3E9F">
      <w:pPr>
        <w:autoSpaceDE w:val="0"/>
        <w:autoSpaceDN w:val="0"/>
        <w:adjustRightInd w:val="0"/>
        <w:rPr>
          <w:rFonts w:ascii="Arial Narrow" w:hAnsi="Arial Narrow"/>
          <w:sz w:val="22"/>
          <w:szCs w:val="22"/>
        </w:rPr>
      </w:pPr>
      <w:r w:rsidRPr="0063015D">
        <w:rPr>
          <w:rFonts w:ascii="Arial Narrow" w:hAnsi="Arial Narrow" w:cs="Times-Italic"/>
          <w:iCs/>
          <w:sz w:val="22"/>
          <w:szCs w:val="22"/>
        </w:rPr>
        <w:t xml:space="preserve">Pero es que, además, y aunque así lo fuera, </w:t>
      </w:r>
      <w:r>
        <w:rPr>
          <w:rFonts w:ascii="Arial Narrow" w:hAnsi="Arial Narrow" w:cs="Times-Italic"/>
          <w:iCs/>
          <w:sz w:val="22"/>
          <w:szCs w:val="22"/>
        </w:rPr>
        <w:t xml:space="preserve">no se debe olvidar que </w:t>
      </w:r>
      <w:r w:rsidRPr="0063015D">
        <w:rPr>
          <w:rFonts w:ascii="Arial Narrow" w:hAnsi="Arial Narrow" w:cs="Times-Italic"/>
          <w:iCs/>
          <w:sz w:val="22"/>
          <w:szCs w:val="22"/>
        </w:rPr>
        <w:t xml:space="preserve">la sentencia confirmando </w:t>
      </w:r>
      <w:r w:rsidRPr="0063015D">
        <w:rPr>
          <w:rFonts w:ascii="Arial Narrow" w:hAnsi="Arial Narrow"/>
          <w:sz w:val="22"/>
          <w:szCs w:val="22"/>
        </w:rPr>
        <w:t>el ACUERDO 64/2019, de 23 de julio, del Tribunal Administrativo de Contratos Públicos de Navarra no es firme al encontr</w:t>
      </w:r>
      <w:r>
        <w:rPr>
          <w:rFonts w:ascii="Arial Narrow" w:hAnsi="Arial Narrow"/>
          <w:sz w:val="22"/>
          <w:szCs w:val="22"/>
        </w:rPr>
        <w:t>arse recurrida en casación por lo que</w:t>
      </w:r>
      <w:r w:rsidRPr="0063015D">
        <w:rPr>
          <w:rFonts w:ascii="Arial Narrow" w:hAnsi="Arial Narrow"/>
          <w:sz w:val="22"/>
          <w:szCs w:val="22"/>
        </w:rPr>
        <w:t xml:space="preserve"> no se aprecia actuación ilegal de la </w:t>
      </w:r>
      <w:r>
        <w:rPr>
          <w:rFonts w:ascii="Arial Narrow" w:hAnsi="Arial Narrow"/>
          <w:sz w:val="22"/>
          <w:szCs w:val="22"/>
        </w:rPr>
        <w:t>J</w:t>
      </w:r>
      <w:r w:rsidRPr="0063015D">
        <w:rPr>
          <w:rFonts w:ascii="Arial Narrow" w:hAnsi="Arial Narrow"/>
          <w:sz w:val="22"/>
          <w:szCs w:val="22"/>
        </w:rPr>
        <w:t>unta que motive la incoación de expediente sancionador.</w:t>
      </w:r>
    </w:p>
    <w:p w:rsidR="00405CA5" w:rsidRDefault="003C20E3" w:rsidP="009C3E9F">
      <w:pPr>
        <w:pStyle w:val="Prrafodelista"/>
        <w:autoSpaceDE w:val="0"/>
        <w:autoSpaceDN w:val="0"/>
        <w:adjustRightInd w:val="0"/>
        <w:spacing w:line="240" w:lineRule="auto"/>
        <w:ind w:left="360"/>
        <w:contextualSpacing/>
        <w:jc w:val="both"/>
        <w:rPr>
          <w:rFonts w:ascii="Arial Narrow" w:hAnsi="Arial Narrow"/>
          <w:b/>
          <w:sz w:val="22"/>
          <w:szCs w:val="22"/>
        </w:rPr>
      </w:pPr>
      <w:r>
        <w:rPr>
          <w:rFonts w:ascii="Arial Narrow" w:hAnsi="Arial Narrow"/>
          <w:b/>
          <w:sz w:val="22"/>
          <w:szCs w:val="22"/>
        </w:rPr>
        <w:t>4</w:t>
      </w:r>
      <w:r w:rsidR="00DB479D">
        <w:rPr>
          <w:rFonts w:ascii="Arial Narrow" w:hAnsi="Arial Narrow"/>
          <w:b/>
          <w:sz w:val="22"/>
          <w:szCs w:val="22"/>
        </w:rPr>
        <w:t>-</w:t>
      </w:r>
      <w:r w:rsidR="00DB479D" w:rsidRPr="00AA7D07">
        <w:rPr>
          <w:rFonts w:ascii="Arial Narrow" w:hAnsi="Arial Narrow"/>
          <w:b/>
          <w:sz w:val="22"/>
          <w:szCs w:val="22"/>
        </w:rPr>
        <w:t xml:space="preserve"> ¿</w:t>
      </w:r>
      <w:r w:rsidR="003A517A" w:rsidRPr="00AA7D07">
        <w:rPr>
          <w:rFonts w:ascii="Arial Narrow" w:hAnsi="Arial Narrow"/>
          <w:b/>
          <w:sz w:val="22"/>
          <w:szCs w:val="22"/>
        </w:rPr>
        <w:t>Tiene previsto realizar algún requerimiento a través de la policía Foral para que la Junta de Compensación y la empresa que está ejecutando ilegalmente dichas obras procedan a la paralización inmediata de las mismas?</w:t>
      </w:r>
    </w:p>
    <w:p w:rsidR="00A61251" w:rsidRPr="0063015D" w:rsidRDefault="00A61251" w:rsidP="009C3E9F">
      <w:pPr>
        <w:spacing w:before="100" w:beforeAutospacing="1" w:after="100" w:afterAutospacing="1"/>
        <w:rPr>
          <w:rFonts w:ascii="Arial Narrow" w:hAnsi="Arial Narrow" w:cs="Times-Italic"/>
          <w:iCs/>
          <w:sz w:val="22"/>
          <w:szCs w:val="22"/>
        </w:rPr>
      </w:pPr>
      <w:r w:rsidRPr="0063015D">
        <w:rPr>
          <w:rFonts w:ascii="Arial Narrow" w:hAnsi="Arial Narrow" w:cs="Times-Italic"/>
          <w:iCs/>
          <w:sz w:val="22"/>
          <w:szCs w:val="22"/>
        </w:rPr>
        <w:t xml:space="preserve">Por los motivos que ya han sido expuestos en las respuestas a las preguntas anteriores, obviamente no está previsto realizar requerimiento alguno a la Policía Foral: </w:t>
      </w:r>
    </w:p>
    <w:p w:rsidR="00A61251" w:rsidRPr="0063015D" w:rsidRDefault="00A61251" w:rsidP="00C46834">
      <w:pPr>
        <w:pStyle w:val="Prrafodelista"/>
        <w:numPr>
          <w:ilvl w:val="0"/>
          <w:numId w:val="19"/>
        </w:numPr>
        <w:spacing w:before="100" w:beforeAutospacing="1" w:after="100" w:afterAutospacing="1" w:line="240" w:lineRule="auto"/>
        <w:contextualSpacing/>
        <w:jc w:val="both"/>
        <w:rPr>
          <w:rFonts w:ascii="Arial Narrow" w:hAnsi="Arial Narrow"/>
          <w:color w:val="111111"/>
          <w:sz w:val="22"/>
          <w:szCs w:val="22"/>
        </w:rPr>
      </w:pPr>
      <w:r w:rsidRPr="0063015D">
        <w:rPr>
          <w:rFonts w:ascii="Arial Narrow" w:hAnsi="Arial Narrow"/>
          <w:color w:val="111111"/>
          <w:sz w:val="22"/>
          <w:szCs w:val="22"/>
        </w:rPr>
        <w:t>Esta Administración no es competente para paralizar las obras.</w:t>
      </w:r>
    </w:p>
    <w:p w:rsidR="00405CA5" w:rsidRDefault="00A61251" w:rsidP="00A61251">
      <w:pPr>
        <w:pStyle w:val="Prrafodelista"/>
        <w:numPr>
          <w:ilvl w:val="0"/>
          <w:numId w:val="19"/>
        </w:numPr>
        <w:spacing w:before="100" w:beforeAutospacing="1" w:after="100" w:afterAutospacing="1" w:line="240" w:lineRule="auto"/>
        <w:contextualSpacing/>
        <w:jc w:val="both"/>
        <w:rPr>
          <w:rFonts w:ascii="Arial Narrow" w:hAnsi="Arial Narrow"/>
          <w:color w:val="111111"/>
          <w:sz w:val="22"/>
          <w:szCs w:val="22"/>
        </w:rPr>
      </w:pPr>
      <w:r w:rsidRPr="0063015D">
        <w:rPr>
          <w:rFonts w:ascii="Arial Narrow" w:hAnsi="Arial Narrow"/>
          <w:color w:val="111111"/>
          <w:sz w:val="22"/>
          <w:szCs w:val="22"/>
        </w:rPr>
        <w:t xml:space="preserve">Las obras no se están ejecutando ilegalmente </w:t>
      </w:r>
      <w:r>
        <w:rPr>
          <w:rFonts w:ascii="Arial Narrow" w:hAnsi="Arial Narrow"/>
          <w:color w:val="111111"/>
          <w:sz w:val="22"/>
          <w:szCs w:val="22"/>
        </w:rPr>
        <w:t xml:space="preserve">puesto </w:t>
      </w:r>
      <w:r w:rsidRPr="0063015D">
        <w:rPr>
          <w:rFonts w:ascii="Arial Narrow" w:hAnsi="Arial Narrow"/>
          <w:color w:val="111111"/>
          <w:sz w:val="22"/>
          <w:szCs w:val="22"/>
        </w:rPr>
        <w:t xml:space="preserve">que la sentencia del TSJ no es firme y no se ha instado (ni se puede instar) su ejecución provisional. </w:t>
      </w:r>
    </w:p>
    <w:p w:rsidR="00405CA5" w:rsidRDefault="00A56CCF" w:rsidP="00A56CCF">
      <w:pPr>
        <w:ind w:firstLine="540"/>
        <w:rPr>
          <w:rFonts w:cs="Arial"/>
          <w:color w:val="000000"/>
          <w:szCs w:val="24"/>
        </w:rPr>
      </w:pPr>
      <w:r w:rsidRPr="00A56CCF">
        <w:rPr>
          <w:rFonts w:cs="Arial"/>
          <w:color w:val="000000"/>
          <w:szCs w:val="24"/>
        </w:rPr>
        <w:t>Es cuanto tengo el honor de informar en cumplimiento del artículo 1</w:t>
      </w:r>
      <w:r w:rsidR="000F67C1">
        <w:rPr>
          <w:rFonts w:cs="Arial"/>
          <w:color w:val="000000"/>
          <w:szCs w:val="24"/>
        </w:rPr>
        <w:t>9</w:t>
      </w:r>
      <w:r w:rsidRPr="00A56CCF">
        <w:rPr>
          <w:rFonts w:cs="Arial"/>
          <w:color w:val="000000"/>
          <w:szCs w:val="24"/>
        </w:rPr>
        <w:t>4</w:t>
      </w:r>
      <w:r>
        <w:rPr>
          <w:rFonts w:cs="Arial"/>
          <w:color w:val="000000"/>
          <w:szCs w:val="24"/>
        </w:rPr>
        <w:t xml:space="preserve"> </w:t>
      </w:r>
      <w:r w:rsidRPr="00A56CCF">
        <w:rPr>
          <w:rFonts w:cs="Arial"/>
          <w:color w:val="000000"/>
          <w:szCs w:val="24"/>
        </w:rPr>
        <w:t>del Reglamento del Parlamento de Navarra</w:t>
      </w:r>
    </w:p>
    <w:p w:rsidR="00405CA5" w:rsidRDefault="00A56CCF" w:rsidP="00697CA3">
      <w:pPr>
        <w:jc w:val="cente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FA1BCA">
        <w:rPr>
          <w:rFonts w:cs="Arial"/>
          <w:color w:val="000000"/>
          <w:szCs w:val="24"/>
        </w:rPr>
        <w:t>14</w:t>
      </w:r>
      <w:r w:rsidR="00934199" w:rsidRPr="00A56CCF">
        <w:rPr>
          <w:rFonts w:cs="Arial"/>
          <w:color w:val="000000"/>
          <w:szCs w:val="24"/>
        </w:rPr>
        <w:t xml:space="preserve"> de </w:t>
      </w:r>
      <w:r w:rsidR="00FA1BCA">
        <w:rPr>
          <w:rFonts w:cs="Arial"/>
          <w:color w:val="000000"/>
          <w:szCs w:val="24"/>
        </w:rPr>
        <w:t>mayo</w:t>
      </w:r>
      <w:r w:rsidRPr="00A56CCF">
        <w:rPr>
          <w:rFonts w:cs="Arial"/>
          <w:color w:val="000000"/>
          <w:szCs w:val="24"/>
        </w:rPr>
        <w:t xml:space="preserve"> </w:t>
      </w:r>
      <w:r w:rsidR="00697CA3">
        <w:rPr>
          <w:rFonts w:cs="Arial"/>
          <w:color w:val="000000"/>
          <w:szCs w:val="24"/>
        </w:rPr>
        <w:t>de 202</w:t>
      </w:r>
      <w:r w:rsidR="00FA1BCA">
        <w:rPr>
          <w:rFonts w:cs="Arial"/>
          <w:color w:val="000000"/>
          <w:szCs w:val="24"/>
        </w:rPr>
        <w:t>1</w:t>
      </w:r>
    </w:p>
    <w:p w:rsidR="00D77C2F" w:rsidRPr="00E07A7D" w:rsidRDefault="00405CA5" w:rsidP="00E07A7D">
      <w:pPr>
        <w:ind w:firstLine="540"/>
        <w:jc w:val="center"/>
        <w:rPr>
          <w:rFonts w:cs="Arial"/>
          <w:color w:val="000000"/>
          <w:szCs w:val="24"/>
        </w:rPr>
      </w:pPr>
      <w:r w:rsidRPr="00E07A7D">
        <w:rPr>
          <w:rFonts w:cs="Arial"/>
          <w:color w:val="000000"/>
          <w:szCs w:val="24"/>
        </w:rPr>
        <w:t xml:space="preserve">El Consejero </w:t>
      </w:r>
      <w:r>
        <w:rPr>
          <w:rFonts w:cs="Arial"/>
          <w:color w:val="000000"/>
          <w:szCs w:val="24"/>
        </w:rPr>
        <w:t>d</w:t>
      </w:r>
      <w:r w:rsidRPr="00E07A7D">
        <w:rPr>
          <w:rFonts w:cs="Arial"/>
          <w:color w:val="000000"/>
          <w:szCs w:val="24"/>
        </w:rPr>
        <w:t xml:space="preserve">e </w:t>
      </w:r>
      <w:r>
        <w:rPr>
          <w:rFonts w:cs="Arial"/>
          <w:color w:val="000000"/>
          <w:szCs w:val="24"/>
        </w:rPr>
        <w:t>Ordenación d</w:t>
      </w:r>
      <w:r w:rsidRPr="00E07A7D">
        <w:rPr>
          <w:rFonts w:cs="Arial"/>
          <w:color w:val="000000"/>
          <w:szCs w:val="24"/>
        </w:rPr>
        <w:t xml:space="preserve">el Territorio, Vivienda, Paisaje </w:t>
      </w:r>
      <w:r>
        <w:rPr>
          <w:rFonts w:cs="Arial"/>
          <w:color w:val="000000"/>
          <w:szCs w:val="24"/>
        </w:rPr>
        <w:t>y</w:t>
      </w:r>
      <w:r w:rsidRPr="00E07A7D">
        <w:rPr>
          <w:rFonts w:cs="Arial"/>
          <w:color w:val="000000"/>
          <w:szCs w:val="24"/>
        </w:rPr>
        <w:t xml:space="preserve"> Proyectos Estratégicos</w:t>
      </w:r>
      <w:r>
        <w:rPr>
          <w:rFonts w:cs="Arial"/>
          <w:color w:val="000000"/>
          <w:szCs w:val="24"/>
        </w:rPr>
        <w:t xml:space="preserve">: </w:t>
      </w:r>
      <w:r w:rsidR="00F8529B">
        <w:rPr>
          <w:rFonts w:cs="Arial"/>
          <w:color w:val="000000"/>
          <w:szCs w:val="24"/>
        </w:rPr>
        <w:t xml:space="preserve">José María </w:t>
      </w:r>
      <w:proofErr w:type="spellStart"/>
      <w:r w:rsidR="00F8529B">
        <w:rPr>
          <w:rFonts w:cs="Arial"/>
          <w:color w:val="000000"/>
          <w:szCs w:val="24"/>
        </w:rPr>
        <w:t>Ai</w:t>
      </w:r>
      <w:r w:rsidR="00D77C2F" w:rsidRPr="00E07A7D">
        <w:rPr>
          <w:rFonts w:cs="Arial"/>
          <w:color w:val="000000"/>
          <w:szCs w:val="24"/>
        </w:rPr>
        <w:t>erdi</w:t>
      </w:r>
      <w:proofErr w:type="spellEnd"/>
      <w:r w:rsidR="00D77C2F" w:rsidRPr="00E07A7D">
        <w:rPr>
          <w:rFonts w:cs="Arial"/>
          <w:color w:val="000000"/>
          <w:szCs w:val="24"/>
        </w:rPr>
        <w:t xml:space="preserve"> Fernández de Barrena</w:t>
      </w:r>
    </w:p>
    <w:sectPr w:rsidR="00D77C2F" w:rsidRPr="00E07A7D" w:rsidSect="00405CA5">
      <w:headerReference w:type="default" r:id="rId8"/>
      <w:footerReference w:type="even" r:id="rId9"/>
      <w:pgSz w:w="11906" w:h="16838" w:code="9"/>
      <w:pgMar w:top="1560" w:right="1701" w:bottom="1843"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FC0" w:rsidRDefault="00DC1FC0" w:rsidP="00381BB8">
      <w:pPr>
        <w:pStyle w:val="Encabezado"/>
      </w:pPr>
      <w:r>
        <w:separator/>
      </w:r>
    </w:p>
  </w:endnote>
  <w:endnote w:type="continuationSeparator" w:id="0">
    <w:p w:rsidR="00DC1FC0" w:rsidRDefault="00DC1FC0"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FA1BCA">
      <w:rPr>
        <w:rStyle w:val="Nmerodepgina"/>
        <w:rFonts w:cs="Arial"/>
        <w:noProof/>
      </w:rPr>
      <w:t>6</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FC0" w:rsidRDefault="00DC1FC0" w:rsidP="00381BB8">
      <w:pPr>
        <w:pStyle w:val="Encabezado"/>
      </w:pPr>
      <w:r>
        <w:separator/>
      </w:r>
    </w:p>
  </w:footnote>
  <w:footnote w:type="continuationSeparator" w:id="0">
    <w:p w:rsidR="00DC1FC0" w:rsidRDefault="00DC1FC0" w:rsidP="00381BB8">
      <w:pPr>
        <w:pStyle w:val="Encabezad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F1D"/>
    <w:multiLevelType w:val="hybridMultilevel"/>
    <w:tmpl w:val="ED0A3B28"/>
    <w:lvl w:ilvl="0" w:tplc="FEACD85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272539"/>
    <w:multiLevelType w:val="hybridMultilevel"/>
    <w:tmpl w:val="489E21D2"/>
    <w:lvl w:ilvl="0" w:tplc="A5763A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AB25E82"/>
    <w:multiLevelType w:val="hybridMultilevel"/>
    <w:tmpl w:val="EC6CB090"/>
    <w:lvl w:ilvl="0" w:tplc="9ADC693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3">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50A16F81"/>
    <w:multiLevelType w:val="hybridMultilevel"/>
    <w:tmpl w:val="04AA6DA0"/>
    <w:lvl w:ilvl="0" w:tplc="0C824A04">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0897870"/>
    <w:multiLevelType w:val="hybridMultilevel"/>
    <w:tmpl w:val="DEDC374A"/>
    <w:lvl w:ilvl="0" w:tplc="88B86FEA">
      <w:start w:val="1"/>
      <w:numFmt w:val="decimal"/>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9">
    <w:nsid w:val="73C10F77"/>
    <w:multiLevelType w:val="hybridMultilevel"/>
    <w:tmpl w:val="38628DEE"/>
    <w:lvl w:ilvl="0" w:tplc="BF0CC2A2">
      <w:numFmt w:val="bullet"/>
      <w:lvlText w:val="-"/>
      <w:lvlJc w:val="left"/>
      <w:pPr>
        <w:ind w:left="360" w:hanging="360"/>
      </w:pPr>
      <w:rPr>
        <w:rFonts w:ascii="Verdana" w:eastAsia="Times New Roman" w:hAnsi="Verdana"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4"/>
  </w:num>
  <w:num w:numId="3">
    <w:abstractNumId w:val="11"/>
  </w:num>
  <w:num w:numId="4">
    <w:abstractNumId w:val="20"/>
  </w:num>
  <w:num w:numId="5">
    <w:abstractNumId w:val="2"/>
  </w:num>
  <w:num w:numId="6">
    <w:abstractNumId w:val="17"/>
  </w:num>
  <w:num w:numId="7">
    <w:abstractNumId w:val="6"/>
  </w:num>
  <w:num w:numId="8">
    <w:abstractNumId w:val="5"/>
  </w:num>
  <w:num w:numId="9">
    <w:abstractNumId w:val="7"/>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
  </w:num>
  <w:num w:numId="14">
    <w:abstractNumId w:val="16"/>
  </w:num>
  <w:num w:numId="15">
    <w:abstractNumId w:val="1"/>
  </w:num>
  <w:num w:numId="16">
    <w:abstractNumId w:val="12"/>
  </w:num>
  <w:num w:numId="17">
    <w:abstractNumId w:val="15"/>
  </w:num>
  <w:num w:numId="18">
    <w:abstractNumId w:val="0"/>
  </w:num>
  <w:num w:numId="19">
    <w:abstractNumId w:val="19"/>
  </w:num>
  <w:num w:numId="20">
    <w:abstractNumId w:val="18"/>
  </w:num>
  <w:num w:numId="21">
    <w:abstractNumId w:val="14"/>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BA7"/>
    <w:rsid w:val="00001125"/>
    <w:rsid w:val="00001162"/>
    <w:rsid w:val="000013A3"/>
    <w:rsid w:val="00001C29"/>
    <w:rsid w:val="00001F99"/>
    <w:rsid w:val="00002839"/>
    <w:rsid w:val="00002E97"/>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A785F"/>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0AE"/>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18F1"/>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15E"/>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41C"/>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C7113"/>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143"/>
    <w:rsid w:val="0028473A"/>
    <w:rsid w:val="002847C9"/>
    <w:rsid w:val="00286EDC"/>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1212"/>
    <w:rsid w:val="003626DE"/>
    <w:rsid w:val="00362FCE"/>
    <w:rsid w:val="00363E4F"/>
    <w:rsid w:val="00365B0F"/>
    <w:rsid w:val="003679C9"/>
    <w:rsid w:val="0037021E"/>
    <w:rsid w:val="0037157B"/>
    <w:rsid w:val="003719B3"/>
    <w:rsid w:val="003722C2"/>
    <w:rsid w:val="003728E7"/>
    <w:rsid w:val="00374843"/>
    <w:rsid w:val="00374B36"/>
    <w:rsid w:val="0037547B"/>
    <w:rsid w:val="00375D1C"/>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17A"/>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0E3"/>
    <w:rsid w:val="003C2E50"/>
    <w:rsid w:val="003C4661"/>
    <w:rsid w:val="003C4C8D"/>
    <w:rsid w:val="003C5695"/>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5CA5"/>
    <w:rsid w:val="004065C4"/>
    <w:rsid w:val="004077B5"/>
    <w:rsid w:val="0040791A"/>
    <w:rsid w:val="00410A47"/>
    <w:rsid w:val="00410F35"/>
    <w:rsid w:val="00412EB7"/>
    <w:rsid w:val="004137D6"/>
    <w:rsid w:val="004148B3"/>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698A"/>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4F1B"/>
    <w:rsid w:val="004D747A"/>
    <w:rsid w:val="004E0C03"/>
    <w:rsid w:val="004E0DF4"/>
    <w:rsid w:val="004E0FBC"/>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5D3A"/>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5210"/>
    <w:rsid w:val="005A57AF"/>
    <w:rsid w:val="005A6739"/>
    <w:rsid w:val="005B039B"/>
    <w:rsid w:val="005B15F2"/>
    <w:rsid w:val="005B1673"/>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B59"/>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BFE"/>
    <w:rsid w:val="00735DCA"/>
    <w:rsid w:val="007367C7"/>
    <w:rsid w:val="00736D73"/>
    <w:rsid w:val="0074065F"/>
    <w:rsid w:val="00740A54"/>
    <w:rsid w:val="00740C06"/>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759"/>
    <w:rsid w:val="00885F47"/>
    <w:rsid w:val="008865EB"/>
    <w:rsid w:val="00886A8E"/>
    <w:rsid w:val="0088757E"/>
    <w:rsid w:val="00887F23"/>
    <w:rsid w:val="00891978"/>
    <w:rsid w:val="00892C33"/>
    <w:rsid w:val="00895B89"/>
    <w:rsid w:val="008976F5"/>
    <w:rsid w:val="008A27CC"/>
    <w:rsid w:val="008A336D"/>
    <w:rsid w:val="008A52C9"/>
    <w:rsid w:val="008A565D"/>
    <w:rsid w:val="008A578A"/>
    <w:rsid w:val="008A5AEC"/>
    <w:rsid w:val="008A5F4C"/>
    <w:rsid w:val="008B021C"/>
    <w:rsid w:val="008B0B75"/>
    <w:rsid w:val="008B100F"/>
    <w:rsid w:val="008B1241"/>
    <w:rsid w:val="008B20B7"/>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421"/>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5DA"/>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955"/>
    <w:rsid w:val="00961F68"/>
    <w:rsid w:val="00962642"/>
    <w:rsid w:val="0096326E"/>
    <w:rsid w:val="00963884"/>
    <w:rsid w:val="00966258"/>
    <w:rsid w:val="00966FA8"/>
    <w:rsid w:val="00967D68"/>
    <w:rsid w:val="00967E87"/>
    <w:rsid w:val="00970130"/>
    <w:rsid w:val="009710F5"/>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3E9F"/>
    <w:rsid w:val="009C5DB1"/>
    <w:rsid w:val="009C7661"/>
    <w:rsid w:val="009C7FB9"/>
    <w:rsid w:val="009D1EB8"/>
    <w:rsid w:val="009D30FC"/>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1008"/>
    <w:rsid w:val="00A51D31"/>
    <w:rsid w:val="00A5324B"/>
    <w:rsid w:val="00A5341C"/>
    <w:rsid w:val="00A5416C"/>
    <w:rsid w:val="00A54F73"/>
    <w:rsid w:val="00A551AF"/>
    <w:rsid w:val="00A5537E"/>
    <w:rsid w:val="00A56CCF"/>
    <w:rsid w:val="00A5718F"/>
    <w:rsid w:val="00A577FD"/>
    <w:rsid w:val="00A61251"/>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69"/>
    <w:rsid w:val="00AB25AF"/>
    <w:rsid w:val="00AB2903"/>
    <w:rsid w:val="00AB3EB6"/>
    <w:rsid w:val="00AB5871"/>
    <w:rsid w:val="00AB5CA0"/>
    <w:rsid w:val="00AB617B"/>
    <w:rsid w:val="00AB658D"/>
    <w:rsid w:val="00AB7248"/>
    <w:rsid w:val="00AC12EF"/>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42E"/>
    <w:rsid w:val="00AF5AD8"/>
    <w:rsid w:val="00B00A29"/>
    <w:rsid w:val="00B03CC0"/>
    <w:rsid w:val="00B04E08"/>
    <w:rsid w:val="00B051BF"/>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46834"/>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876"/>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012"/>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C1577"/>
    <w:rsid w:val="00CC16FE"/>
    <w:rsid w:val="00CC1DC3"/>
    <w:rsid w:val="00CC329D"/>
    <w:rsid w:val="00CC3C30"/>
    <w:rsid w:val="00CC462A"/>
    <w:rsid w:val="00CC78B9"/>
    <w:rsid w:val="00CD1049"/>
    <w:rsid w:val="00CD17AB"/>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19E"/>
    <w:rsid w:val="00D9557E"/>
    <w:rsid w:val="00D96424"/>
    <w:rsid w:val="00D96489"/>
    <w:rsid w:val="00D97ADA"/>
    <w:rsid w:val="00DA066A"/>
    <w:rsid w:val="00DA0C54"/>
    <w:rsid w:val="00DA15B5"/>
    <w:rsid w:val="00DA1907"/>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79D"/>
    <w:rsid w:val="00DB4FA0"/>
    <w:rsid w:val="00DB4FFB"/>
    <w:rsid w:val="00DB5596"/>
    <w:rsid w:val="00DC1FC0"/>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6D5"/>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740"/>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0F6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1BCA"/>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C03"/>
    <w:rsid w:val="00FD1EF1"/>
    <w:rsid w:val="00FD239D"/>
    <w:rsid w:val="00FD26BC"/>
    <w:rsid w:val="00FD334C"/>
    <w:rsid w:val="00FD3583"/>
    <w:rsid w:val="00FD3D32"/>
    <w:rsid w:val="00FD4D96"/>
    <w:rsid w:val="00FD58D6"/>
    <w:rsid w:val="00FD5A4F"/>
    <w:rsid w:val="00FD6398"/>
    <w:rsid w:val="00FD6511"/>
    <w:rsid w:val="00FD7295"/>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4E0FBC"/>
    <w:rPr>
      <w:strike w:val="0"/>
      <w:dstrike w:val="0"/>
      <w:color w:val="10A39B"/>
      <w:u w:val="none"/>
      <w:effect w:val="none"/>
    </w:rPr>
  </w:style>
  <w:style w:type="character" w:styleId="nfasis">
    <w:name w:val="Emphasis"/>
    <w:uiPriority w:val="20"/>
    <w:qFormat/>
    <w:rsid w:val="004E0FBC"/>
    <w:rPr>
      <w:i/>
      <w:iCs/>
    </w:rPr>
  </w:style>
  <w:style w:type="paragraph" w:customStyle="1" w:styleId="Default">
    <w:name w:val="Default"/>
    <w:rsid w:val="00AC12EF"/>
    <w:pPr>
      <w:autoSpaceDE w:val="0"/>
      <w:autoSpaceDN w:val="0"/>
      <w:adjustRightInd w:val="0"/>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4E0FBC"/>
    <w:rPr>
      <w:strike w:val="0"/>
      <w:dstrike w:val="0"/>
      <w:color w:val="10A39B"/>
      <w:u w:val="none"/>
      <w:effect w:val="none"/>
    </w:rPr>
  </w:style>
  <w:style w:type="character" w:styleId="nfasis">
    <w:name w:val="Emphasis"/>
    <w:uiPriority w:val="20"/>
    <w:qFormat/>
    <w:rsid w:val="004E0FBC"/>
    <w:rPr>
      <w:i/>
      <w:iCs/>
    </w:rPr>
  </w:style>
  <w:style w:type="paragraph" w:customStyle="1" w:styleId="Default">
    <w:name w:val="Default"/>
    <w:rsid w:val="00AC12EF"/>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2065</Words>
  <Characters>10871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Aranaz, Carlota</cp:lastModifiedBy>
  <cp:revision>8</cp:revision>
  <cp:lastPrinted>2021-05-13T08:48:00Z</cp:lastPrinted>
  <dcterms:created xsi:type="dcterms:W3CDTF">2021-05-13T09:03:00Z</dcterms:created>
  <dcterms:modified xsi:type="dcterms:W3CDTF">2021-05-20T10:49:00Z</dcterms:modified>
</cp:coreProperties>
</file>