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08" w:rsidRDefault="00975A08">
      <w:pPr>
        <w:pStyle w:val="DICTA-TEXTO"/>
      </w:pPr>
      <w:bookmarkStart w:id="0" w:name="_GoBack"/>
      <w:bookmarkEnd w:id="0"/>
    </w:p>
    <w:p w:rsidR="00975A08" w:rsidRDefault="00975A08">
      <w:pPr>
        <w:pStyle w:val="DICTA-TEXTO"/>
        <w:sectPr w:rsidR="00975A08">
          <w:headerReference w:type="first" r:id="rId7"/>
          <w:pgSz w:w="11907" w:h="16840" w:code="9"/>
          <w:pgMar w:top="2268" w:right="1418" w:bottom="1418" w:left="2268" w:header="1134" w:footer="1134" w:gutter="0"/>
          <w:paperSrc w:first="1" w:other="1"/>
          <w:cols w:space="720"/>
          <w:titlePg/>
          <w:docGrid w:linePitch="354"/>
        </w:sectPr>
      </w:pPr>
    </w:p>
    <w:p w:rsidR="004463DB" w:rsidRPr="004463DB" w:rsidRDefault="004463DB" w:rsidP="004463DB">
      <w:pPr>
        <w:pStyle w:val="DICTA-TITULO"/>
        <w:rPr>
          <w:rFonts w:ascii="Helvetica LT Std" w:eastAsia="Helvetica LT Std" w:hAnsi="Helvetica LT Std" w:cs="Helvetica LT Std"/>
          <w:sz w:val="19"/>
          <w:lang w:bidi="es-ES"/>
        </w:rPr>
      </w:pPr>
      <w:r w:rsidRPr="004463DB">
        <w:rPr>
          <w:lang w:eastAsia="en-US" w:bidi="en-US"/>
        </w:rPr>
        <w:lastRenderedPageBreak/>
        <w:t>Ley Foral de concesión de suplemento de crédito para la ejecución de los recursos REACT UE asignados al Programa Operativo FEDER de Navarra 2014-2020 y de la Asistencia Técnica de Fondos REACT para 2021</w:t>
      </w:r>
    </w:p>
    <w:p w:rsidR="004463DB" w:rsidRPr="004463DB" w:rsidRDefault="00DF5A60" w:rsidP="004463DB">
      <w:pPr>
        <w:pStyle w:val="DICTA-DISPO"/>
        <w:rPr>
          <w:rFonts w:eastAsia="Helvetica LT Std"/>
          <w:lang w:bidi="es-ES"/>
        </w:rPr>
      </w:pPr>
      <w:r>
        <w:rPr>
          <w:lang w:val="es-ES_tradnl"/>
        </w:rPr>
        <w:t>PREÁMBULO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Los Fondos REACT UE asignados a Navarra conllevan la reprogramación de los Programas Operativos de FEDER y de FSE 2014-2020.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La reprogramación del Programa Operativo FEDER 2014-2020 se aprobó en reunión del Comité de Seguimiento de dicho Programa celebrada el pasado 10 de mayo.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Además, varias unidades del Gobierno de Navarra han manifestado la necesidad de incrementar ciertos recursos, tanto de personal como de gasto corriente y de inversión, para la correcta ejecución del gasto que conllevan los Fondos REACT UE.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Con el fin de comenzar la ejecución de los proyectos que conforman esta reprogramación, y la dotación de los recursos adicionales de asistencia técnica, se hace necesaria la aprobación de un suplemento de crédito, en el presupuesto de 2021.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Las citadas actuaciones no cuentan con financiación en las Direcciones Generales competentes para poder acometerlas.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El artículo 48, punto 1 de la Ley Foral 13/2007, de 4 de abril, de la Hacienda Pública de Navarra, establece que, cuando haya de realizarse con cargo al Presupuesto vigente algún gasto que no pueda demorarse hasta el ejercicio siguiente y el crédito consignado sea insuficiente y no pueda incrementarse conforme a las disposiciones contenidas en esta ley foral, el Gobierno de Navarra, a propuesta del Consejero de Economía y Hacienda, remitirá al Parlamento de Navarra un proyecto de Ley Foral de suplemento de crédito.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lastRenderedPageBreak/>
        <w:t>El punto 2 de dicho artículo establece que la financiación del suplemento de crédito podrá realizarse con cargo al remanente de tesorería para gastos generales cuando sea positivo.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Las actuaciones de los Proyectos REACT UE van a ser cofinanciadas por los fondos FEDER y FSE al 100 %, si bien dicha cofinanciación será una vez ejecutado y certificado el gasto.</w:t>
      </w:r>
    </w:p>
    <w:p w:rsidR="004463DB" w:rsidRPr="004463DB" w:rsidRDefault="004463DB" w:rsidP="004463DB">
      <w:pPr>
        <w:pStyle w:val="DICTA-TEXTO"/>
        <w:rPr>
          <w:rFonts w:eastAsia="Helvetica LT Std"/>
          <w:spacing w:val="-2"/>
          <w:lang w:bidi="es-ES"/>
        </w:rPr>
      </w:pPr>
      <w:r w:rsidRPr="004463DB">
        <w:rPr>
          <w:rFonts w:eastAsia="Helvetica LT Std"/>
          <w:b/>
          <w:spacing w:val="-2"/>
          <w:lang w:bidi="es-ES"/>
        </w:rPr>
        <w:t>Artículo 1.</w:t>
      </w:r>
      <w:r w:rsidRPr="004463DB">
        <w:rPr>
          <w:rFonts w:eastAsia="Helvetica LT Std"/>
          <w:spacing w:val="-2"/>
          <w:lang w:bidi="es-ES"/>
        </w:rPr>
        <w:t xml:space="preserve"> Concesión de suplemento de crédito.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Se concede un suplemento de crédito por importe de 2.794.504 euros en el ejercicio 2021 para la ejecución de los recursos REACT UE asignados al Programa Operativo FEDER de Navarra 2014-2020 y de la Asistencia Técnica de Fondos REACT UE.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Este suplemento de crédito se aplicará a las siguientes partidas presupuestarias y por las cantidades siguientes: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6"/>
        <w:gridCol w:w="1553"/>
        <w:gridCol w:w="6"/>
      </w:tblGrid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  <w:t>CÓDIGOS PARTIDA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both"/>
              <w:textAlignment w:val="baseline"/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  <w:t>DENOMINACIÓN PARTIDA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  <w:t>IMPORTE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810003 81430 2276 146105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NAEX Digital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104.544,00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 xml:space="preserve">810007 81200 7400 458104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Transferencia a CEIN. Vivero de Lekaroz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100.000,00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810007 81200 6094 458104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Encargo a NASUVINSA Indusland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100.000,00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810007 81200 2276 458102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Trabajos de planificación de infraestructuras industriales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450.000,00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330000 33100 6020 921100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(E) Plan Reactivar Actuaciones de adecuación entorno del Palacio de Arce y embalse Nagore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170.000,00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410001 41800 6020 325111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Proyecto de accesibilidad en varios centros educativos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50.000,00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410001 41800 6020 325110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Proyecto de ventilación automática 5 centros educativos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65.000,00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 xml:space="preserve">740001 74100 6092 452103 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Defensa frente avenidas en Falces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70.000,00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G20001 G2100 7819 467307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Automoción y mecatrónica: inversión para NAVEAC Drive-LAB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888.750,00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G20001 G2100 4819 467311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Energías renovables: laboratorio y desarrollo de biocombustibles avanzados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165.000,00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G20001 G2100 7819 467306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Energías renovables: inversión para laboratorio y desarrollo de biocombustibles avanzados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505.000,00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810003 81410 2020 146100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Alquiler oficinas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5.000,00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810003 81410 2020 146102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Alquiler oficinas PO FSE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2.500,00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810003 81410 6060 145100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Equipos informáticos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8.666,67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810003 81410 6060 145102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Equipos informáticos PO FSE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4.333,33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lastRenderedPageBreak/>
              <w:t>810003 81410 6050 145100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Mobiliario y equipamiento de edificios y obras PO FEDER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20.000,00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810003 81410 6050 145102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Mobiliario y equipamiento de edificios y obras PO FSE 14-20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10.000,00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810003 81410 1220 146100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Retribuciones personal contratado temporal Organismo Intermedio PO FEDER 14-20  PO FSE 14-20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37.190,00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110001 11400 1220 931200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Retribuciones personal contratado temporal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16.370,00</w:t>
            </w:r>
          </w:p>
        </w:tc>
      </w:tr>
      <w:tr w:rsidR="004463DB" w:rsidRPr="00DF5EF0" w:rsidTr="006466DC">
        <w:trPr>
          <w:gridAfter w:val="1"/>
          <w:wAfter w:w="6" w:type="dxa"/>
          <w:trHeight w:val="454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113001 12200 1220 931400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jc w:val="both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REACT Retribuciones personal contratado temporal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color w:val="010000"/>
                <w:sz w:val="16"/>
                <w:szCs w:val="16"/>
                <w:lang w:val="es-ES_tradnl" w:eastAsia="en-US" w:bidi="en-US"/>
              </w:rPr>
              <w:t>22.150,00</w:t>
            </w:r>
          </w:p>
        </w:tc>
      </w:tr>
      <w:tr w:rsidR="004463DB" w:rsidRPr="00DF5EF0" w:rsidTr="006466DC">
        <w:trPr>
          <w:trHeight w:val="454"/>
        </w:trPr>
        <w:tc>
          <w:tcPr>
            <w:tcW w:w="7202" w:type="dxa"/>
            <w:gridSpan w:val="3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both"/>
              <w:textAlignment w:val="baseline"/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  <w:t>TOTAL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4463DB" w:rsidRPr="00DF5EF0" w:rsidRDefault="004463DB" w:rsidP="00DF5EF0">
            <w:pPr>
              <w:keepLines/>
              <w:spacing w:line="230" w:lineRule="exact"/>
              <w:ind w:firstLine="283"/>
              <w:jc w:val="right"/>
              <w:textAlignment w:val="baseline"/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</w:pPr>
            <w:r w:rsidRPr="00DF5EF0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s-ES_tradnl" w:eastAsia="en-US" w:bidi="en-US"/>
              </w:rPr>
              <w:t>2.794.504,00</w:t>
            </w:r>
          </w:p>
        </w:tc>
      </w:tr>
    </w:tbl>
    <w:p w:rsidR="004463DB" w:rsidRPr="004463DB" w:rsidRDefault="004463DB" w:rsidP="004463DB">
      <w:pPr>
        <w:keepLines/>
        <w:spacing w:after="113" w:line="230" w:lineRule="exact"/>
        <w:ind w:firstLine="283"/>
        <w:jc w:val="both"/>
        <w:textAlignment w:val="baseline"/>
        <w:rPr>
          <w:color w:val="010000"/>
          <w:sz w:val="20"/>
          <w:szCs w:val="20"/>
          <w:lang w:eastAsia="en-US" w:bidi="en-US"/>
        </w:rPr>
      </w:pP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b/>
          <w:lang w:bidi="es-ES"/>
        </w:rPr>
        <w:t xml:space="preserve">Artículo 2. </w:t>
      </w:r>
      <w:r w:rsidRPr="004463DB">
        <w:rPr>
          <w:rFonts w:eastAsia="Helvetica LT Std"/>
          <w:lang w:bidi="es-ES"/>
        </w:rPr>
        <w:t>Financiación del suplemento de crédito.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 xml:space="preserve">La financiación de este suplemento de crédito y por el citado importe de 2.794.504 euros se realizará con cargo a la partida 113002 12100 8700 000002 “Remanente de tesorería gastos generales” del presupuesto de ingresos de 2021. 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b/>
          <w:lang w:bidi="es-ES"/>
        </w:rPr>
        <w:t>Disposición final única.</w:t>
      </w:r>
      <w:r w:rsidRPr="004463DB">
        <w:rPr>
          <w:rFonts w:eastAsia="Helvetica LT Std"/>
          <w:lang w:bidi="es-ES"/>
        </w:rPr>
        <w:t xml:space="preserve"> Entrada en vigor.</w:t>
      </w:r>
    </w:p>
    <w:p w:rsidR="004463DB" w:rsidRPr="004463DB" w:rsidRDefault="004463DB" w:rsidP="004463DB">
      <w:pPr>
        <w:pStyle w:val="DICTA-TEXTO"/>
        <w:rPr>
          <w:rFonts w:eastAsia="Helvetica LT Std"/>
          <w:lang w:bidi="es-ES"/>
        </w:rPr>
      </w:pPr>
      <w:r w:rsidRPr="004463DB">
        <w:rPr>
          <w:rFonts w:eastAsia="Helvetica LT Std"/>
          <w:lang w:bidi="es-ES"/>
        </w:rPr>
        <w:t>La presente ley foral entrará en vigor el día siguiente al de su publicación en el Boletín Oficial de Navarra.</w:t>
      </w:r>
    </w:p>
    <w:p w:rsidR="00AC511A" w:rsidRDefault="00AC511A" w:rsidP="003C6CA6">
      <w:pPr>
        <w:pStyle w:val="DICTA-TEXTO"/>
      </w:pPr>
    </w:p>
    <w:sectPr w:rsidR="00AC511A" w:rsidSect="00380187">
      <w:headerReference w:type="default" r:id="rId8"/>
      <w:type w:val="continuous"/>
      <w:pgSz w:w="11907" w:h="16840" w:code="9"/>
      <w:pgMar w:top="2268" w:right="1418" w:bottom="1135" w:left="2268" w:header="1134" w:footer="1134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FD" w:rsidRDefault="00A70BFD">
      <w:r>
        <w:separator/>
      </w:r>
    </w:p>
  </w:endnote>
  <w:endnote w:type="continuationSeparator" w:id="0">
    <w:p w:rsidR="00A70BFD" w:rsidRDefault="00A7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FD" w:rsidRDefault="00A70BFD">
      <w:r>
        <w:separator/>
      </w:r>
    </w:p>
  </w:footnote>
  <w:footnote w:type="continuationSeparator" w:id="0">
    <w:p w:rsidR="00A70BFD" w:rsidRDefault="00A7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08" w:rsidRDefault="00EC57C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-936625</wp:posOffset>
          </wp:positionH>
          <wp:positionV relativeFrom="paragraph">
            <wp:posOffset>-323850</wp:posOffset>
          </wp:positionV>
          <wp:extent cx="1579880" cy="1223645"/>
          <wp:effectExtent l="0" t="0" r="1270" b="0"/>
          <wp:wrapNone/>
          <wp:docPr id="2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A08">
      <w:rPr>
        <w:rStyle w:val="Nmerodepgina"/>
      </w:rPr>
      <w:fldChar w:fldCharType="begin"/>
    </w:r>
    <w:r w:rsidR="00975A08">
      <w:rPr>
        <w:rStyle w:val="Nmerodepgina"/>
      </w:rPr>
      <w:instrText xml:space="preserve"> PAGE </w:instrText>
    </w:r>
    <w:r w:rsidR="00975A08">
      <w:rPr>
        <w:rStyle w:val="Nmerodepgina"/>
      </w:rPr>
      <w:fldChar w:fldCharType="separate"/>
    </w:r>
    <w:r>
      <w:rPr>
        <w:rStyle w:val="Nmerodepgina"/>
        <w:noProof/>
      </w:rPr>
      <w:t>1</w:t>
    </w:r>
    <w:r w:rsidR="00975A08">
      <w:rPr>
        <w:rStyle w:val="Nmerodepgina"/>
      </w:rPr>
      <w:fldChar w:fldCharType="end"/>
    </w:r>
    <w:r w:rsidR="00975A08">
      <w:rPr>
        <w:rStyle w:val="Nmerodepgina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08" w:rsidRDefault="00975A08">
    <w:pPr>
      <w:pStyle w:val="Encabezado"/>
      <w:jc w:val="right"/>
      <w:rPr>
        <w:rFonts w:ascii="Arial" w:hAnsi="Arial" w:cs="Arial"/>
        <w:sz w:val="22"/>
      </w:rPr>
    </w:pPr>
    <w:r>
      <w:rPr>
        <w:rStyle w:val="Nmerodepgina"/>
        <w:rFonts w:ascii="Arial" w:hAnsi="Arial" w:cs="Arial"/>
        <w:sz w:val="22"/>
      </w:rPr>
      <w:fldChar w:fldCharType="begin"/>
    </w:r>
    <w:r>
      <w:rPr>
        <w:rStyle w:val="Nmerodepgina"/>
        <w:rFonts w:ascii="Arial" w:hAnsi="Arial" w:cs="Arial"/>
        <w:sz w:val="22"/>
      </w:rPr>
      <w:instrText xml:space="preserve"> PAGE </w:instrText>
    </w:r>
    <w:r>
      <w:rPr>
        <w:rStyle w:val="Nmerodepgina"/>
        <w:rFonts w:ascii="Arial" w:hAnsi="Arial" w:cs="Arial"/>
        <w:sz w:val="22"/>
      </w:rPr>
      <w:fldChar w:fldCharType="separate"/>
    </w:r>
    <w:r w:rsidR="00EC57C9">
      <w:rPr>
        <w:rStyle w:val="Nmerodepgina"/>
        <w:rFonts w:ascii="Arial" w:hAnsi="Arial" w:cs="Arial"/>
        <w:noProof/>
        <w:sz w:val="22"/>
      </w:rPr>
      <w:t>2</w:t>
    </w:r>
    <w:r>
      <w:rPr>
        <w:rStyle w:val="Nmerodepgina"/>
        <w:rFonts w:ascii="Arial" w:hAnsi="Arial" w:cs="Arial"/>
        <w:sz w:val="22"/>
      </w:rPr>
      <w:fldChar w:fldCharType="end"/>
    </w:r>
    <w:r>
      <w:rPr>
        <w:rStyle w:val="Nmerodepgina"/>
        <w:rFonts w:ascii="Arial" w:hAnsi="Arial" w:cs="Arial"/>
        <w:sz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FD"/>
    <w:rsid w:val="00113242"/>
    <w:rsid w:val="001A5B9F"/>
    <w:rsid w:val="001D5B6E"/>
    <w:rsid w:val="003401B5"/>
    <w:rsid w:val="003626C1"/>
    <w:rsid w:val="00380187"/>
    <w:rsid w:val="003C6CA6"/>
    <w:rsid w:val="0043631B"/>
    <w:rsid w:val="004463DB"/>
    <w:rsid w:val="00772BA5"/>
    <w:rsid w:val="00840741"/>
    <w:rsid w:val="00975A08"/>
    <w:rsid w:val="00A70BFD"/>
    <w:rsid w:val="00AC511A"/>
    <w:rsid w:val="00DF5A60"/>
    <w:rsid w:val="00DF5EF0"/>
    <w:rsid w:val="00E32F61"/>
    <w:rsid w:val="00EC57C9"/>
    <w:rsid w:val="00E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  <w:lang w:val="es-ES_tradnl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val="es-ES_tradnl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  <w:style w:type="paragraph" w:customStyle="1" w:styleId="Acuerdos">
    <w:name w:val="Acuerdos"/>
    <w:basedOn w:val="Normal"/>
    <w:rsid w:val="00AC511A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  <w:lang w:val="es-ES_tradnl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val="es-ES_tradnl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  <w:style w:type="paragraph" w:customStyle="1" w:styleId="Acuerdos">
    <w:name w:val="Acuerdos"/>
    <w:basedOn w:val="Normal"/>
    <w:rsid w:val="00AC511A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Mesa de la      en virtud de lo establecido en el artículo 136</vt:lpstr>
    </vt:vector>
  </TitlesOfParts>
  <Company>Hewlett-Packard Company</Company>
  <LinksUpToDate>false</LinksUpToDate>
  <CharactersWithSpaces>4893</CharactersWithSpaces>
  <SharedDoc>false</SharedDoc>
  <HLinks>
    <vt:vector size="6" baseType="variant">
      <vt:variant>
        <vt:i4>4718613</vt:i4>
      </vt:variant>
      <vt:variant>
        <vt:i4>-1</vt:i4>
      </vt:variant>
      <vt:variant>
        <vt:i4>2050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Mesa de la      en virtud de lo establecido en el artículo 136</dc:title>
  <dc:creator>Eduardo</dc:creator>
  <cp:lastModifiedBy>Aranaz, Carlota</cp:lastModifiedBy>
  <cp:revision>2</cp:revision>
  <dcterms:created xsi:type="dcterms:W3CDTF">2021-06-22T08:16:00Z</dcterms:created>
  <dcterms:modified xsi:type="dcterms:W3CDTF">2021-06-22T08:16:00Z</dcterms:modified>
</cp:coreProperties>
</file>