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María Isabel García Malo sobre el acuerdo con ayuntamientos y mancomunidades del proyecto 14 DDSS, REACT EU Navarra “Programas integrados de formación y empleo (PIFE) para colectivos vulnerables”, publicada en el Boletín Oficial del Parlamento de Navarra núm. 67 de 21 de mayo de 2021.</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Maribel García Malo, adscrita al Grupo Parlamentario Navarra Suma, sobre la gestión de la medida de los fondos REACT EU Navarra “Programas integrados de formación y empleo (PIFE) para colectivos vulnerables” (10-21/PES-00196), tiene el honor de informarle lo siguiente:</w:t>
      </w:r>
    </w:p>
    <w:p>
      <w:pPr>
        <w:pStyle w:val="0"/>
        <w:suppressAutoHyphens w:val="false"/>
        <w:rPr>
          <w:rStyle w:val="1"/>
        </w:rPr>
      </w:pPr>
      <w:r>
        <w:rPr>
          <w:rStyle w:val="1"/>
        </w:rPr>
        <w:t xml:space="preserve">Una vez se determinen las condiciones de ejecución de estos fondos, así como los requisitos técnicos y económicos exigibles para la elegibilidad del gasto y su justificación, se adoptarán las decisiones correspondientes por el Servicio Navarro de Empleo- Nafar Lansare para la ejecución de esta medida.</w:t>
      </w:r>
    </w:p>
    <w:p>
      <w:pPr>
        <w:pStyle w:val="0"/>
        <w:keepLines w:val="false"/>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Pamplona-Iruña, 7 de junio de 2021</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