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D6" w:rsidRDefault="00E83FD6" w:rsidP="00E83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Consejera de Derechos Sociales del Gobierno</w:t>
      </w:r>
      <w:r w:rsidR="0014677B">
        <w:rPr>
          <w:rFonts w:ascii="Arial" w:hAnsi="Arial" w:cs="Arial"/>
          <w:color w:val="000000"/>
        </w:rPr>
        <w:t xml:space="preserve"> de Navarra, en relación con la </w:t>
      </w:r>
      <w:r>
        <w:rPr>
          <w:rFonts w:ascii="Arial" w:hAnsi="Arial" w:cs="Arial"/>
          <w:color w:val="000000"/>
        </w:rPr>
        <w:t>pregunta formulada por la parlamentaria doña Marta Ál</w:t>
      </w:r>
      <w:r w:rsidR="0014677B">
        <w:rPr>
          <w:rFonts w:ascii="Arial" w:hAnsi="Arial" w:cs="Arial"/>
          <w:color w:val="000000"/>
        </w:rPr>
        <w:t xml:space="preserve">varez Alonso, adscrita al Grupo </w:t>
      </w:r>
      <w:r>
        <w:rPr>
          <w:rFonts w:ascii="Arial" w:hAnsi="Arial" w:cs="Arial"/>
          <w:color w:val="000000"/>
        </w:rPr>
        <w:t>Parlamentario Navarra Suma, sobre la cuantía de d</w:t>
      </w:r>
      <w:r w:rsidR="0014677B">
        <w:rPr>
          <w:rFonts w:ascii="Arial" w:hAnsi="Arial" w:cs="Arial"/>
          <w:color w:val="000000"/>
        </w:rPr>
        <w:t xml:space="preserve">inero que ha dejado de pagar el </w:t>
      </w:r>
      <w:r>
        <w:rPr>
          <w:rFonts w:ascii="Arial" w:hAnsi="Arial" w:cs="Arial"/>
          <w:color w:val="000000"/>
        </w:rPr>
        <w:t>Gobierno de Navarra desde la puesta en marcha d</w:t>
      </w:r>
      <w:r w:rsidR="0014677B">
        <w:rPr>
          <w:rFonts w:ascii="Arial" w:hAnsi="Arial" w:cs="Arial"/>
          <w:color w:val="000000"/>
        </w:rPr>
        <w:t xml:space="preserve">el IMV como consecuencia de que </w:t>
      </w:r>
      <w:r>
        <w:rPr>
          <w:rFonts w:ascii="Arial" w:hAnsi="Arial" w:cs="Arial"/>
          <w:color w:val="000000"/>
        </w:rPr>
        <w:t>parte de la cuantía que correspondería a Renta Garan</w:t>
      </w:r>
      <w:r w:rsidR="0014677B">
        <w:rPr>
          <w:rFonts w:ascii="Arial" w:hAnsi="Arial" w:cs="Arial"/>
          <w:color w:val="000000"/>
        </w:rPr>
        <w:t xml:space="preserve">tizada es abonada por el Estado </w:t>
      </w:r>
      <w:r>
        <w:rPr>
          <w:rFonts w:ascii="Arial" w:hAnsi="Arial" w:cs="Arial"/>
          <w:color w:val="000000"/>
        </w:rPr>
        <w:t>(10-21/PES-00207), tiene el honor de informarle lo siguiente:</w:t>
      </w:r>
    </w:p>
    <w:p w:rsidR="00E83FD6" w:rsidRDefault="00E83FD6" w:rsidP="00E83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Las cuantías que se estima que el Gobierno de Nav</w:t>
      </w:r>
      <w:r w:rsidR="0014677B">
        <w:rPr>
          <w:rFonts w:ascii="Arial" w:hAnsi="Arial" w:cs="Arial"/>
          <w:color w:val="000000"/>
        </w:rPr>
        <w:t xml:space="preserve">arra no está destinando a Renta </w:t>
      </w:r>
      <w:r>
        <w:rPr>
          <w:rFonts w:ascii="Arial" w:hAnsi="Arial" w:cs="Arial"/>
          <w:color w:val="000000"/>
        </w:rPr>
        <w:t>Garantizada como consecuencia de la implantación de</w:t>
      </w:r>
      <w:r w:rsidR="0014677B">
        <w:rPr>
          <w:rFonts w:ascii="Arial" w:hAnsi="Arial" w:cs="Arial"/>
          <w:color w:val="000000"/>
        </w:rPr>
        <w:t xml:space="preserve">l Ingreso Mínimo Vital, son las </w:t>
      </w:r>
      <w:r>
        <w:rPr>
          <w:rFonts w:ascii="Arial" w:hAnsi="Arial" w:cs="Arial"/>
          <w:color w:val="000000"/>
        </w:rPr>
        <w:t>siguientes:</w:t>
      </w:r>
    </w:p>
    <w:p w:rsidR="007706EF" w:rsidRDefault="007706EF" w:rsidP="00E83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Normal"/>
        <w:tblW w:w="0" w:type="auto"/>
        <w:tblInd w:w="997" w:type="dxa"/>
        <w:tblLayout w:type="fixed"/>
        <w:tblLook w:val="01E0" w:firstRow="1" w:lastRow="1" w:firstColumn="1" w:lastColumn="1" w:noHBand="0" w:noVBand="0"/>
      </w:tblPr>
      <w:tblGrid>
        <w:gridCol w:w="1320"/>
        <w:gridCol w:w="2220"/>
        <w:gridCol w:w="2313"/>
      </w:tblGrid>
      <w:tr w:rsidR="007706EF" w:rsidTr="005B472B">
        <w:trPr>
          <w:trHeight w:hRule="exact" w:val="286"/>
        </w:trPr>
        <w:tc>
          <w:tcPr>
            <w:tcW w:w="1320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  <w:shd w:val="clear" w:color="auto" w:fill="5B9BD5"/>
          </w:tcPr>
          <w:p w:rsidR="007706EF" w:rsidRDefault="007706EF" w:rsidP="005B472B">
            <w:pPr>
              <w:pStyle w:val="TableParagraph"/>
              <w:spacing w:before="18"/>
              <w:ind w:left="57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Año</w:t>
            </w:r>
            <w:proofErr w:type="spellEnd"/>
          </w:p>
        </w:tc>
        <w:tc>
          <w:tcPr>
            <w:tcW w:w="2220" w:type="dxa"/>
            <w:tcBorders>
              <w:top w:val="single" w:sz="5" w:space="0" w:color="5B9BD5"/>
              <w:left w:val="nil"/>
              <w:bottom w:val="single" w:sz="5" w:space="0" w:color="5B9BD5"/>
              <w:right w:val="nil"/>
            </w:tcBorders>
            <w:shd w:val="clear" w:color="auto" w:fill="5B9BD5"/>
          </w:tcPr>
          <w:p w:rsidR="007706EF" w:rsidRDefault="007706EF" w:rsidP="005B472B">
            <w:pPr>
              <w:pStyle w:val="TableParagraph"/>
              <w:spacing w:before="18"/>
              <w:ind w:lef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Mes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  <w:shd w:val="clear" w:color="auto" w:fill="5B9BD5"/>
          </w:tcPr>
          <w:p w:rsidR="007706EF" w:rsidRDefault="007706EF" w:rsidP="005B472B">
            <w:pPr>
              <w:pStyle w:val="TableParagraph"/>
              <w:spacing w:before="18"/>
              <w:ind w:lef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Cuantía</w:t>
            </w:r>
            <w:proofErr w:type="spellEnd"/>
          </w:p>
        </w:tc>
      </w:tr>
      <w:tr w:rsidR="007706EF" w:rsidTr="005B472B">
        <w:trPr>
          <w:trHeight w:hRule="exact" w:val="300"/>
        </w:trPr>
        <w:tc>
          <w:tcPr>
            <w:tcW w:w="1320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2020</w:t>
            </w:r>
          </w:p>
        </w:tc>
        <w:tc>
          <w:tcPr>
            <w:tcW w:w="2220" w:type="dxa"/>
            <w:tcBorders>
              <w:top w:val="single" w:sz="5" w:space="0" w:color="5B9BD5"/>
              <w:left w:val="nil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32"/>
              <w:ind w:left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Julio</w:t>
            </w:r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32"/>
              <w:ind w:left="1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748.140,31</w:t>
            </w:r>
          </w:p>
        </w:tc>
      </w:tr>
      <w:tr w:rsidR="007706EF" w:rsidTr="005B472B">
        <w:trPr>
          <w:trHeight w:hRule="exact" w:val="298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7"/>
              <w:ind w:left="4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Agosto</w:t>
            </w:r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7"/>
              <w:ind w:left="1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748.140,31</w:t>
            </w:r>
          </w:p>
        </w:tc>
      </w:tr>
      <w:tr w:rsidR="007706EF" w:rsidTr="005B472B">
        <w:trPr>
          <w:trHeight w:hRule="exact" w:val="295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5"/>
              <w:ind w:left="16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Septiembre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5"/>
              <w:ind w:left="1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748.140,31</w:t>
            </w:r>
          </w:p>
        </w:tc>
      </w:tr>
      <w:tr w:rsidR="007706EF" w:rsidTr="005B472B">
        <w:trPr>
          <w:trHeight w:hRule="exact" w:val="295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7"/>
              <w:ind w:left="16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Octubre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7"/>
              <w:ind w:left="1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748.140,31</w:t>
            </w:r>
          </w:p>
        </w:tc>
      </w:tr>
      <w:tr w:rsidR="007706EF" w:rsidTr="005B472B">
        <w:trPr>
          <w:trHeight w:hRule="exact" w:val="298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7"/>
              <w:ind w:left="16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Noviembre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7"/>
              <w:ind w:left="1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748.140,31</w:t>
            </w:r>
          </w:p>
        </w:tc>
      </w:tr>
      <w:tr w:rsidR="007706EF" w:rsidTr="005B472B">
        <w:trPr>
          <w:trHeight w:hRule="exact" w:val="295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5"/>
              <w:ind w:left="16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Diciembre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5"/>
              <w:ind w:left="1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748.140,31</w:t>
            </w:r>
          </w:p>
        </w:tc>
      </w:tr>
      <w:tr w:rsidR="007706EF" w:rsidTr="005B472B">
        <w:trPr>
          <w:trHeight w:hRule="exact" w:val="295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  <w:shd w:val="clear" w:color="auto" w:fill="DEEAF6"/>
          </w:tcPr>
          <w:p w:rsidR="007706EF" w:rsidRDefault="007706EF" w:rsidP="005B472B">
            <w:pPr>
              <w:pStyle w:val="TableParagraph"/>
              <w:spacing w:before="25"/>
              <w:ind w:left="2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Total</w:t>
            </w:r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  <w:shd w:val="clear" w:color="auto" w:fill="DEEAF6"/>
          </w:tcPr>
          <w:p w:rsidR="007706EF" w:rsidRDefault="007706EF" w:rsidP="005B472B">
            <w:pPr>
              <w:pStyle w:val="TableParagraph"/>
              <w:spacing w:before="25"/>
              <w:ind w:left="10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4.488.841,86</w:t>
            </w:r>
          </w:p>
        </w:tc>
      </w:tr>
      <w:tr w:rsidR="007706EF" w:rsidTr="005B472B">
        <w:trPr>
          <w:trHeight w:hRule="exact" w:val="298"/>
        </w:trPr>
        <w:tc>
          <w:tcPr>
            <w:tcW w:w="1320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2021</w:t>
            </w:r>
          </w:p>
        </w:tc>
        <w:tc>
          <w:tcPr>
            <w:tcW w:w="2220" w:type="dxa"/>
            <w:tcBorders>
              <w:top w:val="single" w:sz="5" w:space="0" w:color="5B9BD5"/>
              <w:left w:val="nil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7"/>
              <w:ind w:left="34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Enero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7"/>
              <w:ind w:left="1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748.140,31</w:t>
            </w:r>
          </w:p>
        </w:tc>
      </w:tr>
      <w:tr w:rsidR="007706EF" w:rsidTr="005B472B">
        <w:trPr>
          <w:trHeight w:hRule="exact" w:val="295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5"/>
              <w:ind w:left="16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Febrero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5"/>
              <w:ind w:left="12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756.246,42</w:t>
            </w:r>
          </w:p>
        </w:tc>
      </w:tr>
      <w:tr w:rsidR="007706EF" w:rsidTr="005B472B">
        <w:trPr>
          <w:trHeight w:hRule="exact" w:val="295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7"/>
              <w:ind w:left="3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Marzo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7"/>
              <w:ind w:left="10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1.115.722,79</w:t>
            </w:r>
          </w:p>
        </w:tc>
      </w:tr>
      <w:tr w:rsidR="007706EF" w:rsidTr="005B472B">
        <w:trPr>
          <w:trHeight w:hRule="exact" w:val="298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7"/>
              <w:ind w:left="1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Abril</w:t>
            </w:r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7"/>
              <w:ind w:left="10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1.509.391,38</w:t>
            </w:r>
          </w:p>
        </w:tc>
      </w:tr>
      <w:tr w:rsidR="007706EF" w:rsidTr="005B472B">
        <w:trPr>
          <w:trHeight w:hRule="exact" w:val="295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5"/>
              <w:ind w:left="2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Mayo</w:t>
            </w:r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5"/>
              <w:ind w:left="10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1.558.219,00</w:t>
            </w:r>
          </w:p>
        </w:tc>
      </w:tr>
      <w:tr w:rsidR="007706EF" w:rsidTr="005B472B">
        <w:trPr>
          <w:trHeight w:hRule="exact" w:val="296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</w:tcPr>
          <w:p w:rsidR="007706EF" w:rsidRDefault="007706EF" w:rsidP="005B472B">
            <w:pPr>
              <w:pStyle w:val="TableParagraph"/>
              <w:spacing w:before="27"/>
              <w:ind w:left="2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Arial"/>
                <w:spacing w:val="-1"/>
                <w:sz w:val="20"/>
              </w:rPr>
              <w:t>Junio</w:t>
            </w:r>
            <w:proofErr w:type="spellEnd"/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</w:tcPr>
          <w:p w:rsidR="007706EF" w:rsidRDefault="007706EF" w:rsidP="005B472B">
            <w:pPr>
              <w:pStyle w:val="TableParagraph"/>
              <w:spacing w:before="27"/>
              <w:ind w:left="10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1.920.239,23</w:t>
            </w:r>
          </w:p>
        </w:tc>
      </w:tr>
      <w:tr w:rsidR="007706EF" w:rsidTr="005B472B">
        <w:trPr>
          <w:trHeight w:hRule="exact" w:val="297"/>
        </w:trPr>
        <w:tc>
          <w:tcPr>
            <w:tcW w:w="3540" w:type="dxa"/>
            <w:gridSpan w:val="2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nil"/>
            </w:tcBorders>
            <w:shd w:val="clear" w:color="auto" w:fill="DEEAF6"/>
          </w:tcPr>
          <w:p w:rsidR="007706EF" w:rsidRDefault="007706EF" w:rsidP="005B472B">
            <w:pPr>
              <w:pStyle w:val="TableParagraph"/>
              <w:spacing w:before="24"/>
              <w:ind w:left="2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Total</w:t>
            </w:r>
          </w:p>
        </w:tc>
        <w:tc>
          <w:tcPr>
            <w:tcW w:w="2313" w:type="dxa"/>
            <w:tcBorders>
              <w:top w:val="single" w:sz="5" w:space="0" w:color="5B9BD5"/>
              <w:left w:val="nil"/>
              <w:bottom w:val="single" w:sz="5" w:space="0" w:color="5B9BD5"/>
              <w:right w:val="single" w:sz="5" w:space="0" w:color="5B9BD5"/>
            </w:tcBorders>
            <w:shd w:val="clear" w:color="auto" w:fill="DEEAF6"/>
          </w:tcPr>
          <w:p w:rsidR="007706EF" w:rsidRDefault="007706EF" w:rsidP="005B472B">
            <w:pPr>
              <w:pStyle w:val="TableParagraph"/>
              <w:spacing w:before="24"/>
              <w:ind w:left="10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7.607.959,13</w:t>
            </w:r>
          </w:p>
        </w:tc>
      </w:tr>
    </w:tbl>
    <w:p w:rsidR="00E83FD6" w:rsidRDefault="00E83FD6" w:rsidP="00E83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3FD6" w:rsidRDefault="00E83FD6" w:rsidP="00E83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>Año Mes Cuantía</w:t>
      </w:r>
    </w:p>
    <w:p w:rsidR="00E83FD6" w:rsidRDefault="00E83FD6" w:rsidP="00E83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obstante, estas cifras no pueden considerarse como un ahorro “neto”</w:t>
      </w:r>
      <w:r w:rsidR="0014677B">
        <w:rPr>
          <w:rFonts w:ascii="Arial" w:hAnsi="Arial" w:cs="Arial"/>
          <w:color w:val="000000"/>
        </w:rPr>
        <w:t xml:space="preserve">, pues </w:t>
      </w:r>
      <w:r>
        <w:rPr>
          <w:rFonts w:ascii="Arial" w:hAnsi="Arial" w:cs="Arial"/>
          <w:color w:val="000000"/>
        </w:rPr>
        <w:t xml:space="preserve">Navarra deberá contribuir, de conformidad con el </w:t>
      </w:r>
      <w:r w:rsidR="0014677B">
        <w:rPr>
          <w:rFonts w:ascii="Arial" w:hAnsi="Arial" w:cs="Arial"/>
          <w:color w:val="000000"/>
        </w:rPr>
        <w:t xml:space="preserve">Convenio Económico, en la parte </w:t>
      </w:r>
      <w:r>
        <w:rPr>
          <w:rFonts w:ascii="Arial" w:hAnsi="Arial" w:cs="Arial"/>
          <w:color w:val="000000"/>
        </w:rPr>
        <w:t xml:space="preserve">que le corresponda, a sufragar el coste total de </w:t>
      </w:r>
      <w:r w:rsidR="0014677B">
        <w:rPr>
          <w:rFonts w:ascii="Arial" w:hAnsi="Arial" w:cs="Arial"/>
          <w:color w:val="000000"/>
        </w:rPr>
        <w:t xml:space="preserve">la prestación en el conjunto de </w:t>
      </w:r>
      <w:r>
        <w:rPr>
          <w:rFonts w:ascii="Arial" w:hAnsi="Arial" w:cs="Arial"/>
          <w:color w:val="000000"/>
        </w:rPr>
        <w:t>España.</w:t>
      </w:r>
    </w:p>
    <w:p w:rsidR="00E83FD6" w:rsidRDefault="00E83FD6" w:rsidP="00E83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 cuanto tengo el honor de informar en cumplimiento del artículo 1</w:t>
      </w:r>
      <w:r w:rsidR="0014677B">
        <w:rPr>
          <w:rFonts w:ascii="Arial" w:hAnsi="Arial" w:cs="Arial"/>
          <w:color w:val="000000"/>
        </w:rPr>
        <w:t xml:space="preserve">94 del </w:t>
      </w:r>
      <w:r>
        <w:rPr>
          <w:rFonts w:ascii="Arial" w:hAnsi="Arial" w:cs="Arial"/>
          <w:color w:val="000000"/>
        </w:rPr>
        <w:t>Reglamento del Parlamento de Navarra.</w:t>
      </w:r>
    </w:p>
    <w:p w:rsidR="00E83FD6" w:rsidRDefault="00E83FD6" w:rsidP="00E83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Pamplona-Iruña, 2 de julio de 2021.</w:t>
      </w:r>
    </w:p>
    <w:p w:rsidR="00AC63B5" w:rsidRPr="0014677B" w:rsidRDefault="00E83FD6" w:rsidP="00146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</w:t>
      </w:r>
      <w:r w:rsidR="0014677B">
        <w:rPr>
          <w:rFonts w:ascii="Arial" w:hAnsi="Arial" w:cs="Arial"/>
          <w:color w:val="000000"/>
        </w:rPr>
        <w:t xml:space="preserve"> Consejera de Derechos Sociales: </w:t>
      </w:r>
      <w:r>
        <w:rPr>
          <w:rFonts w:ascii="Arial" w:hAnsi="Arial" w:cs="Arial"/>
          <w:color w:val="000000"/>
        </w:rPr>
        <w:t>María Carmen Maeztu Villafranca</w:t>
      </w:r>
    </w:p>
    <w:sectPr w:rsidR="00AC63B5" w:rsidRPr="00146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D6"/>
    <w:rsid w:val="0014677B"/>
    <w:rsid w:val="004B199E"/>
    <w:rsid w:val="007706EF"/>
    <w:rsid w:val="00AC63B5"/>
    <w:rsid w:val="00E51E19"/>
    <w:rsid w:val="00E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06EF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06EF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5</cp:revision>
  <dcterms:created xsi:type="dcterms:W3CDTF">2021-07-21T08:01:00Z</dcterms:created>
  <dcterms:modified xsi:type="dcterms:W3CDTF">2021-08-25T07:23:00Z</dcterms:modified>
</cp:coreProperties>
</file>