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eliminación de las Cartas de Capitalidad,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portavoz del Grupo Parlamentario de Navarra Suma (NA+), al amparo de lo establecido en el Reglamento de la Cámara, realiza la siguiente pregunta oral de máxima actualidad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razón por la que su Gobierno elimina las Cartas de Capitalidad, castigando a Pamplona e incumpliendo su promesa con Tudela de que la tendría esta misma Legislatura?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noviembre de 2021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