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30 de noviembre de 2021, la Junta de Portavoces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Visto el escrito presentado por el Ilmo. Sr. D. Adolfo Araiz Flamarique interponiendo recurso contra la inadmisión de tres enmiendas presentadas al proyecto de Ley Foral de Cambio Climático y Transición Energética,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Estimar el recurso presentado por el Ilmo. Sr. D. Adolfo Araiz Flamarique contra la inadmisión de tres enmiendas presentadas al Proyecto de Ley Foral de Cambio Climático y Transición Energética 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Admitir a trámite las enmiendas 5801-17, 5801-18 y 5801-53 y calificarlas como 39 bis, 46 bis y 147 bis, respectivamente.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Ordenar la publicación de este Acuerdo y de las mencionadas enmiendas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30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Presidente: Unai Hualde Iglesias</w:t>
      </w:r>
    </w:p>
    <w:p>
      <w:pPr>
        <w:pStyle w:val="2"/>
        <w:suppressAutoHyphens w:val="false"/>
        <w:rPr/>
      </w:pPr>
      <w:r>
        <w:rPr/>
        <w:t xml:space="preserve">Enmienda núm. 39 bis</w:t>
      </w:r>
    </w:p>
    <w:p>
      <w:pPr>
        <w:pStyle w:val="3"/>
        <w:suppressAutoHyphens w:val="false"/>
        <w:rPr/>
      </w:pPr>
      <w:r>
        <w:rPr/>
        <w:t xml:space="preserve">Formulada por el</w:t>
      </w:r>
    </w:p>
    <w:p>
      <w:pPr>
        <w:pStyle w:val="4"/>
        <w:suppressAutoHyphens w:val="false"/>
        <w:rPr/>
      </w:pPr>
      <w:r>
        <w:rPr/>
        <w:t xml:space="preserve">G.P. EH Bildu Nafarroa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Enmienda de modificación del artículo 12. Se suprime el apartado 7.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Motivación: En coherencia con otras enmiendas presentadas por nuestro Grupo Parlamentario.</w:t>
      </w:r>
    </w:p>
    <w:p>
      <w:pPr>
        <w:pStyle w:val="2"/>
        <w:suppressAutoHyphens w:val="false"/>
        <w:rPr/>
      </w:pPr>
      <w:r>
        <w:rPr/>
        <w:t xml:space="preserve">Enmienda núm. 46 bis</w:t>
      </w:r>
    </w:p>
    <w:p>
      <w:pPr>
        <w:pStyle w:val="3"/>
        <w:suppressAutoHyphens w:val="false"/>
        <w:rPr/>
      </w:pPr>
      <w:r>
        <w:rPr/>
        <w:t xml:space="preserve">Formulada por el</w:t>
      </w:r>
    </w:p>
    <w:p>
      <w:pPr>
        <w:pStyle w:val="4"/>
        <w:suppressAutoHyphens w:val="false"/>
        <w:rPr/>
      </w:pPr>
      <w:r>
        <w:rPr/>
        <w:t xml:space="preserve">G.P. EH Bildu Nafarroa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Enmienda de modificación del apartado 2 del artículo 14, que queda recatado de la siguiente manera: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“2. Corresponde a las entidades locales facilitar a la ciudadanía, a través de los canales pertinentes, la información de la evolución de las emisiones locales, la evolución de los indicadores climáticos, la vulnerabilidad de su territorio y las actuaciones de mitigación y adaptación llevadas a cabo en el mismo”.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Motivación: En coherencia con otra enmienda presentada por nuestro Grupo Parlamentario en la que proponemos que el texto suprimido se incorpore en un nuevo artículo 14 ter.</w:t>
      </w:r>
    </w:p>
    <w:p>
      <w:pPr>
        <w:pStyle w:val="2"/>
        <w:suppressAutoHyphens w:val="false"/>
        <w:rPr/>
      </w:pPr>
      <w:r>
        <w:rPr/>
        <w:t xml:space="preserve">Enmienda núm. 147 bis</w:t>
      </w:r>
    </w:p>
    <w:p>
      <w:pPr>
        <w:pStyle w:val="3"/>
        <w:suppressAutoHyphens w:val="false"/>
        <w:rPr/>
      </w:pPr>
      <w:r>
        <w:rPr/>
        <w:t xml:space="preserve">Formulada por el</w:t>
      </w:r>
    </w:p>
    <w:p>
      <w:pPr>
        <w:pStyle w:val="4"/>
        <w:suppressAutoHyphens w:val="false"/>
        <w:rPr/>
      </w:pPr>
      <w:r>
        <w:rPr/>
        <w:t xml:space="preserve">G.P. EH Bildu Nafarroa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Enmienda de modificación del artículo 36. Se suprime el apartado 2.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Motivación: En coherencia con otra enmienda en la que se regula la reserva de estacionamientos.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a:emnum"/>
    <w:qFormat w:val="true"/>
    <w:pPr>
      <w:jc w:val="both"/>
      <w:ind w:firstLine="0"/>
      <w:spacing w:after="170.079" w:before="226.772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sz w:val="19.2"/>
      <w:caps/>
      <w:rFonts w:ascii="Helvetica LT Std" w:cs="Helvetica LT Std" w:eastAsia="Helvetica LT Std" w:hAnsi="Helvetica LT Std"/>
      <w:lang w:bidi="es-ES" w:eastAsia="es-ES" w:val="es-ES"/>
    </w:rPr>
  </w:style>
  <w:style w:customStyle="1" w:styleId="3" w:type="paragraph">
    <w:name w:val="a:formula"/>
    <w:basedOn w:val="2"/>
    <w:qFormat w:val="true"/>
    <w:pPr>
      <w:jc w:val="center"/>
      <w:ind w:firstLine="0"/>
      <w:spacing w:after="28.347" w:before="0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</w:rPr>
  </w:style>
  <w:style w:customStyle="1" w:styleId="4" w:type="paragraph">
    <w:name w:val="a:grupo"/>
    <w:basedOn w:val="3"/>
    <w:qFormat w:val="true"/>
    <w:pPr>
      <w:jc w:val="center"/>
      <w:ind w:firstLine="0"/>
      <w:spacing w:after="170.079" w:before="0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