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B184" w14:textId="77777777" w:rsidR="00BA5C95" w:rsidRDefault="00806E26" w:rsidP="001B1E68">
      <w:pPr>
        <w:pStyle w:val="EstiloPortada"/>
        <w:ind w:left="4634" w:right="-240" w:hanging="948"/>
        <w:rPr>
          <w:rFonts w:ascii="Arial" w:hAnsi="Arial" w:cs="Arial"/>
          <w:color w:val="808080"/>
          <w:sz w:val="32"/>
          <w:szCs w:val="32"/>
        </w:rPr>
      </w:pPr>
      <w:r>
        <w:rPr>
          <w:rFonts w:ascii="Arial" w:hAnsi="Arial"/>
          <w:noProof/>
          <w:color w:val="808080"/>
          <w:sz w:val="32"/>
          <w:szCs w:val="32"/>
        </w:rPr>
        <mc:AlternateContent>
          <mc:Choice Requires="wps">
            <w:drawing>
              <wp:anchor distT="0" distB="0" distL="114300" distR="114300" simplePos="0" relativeHeight="251657728" behindDoc="0" locked="0" layoutInCell="1" allowOverlap="1" wp14:anchorId="66BCBDC8" wp14:editId="71C987DB">
                <wp:simplePos x="0" y="0"/>
                <wp:positionH relativeFrom="column">
                  <wp:posOffset>-151765</wp:posOffset>
                </wp:positionH>
                <wp:positionV relativeFrom="paragraph">
                  <wp:posOffset>-809625</wp:posOffset>
                </wp:positionV>
                <wp:extent cx="1105535" cy="9144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144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C8AE03D" w14:textId="77777777" w:rsidR="006E5C76" w:rsidRPr="003A7956" w:rsidRDefault="006E5C76" w:rsidP="004C3423">
                            <w:pPr>
                              <w:spacing w:after="0"/>
                              <w:ind w:firstLine="0"/>
                              <w:jc w:val="center"/>
                              <w:rPr>
                                <w:sz w:val="18"/>
                                <w:szCs w:val="18"/>
                              </w:rPr>
                            </w:pPr>
                            <w:r>
                              <w:rPr>
                                <w:sz w:val="18"/>
                                <w:szCs w:val="18"/>
                              </w:rPr>
                              <w:t>CAMARA DE</w:t>
                            </w:r>
                          </w:p>
                          <w:p w14:paraId="06C96B4E" w14:textId="77777777" w:rsidR="006E5C76" w:rsidRPr="003A7956" w:rsidRDefault="006E5C76" w:rsidP="004C3423">
                            <w:pPr>
                              <w:spacing w:after="0"/>
                              <w:ind w:firstLine="0"/>
                              <w:jc w:val="center"/>
                              <w:rPr>
                                <w:sz w:val="18"/>
                                <w:szCs w:val="18"/>
                              </w:rPr>
                            </w:pPr>
                            <w:r>
                              <w:rPr>
                                <w:sz w:val="18"/>
                                <w:szCs w:val="18"/>
                              </w:rPr>
                              <w:t>COMPTOS</w:t>
                            </w:r>
                          </w:p>
                          <w:p w14:paraId="782630C0" w14:textId="77777777" w:rsidR="006E5C76" w:rsidRPr="003A7956" w:rsidRDefault="006E5C76" w:rsidP="004C3423">
                            <w:pPr>
                              <w:spacing w:after="0"/>
                              <w:ind w:firstLine="0"/>
                              <w:jc w:val="center"/>
                              <w:rPr>
                                <w:sz w:val="18"/>
                                <w:szCs w:val="18"/>
                              </w:rPr>
                            </w:pPr>
                            <w:r>
                              <w:rPr>
                                <w:sz w:val="18"/>
                                <w:szCs w:val="18"/>
                              </w:rPr>
                              <w:t>DE NAVARRA</w:t>
                            </w:r>
                          </w:p>
                          <w:p w14:paraId="6C293666" w14:textId="77777777" w:rsidR="006E5C76" w:rsidRPr="003A7956" w:rsidRDefault="006E5C76" w:rsidP="004C3423">
                            <w:pPr>
                              <w:spacing w:after="0"/>
                              <w:ind w:firstLine="0"/>
                              <w:jc w:val="center"/>
                              <w:rPr>
                                <w:color w:val="808080"/>
                                <w:sz w:val="18"/>
                                <w:szCs w:val="18"/>
                              </w:rPr>
                            </w:pPr>
                            <w:r>
                              <w:rPr>
                                <w:color w:val="808080"/>
                                <w:sz w:val="18"/>
                                <w:szCs w:val="18"/>
                              </w:rPr>
                              <w:t>NAFARROAKO</w:t>
                            </w:r>
                          </w:p>
                          <w:p w14:paraId="0418E29E" w14:textId="77777777" w:rsidR="006E5C76" w:rsidRPr="003A7956" w:rsidRDefault="006E5C76" w:rsidP="004C3423">
                            <w:pPr>
                              <w:spacing w:after="0"/>
                              <w:ind w:firstLine="0"/>
                              <w:jc w:val="center"/>
                              <w:rPr>
                                <w:color w:val="808080"/>
                                <w:sz w:val="18"/>
                                <w:szCs w:val="18"/>
                              </w:rPr>
                            </w:pPr>
                            <w:r>
                              <w:rPr>
                                <w:color w:val="808080"/>
                                <w:sz w:val="18"/>
                                <w:szCs w:val="18"/>
                              </w:rPr>
                              <w:t>KONTUEN</w:t>
                            </w:r>
                          </w:p>
                          <w:p w14:paraId="49BA68BE" w14:textId="77777777" w:rsidR="006E5C76" w:rsidRPr="003A7956" w:rsidRDefault="006E5C76" w:rsidP="004C3423">
                            <w:pPr>
                              <w:spacing w:after="0"/>
                              <w:ind w:firstLine="0"/>
                              <w:jc w:val="center"/>
                              <w:rPr>
                                <w:color w:val="808080"/>
                                <w:sz w:val="18"/>
                                <w:szCs w:val="18"/>
                              </w:rPr>
                            </w:pPr>
                            <w:r>
                              <w:rPr>
                                <w:color w:val="808080"/>
                                <w:sz w:val="18"/>
                                <w:szCs w:val="18"/>
                              </w:rPr>
                              <w:t>GANBERA</w:t>
                            </w:r>
                          </w:p>
                          <w:p w14:paraId="0F511459" w14:textId="77777777" w:rsidR="006E5C76" w:rsidRPr="002C7026" w:rsidRDefault="006E5C76"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CBDC8" id="_x0000_t202" coordsize="21600,21600" o:spt="202" path="m,l,21600r21600,l21600,xe">
                <v:stroke joinstyle="miter"/>
                <v:path gradientshapeok="t" o:connecttype="rect"/>
              </v:shapetype>
              <v:shape id="Text Box 7" o:spid="_x0000_s1026" type="#_x0000_t202" style="position:absolute;left:0;text-align:left;margin-left:-11.95pt;margin-top:-63.75pt;width:87.0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" stroked="f" strokecolor="white">
                <v:textbox>
                  <w:txbxContent>
                    <w:p w14:paraId="4C8AE03D" w14:textId="77777777" w:rsidR="006E5C76" w:rsidRPr="003A7956" w:rsidRDefault="006E5C76" w:rsidP="004C3423">
                      <w:pPr>
                        <w:spacing w:after="0"/>
                        <w:ind w:firstLine="0"/>
                        <w:jc w:val="center"/>
                        <w:rPr>
                          <w:sz w:val="18"/>
                          <w:szCs w:val="18"/>
                        </w:rPr>
                      </w:pPr>
                      <w:r>
                        <w:rPr>
                          <w:sz w:val="18"/>
                          <w:szCs w:val="18"/>
                        </w:rPr>
                        <w:t>CAMARA DE</w:t>
                      </w:r>
                    </w:p>
                    <w:p w14:paraId="06C96B4E" w14:textId="77777777" w:rsidR="006E5C76" w:rsidRPr="003A7956" w:rsidRDefault="006E5C76" w:rsidP="004C3423">
                      <w:pPr>
                        <w:spacing w:after="0"/>
                        <w:ind w:firstLine="0"/>
                        <w:jc w:val="center"/>
                        <w:rPr>
                          <w:sz w:val="18"/>
                          <w:szCs w:val="18"/>
                        </w:rPr>
                      </w:pPr>
                      <w:r>
                        <w:rPr>
                          <w:sz w:val="18"/>
                          <w:szCs w:val="18"/>
                        </w:rPr>
                        <w:t>COMPTOS</w:t>
                      </w:r>
                    </w:p>
                    <w:p w14:paraId="782630C0" w14:textId="77777777" w:rsidR="006E5C76" w:rsidRPr="003A7956" w:rsidRDefault="006E5C76" w:rsidP="004C3423">
                      <w:pPr>
                        <w:spacing w:after="0"/>
                        <w:ind w:firstLine="0"/>
                        <w:jc w:val="center"/>
                        <w:rPr>
                          <w:sz w:val="18"/>
                          <w:szCs w:val="18"/>
                        </w:rPr>
                      </w:pPr>
                      <w:r>
                        <w:rPr>
                          <w:sz w:val="18"/>
                          <w:szCs w:val="18"/>
                        </w:rPr>
                        <w:t>DE NAVARRA</w:t>
                      </w:r>
                    </w:p>
                    <w:p w14:paraId="6C293666" w14:textId="77777777" w:rsidR="006E5C76" w:rsidRPr="003A7956" w:rsidRDefault="006E5C76" w:rsidP="004C3423">
                      <w:pPr>
                        <w:spacing w:after="0"/>
                        <w:ind w:firstLine="0"/>
                        <w:jc w:val="center"/>
                        <w:rPr>
                          <w:color w:val="808080"/>
                          <w:sz w:val="18"/>
                          <w:szCs w:val="18"/>
                        </w:rPr>
                      </w:pPr>
                      <w:r>
                        <w:rPr>
                          <w:color w:val="808080"/>
                          <w:sz w:val="18"/>
                          <w:szCs w:val="18"/>
                        </w:rPr>
                        <w:t>NAFARROAKO</w:t>
                      </w:r>
                    </w:p>
                    <w:p w14:paraId="0418E29E" w14:textId="77777777" w:rsidR="006E5C76" w:rsidRPr="003A7956" w:rsidRDefault="006E5C76" w:rsidP="004C3423">
                      <w:pPr>
                        <w:spacing w:after="0"/>
                        <w:ind w:firstLine="0"/>
                        <w:jc w:val="center"/>
                        <w:rPr>
                          <w:color w:val="808080"/>
                          <w:sz w:val="18"/>
                          <w:szCs w:val="18"/>
                        </w:rPr>
                      </w:pPr>
                      <w:r>
                        <w:rPr>
                          <w:color w:val="808080"/>
                          <w:sz w:val="18"/>
                          <w:szCs w:val="18"/>
                        </w:rPr>
                        <w:t>KONTUEN</w:t>
                      </w:r>
                    </w:p>
                    <w:p w14:paraId="49BA68BE" w14:textId="77777777" w:rsidR="006E5C76" w:rsidRPr="003A7956" w:rsidRDefault="006E5C76" w:rsidP="004C3423">
                      <w:pPr>
                        <w:spacing w:after="0"/>
                        <w:ind w:firstLine="0"/>
                        <w:jc w:val="center"/>
                        <w:rPr>
                          <w:color w:val="808080"/>
                          <w:sz w:val="18"/>
                          <w:szCs w:val="18"/>
                        </w:rPr>
                      </w:pPr>
                      <w:r>
                        <w:rPr>
                          <w:color w:val="808080"/>
                          <w:sz w:val="18"/>
                          <w:szCs w:val="18"/>
                        </w:rPr>
                        <w:t>GANBERA</w:t>
                      </w:r>
                    </w:p>
                    <w:p w14:paraId="0F511459" w14:textId="77777777" w:rsidR="006E5C76" w:rsidRPr="002C7026" w:rsidRDefault="006E5C76" w:rsidP="002C7026">
                      <w:pPr>
                        <w:spacing w:after="0"/>
                        <w:ind w:firstLine="0"/>
                        <w:jc w:val="center"/>
                        <w:rPr>
                          <w:rFonts w:ascii="Trajan" w:hAnsi="Trajan"/>
                          <w:color w:val="808080"/>
                          <w:sz w:val="18"/>
                          <w:szCs w:val="18"/>
                          <w:lang w:val="es-ES"/>
                        </w:rPr>
                      </w:pPr>
                    </w:p>
                  </w:txbxContent>
                </v:textbox>
              </v:shape>
            </w:pict>
          </mc:Fallback>
        </mc:AlternateContent>
      </w:r>
    </w:p>
    <w:p w14:paraId="3206F9CF" w14:textId="77777777" w:rsidR="00806E26" w:rsidRPr="00B76259" w:rsidRDefault="00806E26" w:rsidP="00B76259">
      <w:pPr>
        <w:pStyle w:val="EstiloPortada"/>
        <w:ind w:left="4111" w:right="0"/>
        <w:jc w:val="right"/>
        <w:rPr>
          <w:rFonts w:ascii="Arial" w:hAnsi="Arial" w:cs="Arial"/>
          <w:color w:val="A6A6A6" w:themeColor="background1" w:themeShade="A6"/>
          <w:sz w:val="40"/>
          <w:szCs w:val="40"/>
        </w:rPr>
      </w:pPr>
      <w:r>
        <w:rPr>
          <w:rFonts w:ascii="Arial" w:hAnsi="Arial"/>
          <w:color w:val="A6A6A6" w:themeColor="background1" w:themeShade="A6"/>
          <w:sz w:val="40"/>
          <w:szCs w:val="40"/>
        </w:rPr>
        <w:t xml:space="preserve"> Behin betiko txostena</w:t>
      </w:r>
    </w:p>
    <w:p w14:paraId="50AA4068" w14:textId="77777777" w:rsidR="00497600" w:rsidRDefault="00497600" w:rsidP="00D203ED">
      <w:pPr>
        <w:pStyle w:val="EstiloPortada"/>
        <w:ind w:left="2127" w:right="0" w:hanging="2791"/>
        <w:jc w:val="right"/>
        <w:rPr>
          <w:sz w:val="52"/>
          <w:szCs w:val="52"/>
        </w:rPr>
      </w:pPr>
      <w:r>
        <w:rPr>
          <w:sz w:val="52"/>
          <w:szCs w:val="52"/>
        </w:rPr>
        <w:t xml:space="preserve">Nafarroako Zirkuituaren </w:t>
      </w:r>
    </w:p>
    <w:p w14:paraId="2E75B730" w14:textId="77777777" w:rsidR="00497600" w:rsidRDefault="00497600" w:rsidP="00D203ED">
      <w:pPr>
        <w:pStyle w:val="EstiloPortada"/>
        <w:ind w:left="2127" w:right="0" w:hanging="2791"/>
        <w:jc w:val="right"/>
        <w:rPr>
          <w:sz w:val="52"/>
          <w:szCs w:val="52"/>
        </w:rPr>
      </w:pPr>
      <w:r>
        <w:rPr>
          <w:sz w:val="52"/>
          <w:szCs w:val="52"/>
        </w:rPr>
        <w:t xml:space="preserve">errentamendua </w:t>
      </w:r>
    </w:p>
    <w:p w14:paraId="75018B5E" w14:textId="77777777" w:rsidR="00875BBE" w:rsidRPr="00751008" w:rsidRDefault="00497600" w:rsidP="00D203ED">
      <w:pPr>
        <w:pStyle w:val="EstiloPortada"/>
        <w:ind w:left="2127" w:right="0" w:hanging="2791"/>
        <w:jc w:val="right"/>
        <w:rPr>
          <w:sz w:val="52"/>
          <w:szCs w:val="52"/>
        </w:rPr>
      </w:pPr>
      <w:r>
        <w:rPr>
          <w:sz w:val="52"/>
          <w:szCs w:val="52"/>
        </w:rPr>
        <w:t>(2014-2019)</w:t>
      </w:r>
    </w:p>
    <w:p w14:paraId="574C9AAB" w14:textId="77777777" w:rsidR="001C3A32" w:rsidRPr="00204979" w:rsidRDefault="001C3A32" w:rsidP="00891D73">
      <w:pPr>
        <w:pStyle w:val="texto"/>
      </w:pPr>
    </w:p>
    <w:p w14:paraId="30D68656" w14:textId="77777777" w:rsidR="001C3A32" w:rsidRPr="00204979" w:rsidRDefault="001C3A32" w:rsidP="00891D73">
      <w:pPr>
        <w:pStyle w:val="texto"/>
      </w:pPr>
    </w:p>
    <w:p w14:paraId="30EC6084" w14:textId="77777777" w:rsidR="001C3A32" w:rsidRPr="00204979" w:rsidRDefault="001C3A32" w:rsidP="00891D73">
      <w:pPr>
        <w:pStyle w:val="texto"/>
      </w:pPr>
    </w:p>
    <w:p w14:paraId="773F8888" w14:textId="77777777" w:rsidR="001C3A32" w:rsidRPr="00204979" w:rsidRDefault="001C3A32" w:rsidP="00D203ED">
      <w:pPr>
        <w:pStyle w:val="texto"/>
        <w:tabs>
          <w:tab w:val="clear" w:pos="3969"/>
          <w:tab w:val="center" w:pos="3119"/>
        </w:tabs>
      </w:pPr>
    </w:p>
    <w:p w14:paraId="5B65CEC7" w14:textId="77777777" w:rsidR="001C3A32" w:rsidRPr="00204979" w:rsidRDefault="001C3A32" w:rsidP="00891D73">
      <w:pPr>
        <w:pStyle w:val="texto"/>
      </w:pPr>
    </w:p>
    <w:p w14:paraId="6BBA8E6B" w14:textId="77777777" w:rsidR="001C3A32" w:rsidRPr="00204979" w:rsidRDefault="001C3A32" w:rsidP="00891D73">
      <w:pPr>
        <w:pStyle w:val="texto"/>
      </w:pPr>
    </w:p>
    <w:p w14:paraId="6EF68ED0" w14:textId="77777777" w:rsidR="001C3A32" w:rsidRPr="00204979" w:rsidRDefault="001C3A32" w:rsidP="00891D73">
      <w:pPr>
        <w:pStyle w:val="texto"/>
      </w:pPr>
    </w:p>
    <w:p w14:paraId="03D1A9CB" w14:textId="77777777" w:rsidR="001C3A32" w:rsidRPr="00204979" w:rsidRDefault="001C3A32" w:rsidP="00891D73">
      <w:pPr>
        <w:pStyle w:val="texto"/>
      </w:pPr>
    </w:p>
    <w:p w14:paraId="1D6B7756" w14:textId="77777777" w:rsidR="001C3A32" w:rsidRPr="00204979" w:rsidRDefault="001C3A32" w:rsidP="00891D73">
      <w:pPr>
        <w:pStyle w:val="texto"/>
      </w:pPr>
    </w:p>
    <w:p w14:paraId="3ECDE6A0" w14:textId="77777777" w:rsidR="001C3A32" w:rsidRPr="00204979" w:rsidRDefault="001C3A32" w:rsidP="00891D73">
      <w:pPr>
        <w:pStyle w:val="texto"/>
      </w:pPr>
    </w:p>
    <w:p w14:paraId="7C154D6E" w14:textId="77777777" w:rsidR="001C3A32" w:rsidRPr="00204979" w:rsidRDefault="001C3A32" w:rsidP="00891D73">
      <w:pPr>
        <w:pStyle w:val="texto"/>
      </w:pPr>
    </w:p>
    <w:p w14:paraId="584875D6" w14:textId="77777777" w:rsidR="001C3A32" w:rsidRPr="00204979" w:rsidRDefault="001C3A32" w:rsidP="00891D73">
      <w:pPr>
        <w:pStyle w:val="texto"/>
      </w:pPr>
    </w:p>
    <w:p w14:paraId="6EDD7CC3" w14:textId="77777777" w:rsidR="001C3A32" w:rsidRPr="00204979" w:rsidRDefault="001C3A32" w:rsidP="00891D73">
      <w:pPr>
        <w:pStyle w:val="texto"/>
      </w:pPr>
    </w:p>
    <w:p w14:paraId="420845DE" w14:textId="77777777" w:rsidR="001C3A32" w:rsidRPr="00204979" w:rsidRDefault="001C3A32" w:rsidP="00891D73">
      <w:pPr>
        <w:pStyle w:val="texto"/>
      </w:pPr>
    </w:p>
    <w:p w14:paraId="526D2765" w14:textId="77777777" w:rsidR="001C3A32" w:rsidRPr="00204979" w:rsidRDefault="001C3A32" w:rsidP="00891D73">
      <w:pPr>
        <w:pStyle w:val="texto"/>
      </w:pPr>
    </w:p>
    <w:p w14:paraId="408D2E0D" w14:textId="77777777" w:rsidR="00844F74" w:rsidRPr="00204979" w:rsidRDefault="00844F74" w:rsidP="00891D73">
      <w:pPr>
        <w:pStyle w:val="texto"/>
      </w:pPr>
    </w:p>
    <w:p w14:paraId="032C72D5" w14:textId="77777777" w:rsidR="00716463" w:rsidRPr="001D4F09" w:rsidRDefault="00C10938" w:rsidP="009936FC">
      <w:pPr>
        <w:pStyle w:val="Fechaportada"/>
      </w:pPr>
      <w:r>
        <w:t>2022ko urtarrila</w:t>
      </w:r>
    </w:p>
    <w:p w14:paraId="5B3DFB24" w14:textId="77777777" w:rsidR="008E3FFE" w:rsidRPr="001D4F09" w:rsidRDefault="008E3FFE" w:rsidP="00891D73">
      <w:pPr>
        <w:pStyle w:val="ndice"/>
        <w:rPr>
          <w:rFonts w:ascii="Times New Roman" w:hAnsi="Times New Roman"/>
        </w:rPr>
        <w:sectPr w:rsidR="008E3FFE" w:rsidRPr="001D4F09" w:rsidSect="0019660E">
          <w:headerReference w:type="even" r:id="rId8"/>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14:paraId="73D882E6" w14:textId="77777777" w:rsidR="00C9781F" w:rsidRDefault="00C9781F" w:rsidP="00C9781F">
      <w:pPr>
        <w:pStyle w:val="ndice"/>
      </w:pPr>
      <w:r>
        <w:lastRenderedPageBreak/>
        <w:t>Aurkibidea</w:t>
      </w:r>
    </w:p>
    <w:p w14:paraId="542294D5" w14:textId="77777777" w:rsidR="00C9781F" w:rsidRPr="004740FB" w:rsidRDefault="00C9781F" w:rsidP="00C9781F">
      <w:pPr>
        <w:pStyle w:val="ndice"/>
        <w:ind w:right="-156"/>
        <w:jc w:val="right"/>
        <w:rPr>
          <w:b w:val="0"/>
          <w:i/>
          <w:sz w:val="16"/>
          <w:szCs w:val="16"/>
        </w:rPr>
      </w:pPr>
      <w:r>
        <w:rPr>
          <w:b w:val="0"/>
          <w:i/>
          <w:sz w:val="16"/>
          <w:szCs w:val="16"/>
        </w:rPr>
        <w:t xml:space="preserve"> Orrialdea</w:t>
      </w:r>
    </w:p>
    <w:p w14:paraId="55D2763B" w14:textId="41386DEC" w:rsidR="004421DD"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94176410" w:history="1">
        <w:r w:rsidR="004421DD" w:rsidRPr="000E1F3D">
          <w:rPr>
            <w:rStyle w:val="Hipervnculo"/>
            <w:noProof/>
          </w:rPr>
          <w:t>I. Sarrera</w:t>
        </w:r>
        <w:r w:rsidR="004421DD">
          <w:rPr>
            <w:noProof/>
            <w:webHidden/>
          </w:rPr>
          <w:tab/>
        </w:r>
        <w:r w:rsidR="004421DD">
          <w:rPr>
            <w:noProof/>
            <w:webHidden/>
          </w:rPr>
          <w:fldChar w:fldCharType="begin"/>
        </w:r>
        <w:r w:rsidR="004421DD">
          <w:rPr>
            <w:noProof/>
            <w:webHidden/>
          </w:rPr>
          <w:instrText xml:space="preserve"> PAGEREF _Toc94176410 \h </w:instrText>
        </w:r>
        <w:r w:rsidR="004421DD">
          <w:rPr>
            <w:noProof/>
            <w:webHidden/>
          </w:rPr>
        </w:r>
        <w:r w:rsidR="004421DD">
          <w:rPr>
            <w:noProof/>
            <w:webHidden/>
          </w:rPr>
          <w:fldChar w:fldCharType="separate"/>
        </w:r>
        <w:r w:rsidR="004421DD">
          <w:rPr>
            <w:noProof/>
            <w:webHidden/>
          </w:rPr>
          <w:t>3</w:t>
        </w:r>
        <w:r w:rsidR="004421DD">
          <w:rPr>
            <w:noProof/>
            <w:webHidden/>
          </w:rPr>
          <w:fldChar w:fldCharType="end"/>
        </w:r>
      </w:hyperlink>
    </w:p>
    <w:p w14:paraId="060E8B28" w14:textId="54CB007A" w:rsidR="004421DD" w:rsidRDefault="004421DD">
      <w:pPr>
        <w:pStyle w:val="TDC1"/>
        <w:rPr>
          <w:rFonts w:asciiTheme="minorHAnsi" w:eastAsiaTheme="minorEastAsia" w:hAnsiTheme="minorHAnsi" w:cstheme="minorBidi"/>
          <w:smallCaps w:val="0"/>
          <w:noProof/>
          <w:szCs w:val="22"/>
          <w:lang w:val="es-ES" w:eastAsia="es-ES"/>
        </w:rPr>
      </w:pPr>
      <w:hyperlink w:anchor="_Toc94176411" w:history="1">
        <w:r w:rsidRPr="000E1F3D">
          <w:rPr>
            <w:rStyle w:val="Hipervnculo"/>
            <w:noProof/>
          </w:rPr>
          <w:t>II. Nafarroako Zirkuitua</w:t>
        </w:r>
        <w:r>
          <w:rPr>
            <w:noProof/>
            <w:webHidden/>
          </w:rPr>
          <w:tab/>
        </w:r>
        <w:r>
          <w:rPr>
            <w:noProof/>
            <w:webHidden/>
          </w:rPr>
          <w:fldChar w:fldCharType="begin"/>
        </w:r>
        <w:r>
          <w:rPr>
            <w:noProof/>
            <w:webHidden/>
          </w:rPr>
          <w:instrText xml:space="preserve"> PAGEREF _Toc94176411 \h </w:instrText>
        </w:r>
        <w:r>
          <w:rPr>
            <w:noProof/>
            <w:webHidden/>
          </w:rPr>
        </w:r>
        <w:r>
          <w:rPr>
            <w:noProof/>
            <w:webHidden/>
          </w:rPr>
          <w:fldChar w:fldCharType="separate"/>
        </w:r>
        <w:r>
          <w:rPr>
            <w:noProof/>
            <w:webHidden/>
          </w:rPr>
          <w:t>4</w:t>
        </w:r>
        <w:r>
          <w:rPr>
            <w:noProof/>
            <w:webHidden/>
          </w:rPr>
          <w:fldChar w:fldCharType="end"/>
        </w:r>
      </w:hyperlink>
    </w:p>
    <w:p w14:paraId="76FD2936" w14:textId="2E81A971" w:rsidR="004421DD" w:rsidRDefault="004421DD">
      <w:pPr>
        <w:pStyle w:val="TDC1"/>
        <w:rPr>
          <w:rFonts w:asciiTheme="minorHAnsi" w:eastAsiaTheme="minorEastAsia" w:hAnsiTheme="minorHAnsi" w:cstheme="minorBidi"/>
          <w:smallCaps w:val="0"/>
          <w:noProof/>
          <w:szCs w:val="22"/>
          <w:lang w:val="es-ES" w:eastAsia="es-ES"/>
        </w:rPr>
      </w:pPr>
      <w:hyperlink w:anchor="_Toc94176412" w:history="1">
        <w:r w:rsidRPr="000E1F3D">
          <w:rPr>
            <w:rStyle w:val="Hipervnculo"/>
            <w:noProof/>
          </w:rPr>
          <w:t>III. Helburuak eta norainokoa</w:t>
        </w:r>
        <w:r>
          <w:rPr>
            <w:noProof/>
            <w:webHidden/>
          </w:rPr>
          <w:tab/>
        </w:r>
        <w:r>
          <w:rPr>
            <w:noProof/>
            <w:webHidden/>
          </w:rPr>
          <w:fldChar w:fldCharType="begin"/>
        </w:r>
        <w:r>
          <w:rPr>
            <w:noProof/>
            <w:webHidden/>
          </w:rPr>
          <w:instrText xml:space="preserve"> PAGEREF _Toc94176412 \h </w:instrText>
        </w:r>
        <w:r>
          <w:rPr>
            <w:noProof/>
            <w:webHidden/>
          </w:rPr>
        </w:r>
        <w:r>
          <w:rPr>
            <w:noProof/>
            <w:webHidden/>
          </w:rPr>
          <w:fldChar w:fldCharType="separate"/>
        </w:r>
        <w:r>
          <w:rPr>
            <w:noProof/>
            <w:webHidden/>
          </w:rPr>
          <w:t>6</w:t>
        </w:r>
        <w:r>
          <w:rPr>
            <w:noProof/>
            <w:webHidden/>
          </w:rPr>
          <w:fldChar w:fldCharType="end"/>
        </w:r>
      </w:hyperlink>
    </w:p>
    <w:p w14:paraId="6922F8D9" w14:textId="3E1806B6" w:rsidR="004421DD" w:rsidRDefault="004421DD">
      <w:pPr>
        <w:pStyle w:val="TDC1"/>
        <w:rPr>
          <w:rFonts w:asciiTheme="minorHAnsi" w:eastAsiaTheme="minorEastAsia" w:hAnsiTheme="minorHAnsi" w:cstheme="minorBidi"/>
          <w:smallCaps w:val="0"/>
          <w:noProof/>
          <w:szCs w:val="22"/>
          <w:lang w:val="es-ES" w:eastAsia="es-ES"/>
        </w:rPr>
      </w:pPr>
      <w:hyperlink w:anchor="_Toc94176413" w:history="1">
        <w:r w:rsidRPr="000E1F3D">
          <w:rPr>
            <w:rStyle w:val="Hipervnculo"/>
            <w:noProof/>
          </w:rPr>
          <w:t>IV. Konklusioak eta gomendioak</w:t>
        </w:r>
        <w:r>
          <w:rPr>
            <w:noProof/>
            <w:webHidden/>
          </w:rPr>
          <w:tab/>
        </w:r>
        <w:r>
          <w:rPr>
            <w:noProof/>
            <w:webHidden/>
          </w:rPr>
          <w:fldChar w:fldCharType="begin"/>
        </w:r>
        <w:r>
          <w:rPr>
            <w:noProof/>
            <w:webHidden/>
          </w:rPr>
          <w:instrText xml:space="preserve"> PAGEREF _Toc94176413 \h </w:instrText>
        </w:r>
        <w:r>
          <w:rPr>
            <w:noProof/>
            <w:webHidden/>
          </w:rPr>
        </w:r>
        <w:r>
          <w:rPr>
            <w:noProof/>
            <w:webHidden/>
          </w:rPr>
          <w:fldChar w:fldCharType="separate"/>
        </w:r>
        <w:r>
          <w:rPr>
            <w:noProof/>
            <w:webHidden/>
          </w:rPr>
          <w:t>7</w:t>
        </w:r>
        <w:r>
          <w:rPr>
            <w:noProof/>
            <w:webHidden/>
          </w:rPr>
          <w:fldChar w:fldCharType="end"/>
        </w:r>
      </w:hyperlink>
    </w:p>
    <w:p w14:paraId="7DB17CF6" w14:textId="7674E8AC" w:rsidR="004421DD" w:rsidRDefault="004421DD">
      <w:pPr>
        <w:pStyle w:val="TDC2"/>
        <w:rPr>
          <w:rFonts w:asciiTheme="minorHAnsi" w:eastAsiaTheme="minorEastAsia" w:hAnsiTheme="minorHAnsi" w:cstheme="minorBidi"/>
          <w:noProof/>
          <w:szCs w:val="22"/>
          <w:lang w:val="es-ES" w:eastAsia="es-ES"/>
        </w:rPr>
      </w:pPr>
      <w:hyperlink w:anchor="_Toc94176414" w:history="1">
        <w:r w:rsidRPr="000E1F3D">
          <w:rPr>
            <w:rStyle w:val="Hipervnculo"/>
            <w:noProof/>
          </w:rPr>
          <w:t>IV.1. Nafarroako Zirkuitua errentan emateko 2014ko eta 2019ko prozeduren berrikuspena</w:t>
        </w:r>
        <w:r>
          <w:rPr>
            <w:noProof/>
            <w:webHidden/>
          </w:rPr>
          <w:tab/>
        </w:r>
        <w:r>
          <w:rPr>
            <w:noProof/>
            <w:webHidden/>
          </w:rPr>
          <w:fldChar w:fldCharType="begin"/>
        </w:r>
        <w:r>
          <w:rPr>
            <w:noProof/>
            <w:webHidden/>
          </w:rPr>
          <w:instrText xml:space="preserve"> PAGEREF _Toc94176414 \h </w:instrText>
        </w:r>
        <w:r>
          <w:rPr>
            <w:noProof/>
            <w:webHidden/>
          </w:rPr>
        </w:r>
        <w:r>
          <w:rPr>
            <w:noProof/>
            <w:webHidden/>
          </w:rPr>
          <w:fldChar w:fldCharType="separate"/>
        </w:r>
        <w:r>
          <w:rPr>
            <w:noProof/>
            <w:webHidden/>
          </w:rPr>
          <w:t>8</w:t>
        </w:r>
        <w:r>
          <w:rPr>
            <w:noProof/>
            <w:webHidden/>
          </w:rPr>
          <w:fldChar w:fldCharType="end"/>
        </w:r>
      </w:hyperlink>
    </w:p>
    <w:p w14:paraId="1D13EB4C" w14:textId="7B63402A" w:rsidR="004421DD" w:rsidRDefault="004421DD">
      <w:pPr>
        <w:pStyle w:val="TDC2"/>
        <w:rPr>
          <w:rFonts w:asciiTheme="minorHAnsi" w:eastAsiaTheme="minorEastAsia" w:hAnsiTheme="minorHAnsi" w:cstheme="minorBidi"/>
          <w:noProof/>
          <w:szCs w:val="22"/>
          <w:lang w:val="es-ES" w:eastAsia="es-ES"/>
        </w:rPr>
      </w:pPr>
      <w:hyperlink w:anchor="_Toc94176415" w:history="1">
        <w:r w:rsidRPr="000E1F3D">
          <w:rPr>
            <w:rStyle w:val="Hipervnculo"/>
            <w:noProof/>
          </w:rPr>
          <w:t>IV.2. Nafarroako Zirkuituaren 2014ko errentamendu kontratua betetzeari buruzko berrikuspena</w:t>
        </w:r>
        <w:r>
          <w:rPr>
            <w:noProof/>
            <w:webHidden/>
          </w:rPr>
          <w:tab/>
        </w:r>
        <w:r>
          <w:rPr>
            <w:noProof/>
            <w:webHidden/>
          </w:rPr>
          <w:fldChar w:fldCharType="begin"/>
        </w:r>
        <w:r>
          <w:rPr>
            <w:noProof/>
            <w:webHidden/>
          </w:rPr>
          <w:instrText xml:space="preserve"> PAGEREF _Toc94176415 \h </w:instrText>
        </w:r>
        <w:r>
          <w:rPr>
            <w:noProof/>
            <w:webHidden/>
          </w:rPr>
        </w:r>
        <w:r>
          <w:rPr>
            <w:noProof/>
            <w:webHidden/>
          </w:rPr>
          <w:fldChar w:fldCharType="separate"/>
        </w:r>
        <w:r>
          <w:rPr>
            <w:noProof/>
            <w:webHidden/>
          </w:rPr>
          <w:t>13</w:t>
        </w:r>
        <w:r>
          <w:rPr>
            <w:noProof/>
            <w:webHidden/>
          </w:rPr>
          <w:fldChar w:fldCharType="end"/>
        </w:r>
      </w:hyperlink>
    </w:p>
    <w:p w14:paraId="203674E3" w14:textId="55B0B7BC" w:rsidR="004421DD" w:rsidRDefault="004421DD">
      <w:pPr>
        <w:pStyle w:val="TDC2"/>
        <w:rPr>
          <w:rFonts w:asciiTheme="minorHAnsi" w:eastAsiaTheme="minorEastAsia" w:hAnsiTheme="minorHAnsi" w:cstheme="minorBidi"/>
          <w:noProof/>
          <w:szCs w:val="22"/>
          <w:lang w:val="es-ES" w:eastAsia="es-ES"/>
        </w:rPr>
      </w:pPr>
      <w:hyperlink w:anchor="_Toc94176416" w:history="1">
        <w:r w:rsidRPr="000E1F3D">
          <w:rPr>
            <w:rStyle w:val="Hipervnculo"/>
            <w:noProof/>
          </w:rPr>
          <w:t>IV.3. Amaierako konklusioa eta gomendioak</w:t>
        </w:r>
        <w:r>
          <w:rPr>
            <w:noProof/>
            <w:webHidden/>
          </w:rPr>
          <w:tab/>
        </w:r>
        <w:r>
          <w:rPr>
            <w:noProof/>
            <w:webHidden/>
          </w:rPr>
          <w:fldChar w:fldCharType="begin"/>
        </w:r>
        <w:r>
          <w:rPr>
            <w:noProof/>
            <w:webHidden/>
          </w:rPr>
          <w:instrText xml:space="preserve"> PAGEREF _Toc94176416 \h </w:instrText>
        </w:r>
        <w:r>
          <w:rPr>
            <w:noProof/>
            <w:webHidden/>
          </w:rPr>
        </w:r>
        <w:r>
          <w:rPr>
            <w:noProof/>
            <w:webHidden/>
          </w:rPr>
          <w:fldChar w:fldCharType="separate"/>
        </w:r>
        <w:r>
          <w:rPr>
            <w:noProof/>
            <w:webHidden/>
          </w:rPr>
          <w:t>14</w:t>
        </w:r>
        <w:r>
          <w:rPr>
            <w:noProof/>
            <w:webHidden/>
          </w:rPr>
          <w:fldChar w:fldCharType="end"/>
        </w:r>
      </w:hyperlink>
    </w:p>
    <w:p w14:paraId="77476E64" w14:textId="642EFDBB" w:rsidR="00891D73" w:rsidRDefault="0014728F" w:rsidP="0004218B">
      <w:pPr>
        <w:pStyle w:val="texto"/>
      </w:pPr>
      <w:r>
        <w:fldChar w:fldCharType="end"/>
      </w:r>
    </w:p>
    <w:p w14:paraId="0A62E6B2" w14:textId="77777777" w:rsidR="00891D73" w:rsidRDefault="00891D73" w:rsidP="00891D73">
      <w:pPr>
        <w:pStyle w:val="texto"/>
      </w:pPr>
    </w:p>
    <w:p w14:paraId="0F38F197" w14:textId="77777777" w:rsidR="00891D73" w:rsidRPr="00E703B6" w:rsidRDefault="00891D73" w:rsidP="00E703B6"/>
    <w:p w14:paraId="1698E6CE" w14:textId="77777777"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14:paraId="02DB221D" w14:textId="77777777" w:rsidR="00C9781F" w:rsidRPr="003A493B" w:rsidRDefault="00C9781F" w:rsidP="00C9781F">
      <w:pPr>
        <w:pStyle w:val="atitulo1"/>
        <w:spacing w:before="240"/>
      </w:pPr>
      <w:bookmarkStart w:id="0" w:name="_Toc3461799"/>
      <w:bookmarkStart w:id="1" w:name="_Toc94176410"/>
      <w:r>
        <w:lastRenderedPageBreak/>
        <w:t>I. Sarrera</w:t>
      </w:r>
      <w:bookmarkEnd w:id="0"/>
      <w:bookmarkEnd w:id="1"/>
    </w:p>
    <w:p w14:paraId="2BB86BA2" w14:textId="77777777" w:rsidR="00D42B7C" w:rsidRPr="00D42B7C" w:rsidRDefault="00CD3F00" w:rsidP="00750C68">
      <w:pPr>
        <w:pStyle w:val="texto"/>
        <w:tabs>
          <w:tab w:val="clear" w:pos="2835"/>
          <w:tab w:val="clear" w:pos="3969"/>
          <w:tab w:val="clear" w:pos="5103"/>
          <w:tab w:val="clear" w:pos="6237"/>
          <w:tab w:val="clear" w:pos="7371"/>
        </w:tabs>
        <w:spacing w:before="120" w:after="120"/>
        <w:rPr>
          <w:szCs w:val="26"/>
        </w:rPr>
      </w:pPr>
      <w:r>
        <w:t xml:space="preserve">2010eko ekainean, Parlamentuak eskaturik, Kontuen Ganberak txostena egin zuen Los Arcosko Abiadura Zirkuituari buruz. Bertan aztertu zituen Nafarroako Foru Komunitateko Administrazioak egindako jarduketa eta administrazio horrek Nafarroako Inbertsioak eta Azpiegiturak Sustatzeko Sozietatea (SPRIN) enpresa publikoaren bidez egindakoa; zehazki, honako hauek aztertu zituen ganbera honek: eragiketaren balio ekonomikoa (proiektuaren kostua eta bideragarritasuna), jarduketaren lege alderdiak —tartean, obren adjudikazioa eta </w:t>
      </w:r>
      <w:proofErr w:type="spellStart"/>
      <w:r>
        <w:t>UPSaren</w:t>
      </w:r>
      <w:proofErr w:type="spellEnd"/>
      <w:r>
        <w:t xml:space="preserve"> ingurukoak— eta eraikitzaileak lortutako mozkina.</w:t>
      </w:r>
    </w:p>
    <w:p w14:paraId="5D05E910" w14:textId="77777777" w:rsidR="00497600" w:rsidRDefault="00497600" w:rsidP="00750C68">
      <w:pPr>
        <w:pStyle w:val="texto"/>
        <w:tabs>
          <w:tab w:val="clear" w:pos="2835"/>
          <w:tab w:val="clear" w:pos="3969"/>
          <w:tab w:val="clear" w:pos="5103"/>
          <w:tab w:val="clear" w:pos="6237"/>
          <w:tab w:val="clear" w:pos="7371"/>
        </w:tabs>
        <w:spacing w:before="120" w:after="120"/>
        <w:rPr>
          <w:szCs w:val="26"/>
        </w:rPr>
      </w:pPr>
      <w:r>
        <w:t>Nafarroako Parlamentuko Eledunen Batzarrak, 2020ko urriaren 19ko bilkuran, erabaki zuen legebiltzarrari txostena eskatzea gai honi buruz: “</w:t>
      </w:r>
      <w:r>
        <w:rPr>
          <w:i/>
          <w:szCs w:val="26"/>
        </w:rPr>
        <w:t>Nafarroako Zirkuituaren errentamendu prozesuen fiskalizazioa (2014 eta 2019)</w:t>
      </w:r>
      <w:r>
        <w:t>”.</w:t>
      </w:r>
    </w:p>
    <w:p w14:paraId="46CAF908" w14:textId="77777777" w:rsidR="00497600" w:rsidRPr="00902A4B" w:rsidRDefault="00497600" w:rsidP="00750C68">
      <w:pPr>
        <w:pStyle w:val="texto"/>
        <w:tabs>
          <w:tab w:val="clear" w:pos="2835"/>
          <w:tab w:val="clear" w:pos="3969"/>
          <w:tab w:val="clear" w:pos="5103"/>
          <w:tab w:val="clear" w:pos="6237"/>
          <w:tab w:val="clear" w:pos="7371"/>
        </w:tabs>
        <w:spacing w:before="120" w:after="120"/>
        <w:rPr>
          <w:szCs w:val="26"/>
        </w:rPr>
      </w:pPr>
      <w:r>
        <w:t xml:space="preserve">Lan hori 2020ko fiskalizazio-programan sartu zen. Auditoretzako teknikari batek eta </w:t>
      </w:r>
      <w:proofErr w:type="spellStart"/>
      <w:r>
        <w:t>auditore</w:t>
      </w:r>
      <w:proofErr w:type="spellEnd"/>
      <w:r>
        <w:t xml:space="preserve"> batek osatutako lantaldeak egin du, Kontuen Ganberaren zerbitzu juridikoekin, informatikoekin eta administratiboekin lankidetzan. </w:t>
      </w:r>
    </w:p>
    <w:p w14:paraId="73C08929" w14:textId="77777777" w:rsidR="001F4AFD" w:rsidRPr="00897FA4" w:rsidRDefault="00497600" w:rsidP="00750C68">
      <w:pPr>
        <w:pStyle w:val="texto"/>
        <w:tabs>
          <w:tab w:val="clear" w:pos="2835"/>
          <w:tab w:val="clear" w:pos="3969"/>
          <w:tab w:val="clear" w:pos="5103"/>
          <w:tab w:val="clear" w:pos="6237"/>
          <w:tab w:val="clear" w:pos="7371"/>
        </w:tabs>
        <w:spacing w:before="120" w:after="120"/>
        <w:rPr>
          <w:szCs w:val="26"/>
        </w:rPr>
      </w:pPr>
      <w:r>
        <w:t>Txostenak lau atal dauzka, sarrera hau barne; bigarrenean Nafarroako Zirkuituaren (hemendik aurrera, NZ) alderdi orokorrak eta 2014tik 2019ra bitarteko errentamenduarenak azaltzen dira; hirugarrenak lanaren helburuak eta norainokoa biltzen ditu, eta laugarrenak ateratako konklusioak eta gomendioak azaltzen ditu.</w:t>
      </w:r>
    </w:p>
    <w:p w14:paraId="3C5AE141" w14:textId="77777777" w:rsidR="001F4AFD" w:rsidRPr="00897FA4" w:rsidRDefault="001F4AFD" w:rsidP="00750C68">
      <w:pPr>
        <w:pStyle w:val="texto"/>
        <w:spacing w:before="120" w:after="120"/>
      </w:pPr>
      <w:r>
        <w:t xml:space="preserve">Nafarroako Kontuen Ganbera arautzen duen 19/1984 Foru Legearen 11. artikuluan ezarritakoari jarraituz, lan honen emaitzak erakutsi zitzaizkien Kultura eta Kiroleko kontseilariari, Nafarroako Enpresa Korporazio Publikoa </w:t>
      </w:r>
      <w:proofErr w:type="spellStart"/>
      <w:r>
        <w:t>SLUko</w:t>
      </w:r>
      <w:proofErr w:type="spellEnd"/>
      <w:r>
        <w:t xml:space="preserve"> zuzendari nagusiari eta Navarra de </w:t>
      </w:r>
      <w:proofErr w:type="spellStart"/>
      <w:r>
        <w:t>Infraestructuras</w:t>
      </w:r>
      <w:proofErr w:type="spellEnd"/>
      <w:r>
        <w:t xml:space="preserve"> de </w:t>
      </w:r>
      <w:proofErr w:type="spellStart"/>
      <w:r>
        <w:t>Cultura</w:t>
      </w:r>
      <w:proofErr w:type="spellEnd"/>
      <w:r>
        <w:t xml:space="preserve">, </w:t>
      </w:r>
      <w:proofErr w:type="spellStart"/>
      <w:r>
        <w:t>Deporte</w:t>
      </w:r>
      <w:proofErr w:type="spellEnd"/>
      <w:r>
        <w:t xml:space="preserve"> y </w:t>
      </w:r>
      <w:proofErr w:type="spellStart"/>
      <w:r>
        <w:t>Ocio</w:t>
      </w:r>
      <w:proofErr w:type="spellEnd"/>
      <w:r>
        <w:t xml:space="preserve"> enpresako zuzendari kudeatzaileari, alegazioak egin zitzaten.</w:t>
      </w:r>
    </w:p>
    <w:p w14:paraId="05806218" w14:textId="77777777" w:rsidR="001F4AFD" w:rsidRPr="00897FA4" w:rsidRDefault="00705B70" w:rsidP="00750C68">
      <w:pPr>
        <w:pStyle w:val="texto"/>
        <w:spacing w:before="120" w:after="120"/>
      </w:pPr>
      <w:r>
        <w:t>Kontuen Ganberak ezarritako epean ez da alegaziorik aurkeztu. Beraz, epea iraganik, txosten hau behin betikoa bilakatu da.</w:t>
      </w:r>
    </w:p>
    <w:p w14:paraId="293FE047" w14:textId="77777777" w:rsidR="00497600" w:rsidRDefault="00497600" w:rsidP="00750C68">
      <w:pPr>
        <w:pStyle w:val="texto"/>
        <w:tabs>
          <w:tab w:val="clear" w:pos="2835"/>
          <w:tab w:val="clear" w:pos="3969"/>
          <w:tab w:val="clear" w:pos="5103"/>
          <w:tab w:val="clear" w:pos="6237"/>
          <w:tab w:val="clear" w:pos="7371"/>
        </w:tabs>
        <w:spacing w:before="120" w:after="120"/>
        <w:rPr>
          <w:szCs w:val="26"/>
        </w:rPr>
      </w:pPr>
      <w:r>
        <w:t xml:space="preserve">Eskerrak ematen dizkiegu Nafarroako Enpresa Korporazio Publikoa SLU (hemendik aurrera, NEKP) enpresako langileei eta Navarra de </w:t>
      </w:r>
      <w:proofErr w:type="spellStart"/>
      <w:r>
        <w:t>Infraestructuras</w:t>
      </w:r>
      <w:proofErr w:type="spellEnd"/>
      <w:r>
        <w:t xml:space="preserve"> de </w:t>
      </w:r>
      <w:proofErr w:type="spellStart"/>
      <w:r>
        <w:t>Cultura</w:t>
      </w:r>
      <w:proofErr w:type="spellEnd"/>
      <w:r>
        <w:t xml:space="preserve">, </w:t>
      </w:r>
      <w:proofErr w:type="spellStart"/>
      <w:r>
        <w:t>Deporte</w:t>
      </w:r>
      <w:proofErr w:type="spellEnd"/>
      <w:r>
        <w:t xml:space="preserve"> y </w:t>
      </w:r>
      <w:proofErr w:type="spellStart"/>
      <w:r>
        <w:t>Ocio</w:t>
      </w:r>
      <w:proofErr w:type="spellEnd"/>
      <w:r>
        <w:t xml:space="preserve"> (hemendik aurrera, NICDO) enpresakoei, lan hau egiteko emandako laguntzagatik.</w:t>
      </w:r>
    </w:p>
    <w:p w14:paraId="128BC80E" w14:textId="77777777" w:rsidR="001C64DC" w:rsidRDefault="001C64DC" w:rsidP="00750C68">
      <w:pPr>
        <w:spacing w:before="120" w:after="120"/>
        <w:ind w:firstLine="0"/>
        <w:jc w:val="left"/>
        <w:rPr>
          <w:spacing w:val="6"/>
          <w:sz w:val="26"/>
          <w:szCs w:val="24"/>
        </w:rPr>
      </w:pPr>
      <w:r>
        <w:br w:type="page"/>
      </w:r>
    </w:p>
    <w:p w14:paraId="178686C6" w14:textId="77777777" w:rsidR="002422F8" w:rsidRPr="009B6C7A" w:rsidRDefault="002422F8" w:rsidP="002422F8">
      <w:pPr>
        <w:pStyle w:val="atitulo1"/>
      </w:pPr>
      <w:bookmarkStart w:id="2" w:name="_Toc41485550"/>
      <w:bookmarkStart w:id="3" w:name="_Toc11396076"/>
      <w:bookmarkStart w:id="4" w:name="_Toc94176411"/>
      <w:r>
        <w:lastRenderedPageBreak/>
        <w:t xml:space="preserve">II. </w:t>
      </w:r>
      <w:bookmarkEnd w:id="2"/>
      <w:r>
        <w:t>Nafarroako Zirkuitua</w:t>
      </w:r>
      <w:bookmarkEnd w:id="4"/>
    </w:p>
    <w:p w14:paraId="1EED0A8F" w14:textId="77777777" w:rsidR="00591B20" w:rsidRDefault="00271B66" w:rsidP="00271B66">
      <w:pPr>
        <w:pStyle w:val="texto"/>
        <w:spacing w:before="120" w:after="120"/>
        <w:rPr>
          <w:szCs w:val="26"/>
        </w:rPr>
      </w:pPr>
      <w:bookmarkStart w:id="5" w:name="_Toc64533915"/>
      <w:bookmarkStart w:id="6" w:name="_Toc398207038"/>
      <w:bookmarkStart w:id="7" w:name="_Toc432757087"/>
      <w:bookmarkStart w:id="8" w:name="_Toc447195021"/>
      <w:bookmarkStart w:id="9" w:name="_Toc477171874"/>
      <w:bookmarkStart w:id="10" w:name="_Toc432757082"/>
      <w:bookmarkStart w:id="11" w:name="_Toc447195015"/>
      <w:bookmarkEnd w:id="3"/>
      <w:proofErr w:type="spellStart"/>
      <w:r>
        <w:t>NZren</w:t>
      </w:r>
      <w:proofErr w:type="spellEnd"/>
      <w:r>
        <w:t xml:space="preserve"> ekimena hasiera batean sektore pribatuan sortu zen, kapitalaren ehuneko 55 sektore pribatukoa eta gainerako ehuneko 45 </w:t>
      </w:r>
      <w:proofErr w:type="spellStart"/>
      <w:r>
        <w:t>NFKArena</w:t>
      </w:r>
      <w:proofErr w:type="spellEnd"/>
      <w:r>
        <w:t xml:space="preserve"> zuen proiektu batean. Gerora, inbertsioak aurrera egin ahala, alderdi pribatuak kapital ekarpenik egiten ez zuenez, azkenean </w:t>
      </w:r>
      <w:proofErr w:type="spellStart"/>
      <w:r>
        <w:t>NFKAk</w:t>
      </w:r>
      <w:proofErr w:type="spellEnd"/>
      <w:r>
        <w:t xml:space="preserve"> bere gain hartu zuen inbertsioa, halako moldez non beraren ekarpenak guztizkoaren ehuneko 95era iritsi ziren eta alderdi pribatuarenak ehuneko 5era murriztu. </w:t>
      </w:r>
    </w:p>
    <w:p w14:paraId="06BAE55F" w14:textId="77777777" w:rsidR="00591B20" w:rsidRPr="00591B20" w:rsidRDefault="00591B20" w:rsidP="00591B20">
      <w:pPr>
        <w:pStyle w:val="texto"/>
        <w:spacing w:before="120" w:after="120"/>
        <w:rPr>
          <w:szCs w:val="26"/>
        </w:rPr>
      </w:pPr>
      <w:r>
        <w:t>Horri dagokionez, ganbera honek kritika egin zion Nafarroako Gobernuak SPRIN enpresa publikoaren bitartez egindako eragiketa horri. 2010eko txosten batean egin zuen kritika, esanez ez zegoela inongo dokumenturik inbertitzaile pribatu batekin proiektuan parte hartzeko erabakia azaltzen zuenik. Egiaztatu genuen aurrez zehaztu gabeko proiektua zela, gerora proiektuaren tamainan egin diren aldaketek erakutsi dutenez. Eta azpimarratu egin genuen honelako inbertsioak beti jaso behar direla agiri egokietan, helburuak, betetze maila neurtzeko adierazleak eta bideragarritasun plana barnean hartuta.</w:t>
      </w:r>
    </w:p>
    <w:p w14:paraId="4AFE23AF" w14:textId="77777777" w:rsidR="00096452" w:rsidRDefault="00271B66" w:rsidP="00750C68">
      <w:pPr>
        <w:pStyle w:val="texto"/>
        <w:tabs>
          <w:tab w:val="clear" w:pos="2835"/>
          <w:tab w:val="clear" w:pos="3969"/>
          <w:tab w:val="clear" w:pos="5103"/>
          <w:tab w:val="clear" w:pos="6237"/>
          <w:tab w:val="clear" w:pos="7371"/>
        </w:tabs>
        <w:spacing w:before="120" w:after="120"/>
        <w:rPr>
          <w:szCs w:val="26"/>
        </w:rPr>
      </w:pPr>
      <w:r>
        <w:t>Los Arcosen kokatutako Nafarroako Zirkuitua, azkenik, motorrean espezializatutako aisia eta kirol eremu bilakatu zen eta 2010eko ekainean inauguratu zen, 55 milioiko kostuarekin</w:t>
      </w:r>
      <w:r w:rsidR="009F07B0">
        <w:rPr>
          <w:rStyle w:val="Refdenotaalpie"/>
          <w:szCs w:val="26"/>
        </w:rPr>
        <w:footnoteReference w:id="1"/>
      </w:r>
      <w:r>
        <w:t xml:space="preserve">; haren instalazioak prestaturik daude bai ekitaldi korporatiboak bai aisiakoak hartzeko. Bost pista espezifiko ditu: abiadura-zirkuitua, </w:t>
      </w:r>
      <w:proofErr w:type="spellStart"/>
      <w:r>
        <w:t>karting</w:t>
      </w:r>
      <w:proofErr w:type="spellEnd"/>
      <w:r>
        <w:t xml:space="preserve"> zirkuitua, </w:t>
      </w:r>
      <w:proofErr w:type="spellStart"/>
      <w:r>
        <w:t>autocross</w:t>
      </w:r>
      <w:proofErr w:type="spellEnd"/>
      <w:r>
        <w:t xml:space="preserve"> pista, pista irristakorra eta 4×4 gunea.</w:t>
      </w:r>
    </w:p>
    <w:p w14:paraId="12ABD6EE" w14:textId="77777777" w:rsidR="00A70A43" w:rsidRDefault="00096452" w:rsidP="00750C68">
      <w:pPr>
        <w:pStyle w:val="texto"/>
        <w:tabs>
          <w:tab w:val="clear" w:pos="2835"/>
          <w:tab w:val="clear" w:pos="3969"/>
          <w:tab w:val="clear" w:pos="5103"/>
          <w:tab w:val="clear" w:pos="6237"/>
          <w:tab w:val="clear" w:pos="7371"/>
        </w:tabs>
        <w:spacing w:before="120" w:after="120"/>
        <w:rPr>
          <w:szCs w:val="26"/>
        </w:rPr>
      </w:pPr>
      <w:proofErr w:type="spellStart"/>
      <w:r>
        <w:t>NZren</w:t>
      </w:r>
      <w:proofErr w:type="spellEnd"/>
      <w:r>
        <w:t xml:space="preserve"> jabea NICDO sozietate publikoa da, eta NEKP da sozietate horretako bazkide bakarra. </w:t>
      </w:r>
      <w:proofErr w:type="spellStart"/>
      <w:r>
        <w:t>Circuito</w:t>
      </w:r>
      <w:proofErr w:type="spellEnd"/>
      <w:r>
        <w:t xml:space="preserve"> Los Arcos SL sozietate publikoak kudeatu zuen azpiegitura; Nafarroako enpresa sektore publikoaren 2011ko berregituratze prozesuaren ondoren Navarra </w:t>
      </w:r>
      <w:proofErr w:type="spellStart"/>
      <w:r>
        <w:t>Deporte</w:t>
      </w:r>
      <w:proofErr w:type="spellEnd"/>
      <w:r>
        <w:t xml:space="preserve"> y </w:t>
      </w:r>
      <w:proofErr w:type="spellStart"/>
      <w:r>
        <w:t>Ocio</w:t>
      </w:r>
      <w:proofErr w:type="spellEnd"/>
      <w:r>
        <w:t xml:space="preserve"> SL izena hartu zuen, eta geroago NICDO izena. 2013an, azpiegitura errentan emateko aukera planteatu zen, bost milioiko ustiapen-defizit metatua zuela eta. </w:t>
      </w:r>
    </w:p>
    <w:p w14:paraId="65612095" w14:textId="77777777" w:rsidR="00F76B67" w:rsidRDefault="002975A2" w:rsidP="00750C68">
      <w:pPr>
        <w:pStyle w:val="texto"/>
        <w:tabs>
          <w:tab w:val="clear" w:pos="2835"/>
          <w:tab w:val="clear" w:pos="3969"/>
          <w:tab w:val="clear" w:pos="5103"/>
          <w:tab w:val="clear" w:pos="6237"/>
          <w:tab w:val="clear" w:pos="7371"/>
        </w:tabs>
        <w:spacing w:before="120" w:after="120"/>
        <w:rPr>
          <w:szCs w:val="26"/>
        </w:rPr>
      </w:pPr>
      <w:r>
        <w:t xml:space="preserve">Hala, 2013ko urrian, </w:t>
      </w:r>
      <w:proofErr w:type="spellStart"/>
      <w:r>
        <w:t>NEKPk</w:t>
      </w:r>
      <w:proofErr w:type="spellEnd"/>
      <w:r>
        <w:t xml:space="preserve"> hautagaiak aukeratzeko prozesua abiarazi zuen Nafarroako Zirkuitua errentan emateko, salerosteko aukera loteslearekin eta lehentasunez erosteko eskubidearekin.  </w:t>
      </w:r>
    </w:p>
    <w:p w14:paraId="5A2BCFD7" w14:textId="77777777" w:rsidR="00F76B67" w:rsidRDefault="00096452" w:rsidP="00750C68">
      <w:pPr>
        <w:pStyle w:val="texto"/>
        <w:tabs>
          <w:tab w:val="clear" w:pos="2835"/>
          <w:tab w:val="clear" w:pos="3969"/>
          <w:tab w:val="clear" w:pos="5103"/>
          <w:tab w:val="clear" w:pos="6237"/>
          <w:tab w:val="clear" w:pos="7371"/>
        </w:tabs>
        <w:spacing w:before="120" w:after="120"/>
        <w:rPr>
          <w:szCs w:val="26"/>
        </w:rPr>
      </w:pPr>
      <w:r>
        <w:t xml:space="preserve">2014ko otsailean </w:t>
      </w:r>
      <w:proofErr w:type="spellStart"/>
      <w:r>
        <w:t>NICDOk</w:t>
      </w:r>
      <w:proofErr w:type="spellEnd"/>
      <w:r>
        <w:t xml:space="preserve"> errentamendu kontratua egin zuen Los Arcos </w:t>
      </w:r>
      <w:proofErr w:type="spellStart"/>
      <w:r>
        <w:t>Motosport</w:t>
      </w:r>
      <w:proofErr w:type="spellEnd"/>
      <w:r>
        <w:t xml:space="preserve"> </w:t>
      </w:r>
      <w:proofErr w:type="spellStart"/>
      <w:r>
        <w:t>SLrekin</w:t>
      </w:r>
      <w:proofErr w:type="spellEnd"/>
      <w:r>
        <w:t xml:space="preserve"> eta haren bazkideekin. Kontratuan sartu ziren bai instalazioak eta bai merkataritza- eta jarduera-funtsa ere. </w:t>
      </w:r>
    </w:p>
    <w:p w14:paraId="5DD15188" w14:textId="77777777" w:rsidR="00F76B67" w:rsidRDefault="00096452" w:rsidP="00750C68">
      <w:pPr>
        <w:pStyle w:val="texto"/>
        <w:tabs>
          <w:tab w:val="clear" w:pos="2835"/>
          <w:tab w:val="clear" w:pos="3969"/>
          <w:tab w:val="clear" w:pos="5103"/>
          <w:tab w:val="clear" w:pos="6237"/>
          <w:tab w:val="clear" w:pos="7371"/>
        </w:tabs>
        <w:spacing w:before="120" w:after="120"/>
        <w:rPr>
          <w:szCs w:val="26"/>
        </w:rPr>
      </w:pPr>
      <w:r>
        <w:t xml:space="preserve">2018ko azaroan, lehengo errentamendu kontratua amaitzear zegoela, bi alderdiek 2019rako luzapena negoziatu zuten. </w:t>
      </w:r>
    </w:p>
    <w:p w14:paraId="4231B3DC" w14:textId="2F6FA5F6" w:rsidR="00F76B67" w:rsidRDefault="00096452" w:rsidP="00750C68">
      <w:pPr>
        <w:pStyle w:val="texto"/>
        <w:tabs>
          <w:tab w:val="clear" w:pos="2835"/>
          <w:tab w:val="clear" w:pos="3969"/>
          <w:tab w:val="clear" w:pos="5103"/>
          <w:tab w:val="clear" w:pos="6237"/>
          <w:tab w:val="clear" w:pos="7371"/>
        </w:tabs>
        <w:spacing w:before="120" w:after="120"/>
        <w:rPr>
          <w:szCs w:val="26"/>
        </w:rPr>
      </w:pPr>
      <w:r>
        <w:t xml:space="preserve">2019ra arte enpresa errentariak ordaindu egiten zuen alokairuagatik adostutako diru kopurua, noizbehinka atzeratzen bazen ere. Baina enpresak ez zuen ordaindu 2019ko bigarren hiruhilekoko alokairua. </w:t>
      </w:r>
    </w:p>
    <w:p w14:paraId="07CDD684" w14:textId="77777777" w:rsidR="00F76B67" w:rsidRPr="00773D2B" w:rsidRDefault="00773D2B" w:rsidP="00750C68">
      <w:pPr>
        <w:pStyle w:val="texto"/>
        <w:tabs>
          <w:tab w:val="clear" w:pos="2835"/>
          <w:tab w:val="clear" w:pos="3969"/>
          <w:tab w:val="clear" w:pos="5103"/>
          <w:tab w:val="clear" w:pos="6237"/>
          <w:tab w:val="clear" w:pos="7371"/>
        </w:tabs>
        <w:spacing w:before="120" w:after="120"/>
        <w:rPr>
          <w:szCs w:val="26"/>
        </w:rPr>
      </w:pPr>
      <w:r>
        <w:lastRenderedPageBreak/>
        <w:t xml:space="preserve">2019ko uztailean hautagaiak aukeratzeko beste prozesu bat egin zen, Nafarroako Zirkuitua errentan emateko, salerosketa-aukerarekin. Prozesu horren ondoren 2020-2024 aldirako kontratua sinatu zen, eta bertan ezarri zen enpresa errentariak gutxienez 500.000 euroko funts berekiak eduki behar zituela Nafarroako Zirkuitua kudeatzen jarraitu ahal izateko. </w:t>
      </w:r>
    </w:p>
    <w:p w14:paraId="7EAB4663" w14:textId="77777777" w:rsidR="00F76B67" w:rsidRDefault="00D90F1F" w:rsidP="00750C68">
      <w:pPr>
        <w:pStyle w:val="texto"/>
        <w:tabs>
          <w:tab w:val="clear" w:pos="2835"/>
          <w:tab w:val="clear" w:pos="3969"/>
          <w:tab w:val="clear" w:pos="5103"/>
          <w:tab w:val="clear" w:pos="6237"/>
          <w:tab w:val="clear" w:pos="7371"/>
        </w:tabs>
        <w:spacing w:before="120" w:after="120"/>
        <w:rPr>
          <w:szCs w:val="26"/>
        </w:rPr>
      </w:pPr>
      <w:r>
        <w:t xml:space="preserve">2019ko azaroan, ikusirik ezin zuela bete 2020ko urtarrilean indarrean jartzekoa zen kontratuan ezarritako betebeharra, hau da, ezin zituela eduki funts bereki horiek, enpresak eskatu zuen uztailean sinatutako errentamendu kontratua suntsiarazteko, eta </w:t>
      </w:r>
      <w:proofErr w:type="spellStart"/>
      <w:r>
        <w:t>NICDOk</w:t>
      </w:r>
      <w:proofErr w:type="spellEnd"/>
      <w:r>
        <w:t xml:space="preserve"> eskaera onartu zion. </w:t>
      </w:r>
    </w:p>
    <w:p w14:paraId="0BB84C43" w14:textId="77777777" w:rsidR="00096452" w:rsidRPr="001F198A" w:rsidRDefault="00F76B67" w:rsidP="00750C68">
      <w:pPr>
        <w:pStyle w:val="texto"/>
        <w:tabs>
          <w:tab w:val="clear" w:pos="2835"/>
          <w:tab w:val="clear" w:pos="3969"/>
          <w:tab w:val="clear" w:pos="5103"/>
          <w:tab w:val="clear" w:pos="6237"/>
          <w:tab w:val="clear" w:pos="7371"/>
        </w:tabs>
        <w:spacing w:before="120" w:after="120"/>
        <w:rPr>
          <w:szCs w:val="26"/>
        </w:rPr>
      </w:pPr>
      <w:r>
        <w:t xml:space="preserve">Hala, instalazioen egoera baloratzeko zenbait txosten kontuan harturik, eta txosten honetako IV.2 atalean xehetasunez azaltzen diren ez-ordaintzeen segida baten ondorioz, enpresak jarritako milioi bateko abalari heldu zitzaion eta guztira 720.467 euro exekutatu ziren abal horretatik. </w:t>
      </w:r>
      <w:r>
        <w:br w:type="page"/>
      </w:r>
    </w:p>
    <w:p w14:paraId="38526967" w14:textId="77777777" w:rsidR="003F445E" w:rsidRPr="00134DF4" w:rsidRDefault="003F445E" w:rsidP="003F445E">
      <w:pPr>
        <w:pStyle w:val="atitulo1"/>
        <w:spacing w:after="160"/>
      </w:pPr>
      <w:bookmarkStart w:id="12" w:name="_Toc94176412"/>
      <w:r>
        <w:lastRenderedPageBreak/>
        <w:t>III. Helburuak eta norainokoa</w:t>
      </w:r>
      <w:bookmarkEnd w:id="12"/>
      <w:r>
        <w:t xml:space="preserve"> </w:t>
      </w:r>
      <w:bookmarkEnd w:id="5"/>
    </w:p>
    <w:p w14:paraId="4CA25DB3" w14:textId="77777777" w:rsidR="00273E51" w:rsidRDefault="00273E51" w:rsidP="00750C68">
      <w:pPr>
        <w:pStyle w:val="texto"/>
        <w:tabs>
          <w:tab w:val="clear" w:pos="2835"/>
          <w:tab w:val="clear" w:pos="3969"/>
          <w:tab w:val="clear" w:pos="5103"/>
          <w:tab w:val="clear" w:pos="6237"/>
          <w:tab w:val="clear" w:pos="7371"/>
        </w:tabs>
        <w:spacing w:before="120" w:after="120"/>
        <w:rPr>
          <w:szCs w:val="26"/>
        </w:rPr>
      </w:pPr>
      <w:bookmarkStart w:id="13" w:name="_Toc41485557"/>
      <w:r>
        <w:t>Parlamentutik jasotako eskaera kontuan hartuta, honako hauek izan dira lan honen helburuak:</w:t>
      </w:r>
    </w:p>
    <w:p w14:paraId="0BF1683C" w14:textId="77777777" w:rsidR="00273E51" w:rsidRPr="00F40420" w:rsidRDefault="00273E51"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rFonts w:cs="Arial"/>
        </w:rPr>
      </w:pPr>
      <w:r>
        <w:t>Nafarroako Zirkuitua errentan emateko 2014an eta 2019an egindako prozesuak berrikustea.</w:t>
      </w:r>
    </w:p>
    <w:p w14:paraId="47386EDC" w14:textId="331B9ACC" w:rsidR="00273E51" w:rsidRPr="00C56CB0" w:rsidRDefault="00273E51"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 xml:space="preserve">2014ko errentamendu kontratuan ezarritako klausulak zenbateraino bete diren ebaluatzea. </w:t>
      </w:r>
    </w:p>
    <w:p w14:paraId="5B01B614" w14:textId="77777777" w:rsidR="00273E51" w:rsidRPr="005355B5" w:rsidRDefault="00273E51" w:rsidP="00750C68">
      <w:pPr>
        <w:pStyle w:val="texto"/>
        <w:spacing w:before="120" w:after="120"/>
        <w:rPr>
          <w:szCs w:val="26"/>
        </w:rPr>
      </w:pPr>
      <w:r>
        <w:t xml:space="preserve">Gure lanaren denbora-esparruak 2014an errentamendua egin zenetik honako txosten hau egin den egunera arteko aldia hartzen du, eta lan hori aurrera eramateko informazio hau aztertu dugu:  </w:t>
      </w:r>
    </w:p>
    <w:p w14:paraId="6BB2F408" w14:textId="77777777" w:rsidR="00273E51" w:rsidRPr="00F40420" w:rsidRDefault="00273E51"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rFonts w:cs="Arial"/>
        </w:rPr>
      </w:pPr>
      <w:r>
        <w:t xml:space="preserve">2014an eta 2019an egindako errentamendu prozesuak. </w:t>
      </w:r>
    </w:p>
    <w:p w14:paraId="4B48BDC8" w14:textId="531A463E" w:rsidR="00273E51" w:rsidRDefault="00273E51"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 xml:space="preserve">Berrikusitako errentamendu espedienteetako agiriak: akta, kontratu, faktura eta abarrekoak. </w:t>
      </w:r>
    </w:p>
    <w:p w14:paraId="40A58AA2" w14:textId="77777777" w:rsidR="00273E51" w:rsidRDefault="00FD2F9C" w:rsidP="00750C68">
      <w:pPr>
        <w:pStyle w:val="texto"/>
        <w:tabs>
          <w:tab w:val="clear" w:pos="2835"/>
          <w:tab w:val="clear" w:pos="3969"/>
          <w:tab w:val="clear" w:pos="5103"/>
          <w:tab w:val="clear" w:pos="6237"/>
          <w:tab w:val="clear" w:pos="7371"/>
        </w:tabs>
        <w:spacing w:before="120" w:after="120"/>
        <w:rPr>
          <w:szCs w:val="26"/>
        </w:rPr>
      </w:pPr>
      <w:r>
        <w:t xml:space="preserve">Gure lanaren norainokoa mugatu ez badu ere, honako hau adierazi behar dugu: zenbait klausula betetzeari buruzko konklusioak ateratzeko, eman diguten dokumentazio teknikoa aztertu dugu, baina ez dugu egin egiaztapen sakonagorik. </w:t>
      </w:r>
    </w:p>
    <w:p w14:paraId="29C42EB0" w14:textId="77777777" w:rsidR="00273E51" w:rsidRDefault="00273E51" w:rsidP="00920EC4">
      <w:pPr>
        <w:tabs>
          <w:tab w:val="left" w:pos="8789"/>
        </w:tabs>
        <w:spacing w:after="0"/>
        <w:ind w:firstLine="0"/>
        <w:jc w:val="left"/>
        <w:rPr>
          <w:spacing w:val="6"/>
          <w:sz w:val="26"/>
          <w:szCs w:val="26"/>
        </w:rPr>
      </w:pPr>
      <w:r>
        <w:br w:type="page"/>
      </w:r>
    </w:p>
    <w:p w14:paraId="663FD480" w14:textId="77777777" w:rsidR="002422F8" w:rsidRPr="00BB1925" w:rsidRDefault="002422F8" w:rsidP="002422F8">
      <w:pPr>
        <w:pStyle w:val="atitulo1"/>
      </w:pPr>
      <w:bookmarkStart w:id="14" w:name="_Toc94176413"/>
      <w:r>
        <w:lastRenderedPageBreak/>
        <w:t>IV. Konklusioak eta gomendioak</w:t>
      </w:r>
      <w:bookmarkEnd w:id="13"/>
      <w:bookmarkEnd w:id="14"/>
    </w:p>
    <w:p w14:paraId="39C8260A" w14:textId="77777777" w:rsidR="002422F8" w:rsidRPr="005543B7" w:rsidRDefault="002422F8" w:rsidP="00D240DE">
      <w:pPr>
        <w:pStyle w:val="atitulo3"/>
        <w:spacing w:before="240"/>
      </w:pPr>
      <w:r>
        <w:t xml:space="preserve">Nafarroako Foru Komunitateko Administrazioaren erantzukizuna </w:t>
      </w:r>
    </w:p>
    <w:p w14:paraId="4E682AEB" w14:textId="77777777" w:rsidR="00273E51" w:rsidRDefault="00273E51" w:rsidP="00750C68">
      <w:pPr>
        <w:pStyle w:val="texto"/>
        <w:spacing w:before="120" w:after="120"/>
      </w:pPr>
      <w:r>
        <w:t>Nafarroako Zirkuituaren kudeaketaren arduraduna NICDO da. Berak bermatu behar du kudeaketa horrekin zerikusia duten jarduerak bat datozela aplikatu beharreko arauekin, eta beharrezkotzat jotzen dituen barne-kontroleko sistemak ezarri behar ditu kudeaketa hori egokiro egin dadin.</w:t>
      </w:r>
    </w:p>
    <w:p w14:paraId="0D4358AF" w14:textId="77777777" w:rsidR="002422F8" w:rsidRPr="00F377C9" w:rsidRDefault="00526ACA" w:rsidP="00D240DE">
      <w:pPr>
        <w:pStyle w:val="atitulo3"/>
        <w:spacing w:before="240"/>
      </w:pPr>
      <w:r>
        <w:t>Nafarroako Kontuen Ganberaren erantzukizuna</w:t>
      </w:r>
    </w:p>
    <w:p w14:paraId="6BADE6D9" w14:textId="77777777" w:rsidR="002422F8" w:rsidRPr="00135F74" w:rsidRDefault="002422F8" w:rsidP="00657F27">
      <w:pPr>
        <w:pStyle w:val="texto"/>
        <w:spacing w:before="120" w:after="120"/>
      </w:pPr>
      <w:r>
        <w:t>Gure ardura da gure fiskalizazioan oinarritutako konklusioak ateratzea Nafarroako Zirkuitua errentan emateko 2014ko eta 2019ko prozesuei buruz, 2014ko errentamendu kontratuan ezarritako klausulak betetzeari buruz eta Nafarroako Zirkuituaren egungo kudeaketari buruz.</w:t>
      </w:r>
    </w:p>
    <w:p w14:paraId="097DF24B" w14:textId="77777777" w:rsidR="002422F8" w:rsidRDefault="002422F8" w:rsidP="00657F27">
      <w:pPr>
        <w:pStyle w:val="texto"/>
        <w:spacing w:before="120" w:after="120"/>
      </w:pPr>
      <w:r>
        <w:t xml:space="preserve">Horretarako, aipatutako fiskalizazioa egin dugu Kanpo Kontroleko Erakunde Publikoek dituzten oinarrizko fiskalizazio-printzipioak erabiliz; zehazki, legezkotasuna betetzeari buruzko fiskalizazioetarako ISSAI-ES 400 arauan ezarritakoak. Printzipio horiek eskatzen dute etikaren arloko eskakizunak bete ditzagula, bai eta auditoretza planifikatu eta gauzatu dezagula ere, halako moduz non lortuko baitugu Nafarroako Zirkuituaren kudeaketan erabilitako prozeduren ezagutza egokia, bai eta informazioa oker materialik gabekoa izateari buruz arrazoizko segurtasun bat izatea ere, alderdi adierazgarri guztietan, indarreko araudiarekin bat. </w:t>
      </w:r>
    </w:p>
    <w:p w14:paraId="3FC4EA9B" w14:textId="77777777" w:rsidR="002422F8" w:rsidRDefault="002422F8" w:rsidP="00657F27">
      <w:pPr>
        <w:pStyle w:val="texto"/>
        <w:spacing w:before="120" w:after="120"/>
      </w:pPr>
      <w:r>
        <w:t xml:space="preserve">Fiskalizazio batek prozedurak aplikatzea eskatzen du, kudeaketan erabilitako prozedurei buruzko eta fiskalizatutako ekitaldietan araudian ezarritako alderdi garrantzitsuak betetzeari buruzko auditoretza-ebidentzia lortzeko. </w:t>
      </w:r>
    </w:p>
    <w:p w14:paraId="00692177" w14:textId="77777777" w:rsidR="002422F8" w:rsidRDefault="002422F8" w:rsidP="00657F27">
      <w:pPr>
        <w:pStyle w:val="texto"/>
        <w:spacing w:before="120" w:after="120"/>
      </w:pPr>
      <w:r>
        <w:t xml:space="preserve">Hautatutako prozedurak </w:t>
      </w:r>
      <w:proofErr w:type="spellStart"/>
      <w:r>
        <w:t>auditorearen</w:t>
      </w:r>
      <w:proofErr w:type="spellEnd"/>
      <w:r>
        <w:t xml:space="preserve"> irizpidearen araberakoak dira, barne dela akats materialei buruzko arriskuen balorazioa, akats hori iruzurraren nahiz akatsaren ondoriozkoa denean eta legezkotasunaren ez-betetze aipagarrien ondoriozkoa denean. Arriskuaren balorazio horiek egitean, </w:t>
      </w:r>
      <w:proofErr w:type="spellStart"/>
      <w:r>
        <w:t>auditoreak</w:t>
      </w:r>
      <w:proofErr w:type="spellEnd"/>
      <w:r>
        <w:t xml:space="preserve"> kontuan hartzen du aztertutako kudeaketarako garrantzitsua den barne-kontrola, inguruabarren arabera egokiak diren auditoretza-prozedurak diseinatzeko. </w:t>
      </w:r>
    </w:p>
    <w:p w14:paraId="5C358DF2" w14:textId="77777777" w:rsidR="00F14A0B" w:rsidRDefault="002422F8" w:rsidP="00657F27">
      <w:pPr>
        <w:pStyle w:val="texto"/>
        <w:spacing w:before="120" w:after="120"/>
        <w:rPr>
          <w:szCs w:val="26"/>
        </w:rPr>
      </w:pPr>
      <w:r>
        <w:t>Gure ustez, lortu dugun auditoretza-ebidentziak oinarri nahikoa eta egokia eskaintzen du Nafarroako Zirkuituaren kudeaketaren gaineko konklusioa atera ahal izateko.</w:t>
      </w:r>
    </w:p>
    <w:p w14:paraId="0D937434" w14:textId="77777777" w:rsidR="00F14A0B" w:rsidRDefault="00F14A0B">
      <w:pPr>
        <w:spacing w:after="0"/>
        <w:ind w:firstLine="0"/>
        <w:jc w:val="left"/>
        <w:rPr>
          <w:spacing w:val="6"/>
          <w:sz w:val="26"/>
          <w:szCs w:val="26"/>
        </w:rPr>
      </w:pPr>
      <w:r>
        <w:br w:type="page"/>
      </w:r>
    </w:p>
    <w:p w14:paraId="6CDDB758" w14:textId="77777777" w:rsidR="001E0083" w:rsidRPr="005A1E61" w:rsidRDefault="001E0083" w:rsidP="002C0A84">
      <w:pPr>
        <w:pStyle w:val="atitulo2"/>
        <w:spacing w:before="240"/>
      </w:pPr>
      <w:bookmarkStart w:id="15" w:name="_Toc40889398"/>
      <w:bookmarkStart w:id="16" w:name="_Toc41649700"/>
      <w:bookmarkStart w:id="17" w:name="_Toc41485560"/>
      <w:bookmarkStart w:id="18" w:name="_Toc94176414"/>
      <w:r>
        <w:lastRenderedPageBreak/>
        <w:t xml:space="preserve">IV.1. </w:t>
      </w:r>
      <w:bookmarkEnd w:id="15"/>
      <w:bookmarkEnd w:id="16"/>
      <w:r>
        <w:t>Nafarroako Zirkuitua errentan emateko 2014ko eta 2019ko prozeduren berrikuspena</w:t>
      </w:r>
      <w:bookmarkEnd w:id="18"/>
    </w:p>
    <w:p w14:paraId="10CF9D9D" w14:textId="77777777" w:rsidR="00D51C9B" w:rsidRPr="005A1E61" w:rsidRDefault="00D51C9B" w:rsidP="00901C19">
      <w:pPr>
        <w:pStyle w:val="atitulo3"/>
        <w:spacing w:before="240"/>
      </w:pPr>
      <w:bookmarkStart w:id="19" w:name="_Toc41485563"/>
      <w:bookmarkEnd w:id="17"/>
      <w:r>
        <w:t>IV.1.1. Nafarroako Zirkuituaren 2014ko errentamendua</w:t>
      </w:r>
    </w:p>
    <w:p w14:paraId="07DE4038" w14:textId="77777777" w:rsidR="00773BB1" w:rsidRDefault="001411A1" w:rsidP="00750C68">
      <w:pPr>
        <w:pStyle w:val="texto"/>
        <w:spacing w:before="120" w:after="120"/>
        <w:rPr>
          <w:szCs w:val="26"/>
        </w:rPr>
      </w:pPr>
      <w:r>
        <w:t xml:space="preserve">Arestian azaldu denez, 2013ko urrian </w:t>
      </w:r>
      <w:proofErr w:type="spellStart"/>
      <w:r>
        <w:t>NEKPk</w:t>
      </w:r>
      <w:proofErr w:type="spellEnd"/>
      <w:r>
        <w:t xml:space="preserve"> hautagaiak aukeratzeko prozesua abiarazi zuen Nafarroako Zirkuitua errentan emateko, salerosteko aukera loteslearekin eta lehentasunez erosteko eskubidearekin.</w:t>
      </w:r>
    </w:p>
    <w:p w14:paraId="74524FF3" w14:textId="77777777" w:rsidR="00DB13A6" w:rsidRDefault="00CE3C97" w:rsidP="00750C68">
      <w:pPr>
        <w:pStyle w:val="texto"/>
        <w:spacing w:before="120" w:after="120"/>
      </w:pPr>
      <w:r>
        <w:t>Badago eragiketa horren alderdi ekonomikoei eta haren balorazioari buruzko txosten bat. Bertan puntu hauek aztertu ziren:</w:t>
      </w:r>
    </w:p>
    <w:p w14:paraId="14D2128B" w14:textId="77777777" w:rsidR="00DB13A6" w:rsidRPr="005A1E61" w:rsidRDefault="00DB13A6"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rFonts w:cs="Arial"/>
        </w:rPr>
      </w:pPr>
      <w:r>
        <w:t xml:space="preserve">Errentamendu eragiketak </w:t>
      </w:r>
      <w:proofErr w:type="spellStart"/>
      <w:r>
        <w:t>NEKPn</w:t>
      </w:r>
      <w:proofErr w:type="spellEnd"/>
      <w:r>
        <w:t xml:space="preserve"> izan zezakeen eragina, kudeaketa berekiaren ereduarekin jarraitzeko aukerarekin alderatuta: txostenean ondorioztatzen da ezen, kontuan harturik </w:t>
      </w:r>
      <w:proofErr w:type="spellStart"/>
      <w:r>
        <w:t>NEKPk</w:t>
      </w:r>
      <w:proofErr w:type="spellEnd"/>
      <w:r>
        <w:t xml:space="preserve"> zorraren eta interesen itzulketari aurre egin behar ziola edozein izanda ere Nafarroako Zirkuitua kudeatzeko eredua, errentamendu eragiketa gauzatzen bazen sozietate horrek 5,4 milioiko superabita izanen zuela 2014-2018 aldian; eta, orduko ustiapen ereduarekin jarraituz gero, 4,3 milioi inguruko galerak izanen zituela bitarte berean. </w:t>
      </w:r>
    </w:p>
    <w:p w14:paraId="5A1E1C50" w14:textId="77777777" w:rsidR="00C97CF4" w:rsidRPr="0085545C" w:rsidRDefault="00A70A43"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pPr>
      <w:r>
        <w:t>Nafarroako Zirkuitua 15 milioiren truke saltzeak izan zezakeen eraginaren azterketan konklusio hauek atera ziren, besteak beste:</w:t>
      </w:r>
    </w:p>
    <w:p w14:paraId="5030FD48" w14:textId="77777777" w:rsidR="00107D77" w:rsidRDefault="00BE128C" w:rsidP="00750C68">
      <w:pPr>
        <w:pStyle w:val="texto"/>
        <w:numPr>
          <w:ilvl w:val="1"/>
          <w:numId w:val="43"/>
        </w:numPr>
        <w:tabs>
          <w:tab w:val="clear" w:pos="2835"/>
          <w:tab w:val="clear" w:pos="3969"/>
          <w:tab w:val="clear" w:pos="5103"/>
          <w:tab w:val="clear" w:pos="6237"/>
          <w:tab w:val="clear" w:pos="7371"/>
          <w:tab w:val="left" w:pos="567"/>
        </w:tabs>
        <w:spacing w:before="120" w:after="120"/>
        <w:ind w:left="0" w:firstLine="284"/>
      </w:pPr>
      <w:r>
        <w:t>Gutxi gorabeherako emaitza garbia izanen zen 52,8 milioiko funtsak ateratzea, honela kalkulatuta:</w:t>
      </w:r>
    </w:p>
    <w:p w14:paraId="0271934B" w14:textId="77777777" w:rsidR="00107D77" w:rsidRDefault="00BE128C" w:rsidP="00750C68">
      <w:pPr>
        <w:pStyle w:val="texto"/>
        <w:numPr>
          <w:ilvl w:val="2"/>
          <w:numId w:val="43"/>
        </w:numPr>
        <w:tabs>
          <w:tab w:val="clear" w:pos="2835"/>
          <w:tab w:val="clear" w:pos="3969"/>
          <w:tab w:val="clear" w:pos="5103"/>
          <w:tab w:val="clear" w:pos="6237"/>
          <w:tab w:val="clear" w:pos="7371"/>
          <w:tab w:val="left" w:pos="426"/>
        </w:tabs>
        <w:spacing w:before="120" w:after="120"/>
        <w:ind w:left="0" w:firstLine="284"/>
      </w:pPr>
      <w:r>
        <w:t xml:space="preserve">Gastuak: 69 milioi guztira, hau da, 55 milioiko inbertsioa Nafarroako Zirkuituan, bost milioiko ustiapen-defizita eta bederatzi milioiko interes-ordainketa. </w:t>
      </w:r>
    </w:p>
    <w:p w14:paraId="5A2C5972" w14:textId="77777777" w:rsidR="00BE128C" w:rsidRDefault="00BE128C" w:rsidP="00750C68">
      <w:pPr>
        <w:pStyle w:val="texto"/>
        <w:numPr>
          <w:ilvl w:val="2"/>
          <w:numId w:val="43"/>
        </w:numPr>
        <w:tabs>
          <w:tab w:val="clear" w:pos="2835"/>
          <w:tab w:val="clear" w:pos="3969"/>
          <w:tab w:val="clear" w:pos="5103"/>
          <w:tab w:val="clear" w:pos="6237"/>
          <w:tab w:val="clear" w:pos="7371"/>
          <w:tab w:val="left" w:pos="426"/>
        </w:tabs>
        <w:spacing w:before="120" w:after="120"/>
        <w:ind w:left="0" w:firstLine="284"/>
      </w:pPr>
      <w:r>
        <w:t>Sarrerak: 16,2 milioi guztira, hau da, 1,2 milioi errentamenduaren bidez eta 15 milioi salmentaren bidez.</w:t>
      </w:r>
    </w:p>
    <w:p w14:paraId="727042E7" w14:textId="77777777" w:rsidR="00E9407F" w:rsidRDefault="00C97CF4" w:rsidP="00750C68">
      <w:pPr>
        <w:pStyle w:val="texto"/>
        <w:numPr>
          <w:ilvl w:val="1"/>
          <w:numId w:val="43"/>
        </w:numPr>
        <w:tabs>
          <w:tab w:val="clear" w:pos="2835"/>
          <w:tab w:val="clear" w:pos="3969"/>
          <w:tab w:val="clear" w:pos="5103"/>
          <w:tab w:val="clear" w:pos="6237"/>
          <w:tab w:val="clear" w:pos="7371"/>
          <w:tab w:val="left" w:pos="567"/>
        </w:tabs>
        <w:spacing w:before="120" w:after="120"/>
        <w:ind w:left="0" w:firstLine="284"/>
      </w:pPr>
      <w:r>
        <w:t>Zenbateko horrek ez zuen barnean hartzen Nafarroako Zirkuituak Nafarroan izanen zuen eragin ekonomikoa: milioi bat urtean, 2010-2013 aldiko emaitzak 2014-2018 aldira estrapolatuta.</w:t>
      </w:r>
    </w:p>
    <w:p w14:paraId="57C39C9D" w14:textId="77777777" w:rsidR="000D36FA" w:rsidRDefault="00E9407F" w:rsidP="00750C68">
      <w:pPr>
        <w:pStyle w:val="texto"/>
        <w:numPr>
          <w:ilvl w:val="1"/>
          <w:numId w:val="43"/>
        </w:numPr>
        <w:tabs>
          <w:tab w:val="clear" w:pos="2835"/>
          <w:tab w:val="clear" w:pos="3969"/>
          <w:tab w:val="clear" w:pos="5103"/>
          <w:tab w:val="clear" w:pos="6237"/>
          <w:tab w:val="clear" w:pos="7371"/>
          <w:tab w:val="left" w:pos="567"/>
        </w:tabs>
        <w:spacing w:before="120" w:after="120"/>
        <w:ind w:left="0" w:firstLine="284"/>
      </w:pPr>
      <w:r>
        <w:t xml:space="preserve">Zenbateko horrekin itzuli egin zitekeen 2018ko abenduaren 31n ordaintzeko egonen zen zorra, 14,8 milioikoa. </w:t>
      </w:r>
    </w:p>
    <w:p w14:paraId="065C2741" w14:textId="77777777" w:rsidR="00A70A43" w:rsidRDefault="00A70A43" w:rsidP="00750C68">
      <w:pPr>
        <w:pStyle w:val="texto"/>
        <w:tabs>
          <w:tab w:val="clear" w:pos="2835"/>
          <w:tab w:val="clear" w:pos="3969"/>
          <w:tab w:val="clear" w:pos="5103"/>
          <w:tab w:val="clear" w:pos="6237"/>
          <w:tab w:val="clear" w:pos="7371"/>
        </w:tabs>
        <w:spacing w:before="120" w:after="120"/>
      </w:pPr>
      <w:r>
        <w:t>Bi konklusioak ikusirik, eta kontuan izanik aldagai batzuen zenbatespenak eginez iritsi zela konklusio horietara (errentamenduaren bidezko diru-sarrerak, errentariaren emaitzaren eboluzioari lotuak; kontratuari lotutako kostuak; Nafarroako Zirkuituak Nafarroan izan zezakeen eragin ekonomikoa, eta abar), errentamendu eragiketaren balorazio positiboa egin zen.</w:t>
      </w:r>
    </w:p>
    <w:p w14:paraId="185A9187" w14:textId="77777777" w:rsidR="00B82EA1" w:rsidRDefault="00B82EA1" w:rsidP="00A70A43">
      <w:pPr>
        <w:pStyle w:val="texto"/>
        <w:tabs>
          <w:tab w:val="clear" w:pos="2835"/>
          <w:tab w:val="clear" w:pos="3969"/>
          <w:tab w:val="clear" w:pos="5103"/>
          <w:tab w:val="clear" w:pos="6237"/>
          <w:tab w:val="clear" w:pos="7371"/>
        </w:tabs>
        <w:spacing w:before="120" w:after="120"/>
      </w:pPr>
    </w:p>
    <w:p w14:paraId="658DA243" w14:textId="77777777" w:rsidR="0094780F" w:rsidRDefault="00F242EE" w:rsidP="0094780F">
      <w:pPr>
        <w:pStyle w:val="texto"/>
        <w:spacing w:before="120" w:after="120"/>
      </w:pPr>
      <w:r>
        <w:t xml:space="preserve">Azterketa horren ondoren, </w:t>
      </w:r>
      <w:proofErr w:type="spellStart"/>
      <w:r>
        <w:t>NEKPk</w:t>
      </w:r>
      <w:proofErr w:type="spellEnd"/>
      <w:r>
        <w:t xml:space="preserve"> hautagaiak biltzeko publizitatea egin zuen Kontratazioaren Atarian. Aukeraketa prozesu horretatik ez zen inolako kontratu motarik sortuko, ezta inolako eskubiderik ere, aukeratuko ziren hautagaientzat; </w:t>
      </w:r>
      <w:r>
        <w:lastRenderedPageBreak/>
        <w:t xml:space="preserve">hautagai onenak berdintasunez, gardentasunez eta objektibotasunez aukeratzea beste helbururik ez zuen. </w:t>
      </w:r>
    </w:p>
    <w:p w14:paraId="0596C35A" w14:textId="77777777" w:rsidR="00A2387F" w:rsidRDefault="00A2387F" w:rsidP="00A2387F">
      <w:pPr>
        <w:pStyle w:val="texto"/>
        <w:spacing w:before="120" w:after="120"/>
      </w:pPr>
      <w:r>
        <w:t xml:space="preserve">Lau hautagai aurkeztu ziren eta haietatik bi aukeratu ziren. Badago hautagaien aukeraketari buruzko txosten bat. </w:t>
      </w:r>
      <w:proofErr w:type="spellStart"/>
      <w:r>
        <w:t>NEKPk</w:t>
      </w:r>
      <w:proofErr w:type="spellEnd"/>
      <w:r>
        <w:t xml:space="preserve"> bi hautagairekin jarri zuen abian </w:t>
      </w:r>
      <w:proofErr w:type="spellStart"/>
      <w:r>
        <w:t>term</w:t>
      </w:r>
      <w:proofErr w:type="spellEnd"/>
      <w:r>
        <w:t xml:space="preserve"> </w:t>
      </w:r>
      <w:proofErr w:type="spellStart"/>
      <w:r>
        <w:t>sheet</w:t>
      </w:r>
      <w:proofErr w:type="spellEnd"/>
      <w:r>
        <w:t xml:space="preserve"> edo kontratuaren negoziazioan bete beharreko gutxieneko baldintzen agiriaren jakinarazpena. Ondoren eskaintzak aurkeztu ziren, eta badago horien gaineko ebaluazio-txosten bat.</w:t>
      </w:r>
    </w:p>
    <w:p w14:paraId="03D11377" w14:textId="77777777" w:rsidR="00A2387F" w:rsidRPr="0094780F" w:rsidRDefault="00A2387F" w:rsidP="00A2387F">
      <w:pPr>
        <w:pStyle w:val="texto"/>
        <w:spacing w:before="120" w:after="120"/>
      </w:pPr>
      <w:r>
        <w:t>Fase hori amaituta, eskaintza irmo bakarra aurkeztu zen, instalazioa hiru-bost urte bitarterako errentan hartzeko, salerosketarako aukera loteslearekin hirugarren urtetik aurrera, eta lehentasunez erosteko eskubidearekin hirugarrenen erosketa-eskaintzen aldean.</w:t>
      </w:r>
    </w:p>
    <w:p w14:paraId="06E45F73" w14:textId="77777777" w:rsidR="00F76B67" w:rsidRPr="0094780F" w:rsidRDefault="00F76B67" w:rsidP="0094780F">
      <w:pPr>
        <w:pStyle w:val="texto"/>
        <w:spacing w:before="120" w:after="120"/>
      </w:pPr>
      <w:r>
        <w:t xml:space="preserve">2013ko abenduan aurrekontratua egin zen eskaintza irmoa aurkeztu zuen enpresarekin. 2014ko otsailean </w:t>
      </w:r>
      <w:proofErr w:type="spellStart"/>
      <w:r>
        <w:t>NICDOk</w:t>
      </w:r>
      <w:proofErr w:type="spellEnd"/>
      <w:r>
        <w:t xml:space="preserve"> errentamendu kontratua egin zuen. Kontratuan sartu ziren bai instalazioak eta bai merkataritza- eta jarduera-funtsa ere. Enpresa errentariak, ezarritako gutxieneko baldintzak hobetzeko proposamenean, abal gisa eskatzen ziren 500.000 euroen ordez milioi bat jartzea eskaini zuen. </w:t>
      </w:r>
    </w:p>
    <w:p w14:paraId="022E807E" w14:textId="77777777" w:rsidR="00F76B67" w:rsidRPr="002975A2" w:rsidRDefault="00F76B67" w:rsidP="002975A2">
      <w:pPr>
        <w:pStyle w:val="texto"/>
        <w:tabs>
          <w:tab w:val="clear" w:pos="2835"/>
          <w:tab w:val="clear" w:pos="3969"/>
          <w:tab w:val="clear" w:pos="5103"/>
          <w:tab w:val="clear" w:pos="6237"/>
          <w:tab w:val="clear" w:pos="7371"/>
        </w:tabs>
        <w:spacing w:after="100"/>
      </w:pPr>
      <w:r>
        <w:t xml:space="preserve">Kontratuan 36 klausula jaso ziren, hainbat gairi buruzkoak. Honako hauek nabarmendu behar ditugu: </w:t>
      </w:r>
    </w:p>
    <w:p w14:paraId="4D0420B6" w14:textId="77777777" w:rsidR="00F76B67" w:rsidRPr="002975A2"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 xml:space="preserve">Enpresa errentariak zuzenean eta bere kudeaketaren arrisku eta menturara ustiatuko du Nafarroako Zirkuitua. </w:t>
      </w:r>
      <w:proofErr w:type="spellStart"/>
      <w:r>
        <w:t>NICDOk</w:t>
      </w:r>
      <w:proofErr w:type="spellEnd"/>
      <w:r>
        <w:t xml:space="preserve"> ez du inolako erantzukizunik bere gain hartu beharko, kontratuan zerbait berariaz aurreikusi ezean.</w:t>
      </w:r>
    </w:p>
    <w:p w14:paraId="3267D623" w14:textId="77777777" w:rsidR="00F76B67" w:rsidRPr="005844DE"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Kontratuan berariaz aurreikusten ez diren gaietan Kode Zibileko xedapenak aplikatuko dira.</w:t>
      </w:r>
    </w:p>
    <w:p w14:paraId="548EDC66" w14:textId="77777777" w:rsidR="00F76B67" w:rsidRPr="002975A2"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 xml:space="preserve">2014an errenta 150.000 eurokoa izanen da, 2015ean 250.000 eurokoa eta hirugarren, laugarren eta bosgarren urteetan 300.000 eurokoa. Zenbateko horiek handitu eginen dira baldin eta errentariaren </w:t>
      </w:r>
      <w:proofErr w:type="spellStart"/>
      <w:r>
        <w:t>EBITDAren</w:t>
      </w:r>
      <w:proofErr w:type="spellEnd"/>
      <w:r>
        <w:t xml:space="preserve"> ehuneko 20ak adierazitako zenbatekoak gainditzen baditu; halakoetan, aipatu finantza-adierazlearen ehuneko 20 izanen da errenta. </w:t>
      </w:r>
    </w:p>
    <w:p w14:paraId="07AA0D2D" w14:textId="77777777" w:rsidR="00F76B67" w:rsidRPr="002975A2"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 xml:space="preserve">Inguruabar hori egiaztatzeko, errentariak kontuak eginen ditu eta </w:t>
      </w:r>
      <w:proofErr w:type="spellStart"/>
      <w:r>
        <w:t>NICDOri</w:t>
      </w:r>
      <w:proofErr w:type="spellEnd"/>
      <w:r>
        <w:t xml:space="preserve"> igorriko dizkio beren auditoretza-txostenarekin batera. </w:t>
      </w:r>
    </w:p>
    <w:p w14:paraId="21C81BD7" w14:textId="77777777" w:rsidR="00F76B67" w:rsidRPr="002975A2"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 xml:space="preserve">Zehaztu egiten da zein diren Nafarroako Zirkuituko hasierako inbertsioak, bai eta gerokoak ere, eta nork hartu behar dituen bere gain. </w:t>
      </w:r>
    </w:p>
    <w:p w14:paraId="14E0CC31" w14:textId="77777777" w:rsidR="00F76B67" w:rsidRPr="002975A2"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 xml:space="preserve">Hori dela eta, batzorde teknikoa eratzea aurreikusten da. Lau pertsonak osatuko dute, </w:t>
      </w:r>
      <w:proofErr w:type="spellStart"/>
      <w:r>
        <w:t>NICDOren</w:t>
      </w:r>
      <w:proofErr w:type="spellEnd"/>
      <w:r>
        <w:t xml:space="preserve"> eta errentariaren bina ordezkarik, hain zuzen, eta sei hilean behin bilduko da gutxienez, Nafarroako Zirkuituaren mantentze-lanak gainbegiratzeko, inbertsio eta obra berriak eta abarrekoak identifikatzeko eta obren diseinuaren eta exekuzioaren jarraipen eta kontrolerako. </w:t>
      </w:r>
    </w:p>
    <w:p w14:paraId="0F06396A" w14:textId="77777777" w:rsidR="00F76B67" w:rsidRPr="002975A2"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lastRenderedPageBreak/>
        <w:t>Nafarroako Zirkuituko elementuen mantentze-lanak eta kontserbazioa errentariaren kontura izanen dira, eta errentamendu kontratuaren III. eranskinean ezarritako mantentze-plana bete beharko da. Batzorde teknikoak plan horretarako aholkuak eman ahalko ditu, baina errentariak ez ditu nahitaez onartu beharko.</w:t>
      </w:r>
    </w:p>
    <w:p w14:paraId="7CD5412A" w14:textId="77777777" w:rsidR="00F76B67" w:rsidRPr="002975A2"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 xml:space="preserve">Errentariak langileen subrogaziorako konpromisoa hartzen du, eta ez du langile bakar bat ere kenduko kontratua sinatu eta hiru hilabete iragan arte. Halaber, konpromisoa hartzen du 2014an batez beste 15 langile edukitzeko gutxienez, eta 2015ean 19 gutxienez. </w:t>
      </w:r>
    </w:p>
    <w:p w14:paraId="1C31E82A" w14:textId="77777777" w:rsidR="00F76B67" w:rsidRPr="002975A2" w:rsidRDefault="00F76B67"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pPr>
      <w:r>
        <w:t>Errentariak Nafarroako Zirkuituan egoki deritzen jarduerak egin ahalko dituela ezartzen da, eta, betiere, jarduera horiek ez diotela kalterik egin behar zirkuituaren, Nafarroako Gobernuaren eta Nafarroako Foru Komunitatearen irudiari.</w:t>
      </w:r>
    </w:p>
    <w:p w14:paraId="41A44922" w14:textId="77777777" w:rsidR="00F76B67" w:rsidRDefault="00F76B67" w:rsidP="001E7F16">
      <w:pPr>
        <w:pStyle w:val="texto"/>
        <w:tabs>
          <w:tab w:val="clear" w:pos="2835"/>
          <w:tab w:val="clear" w:pos="3969"/>
          <w:tab w:val="clear" w:pos="5103"/>
          <w:tab w:val="clear" w:pos="6237"/>
          <w:tab w:val="clear" w:pos="7371"/>
        </w:tabs>
        <w:spacing w:after="100"/>
        <w:ind w:firstLine="426"/>
        <w:rPr>
          <w:szCs w:val="26"/>
        </w:rPr>
      </w:pPr>
      <w:r>
        <w:t xml:space="preserve">Horri dagokionez, Jarraipen eta Kontrol Batzordea eratzea aurreikusten da, lau kidek osatua, </w:t>
      </w:r>
      <w:proofErr w:type="spellStart"/>
      <w:r>
        <w:t>NICDOk</w:t>
      </w:r>
      <w:proofErr w:type="spellEnd"/>
      <w:r>
        <w:t xml:space="preserve"> izendatutako bik eta errentariak izendatutako beste bik, jarduerak, kontabilitate-kudeaketa eta zerga-kudeaketa gainbegiratzeko. </w:t>
      </w:r>
    </w:p>
    <w:p w14:paraId="569667D4" w14:textId="77777777" w:rsidR="00DB4254" w:rsidRPr="004E0163" w:rsidRDefault="00DB4254" w:rsidP="00920EC4">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left="0" w:firstLine="289"/>
        <w:rPr>
          <w:strike/>
        </w:rPr>
      </w:pPr>
      <w:r>
        <w:t>Enpresa errentariak erosteko aukera izanen du, bi zenbateko hauetatik handienaren truke: erosteko aukera baliatzen duen eguneko EBITDA, behar bezala auditatua, bider zazpi; Nafarroako Zirkuituaren balorazioa, ustiapeneko kutxako fluxu libreen deskontuaren metodoaz kalkulatua, ehuneko zazpiko deskontu tasa aplikatuta; eta 15 milioi, hau da, aurretik egindako azterketaren emaitza, Nafarroako Zirkuitua eraikitzeko hartutako zorrari aurre egiteko erabili behar zena.</w:t>
      </w:r>
    </w:p>
    <w:p w14:paraId="631A1EFC" w14:textId="77777777" w:rsidR="006D0336" w:rsidRPr="001645CE" w:rsidRDefault="00EF5E29" w:rsidP="00750C68">
      <w:pPr>
        <w:pStyle w:val="texto"/>
        <w:tabs>
          <w:tab w:val="clear" w:pos="2835"/>
          <w:tab w:val="clear" w:pos="3969"/>
          <w:tab w:val="clear" w:pos="5103"/>
          <w:tab w:val="clear" w:pos="6237"/>
          <w:tab w:val="clear" w:pos="7371"/>
          <w:tab w:val="left" w:pos="480"/>
          <w:tab w:val="num" w:pos="600"/>
          <w:tab w:val="num" w:pos="720"/>
          <w:tab w:val="num" w:pos="1320"/>
          <w:tab w:val="num" w:pos="2062"/>
        </w:tabs>
        <w:spacing w:after="120"/>
        <w:ind w:firstLine="289"/>
      </w:pPr>
      <w:r>
        <w:t xml:space="preserve">Erosteko aukera baliatzeko ordaindu beharreko zenbatekoa zehazteko irizpide horiek bat datoz enpresa publikoen mota honetako azpiegiturekin lotutako kontabilitate-irizpideekin eta zehaztapenekin. Erosteko aukera eta guzti Nafarroako Zirkuitua errentan hartzeko deialdi publikoaren esparruan, eta kontuan izanik erosteko aukeraren truke hautagaiak eskainitako prezioa, </w:t>
      </w:r>
      <w:proofErr w:type="spellStart"/>
      <w:r>
        <w:t>EBITDAri</w:t>
      </w:r>
      <w:proofErr w:type="spellEnd"/>
      <w:r>
        <w:t xml:space="preserve"> eta kutxako fluxuei lotutako parametro aldakorretan oinarritua, negoziatu egin zen klausula horren testua, zeinak finkatzen baitzuen aipatu parametroak aplikatuz kalkulatutako zenbatekoetatik handiena izanen zela erosteko aukeraren prezioa. Kalkulatutako zenbatekoa 15 milioitik beherakoa bazen, prezioa 15 milioi izanen zela ezarri zen, hartara errentamendu kontratuaren amaierako eguneko zorrari aurre egitea bermatuko baitzen.</w:t>
      </w:r>
    </w:p>
    <w:p w14:paraId="7C2383C2" w14:textId="77777777" w:rsidR="00D51C9B" w:rsidRPr="00655CC5" w:rsidRDefault="00D51C9B" w:rsidP="00D240DE">
      <w:pPr>
        <w:pStyle w:val="atitulo3"/>
        <w:spacing w:before="240"/>
        <w:ind w:left="1004" w:hanging="1004"/>
      </w:pPr>
      <w:r>
        <w:t>IV.1.2. Nafarroako Zirkuituaren 2019ko errentamendua</w:t>
      </w:r>
    </w:p>
    <w:p w14:paraId="79829DFD" w14:textId="77777777" w:rsidR="00762E01" w:rsidRDefault="00F76B67" w:rsidP="00750C68">
      <w:pPr>
        <w:pStyle w:val="texto"/>
        <w:tabs>
          <w:tab w:val="clear" w:pos="2835"/>
          <w:tab w:val="clear" w:pos="3969"/>
          <w:tab w:val="clear" w:pos="5103"/>
          <w:tab w:val="clear" w:pos="6237"/>
          <w:tab w:val="clear" w:pos="7371"/>
        </w:tabs>
        <w:spacing w:before="120" w:after="120"/>
        <w:rPr>
          <w:szCs w:val="26"/>
        </w:rPr>
      </w:pPr>
      <w:r>
        <w:t xml:space="preserve">2018ko azaroan, aurreko errentamendu kontratua amaitzear zela, bi alderdiek 2019rako luzapena negoziatu zuten aurreko baldintza berberetan ia, baina indarrik gabe utzita aurreko kontratuko hiru klausula. Hain zuzen, klausula hauek: enpresak NZ erosteko aukera, </w:t>
      </w:r>
      <w:proofErr w:type="spellStart"/>
      <w:r>
        <w:t>NICDOk</w:t>
      </w:r>
      <w:proofErr w:type="spellEnd"/>
      <w:r>
        <w:t xml:space="preserve"> saltzeko aukera, eta hirugarrenei saltzea. </w:t>
      </w:r>
      <w:r>
        <w:lastRenderedPageBreak/>
        <w:t>Gainera, aldatu egin zuten enpresa errentariaren ez-betetze penalari buruzko klausula, 500.000 euroko zenbatekoa ezarriz</w:t>
      </w:r>
      <w:r w:rsidR="00204A17" w:rsidRPr="00750C68">
        <w:footnoteReference w:id="2"/>
      </w:r>
      <w:r>
        <w:t xml:space="preserve">. </w:t>
      </w:r>
    </w:p>
    <w:p w14:paraId="22F3DE22" w14:textId="77777777" w:rsidR="00773D2B" w:rsidRPr="00D5282C" w:rsidRDefault="00773D2B" w:rsidP="00750C68">
      <w:pPr>
        <w:pStyle w:val="texto"/>
        <w:tabs>
          <w:tab w:val="clear" w:pos="2835"/>
          <w:tab w:val="clear" w:pos="3969"/>
          <w:tab w:val="clear" w:pos="5103"/>
          <w:tab w:val="clear" w:pos="6237"/>
          <w:tab w:val="clear" w:pos="7371"/>
        </w:tabs>
        <w:spacing w:before="120" w:after="120"/>
        <w:rPr>
          <w:szCs w:val="26"/>
        </w:rPr>
      </w:pPr>
      <w:r>
        <w:t xml:space="preserve">2019ko uztailean hautagaiak aukeratzeko beste prozesu bat egin zen, Nafarroako Zirkuitua errentan emateko, salerosketa-aukerarekin. Kontratu berria sinatu zen 2020-2024 aldirako, eta bertan ezarri zen enpresa errentariak gutxienez 500.000 euroko funts berekiak eduki behar zituela. </w:t>
      </w:r>
    </w:p>
    <w:p w14:paraId="009D957F" w14:textId="1B28C752" w:rsidR="00762E01" w:rsidRDefault="00F76B67" w:rsidP="00750C68">
      <w:pPr>
        <w:pStyle w:val="texto"/>
        <w:tabs>
          <w:tab w:val="clear" w:pos="2835"/>
          <w:tab w:val="clear" w:pos="3969"/>
          <w:tab w:val="clear" w:pos="5103"/>
          <w:tab w:val="clear" w:pos="6237"/>
          <w:tab w:val="clear" w:pos="7371"/>
        </w:tabs>
        <w:spacing w:before="120" w:after="120"/>
        <w:rPr>
          <w:szCs w:val="26"/>
        </w:rPr>
      </w:pPr>
      <w:r>
        <w:t xml:space="preserve">2019ra arte, enpresa errentariak noiz edo behin berandu ordaindu zuen alokairua, baina beti ordaindu zuen adostutako zenbatekoa.  Baina enpresak ez zuen ordaindu urte horretako bigarren hiruhilekoko alokairua, guztira 76.500 euro. </w:t>
      </w:r>
    </w:p>
    <w:p w14:paraId="387CE621" w14:textId="77777777" w:rsidR="00762E01" w:rsidRDefault="00F76B67" w:rsidP="00750C68">
      <w:pPr>
        <w:pStyle w:val="texto"/>
        <w:tabs>
          <w:tab w:val="clear" w:pos="2835"/>
          <w:tab w:val="clear" w:pos="3969"/>
          <w:tab w:val="clear" w:pos="5103"/>
          <w:tab w:val="clear" w:pos="6237"/>
          <w:tab w:val="clear" w:pos="7371"/>
        </w:tabs>
        <w:spacing w:before="120" w:after="120"/>
        <w:rPr>
          <w:szCs w:val="26"/>
        </w:rPr>
      </w:pPr>
      <w:r>
        <w:t xml:space="preserve">Ez-ordaintzeen testuinguru horretan, eta gutxieneko funts berekiak edukitzeko betebeharra bete ezinda, 2019ko azaroan, enpresak uztailean sinatutako errentamendu kontratuaren suntsiarazpena eskatu zuen, 2020ko urtarriletik aurrera aplikatu beharrekoa, eta </w:t>
      </w:r>
      <w:proofErr w:type="spellStart"/>
      <w:r>
        <w:t>NICDOk</w:t>
      </w:r>
      <w:proofErr w:type="spellEnd"/>
      <w:r>
        <w:t xml:space="preserve"> onartu egin zion eskaera. </w:t>
      </w:r>
    </w:p>
    <w:p w14:paraId="2A955449" w14:textId="77777777" w:rsidR="00762E01" w:rsidRPr="00655CC5" w:rsidRDefault="00762E01" w:rsidP="00750C68">
      <w:pPr>
        <w:pStyle w:val="atitulo3"/>
        <w:spacing w:before="120" w:after="120"/>
      </w:pPr>
      <w:r>
        <w:t>IV.1.3. Nafarroako Zirkuituaren errentamendua 2019an amaitu ondoren gertatutakoak</w:t>
      </w:r>
    </w:p>
    <w:p w14:paraId="3DCF40B9" w14:textId="77777777" w:rsidR="00AA7048" w:rsidRDefault="00AA7048" w:rsidP="00750C68">
      <w:pPr>
        <w:pStyle w:val="texto"/>
        <w:tabs>
          <w:tab w:val="clear" w:pos="2835"/>
          <w:tab w:val="clear" w:pos="3969"/>
          <w:tab w:val="clear" w:pos="5103"/>
          <w:tab w:val="clear" w:pos="6237"/>
          <w:tab w:val="clear" w:pos="7371"/>
        </w:tabs>
        <w:spacing w:before="120" w:after="120"/>
        <w:rPr>
          <w:szCs w:val="26"/>
        </w:rPr>
      </w:pPr>
      <w:r>
        <w:t>2019an errentamendu kontratua amaitu ondorengo gertaera batzuk azalduko ditugu, ganbera honen ustez nabarmendu beharrekoak baitira:</w:t>
      </w:r>
    </w:p>
    <w:p w14:paraId="52F2C8A1" w14:textId="77777777" w:rsidR="00F35BA8" w:rsidRDefault="00F35BA8"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pPr>
      <w:r>
        <w:t xml:space="preserve">Nafarroako Zirkuitua jabeari itzuli aurretik, enpresak inbentarioaren gaineko txostena egin behar zuen, ondasun eta eskubideen deskribapena eta egoera azaldu behar zituena. Testuinguru horretan, Jarraipen eta Kontrol Batzordearen 2019ko abenduko bileran </w:t>
      </w:r>
      <w:proofErr w:type="spellStart"/>
      <w:r>
        <w:t>NICDOk</w:t>
      </w:r>
      <w:proofErr w:type="spellEnd"/>
      <w:r>
        <w:t xml:space="preserve"> proposatu zuen norbait kontratatzea txosten hori egin zezan, eta beste txosten bat ere bai, langileen egoera, hornitzaileena, merkataritza funtsaren balorazioa eta errentariaren jabetzako ondasun higigarrien inbentarioa aztertu behar zituena. Enpresa errentaria ados agertu zen.</w:t>
      </w:r>
    </w:p>
    <w:p w14:paraId="4707B702" w14:textId="77777777" w:rsidR="00D85A2E" w:rsidRDefault="00F76B67" w:rsidP="00750C68">
      <w:pPr>
        <w:pStyle w:val="texto"/>
        <w:tabs>
          <w:tab w:val="clear" w:pos="2835"/>
          <w:tab w:val="clear" w:pos="3969"/>
          <w:tab w:val="clear" w:pos="5103"/>
          <w:tab w:val="clear" w:pos="6237"/>
          <w:tab w:val="clear" w:pos="7371"/>
        </w:tabs>
        <w:spacing w:before="120" w:after="120"/>
        <w:rPr>
          <w:szCs w:val="26"/>
        </w:rPr>
      </w:pPr>
      <w:r>
        <w:t xml:space="preserve">Hala, bada, 2019ko abenduan </w:t>
      </w:r>
      <w:proofErr w:type="spellStart"/>
      <w:r>
        <w:t>NICDOk</w:t>
      </w:r>
      <w:proofErr w:type="spellEnd"/>
      <w:r>
        <w:t xml:space="preserve"> auditoretza enpresa bat kontratatu zuen, aldez aurretik enpresa errentariarekin ados jarrita, balorazio hori egin zezan 9.700 euroko prezioan (BEZa kontuan hartu gabe).</w:t>
      </w:r>
    </w:p>
    <w:p w14:paraId="0E049E7F" w14:textId="77777777" w:rsidR="00762E01" w:rsidRPr="00920EC4" w:rsidRDefault="00F76B67"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pPr>
      <w:r>
        <w:t xml:space="preserve">2019ko abenduan, berriro ere enpresak ez zuen ordaindu hirugarren hiruhilekoko errentamenduaren faktura, 76.500 euro, eta </w:t>
      </w:r>
      <w:proofErr w:type="spellStart"/>
      <w:r>
        <w:t>NICDOk</w:t>
      </w:r>
      <w:proofErr w:type="spellEnd"/>
      <w:r>
        <w:t xml:space="preserve"> lehen aldiz abala exekutatu zuen ordaindu gabekoak estaltzeko. Hori dela eta, aipatu behar dugu enpresak ordaindu gabe utzi zuela 2019ko azken hiruhilekoko errentamenduaren faktura ere, adierazitako zenbatekoa zuena.</w:t>
      </w:r>
    </w:p>
    <w:p w14:paraId="62412EA6" w14:textId="77777777" w:rsidR="00532457" w:rsidRPr="00920EC4" w:rsidRDefault="00F76B67"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pPr>
      <w:r>
        <w:t>Auditoretza enpresak balorazio txostena aurkeztu zuen 2020ko otsailean. Bertan kalkulatu zuen 487.769 euroko gastuak egotzi ahal zitzaizkiola enpresa errentariari (BEZa kontuan hartu gabe).</w:t>
      </w:r>
    </w:p>
    <w:p w14:paraId="79A77F33" w14:textId="77777777" w:rsidR="00F76B67" w:rsidRPr="00920EC4" w:rsidRDefault="00F76B67"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pPr>
      <w:r>
        <w:lastRenderedPageBreak/>
        <w:t xml:space="preserve">Enpresa errentariak balorazioen gaineko zenbait ohar egin zizkion </w:t>
      </w:r>
      <w:proofErr w:type="spellStart"/>
      <w:r>
        <w:t>NICDOri</w:t>
      </w:r>
      <w:proofErr w:type="spellEnd"/>
      <w:r>
        <w:t xml:space="preserve"> eta ondorioz 19.230 euro gutxiagotan baloratu ziren enpresari egotzi beharreko gastuak; gainera, ez zegoen ados merkataritza funtsaren balorazioarekin, zeren eta, auditoretza enpresaren txostenaren arabera, 2014an kontratua hasi zenean izandakoa baino txikiagoa baitzen. </w:t>
      </w:r>
    </w:p>
    <w:p w14:paraId="29C7D31F" w14:textId="77777777" w:rsidR="00F76B67" w:rsidRPr="00920EC4" w:rsidRDefault="00F76B67"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pPr>
      <w:r>
        <w:t xml:space="preserve">2020ko uztailean </w:t>
      </w:r>
      <w:proofErr w:type="spellStart"/>
      <w:r>
        <w:t>NICDOk</w:t>
      </w:r>
      <w:proofErr w:type="spellEnd"/>
      <w:r>
        <w:t xml:space="preserve"> berriz exekutatu zuen abala enpresak ordaindu gabe utzitakoak estaltzeko, enpresari egotzi ahal zitzaizkion gastuak barne, behin deskontatuta enpresak alegatutako 19.230 euroko zenbatekoa. </w:t>
      </w:r>
    </w:p>
    <w:p w14:paraId="71FB0F05" w14:textId="12D2C5E8" w:rsidR="00F76B67" w:rsidRPr="00920EC4" w:rsidRDefault="00F76B67"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pPr>
      <w:r>
        <w:t xml:space="preserve">Desadostasunak ikusita —zeinak, funtsean, instalazioaren egoeraren balorazioaren ingurukoak baitziren (ondasun eta eskubideen inbentarioa eta haien egoera)—, 2020ko urrian NICDO eta enpresa errentaria akordio honetara iritsi ziren: Ingeniarien Elkargoak bi peritu izendatuko zituen instalazioaren egoera baloratzeko peritu-lana eskain zezaten, balorazio hori loteslea izanen zen bi alderdientzat eta jarduketa horren kostua erdi bana ordainduko zuten. </w:t>
      </w:r>
    </w:p>
    <w:p w14:paraId="477C2CF3" w14:textId="77777777" w:rsidR="00D85A2E" w:rsidRDefault="00F76B67"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 xml:space="preserve">2021eko urtarrilean, kontratatutako perituak behin betiko txostena eman zuen, eta bertan, instalazioaren egoera zela eta, 240.176 eurotan baloratu zuen enpresaren erantzukizuna BEZa kontuan hartu gabe. Auditoretza enpresak, berriz, 468.539 euroko balorazioa egina zuen, BEZa kontuan hartu gabe eta enpresa errentariak alegatutako zenbatekoa deskontatu eta gero. Alde horren arrazoi nagusia da perituak zenbait gasturen erantzuletzat NICDO jo zuela eta ez enpresa. </w:t>
      </w:r>
    </w:p>
    <w:p w14:paraId="01D5431E" w14:textId="77777777" w:rsidR="00D85A2E" w:rsidRPr="00B100E6" w:rsidRDefault="00212953"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0"/>
        <w:rPr>
          <w:szCs w:val="26"/>
        </w:rPr>
      </w:pPr>
      <w:r>
        <w:t xml:space="preserve">2021eko otsailean, </w:t>
      </w:r>
      <w:proofErr w:type="spellStart"/>
      <w:r>
        <w:t>NICDOk</w:t>
      </w:r>
      <w:proofErr w:type="spellEnd"/>
      <w:r>
        <w:t xml:space="preserve"> aldea itzuli zion bankuari, alegia, lehenbiziko txosteneko balorazioa, jada abaletik exekutatu zena (468.539 euro), ken bigarren txosteneko 240.176 euroko balorazioa (BEZa kontuan hartu gabe kalkulatua). </w:t>
      </w:r>
      <w:proofErr w:type="spellStart"/>
      <w:r>
        <w:t>NICDOk</w:t>
      </w:r>
      <w:proofErr w:type="spellEnd"/>
      <w:r>
        <w:t xml:space="preserve"> itzulketa horretarako akordioa sinatua zuen enpresa errentariarekin, 2021eko otsailean bertan.</w:t>
      </w:r>
    </w:p>
    <w:p w14:paraId="6D7C8B65" w14:textId="77777777" w:rsidR="00F76B67" w:rsidRDefault="00F76B67"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Kontuan izanik enpresa errentariak Nafarroako Foru Ogasunari zor zizkion zenbatekoak (ordaindu gabeko pertsona fisikoen errentaren gaineko zerga, balio erantsiaren gaineko zerga eta jarduera ekonomikoen gaineko zerga) eta enpresa errentariak bazkideei igorritako kuotetan kobratutako aurrerakinak, abaletik 720.467 euroko zenbatekoa exekutatu zen guztira, honela xehakatuta:</w:t>
      </w:r>
    </w:p>
    <w:tbl>
      <w:tblPr>
        <w:tblStyle w:val="Tablaconcuadrcula"/>
        <w:tblW w:w="878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846"/>
        <w:gridCol w:w="943"/>
      </w:tblGrid>
      <w:tr w:rsidR="00F76B67" w:rsidRPr="00D93BBE" w14:paraId="5B8DD83F" w14:textId="77777777" w:rsidTr="00A915CB">
        <w:trPr>
          <w:trHeight w:val="255"/>
          <w:jc w:val="center"/>
        </w:trPr>
        <w:tc>
          <w:tcPr>
            <w:tcW w:w="7846" w:type="dxa"/>
            <w:tcBorders>
              <w:bottom w:val="single" w:sz="4" w:space="0" w:color="auto"/>
            </w:tcBorders>
            <w:shd w:val="clear" w:color="auto" w:fill="8DB3E2" w:themeFill="text2" w:themeFillTint="66"/>
            <w:vAlign w:val="center"/>
          </w:tcPr>
          <w:p w14:paraId="5DFC960E"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Kontzeptua</w:t>
            </w:r>
          </w:p>
        </w:tc>
        <w:tc>
          <w:tcPr>
            <w:tcW w:w="943" w:type="dxa"/>
            <w:tcBorders>
              <w:bottom w:val="single" w:sz="4" w:space="0" w:color="auto"/>
            </w:tcBorders>
            <w:shd w:val="clear" w:color="auto" w:fill="8DB3E2" w:themeFill="text2" w:themeFillTint="66"/>
            <w:vAlign w:val="center"/>
          </w:tcPr>
          <w:p w14:paraId="3E158B4D"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Zenbatekoa</w:t>
            </w:r>
          </w:p>
        </w:tc>
      </w:tr>
      <w:tr w:rsidR="00F76B67" w:rsidRPr="00D93BBE" w14:paraId="598CFD12" w14:textId="77777777" w:rsidTr="00A915CB">
        <w:trPr>
          <w:trHeight w:val="198"/>
          <w:jc w:val="center"/>
        </w:trPr>
        <w:tc>
          <w:tcPr>
            <w:tcW w:w="7846" w:type="dxa"/>
            <w:tcBorders>
              <w:top w:val="single" w:sz="4" w:space="0" w:color="auto"/>
              <w:bottom w:val="single" w:sz="2" w:space="0" w:color="auto"/>
            </w:tcBorders>
            <w:vAlign w:val="center"/>
          </w:tcPr>
          <w:p w14:paraId="6BADC978"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 xml:space="preserve">Ordaindu gabeko hiru hiruhilekotako errenta, errentariak egindako obren fakturak kenduta </w:t>
            </w:r>
          </w:p>
        </w:tc>
        <w:tc>
          <w:tcPr>
            <w:tcW w:w="943" w:type="dxa"/>
            <w:tcBorders>
              <w:top w:val="single" w:sz="4" w:space="0" w:color="auto"/>
              <w:bottom w:val="single" w:sz="2" w:space="0" w:color="auto"/>
            </w:tcBorders>
            <w:vAlign w:val="center"/>
          </w:tcPr>
          <w:p w14:paraId="0516DF9B"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161.008</w:t>
            </w:r>
          </w:p>
        </w:tc>
      </w:tr>
      <w:tr w:rsidR="00F76B67" w:rsidRPr="00D93BBE" w14:paraId="309958C8" w14:textId="77777777" w:rsidTr="00A915CB">
        <w:trPr>
          <w:trHeight w:val="198"/>
          <w:jc w:val="center"/>
        </w:trPr>
        <w:tc>
          <w:tcPr>
            <w:tcW w:w="7846" w:type="dxa"/>
            <w:tcBorders>
              <w:top w:val="single" w:sz="2" w:space="0" w:color="auto"/>
              <w:bottom w:val="single" w:sz="2" w:space="0" w:color="auto"/>
            </w:tcBorders>
            <w:vAlign w:val="center"/>
          </w:tcPr>
          <w:p w14:paraId="10D58B7C"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Iberdrolari ordaindu beharrekoak</w:t>
            </w:r>
          </w:p>
        </w:tc>
        <w:tc>
          <w:tcPr>
            <w:tcW w:w="943" w:type="dxa"/>
            <w:tcBorders>
              <w:top w:val="single" w:sz="2" w:space="0" w:color="auto"/>
              <w:bottom w:val="single" w:sz="2" w:space="0" w:color="auto"/>
            </w:tcBorders>
            <w:vAlign w:val="center"/>
          </w:tcPr>
          <w:p w14:paraId="6B54D5C2"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18.797</w:t>
            </w:r>
          </w:p>
        </w:tc>
      </w:tr>
      <w:tr w:rsidR="00F76B67" w:rsidRPr="00D93BBE" w14:paraId="0BF1F535" w14:textId="77777777" w:rsidTr="00A915CB">
        <w:trPr>
          <w:trHeight w:val="198"/>
          <w:jc w:val="center"/>
        </w:trPr>
        <w:tc>
          <w:tcPr>
            <w:tcW w:w="7846" w:type="dxa"/>
            <w:tcBorders>
              <w:top w:val="single" w:sz="2" w:space="0" w:color="auto"/>
              <w:bottom w:val="single" w:sz="2" w:space="0" w:color="auto"/>
            </w:tcBorders>
            <w:vAlign w:val="center"/>
          </w:tcPr>
          <w:p w14:paraId="05EFBA51"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Errentariak kobratutako aurrerakinak: bazkideei igorritako kuotak eta 2019ko laugarren hiruhilekoko errenta</w:t>
            </w:r>
          </w:p>
        </w:tc>
        <w:tc>
          <w:tcPr>
            <w:tcW w:w="943" w:type="dxa"/>
            <w:tcBorders>
              <w:top w:val="single" w:sz="2" w:space="0" w:color="auto"/>
              <w:bottom w:val="single" w:sz="2" w:space="0" w:color="auto"/>
            </w:tcBorders>
            <w:vAlign w:val="center"/>
          </w:tcPr>
          <w:p w14:paraId="58CB57BE"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138.370</w:t>
            </w:r>
          </w:p>
        </w:tc>
      </w:tr>
      <w:tr w:rsidR="00F76B67" w:rsidRPr="00D93BBE" w14:paraId="40193CCA" w14:textId="77777777" w:rsidTr="00A915CB">
        <w:trPr>
          <w:trHeight w:val="198"/>
          <w:jc w:val="center"/>
        </w:trPr>
        <w:tc>
          <w:tcPr>
            <w:tcW w:w="7846" w:type="dxa"/>
            <w:tcBorders>
              <w:top w:val="single" w:sz="2" w:space="0" w:color="auto"/>
              <w:bottom w:val="single" w:sz="2" w:space="0" w:color="auto"/>
            </w:tcBorders>
            <w:vAlign w:val="center"/>
          </w:tcPr>
          <w:p w14:paraId="5C58BC48"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Konponketen kostua</w:t>
            </w:r>
          </w:p>
        </w:tc>
        <w:tc>
          <w:tcPr>
            <w:tcW w:w="943" w:type="dxa"/>
            <w:tcBorders>
              <w:top w:val="single" w:sz="2" w:space="0" w:color="auto"/>
              <w:bottom w:val="single" w:sz="2" w:space="0" w:color="auto"/>
            </w:tcBorders>
            <w:vAlign w:val="center"/>
          </w:tcPr>
          <w:p w14:paraId="533C01AD"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240.176</w:t>
            </w:r>
          </w:p>
        </w:tc>
      </w:tr>
      <w:tr w:rsidR="00F76B67" w:rsidRPr="00D93BBE" w14:paraId="357961F7" w14:textId="77777777" w:rsidTr="00A915CB">
        <w:trPr>
          <w:trHeight w:val="198"/>
          <w:jc w:val="center"/>
        </w:trPr>
        <w:tc>
          <w:tcPr>
            <w:tcW w:w="7846" w:type="dxa"/>
            <w:tcBorders>
              <w:top w:val="single" w:sz="2" w:space="0" w:color="auto"/>
              <w:bottom w:val="single" w:sz="2" w:space="0" w:color="auto"/>
            </w:tcBorders>
            <w:vAlign w:val="center"/>
          </w:tcPr>
          <w:p w14:paraId="233DDD4A"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Nafarroako Foru Ogasunarekiko zorrak</w:t>
            </w:r>
          </w:p>
        </w:tc>
        <w:tc>
          <w:tcPr>
            <w:tcW w:w="943" w:type="dxa"/>
            <w:tcBorders>
              <w:top w:val="single" w:sz="2" w:space="0" w:color="auto"/>
              <w:bottom w:val="single" w:sz="2" w:space="0" w:color="auto"/>
            </w:tcBorders>
            <w:vAlign w:val="center"/>
          </w:tcPr>
          <w:p w14:paraId="175F1370"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128.125</w:t>
            </w:r>
          </w:p>
        </w:tc>
      </w:tr>
      <w:tr w:rsidR="00F76B67" w:rsidRPr="00D93BBE" w14:paraId="35DDF82D" w14:textId="77777777" w:rsidTr="00A915CB">
        <w:trPr>
          <w:trHeight w:val="198"/>
          <w:jc w:val="center"/>
        </w:trPr>
        <w:tc>
          <w:tcPr>
            <w:tcW w:w="7846" w:type="dxa"/>
            <w:tcBorders>
              <w:top w:val="single" w:sz="2" w:space="0" w:color="auto"/>
              <w:bottom w:val="single" w:sz="4" w:space="0" w:color="auto"/>
            </w:tcBorders>
            <w:vAlign w:val="center"/>
          </w:tcPr>
          <w:p w14:paraId="0CB01601"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left"/>
              <w:rPr>
                <w:rFonts w:ascii="Arial Narrow" w:hAnsi="Arial Narrow"/>
                <w:sz w:val="20"/>
              </w:rPr>
            </w:pPr>
            <w:r>
              <w:rPr>
                <w:rFonts w:ascii="Arial Narrow" w:hAnsi="Arial Narrow"/>
                <w:sz w:val="20"/>
              </w:rPr>
              <w:t>Los Arcosko Udalarekiko zorrak</w:t>
            </w:r>
          </w:p>
        </w:tc>
        <w:tc>
          <w:tcPr>
            <w:tcW w:w="943" w:type="dxa"/>
            <w:tcBorders>
              <w:top w:val="single" w:sz="2" w:space="0" w:color="auto"/>
              <w:bottom w:val="single" w:sz="4" w:space="0" w:color="auto"/>
            </w:tcBorders>
            <w:vAlign w:val="center"/>
          </w:tcPr>
          <w:p w14:paraId="5A48CC99"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right"/>
              <w:rPr>
                <w:rFonts w:ascii="Arial Narrow" w:hAnsi="Arial Narrow"/>
                <w:sz w:val="20"/>
              </w:rPr>
            </w:pPr>
            <w:r>
              <w:rPr>
                <w:rFonts w:ascii="Arial Narrow" w:hAnsi="Arial Narrow"/>
                <w:sz w:val="20"/>
              </w:rPr>
              <w:t>33.990</w:t>
            </w:r>
          </w:p>
        </w:tc>
      </w:tr>
      <w:tr w:rsidR="00F76B67" w:rsidRPr="00D93BBE" w14:paraId="50C5D4E0" w14:textId="77777777" w:rsidTr="00A915CB">
        <w:trPr>
          <w:trHeight w:val="255"/>
          <w:jc w:val="center"/>
        </w:trPr>
        <w:tc>
          <w:tcPr>
            <w:tcW w:w="7846" w:type="dxa"/>
            <w:tcBorders>
              <w:top w:val="single" w:sz="4" w:space="0" w:color="auto"/>
            </w:tcBorders>
            <w:shd w:val="clear" w:color="auto" w:fill="8DB3E2" w:themeFill="text2" w:themeFillTint="66"/>
            <w:vAlign w:val="center"/>
          </w:tcPr>
          <w:p w14:paraId="1F86B416"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Pr>
                <w:rFonts w:ascii="Arial" w:hAnsi="Arial"/>
                <w:sz w:val="18"/>
                <w:szCs w:val="18"/>
              </w:rPr>
              <w:t>Guztira</w:t>
            </w:r>
          </w:p>
        </w:tc>
        <w:tc>
          <w:tcPr>
            <w:tcW w:w="943" w:type="dxa"/>
            <w:tcBorders>
              <w:top w:val="single" w:sz="4" w:space="0" w:color="auto"/>
            </w:tcBorders>
            <w:shd w:val="clear" w:color="auto" w:fill="8DB3E2" w:themeFill="text2" w:themeFillTint="66"/>
            <w:vAlign w:val="center"/>
          </w:tcPr>
          <w:p w14:paraId="0DB76C63" w14:textId="77777777" w:rsidR="00F76B67" w:rsidRPr="00D93BBE" w:rsidRDefault="00F76B67" w:rsidP="006E5C76">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Pr>
                <w:rFonts w:ascii="Arial" w:hAnsi="Arial"/>
                <w:sz w:val="18"/>
                <w:szCs w:val="18"/>
              </w:rPr>
              <w:t>720.467</w:t>
            </w:r>
          </w:p>
        </w:tc>
      </w:tr>
    </w:tbl>
    <w:p w14:paraId="50847715" w14:textId="77777777" w:rsidR="002422F8" w:rsidRDefault="002422F8" w:rsidP="006035DA">
      <w:pPr>
        <w:pStyle w:val="atitulo2"/>
        <w:spacing w:before="240"/>
        <w:rPr>
          <w:bCs w:val="0"/>
          <w:iCs w:val="0"/>
        </w:rPr>
      </w:pPr>
      <w:bookmarkStart w:id="20" w:name="_Toc94176415"/>
      <w:r>
        <w:lastRenderedPageBreak/>
        <w:t xml:space="preserve">IV.2. </w:t>
      </w:r>
      <w:bookmarkEnd w:id="19"/>
      <w:r>
        <w:t>Nafarroako Zirkuituaren 2014ko errentamendu kontratua betetzeari buruzko berrikuspena</w:t>
      </w:r>
      <w:bookmarkEnd w:id="20"/>
    </w:p>
    <w:p w14:paraId="04D93514" w14:textId="68FF1E1B" w:rsidR="001E7F16" w:rsidRDefault="001E7F16" w:rsidP="00750C68">
      <w:pPr>
        <w:pStyle w:val="texto"/>
        <w:spacing w:before="120" w:after="120"/>
        <w:rPr>
          <w:szCs w:val="26"/>
        </w:rPr>
      </w:pPr>
      <w:r>
        <w:t xml:space="preserve">2014an egindako errentamendu kontratuak 36 klausula zituen hainbat alderdiri buruzkoak, eta horietatik 20 ebaluatu ahal dira. Gainerakoak kontratuko atal deskribatzaileei buruzkoak dira, eta ez dira berrikusteko modukoak. Zehazki honako hauek dira berrikusitako klausulak eta horien betetze maila: </w:t>
      </w:r>
    </w:p>
    <w:tbl>
      <w:tblPr>
        <w:tblStyle w:val="Tablaconcuadrcula"/>
        <w:tblW w:w="878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026"/>
        <w:gridCol w:w="5419"/>
        <w:gridCol w:w="2344"/>
      </w:tblGrid>
      <w:tr w:rsidR="00532457" w:rsidRPr="008C02F6" w14:paraId="69F6C019" w14:textId="77777777" w:rsidTr="00D240DE">
        <w:trPr>
          <w:trHeight w:val="255"/>
          <w:jc w:val="center"/>
        </w:trPr>
        <w:tc>
          <w:tcPr>
            <w:tcW w:w="993" w:type="dxa"/>
            <w:shd w:val="clear" w:color="auto" w:fill="8DB3E2" w:themeFill="text2" w:themeFillTint="66"/>
            <w:vAlign w:val="center"/>
          </w:tcPr>
          <w:p w14:paraId="1BD5E894" w14:textId="77777777" w:rsidR="00532457" w:rsidRPr="008C02F6" w:rsidRDefault="00532457" w:rsidP="00850879">
            <w:pPr>
              <w:pStyle w:val="texto"/>
              <w:spacing w:after="0"/>
              <w:ind w:left="-105" w:firstLine="0"/>
              <w:jc w:val="left"/>
              <w:rPr>
                <w:rFonts w:ascii="Arial" w:hAnsi="Arial" w:cs="Arial"/>
                <w:sz w:val="18"/>
                <w:szCs w:val="18"/>
              </w:rPr>
            </w:pPr>
            <w:r>
              <w:rPr>
                <w:rFonts w:ascii="Arial" w:hAnsi="Arial"/>
                <w:sz w:val="18"/>
                <w:szCs w:val="18"/>
              </w:rPr>
              <w:t>Klausula</w:t>
            </w:r>
          </w:p>
        </w:tc>
        <w:tc>
          <w:tcPr>
            <w:tcW w:w="5244" w:type="dxa"/>
            <w:shd w:val="clear" w:color="auto" w:fill="8DB3E2" w:themeFill="text2" w:themeFillTint="66"/>
            <w:vAlign w:val="center"/>
          </w:tcPr>
          <w:p w14:paraId="784844F6" w14:textId="77777777" w:rsidR="00532457" w:rsidRPr="008C02F6" w:rsidRDefault="00532457" w:rsidP="00D240DE">
            <w:pPr>
              <w:pStyle w:val="texto"/>
              <w:spacing w:after="0"/>
              <w:ind w:left="-6" w:firstLine="0"/>
              <w:jc w:val="left"/>
              <w:rPr>
                <w:rFonts w:ascii="Arial" w:hAnsi="Arial" w:cs="Arial"/>
                <w:sz w:val="18"/>
                <w:szCs w:val="18"/>
              </w:rPr>
            </w:pPr>
            <w:r>
              <w:rPr>
                <w:rFonts w:ascii="Arial" w:hAnsi="Arial"/>
                <w:sz w:val="18"/>
                <w:szCs w:val="18"/>
              </w:rPr>
              <w:t>Deskribapena</w:t>
            </w:r>
          </w:p>
        </w:tc>
        <w:tc>
          <w:tcPr>
            <w:tcW w:w="2268" w:type="dxa"/>
            <w:shd w:val="clear" w:color="auto" w:fill="8DB3E2" w:themeFill="text2" w:themeFillTint="66"/>
            <w:vAlign w:val="center"/>
          </w:tcPr>
          <w:p w14:paraId="078A9159" w14:textId="77777777" w:rsidR="00532457" w:rsidRPr="008C02F6" w:rsidRDefault="00532457" w:rsidP="00850879">
            <w:pPr>
              <w:pStyle w:val="texto"/>
              <w:spacing w:after="0"/>
              <w:ind w:firstLine="0"/>
              <w:jc w:val="right"/>
              <w:rPr>
                <w:rFonts w:ascii="Arial" w:hAnsi="Arial" w:cs="Arial"/>
                <w:sz w:val="18"/>
                <w:szCs w:val="18"/>
              </w:rPr>
            </w:pPr>
            <w:r>
              <w:rPr>
                <w:rFonts w:ascii="Arial" w:hAnsi="Arial"/>
                <w:sz w:val="18"/>
                <w:szCs w:val="18"/>
              </w:rPr>
              <w:t>Betetze maila</w:t>
            </w:r>
          </w:p>
        </w:tc>
      </w:tr>
      <w:tr w:rsidR="00532457" w14:paraId="063D9F0B" w14:textId="77777777" w:rsidTr="00D240DE">
        <w:trPr>
          <w:trHeight w:val="198"/>
          <w:jc w:val="center"/>
        </w:trPr>
        <w:tc>
          <w:tcPr>
            <w:tcW w:w="993" w:type="dxa"/>
            <w:tcBorders>
              <w:bottom w:val="single" w:sz="2" w:space="0" w:color="auto"/>
            </w:tcBorders>
            <w:vAlign w:val="center"/>
          </w:tcPr>
          <w:p w14:paraId="3A3464D6"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3</w:t>
            </w:r>
          </w:p>
        </w:tc>
        <w:tc>
          <w:tcPr>
            <w:tcW w:w="5244" w:type="dxa"/>
            <w:tcBorders>
              <w:bottom w:val="single" w:sz="2" w:space="0" w:color="auto"/>
            </w:tcBorders>
            <w:vAlign w:val="center"/>
          </w:tcPr>
          <w:p w14:paraId="070D32D9" w14:textId="77777777" w:rsidR="00A0326D" w:rsidRDefault="00532457" w:rsidP="00D240DE">
            <w:pPr>
              <w:pStyle w:val="texto"/>
              <w:spacing w:after="0"/>
              <w:ind w:left="-6" w:firstLine="0"/>
              <w:jc w:val="left"/>
              <w:rPr>
                <w:rFonts w:ascii="Arial Narrow" w:hAnsi="Arial Narrow"/>
                <w:sz w:val="20"/>
                <w:szCs w:val="20"/>
              </w:rPr>
            </w:pPr>
            <w:proofErr w:type="spellStart"/>
            <w:r>
              <w:rPr>
                <w:rFonts w:ascii="Arial Narrow" w:hAnsi="Arial Narrow"/>
                <w:sz w:val="20"/>
                <w:szCs w:val="20"/>
              </w:rPr>
              <w:t>NZren</w:t>
            </w:r>
            <w:proofErr w:type="spellEnd"/>
            <w:r>
              <w:rPr>
                <w:rFonts w:ascii="Arial Narrow" w:hAnsi="Arial Narrow"/>
                <w:sz w:val="20"/>
                <w:szCs w:val="20"/>
              </w:rPr>
              <w:t xml:space="preserve"> edukia eta balorazioa; instalazioak, ondasun </w:t>
            </w:r>
          </w:p>
          <w:p w14:paraId="20645ECA"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inbentariagarriak eta inbentariaezinak, merkataritza funtsa, etab.</w:t>
            </w:r>
          </w:p>
        </w:tc>
        <w:tc>
          <w:tcPr>
            <w:tcW w:w="2268" w:type="dxa"/>
            <w:tcBorders>
              <w:bottom w:val="single" w:sz="2" w:space="0" w:color="auto"/>
            </w:tcBorders>
            <w:vAlign w:val="center"/>
          </w:tcPr>
          <w:p w14:paraId="45952873" w14:textId="77777777" w:rsidR="00532457" w:rsidRPr="002F6E3F" w:rsidRDefault="002F6E3F" w:rsidP="00850879">
            <w:pPr>
              <w:pStyle w:val="texto"/>
              <w:spacing w:after="0"/>
              <w:ind w:firstLine="0"/>
              <w:jc w:val="right"/>
              <w:rPr>
                <w:rFonts w:ascii="Arial Narrow" w:hAnsi="Arial Narrow"/>
                <w:sz w:val="20"/>
                <w:szCs w:val="20"/>
              </w:rPr>
            </w:pPr>
            <w:r>
              <w:rPr>
                <w:rFonts w:ascii="Arial Narrow" w:hAnsi="Arial Narrow"/>
                <w:sz w:val="20"/>
                <w:szCs w:val="20"/>
              </w:rPr>
              <w:t xml:space="preserve"> Neurri batean beteta</w:t>
            </w:r>
          </w:p>
        </w:tc>
      </w:tr>
      <w:tr w:rsidR="00532457" w14:paraId="53BC8AB3" w14:textId="77777777" w:rsidTr="00D240DE">
        <w:trPr>
          <w:trHeight w:val="198"/>
          <w:jc w:val="center"/>
        </w:trPr>
        <w:tc>
          <w:tcPr>
            <w:tcW w:w="993" w:type="dxa"/>
            <w:tcBorders>
              <w:top w:val="single" w:sz="2" w:space="0" w:color="auto"/>
              <w:bottom w:val="single" w:sz="2" w:space="0" w:color="auto"/>
            </w:tcBorders>
            <w:vAlign w:val="center"/>
          </w:tcPr>
          <w:p w14:paraId="050B259E"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4</w:t>
            </w:r>
          </w:p>
        </w:tc>
        <w:tc>
          <w:tcPr>
            <w:tcW w:w="5244" w:type="dxa"/>
            <w:tcBorders>
              <w:top w:val="single" w:sz="2" w:space="0" w:color="auto"/>
              <w:bottom w:val="single" w:sz="2" w:space="0" w:color="auto"/>
            </w:tcBorders>
            <w:vAlign w:val="center"/>
          </w:tcPr>
          <w:p w14:paraId="17AECFDB"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Kontratuaren iraupena</w:t>
            </w:r>
          </w:p>
        </w:tc>
        <w:tc>
          <w:tcPr>
            <w:tcW w:w="2268" w:type="dxa"/>
            <w:tcBorders>
              <w:top w:val="single" w:sz="2" w:space="0" w:color="auto"/>
              <w:bottom w:val="single" w:sz="2" w:space="0" w:color="auto"/>
            </w:tcBorders>
            <w:vAlign w:val="center"/>
          </w:tcPr>
          <w:p w14:paraId="2868B38A"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149B59F5" w14:textId="77777777" w:rsidTr="00D240DE">
        <w:trPr>
          <w:trHeight w:val="198"/>
          <w:jc w:val="center"/>
        </w:trPr>
        <w:tc>
          <w:tcPr>
            <w:tcW w:w="993" w:type="dxa"/>
            <w:tcBorders>
              <w:top w:val="single" w:sz="2" w:space="0" w:color="auto"/>
              <w:bottom w:val="single" w:sz="2" w:space="0" w:color="auto"/>
            </w:tcBorders>
            <w:vAlign w:val="center"/>
          </w:tcPr>
          <w:p w14:paraId="0321DF81"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5</w:t>
            </w:r>
          </w:p>
        </w:tc>
        <w:tc>
          <w:tcPr>
            <w:tcW w:w="5244" w:type="dxa"/>
            <w:tcBorders>
              <w:top w:val="single" w:sz="2" w:space="0" w:color="auto"/>
              <w:bottom w:val="single" w:sz="2" w:space="0" w:color="auto"/>
            </w:tcBorders>
            <w:vAlign w:val="center"/>
          </w:tcPr>
          <w:p w14:paraId="45880F9C"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Errentamenduaren errenta: zenbatekoa, BEZa, ordainketak, etab.</w:t>
            </w:r>
          </w:p>
        </w:tc>
        <w:tc>
          <w:tcPr>
            <w:tcW w:w="2268" w:type="dxa"/>
            <w:tcBorders>
              <w:top w:val="single" w:sz="2" w:space="0" w:color="auto"/>
              <w:bottom w:val="single" w:sz="2" w:space="0" w:color="auto"/>
            </w:tcBorders>
            <w:vAlign w:val="center"/>
          </w:tcPr>
          <w:p w14:paraId="0FCBB2E9"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Neurri batean beteta</w:t>
            </w:r>
          </w:p>
        </w:tc>
      </w:tr>
      <w:tr w:rsidR="00532457" w14:paraId="1206E2D5" w14:textId="77777777" w:rsidTr="00D240DE">
        <w:trPr>
          <w:trHeight w:val="198"/>
          <w:jc w:val="center"/>
        </w:trPr>
        <w:tc>
          <w:tcPr>
            <w:tcW w:w="993" w:type="dxa"/>
            <w:tcBorders>
              <w:top w:val="single" w:sz="2" w:space="0" w:color="auto"/>
              <w:bottom w:val="single" w:sz="2" w:space="0" w:color="auto"/>
            </w:tcBorders>
            <w:vAlign w:val="center"/>
          </w:tcPr>
          <w:p w14:paraId="26D6C028"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6</w:t>
            </w:r>
          </w:p>
        </w:tc>
        <w:tc>
          <w:tcPr>
            <w:tcW w:w="5244" w:type="dxa"/>
            <w:tcBorders>
              <w:top w:val="single" w:sz="2" w:space="0" w:color="auto"/>
              <w:bottom w:val="single" w:sz="2" w:space="0" w:color="auto"/>
            </w:tcBorders>
            <w:vAlign w:val="center"/>
          </w:tcPr>
          <w:p w14:paraId="17968232"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 xml:space="preserve">Inbertsioak </w:t>
            </w:r>
            <w:proofErr w:type="spellStart"/>
            <w:r>
              <w:rPr>
                <w:rFonts w:ascii="Arial Narrow" w:hAnsi="Arial Narrow"/>
                <w:sz w:val="20"/>
                <w:szCs w:val="20"/>
              </w:rPr>
              <w:t>NZn</w:t>
            </w:r>
            <w:proofErr w:type="spellEnd"/>
            <w:r>
              <w:rPr>
                <w:rFonts w:ascii="Arial Narrow" w:hAnsi="Arial Narrow"/>
                <w:sz w:val="20"/>
                <w:szCs w:val="20"/>
              </w:rPr>
              <w:t>, obra berriak eta Batzorde Teknikoa</w:t>
            </w:r>
          </w:p>
        </w:tc>
        <w:tc>
          <w:tcPr>
            <w:tcW w:w="2268" w:type="dxa"/>
            <w:tcBorders>
              <w:top w:val="single" w:sz="2" w:space="0" w:color="auto"/>
              <w:bottom w:val="single" w:sz="2" w:space="0" w:color="auto"/>
            </w:tcBorders>
            <w:vAlign w:val="center"/>
          </w:tcPr>
          <w:p w14:paraId="040D6C78"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62B1EBF4" w14:textId="77777777" w:rsidTr="00D240DE">
        <w:trPr>
          <w:trHeight w:val="198"/>
          <w:jc w:val="center"/>
        </w:trPr>
        <w:tc>
          <w:tcPr>
            <w:tcW w:w="993" w:type="dxa"/>
            <w:tcBorders>
              <w:top w:val="single" w:sz="2" w:space="0" w:color="auto"/>
              <w:bottom w:val="single" w:sz="2" w:space="0" w:color="auto"/>
            </w:tcBorders>
            <w:vAlign w:val="center"/>
          </w:tcPr>
          <w:p w14:paraId="2D38B170"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7</w:t>
            </w:r>
          </w:p>
        </w:tc>
        <w:tc>
          <w:tcPr>
            <w:tcW w:w="5244" w:type="dxa"/>
            <w:tcBorders>
              <w:top w:val="single" w:sz="2" w:space="0" w:color="auto"/>
              <w:bottom w:val="single" w:sz="2" w:space="0" w:color="auto"/>
            </w:tcBorders>
            <w:vAlign w:val="center"/>
          </w:tcPr>
          <w:p w14:paraId="72FBE808"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NZ mantentzea</w:t>
            </w:r>
          </w:p>
        </w:tc>
        <w:tc>
          <w:tcPr>
            <w:tcW w:w="2268" w:type="dxa"/>
            <w:tcBorders>
              <w:top w:val="single" w:sz="2" w:space="0" w:color="auto"/>
              <w:bottom w:val="single" w:sz="2" w:space="0" w:color="auto"/>
            </w:tcBorders>
            <w:vAlign w:val="center"/>
          </w:tcPr>
          <w:p w14:paraId="45016CA6" w14:textId="77777777" w:rsidR="00532457" w:rsidRPr="008C02F6" w:rsidRDefault="00E42235" w:rsidP="00850879">
            <w:pPr>
              <w:pStyle w:val="texto"/>
              <w:spacing w:after="0"/>
              <w:ind w:firstLine="0"/>
              <w:jc w:val="right"/>
              <w:rPr>
                <w:rFonts w:ascii="Arial Narrow" w:hAnsi="Arial Narrow"/>
                <w:sz w:val="20"/>
                <w:szCs w:val="20"/>
              </w:rPr>
            </w:pPr>
            <w:r>
              <w:rPr>
                <w:rFonts w:ascii="Arial Narrow" w:hAnsi="Arial Narrow"/>
                <w:sz w:val="20"/>
                <w:szCs w:val="20"/>
              </w:rPr>
              <w:t>Bete gabe</w:t>
            </w:r>
          </w:p>
        </w:tc>
      </w:tr>
      <w:tr w:rsidR="00532457" w14:paraId="1754BBB9" w14:textId="77777777" w:rsidTr="00D240DE">
        <w:trPr>
          <w:trHeight w:val="198"/>
          <w:jc w:val="center"/>
        </w:trPr>
        <w:tc>
          <w:tcPr>
            <w:tcW w:w="993" w:type="dxa"/>
            <w:tcBorders>
              <w:top w:val="single" w:sz="2" w:space="0" w:color="auto"/>
              <w:bottom w:val="single" w:sz="2" w:space="0" w:color="auto"/>
            </w:tcBorders>
            <w:vAlign w:val="center"/>
          </w:tcPr>
          <w:p w14:paraId="5EB5CCB3"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8</w:t>
            </w:r>
          </w:p>
        </w:tc>
        <w:tc>
          <w:tcPr>
            <w:tcW w:w="5244" w:type="dxa"/>
            <w:tcBorders>
              <w:top w:val="single" w:sz="2" w:space="0" w:color="auto"/>
              <w:bottom w:val="single" w:sz="2" w:space="0" w:color="auto"/>
            </w:tcBorders>
            <w:vAlign w:val="center"/>
          </w:tcPr>
          <w:p w14:paraId="7F7ADFCA"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NZko langileak</w:t>
            </w:r>
          </w:p>
        </w:tc>
        <w:tc>
          <w:tcPr>
            <w:tcW w:w="2268" w:type="dxa"/>
            <w:tcBorders>
              <w:top w:val="single" w:sz="2" w:space="0" w:color="auto"/>
              <w:bottom w:val="single" w:sz="2" w:space="0" w:color="auto"/>
            </w:tcBorders>
            <w:vAlign w:val="center"/>
          </w:tcPr>
          <w:p w14:paraId="27E856C0" w14:textId="77777777" w:rsidR="00532457" w:rsidRPr="008C02F6" w:rsidRDefault="00205444" w:rsidP="00850879">
            <w:pPr>
              <w:pStyle w:val="texto"/>
              <w:spacing w:after="0"/>
              <w:ind w:firstLine="0"/>
              <w:jc w:val="right"/>
              <w:rPr>
                <w:rFonts w:ascii="Arial Narrow" w:hAnsi="Arial Narrow"/>
                <w:sz w:val="20"/>
                <w:szCs w:val="20"/>
              </w:rPr>
            </w:pPr>
            <w:r>
              <w:rPr>
                <w:rFonts w:ascii="Arial Narrow" w:hAnsi="Arial Narrow"/>
                <w:sz w:val="20"/>
                <w:szCs w:val="20"/>
              </w:rPr>
              <w:t>Neurri batean beteta</w:t>
            </w:r>
          </w:p>
        </w:tc>
      </w:tr>
      <w:tr w:rsidR="00532457" w14:paraId="4428B530" w14:textId="77777777" w:rsidTr="00D240DE">
        <w:trPr>
          <w:trHeight w:val="198"/>
          <w:jc w:val="center"/>
        </w:trPr>
        <w:tc>
          <w:tcPr>
            <w:tcW w:w="993" w:type="dxa"/>
            <w:tcBorders>
              <w:top w:val="single" w:sz="2" w:space="0" w:color="auto"/>
              <w:bottom w:val="single" w:sz="2" w:space="0" w:color="auto"/>
            </w:tcBorders>
            <w:vAlign w:val="center"/>
          </w:tcPr>
          <w:p w14:paraId="28B275FC"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9</w:t>
            </w:r>
          </w:p>
        </w:tc>
        <w:tc>
          <w:tcPr>
            <w:tcW w:w="5244" w:type="dxa"/>
            <w:tcBorders>
              <w:top w:val="single" w:sz="2" w:space="0" w:color="auto"/>
              <w:bottom w:val="single" w:sz="2" w:space="0" w:color="auto"/>
            </w:tcBorders>
            <w:vAlign w:val="center"/>
          </w:tcPr>
          <w:p w14:paraId="61650CDA"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Lan arloko eta legezko betebeharrak eta Gizarte Segurantza</w:t>
            </w:r>
          </w:p>
        </w:tc>
        <w:tc>
          <w:tcPr>
            <w:tcW w:w="2268" w:type="dxa"/>
            <w:tcBorders>
              <w:top w:val="single" w:sz="2" w:space="0" w:color="auto"/>
              <w:bottom w:val="single" w:sz="2" w:space="0" w:color="auto"/>
            </w:tcBorders>
            <w:vAlign w:val="center"/>
          </w:tcPr>
          <w:p w14:paraId="7CAAEBE5"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2F6E3F" w:rsidRPr="002F6E3F" w14:paraId="07271BFA" w14:textId="77777777" w:rsidTr="00D240DE">
        <w:trPr>
          <w:trHeight w:val="198"/>
          <w:jc w:val="center"/>
        </w:trPr>
        <w:tc>
          <w:tcPr>
            <w:tcW w:w="993" w:type="dxa"/>
            <w:tcBorders>
              <w:top w:val="single" w:sz="2" w:space="0" w:color="auto"/>
              <w:bottom w:val="single" w:sz="2" w:space="0" w:color="auto"/>
            </w:tcBorders>
            <w:vAlign w:val="center"/>
          </w:tcPr>
          <w:p w14:paraId="68BBDC29" w14:textId="77777777" w:rsidR="00532457" w:rsidRPr="002F6E3F"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11</w:t>
            </w:r>
          </w:p>
        </w:tc>
        <w:tc>
          <w:tcPr>
            <w:tcW w:w="5244" w:type="dxa"/>
            <w:tcBorders>
              <w:top w:val="single" w:sz="2" w:space="0" w:color="auto"/>
              <w:bottom w:val="single" w:sz="2" w:space="0" w:color="auto"/>
            </w:tcBorders>
            <w:vAlign w:val="center"/>
          </w:tcPr>
          <w:p w14:paraId="09F9F60D" w14:textId="77777777" w:rsidR="00532457" w:rsidRPr="002F6E3F"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Kontrolerako eskubidea, Kontrol eta Jarraipen Batzordea</w:t>
            </w:r>
          </w:p>
        </w:tc>
        <w:tc>
          <w:tcPr>
            <w:tcW w:w="2268" w:type="dxa"/>
            <w:tcBorders>
              <w:top w:val="single" w:sz="2" w:space="0" w:color="auto"/>
              <w:bottom w:val="single" w:sz="2" w:space="0" w:color="auto"/>
            </w:tcBorders>
            <w:vAlign w:val="center"/>
          </w:tcPr>
          <w:p w14:paraId="55610C71" w14:textId="77777777" w:rsidR="00532457" w:rsidRPr="002F6E3F"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10DD22EF" w14:textId="77777777" w:rsidTr="00D240DE">
        <w:trPr>
          <w:trHeight w:val="198"/>
          <w:jc w:val="center"/>
        </w:trPr>
        <w:tc>
          <w:tcPr>
            <w:tcW w:w="993" w:type="dxa"/>
            <w:tcBorders>
              <w:top w:val="single" w:sz="2" w:space="0" w:color="auto"/>
              <w:bottom w:val="single" w:sz="2" w:space="0" w:color="auto"/>
            </w:tcBorders>
            <w:vAlign w:val="center"/>
          </w:tcPr>
          <w:p w14:paraId="0268FFE5"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13</w:t>
            </w:r>
          </w:p>
        </w:tc>
        <w:tc>
          <w:tcPr>
            <w:tcW w:w="5244" w:type="dxa"/>
            <w:tcBorders>
              <w:top w:val="single" w:sz="2" w:space="0" w:color="auto"/>
              <w:bottom w:val="single" w:sz="2" w:space="0" w:color="auto"/>
            </w:tcBorders>
            <w:vAlign w:val="center"/>
          </w:tcPr>
          <w:p w14:paraId="112D9EE7"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 xml:space="preserve">Errentariaren urteko kontuak eta </w:t>
            </w:r>
            <w:proofErr w:type="spellStart"/>
            <w:r>
              <w:rPr>
                <w:rFonts w:ascii="Arial Narrow" w:hAnsi="Arial Narrow"/>
                <w:sz w:val="20"/>
                <w:szCs w:val="20"/>
              </w:rPr>
              <w:t>auditoriak</w:t>
            </w:r>
            <w:proofErr w:type="spellEnd"/>
          </w:p>
        </w:tc>
        <w:tc>
          <w:tcPr>
            <w:tcW w:w="2268" w:type="dxa"/>
            <w:tcBorders>
              <w:top w:val="single" w:sz="2" w:space="0" w:color="auto"/>
              <w:bottom w:val="single" w:sz="2" w:space="0" w:color="auto"/>
            </w:tcBorders>
            <w:vAlign w:val="center"/>
          </w:tcPr>
          <w:p w14:paraId="1E35CBEE"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 gabe</w:t>
            </w:r>
          </w:p>
        </w:tc>
      </w:tr>
      <w:tr w:rsidR="00532457" w14:paraId="03C0CC29" w14:textId="77777777" w:rsidTr="00D240DE">
        <w:trPr>
          <w:trHeight w:val="198"/>
          <w:jc w:val="center"/>
        </w:trPr>
        <w:tc>
          <w:tcPr>
            <w:tcW w:w="993" w:type="dxa"/>
            <w:tcBorders>
              <w:top w:val="single" w:sz="2" w:space="0" w:color="auto"/>
              <w:bottom w:val="single" w:sz="2" w:space="0" w:color="auto"/>
            </w:tcBorders>
            <w:vAlign w:val="center"/>
          </w:tcPr>
          <w:p w14:paraId="0E91EA84"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14</w:t>
            </w:r>
          </w:p>
        </w:tc>
        <w:tc>
          <w:tcPr>
            <w:tcW w:w="5244" w:type="dxa"/>
            <w:tcBorders>
              <w:top w:val="single" w:sz="2" w:space="0" w:color="auto"/>
              <w:bottom w:val="single" w:sz="2" w:space="0" w:color="auto"/>
            </w:tcBorders>
            <w:vAlign w:val="center"/>
          </w:tcPr>
          <w:p w14:paraId="0EDE8C91"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 xml:space="preserve">Markak, jabetza intelektuala eta industriala </w:t>
            </w:r>
          </w:p>
        </w:tc>
        <w:tc>
          <w:tcPr>
            <w:tcW w:w="2268" w:type="dxa"/>
            <w:tcBorders>
              <w:top w:val="single" w:sz="2" w:space="0" w:color="auto"/>
              <w:bottom w:val="single" w:sz="2" w:space="0" w:color="auto"/>
            </w:tcBorders>
            <w:vAlign w:val="center"/>
          </w:tcPr>
          <w:p w14:paraId="0AC35C83"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55FC4730" w14:textId="77777777" w:rsidTr="00D240DE">
        <w:trPr>
          <w:trHeight w:val="198"/>
          <w:jc w:val="center"/>
        </w:trPr>
        <w:tc>
          <w:tcPr>
            <w:tcW w:w="993" w:type="dxa"/>
            <w:tcBorders>
              <w:top w:val="single" w:sz="2" w:space="0" w:color="auto"/>
              <w:bottom w:val="single" w:sz="2" w:space="0" w:color="auto"/>
            </w:tcBorders>
            <w:vAlign w:val="center"/>
          </w:tcPr>
          <w:p w14:paraId="1664E7B6"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15</w:t>
            </w:r>
          </w:p>
        </w:tc>
        <w:tc>
          <w:tcPr>
            <w:tcW w:w="5244" w:type="dxa"/>
            <w:tcBorders>
              <w:top w:val="single" w:sz="2" w:space="0" w:color="auto"/>
              <w:bottom w:val="single" w:sz="2" w:space="0" w:color="auto"/>
            </w:tcBorders>
            <w:vAlign w:val="center"/>
          </w:tcPr>
          <w:p w14:paraId="3819E80A"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NZ ustiatzeko lizentziak</w:t>
            </w:r>
          </w:p>
        </w:tc>
        <w:tc>
          <w:tcPr>
            <w:tcW w:w="2268" w:type="dxa"/>
            <w:tcBorders>
              <w:top w:val="single" w:sz="2" w:space="0" w:color="auto"/>
              <w:bottom w:val="single" w:sz="2" w:space="0" w:color="auto"/>
            </w:tcBorders>
            <w:vAlign w:val="center"/>
          </w:tcPr>
          <w:p w14:paraId="54E7A6F1"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30C86232" w14:textId="77777777" w:rsidTr="00D240DE">
        <w:trPr>
          <w:trHeight w:val="198"/>
          <w:jc w:val="center"/>
        </w:trPr>
        <w:tc>
          <w:tcPr>
            <w:tcW w:w="993" w:type="dxa"/>
            <w:tcBorders>
              <w:top w:val="single" w:sz="2" w:space="0" w:color="auto"/>
              <w:bottom w:val="single" w:sz="2" w:space="0" w:color="auto"/>
            </w:tcBorders>
            <w:vAlign w:val="center"/>
          </w:tcPr>
          <w:p w14:paraId="4A43DBE5"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16</w:t>
            </w:r>
          </w:p>
        </w:tc>
        <w:tc>
          <w:tcPr>
            <w:tcW w:w="5244" w:type="dxa"/>
            <w:tcBorders>
              <w:top w:val="single" w:sz="2" w:space="0" w:color="auto"/>
              <w:bottom w:val="single" w:sz="2" w:space="0" w:color="auto"/>
            </w:tcBorders>
            <w:vAlign w:val="center"/>
          </w:tcPr>
          <w:p w14:paraId="2857C9C4"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Kirol homologazioa</w:t>
            </w:r>
          </w:p>
        </w:tc>
        <w:tc>
          <w:tcPr>
            <w:tcW w:w="2268" w:type="dxa"/>
            <w:tcBorders>
              <w:top w:val="single" w:sz="2" w:space="0" w:color="auto"/>
              <w:bottom w:val="single" w:sz="2" w:space="0" w:color="auto"/>
            </w:tcBorders>
            <w:vAlign w:val="center"/>
          </w:tcPr>
          <w:p w14:paraId="4AE43B6B"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60B85376" w14:textId="77777777" w:rsidTr="00D240DE">
        <w:trPr>
          <w:trHeight w:val="198"/>
          <w:jc w:val="center"/>
        </w:trPr>
        <w:tc>
          <w:tcPr>
            <w:tcW w:w="993" w:type="dxa"/>
            <w:tcBorders>
              <w:top w:val="single" w:sz="2" w:space="0" w:color="auto"/>
              <w:bottom w:val="single" w:sz="2" w:space="0" w:color="auto"/>
            </w:tcBorders>
            <w:vAlign w:val="center"/>
          </w:tcPr>
          <w:p w14:paraId="126BE857"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17</w:t>
            </w:r>
          </w:p>
        </w:tc>
        <w:tc>
          <w:tcPr>
            <w:tcW w:w="5244" w:type="dxa"/>
            <w:tcBorders>
              <w:top w:val="single" w:sz="2" w:space="0" w:color="auto"/>
              <w:bottom w:val="single" w:sz="2" w:space="0" w:color="auto"/>
            </w:tcBorders>
            <w:vAlign w:val="center"/>
          </w:tcPr>
          <w:p w14:paraId="50BD12B8"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Azpierrentamendua</w:t>
            </w:r>
          </w:p>
        </w:tc>
        <w:tc>
          <w:tcPr>
            <w:tcW w:w="2268" w:type="dxa"/>
            <w:tcBorders>
              <w:top w:val="single" w:sz="2" w:space="0" w:color="auto"/>
              <w:bottom w:val="single" w:sz="2" w:space="0" w:color="auto"/>
            </w:tcBorders>
            <w:vAlign w:val="center"/>
          </w:tcPr>
          <w:p w14:paraId="0083F0C5"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6B287CC0" w14:textId="77777777" w:rsidTr="00D240DE">
        <w:trPr>
          <w:trHeight w:val="198"/>
          <w:jc w:val="center"/>
        </w:trPr>
        <w:tc>
          <w:tcPr>
            <w:tcW w:w="993" w:type="dxa"/>
            <w:tcBorders>
              <w:top w:val="single" w:sz="2" w:space="0" w:color="auto"/>
              <w:bottom w:val="single" w:sz="2" w:space="0" w:color="auto"/>
            </w:tcBorders>
            <w:vAlign w:val="center"/>
          </w:tcPr>
          <w:p w14:paraId="1A66C1EB"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18</w:t>
            </w:r>
          </w:p>
        </w:tc>
        <w:tc>
          <w:tcPr>
            <w:tcW w:w="5244" w:type="dxa"/>
            <w:tcBorders>
              <w:top w:val="single" w:sz="2" w:space="0" w:color="auto"/>
              <w:bottom w:val="single" w:sz="2" w:space="0" w:color="auto"/>
            </w:tcBorders>
            <w:vAlign w:val="center"/>
          </w:tcPr>
          <w:p w14:paraId="732A1076" w14:textId="77777777" w:rsidR="00532457" w:rsidRPr="008C02F6" w:rsidRDefault="00532457" w:rsidP="00D240DE">
            <w:pPr>
              <w:pStyle w:val="texto"/>
              <w:spacing w:after="0"/>
              <w:ind w:left="-6" w:firstLine="0"/>
              <w:jc w:val="left"/>
              <w:rPr>
                <w:rFonts w:ascii="Arial Narrow" w:hAnsi="Arial Narrow"/>
                <w:sz w:val="20"/>
                <w:szCs w:val="20"/>
              </w:rPr>
            </w:pPr>
            <w:proofErr w:type="spellStart"/>
            <w:r>
              <w:rPr>
                <w:rFonts w:ascii="Arial Narrow" w:hAnsi="Arial Narrow"/>
                <w:sz w:val="20"/>
                <w:szCs w:val="20"/>
              </w:rPr>
              <w:t>NICDOk</w:t>
            </w:r>
            <w:proofErr w:type="spellEnd"/>
            <w:r>
              <w:rPr>
                <w:rFonts w:ascii="Arial Narrow" w:hAnsi="Arial Narrow"/>
                <w:sz w:val="20"/>
                <w:szCs w:val="20"/>
              </w:rPr>
              <w:t xml:space="preserve"> </w:t>
            </w:r>
            <w:proofErr w:type="spellStart"/>
            <w:r>
              <w:rPr>
                <w:rFonts w:ascii="Arial Narrow" w:hAnsi="Arial Narrow"/>
                <w:sz w:val="20"/>
                <w:szCs w:val="20"/>
              </w:rPr>
              <w:t>NZren</w:t>
            </w:r>
            <w:proofErr w:type="spellEnd"/>
            <w:r>
              <w:rPr>
                <w:rFonts w:ascii="Arial Narrow" w:hAnsi="Arial Narrow"/>
                <w:sz w:val="20"/>
                <w:szCs w:val="20"/>
              </w:rPr>
              <w:t xml:space="preserve"> edukitza berreskuratzea</w:t>
            </w:r>
          </w:p>
        </w:tc>
        <w:tc>
          <w:tcPr>
            <w:tcW w:w="2268" w:type="dxa"/>
            <w:tcBorders>
              <w:top w:val="single" w:sz="2" w:space="0" w:color="auto"/>
              <w:bottom w:val="single" w:sz="2" w:space="0" w:color="auto"/>
            </w:tcBorders>
            <w:vAlign w:val="center"/>
          </w:tcPr>
          <w:p w14:paraId="2FC672A2"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61FE4591" w14:textId="77777777" w:rsidTr="00D240DE">
        <w:trPr>
          <w:trHeight w:val="198"/>
          <w:jc w:val="center"/>
        </w:trPr>
        <w:tc>
          <w:tcPr>
            <w:tcW w:w="993" w:type="dxa"/>
            <w:tcBorders>
              <w:top w:val="single" w:sz="2" w:space="0" w:color="auto"/>
              <w:bottom w:val="single" w:sz="2" w:space="0" w:color="auto"/>
            </w:tcBorders>
            <w:vAlign w:val="center"/>
          </w:tcPr>
          <w:p w14:paraId="0B46D208"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19</w:t>
            </w:r>
          </w:p>
        </w:tc>
        <w:tc>
          <w:tcPr>
            <w:tcW w:w="5244" w:type="dxa"/>
            <w:tcBorders>
              <w:top w:val="single" w:sz="2" w:space="0" w:color="auto"/>
              <w:bottom w:val="single" w:sz="2" w:space="0" w:color="auto"/>
            </w:tcBorders>
            <w:vAlign w:val="center"/>
          </w:tcPr>
          <w:p w14:paraId="36F42F2F"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Lege aldaketak kontratuaren indarraldian</w:t>
            </w:r>
          </w:p>
        </w:tc>
        <w:tc>
          <w:tcPr>
            <w:tcW w:w="2268" w:type="dxa"/>
            <w:tcBorders>
              <w:top w:val="single" w:sz="2" w:space="0" w:color="auto"/>
              <w:bottom w:val="single" w:sz="2" w:space="0" w:color="auto"/>
            </w:tcBorders>
            <w:vAlign w:val="center"/>
          </w:tcPr>
          <w:p w14:paraId="50C2F358"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7A9C3F36" w14:textId="77777777" w:rsidTr="00D240DE">
        <w:trPr>
          <w:trHeight w:val="198"/>
          <w:jc w:val="center"/>
        </w:trPr>
        <w:tc>
          <w:tcPr>
            <w:tcW w:w="993" w:type="dxa"/>
            <w:tcBorders>
              <w:top w:val="single" w:sz="2" w:space="0" w:color="auto"/>
              <w:bottom w:val="single" w:sz="2" w:space="0" w:color="auto"/>
            </w:tcBorders>
            <w:vAlign w:val="center"/>
          </w:tcPr>
          <w:p w14:paraId="72BFBA44"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20</w:t>
            </w:r>
          </w:p>
        </w:tc>
        <w:tc>
          <w:tcPr>
            <w:tcW w:w="5244" w:type="dxa"/>
            <w:tcBorders>
              <w:top w:val="single" w:sz="2" w:space="0" w:color="auto"/>
              <w:bottom w:val="single" w:sz="2" w:space="0" w:color="auto"/>
            </w:tcBorders>
            <w:vAlign w:val="center"/>
          </w:tcPr>
          <w:p w14:paraId="4059C6CD" w14:textId="77777777" w:rsidR="00532457" w:rsidRPr="008C02F6" w:rsidRDefault="00532457" w:rsidP="00D240DE">
            <w:pPr>
              <w:pStyle w:val="texto"/>
              <w:spacing w:after="0"/>
              <w:ind w:left="-6" w:firstLine="0"/>
              <w:jc w:val="left"/>
              <w:rPr>
                <w:rFonts w:ascii="Arial Narrow" w:hAnsi="Arial Narrow"/>
                <w:sz w:val="20"/>
                <w:szCs w:val="20"/>
              </w:rPr>
            </w:pPr>
            <w:proofErr w:type="spellStart"/>
            <w:r>
              <w:rPr>
                <w:rFonts w:ascii="Arial Narrow" w:hAnsi="Arial Narrow"/>
                <w:sz w:val="20"/>
                <w:szCs w:val="20"/>
              </w:rPr>
              <w:t>NZren</w:t>
            </w:r>
            <w:proofErr w:type="spellEnd"/>
            <w:r>
              <w:rPr>
                <w:rFonts w:ascii="Arial Narrow" w:hAnsi="Arial Narrow"/>
                <w:sz w:val="20"/>
                <w:szCs w:val="20"/>
              </w:rPr>
              <w:t xml:space="preserve"> ustiapenarekin lotutako aseguruak</w:t>
            </w:r>
          </w:p>
        </w:tc>
        <w:tc>
          <w:tcPr>
            <w:tcW w:w="2268" w:type="dxa"/>
            <w:tcBorders>
              <w:top w:val="single" w:sz="2" w:space="0" w:color="auto"/>
              <w:bottom w:val="single" w:sz="2" w:space="0" w:color="auto"/>
            </w:tcBorders>
            <w:vAlign w:val="center"/>
          </w:tcPr>
          <w:p w14:paraId="4F2C894D"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3C5F45BB" w14:textId="77777777" w:rsidTr="00D240DE">
        <w:trPr>
          <w:trHeight w:val="198"/>
          <w:jc w:val="center"/>
        </w:trPr>
        <w:tc>
          <w:tcPr>
            <w:tcW w:w="993" w:type="dxa"/>
            <w:tcBorders>
              <w:top w:val="single" w:sz="2" w:space="0" w:color="auto"/>
              <w:bottom w:val="single" w:sz="2" w:space="0" w:color="auto"/>
            </w:tcBorders>
            <w:vAlign w:val="center"/>
          </w:tcPr>
          <w:p w14:paraId="5731FE91"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21</w:t>
            </w:r>
          </w:p>
        </w:tc>
        <w:tc>
          <w:tcPr>
            <w:tcW w:w="5244" w:type="dxa"/>
            <w:tcBorders>
              <w:top w:val="single" w:sz="2" w:space="0" w:color="auto"/>
              <w:bottom w:val="single" w:sz="2" w:space="0" w:color="auto"/>
            </w:tcBorders>
            <w:vAlign w:val="center"/>
          </w:tcPr>
          <w:p w14:paraId="33FFD592" w14:textId="77777777" w:rsidR="00532457" w:rsidRPr="008C02F6" w:rsidRDefault="00532457" w:rsidP="00D240DE">
            <w:pPr>
              <w:pStyle w:val="texto"/>
              <w:spacing w:after="0"/>
              <w:ind w:left="-6" w:firstLine="0"/>
              <w:jc w:val="left"/>
              <w:rPr>
                <w:rFonts w:ascii="Arial Narrow" w:hAnsi="Arial Narrow"/>
                <w:sz w:val="20"/>
                <w:szCs w:val="20"/>
              </w:rPr>
            </w:pPr>
            <w:proofErr w:type="spellStart"/>
            <w:r>
              <w:rPr>
                <w:rFonts w:ascii="Arial Narrow" w:hAnsi="Arial Narrow"/>
                <w:sz w:val="20"/>
                <w:szCs w:val="20"/>
              </w:rPr>
              <w:t>NZren</w:t>
            </w:r>
            <w:proofErr w:type="spellEnd"/>
            <w:r>
              <w:rPr>
                <w:rFonts w:ascii="Arial Narrow" w:hAnsi="Arial Narrow"/>
                <w:sz w:val="20"/>
                <w:szCs w:val="20"/>
              </w:rPr>
              <w:t xml:space="preserve"> ustiapenarekin lotutako zergak eta tasak</w:t>
            </w:r>
          </w:p>
        </w:tc>
        <w:tc>
          <w:tcPr>
            <w:tcW w:w="2268" w:type="dxa"/>
            <w:tcBorders>
              <w:top w:val="single" w:sz="2" w:space="0" w:color="auto"/>
              <w:bottom w:val="single" w:sz="2" w:space="0" w:color="auto"/>
            </w:tcBorders>
            <w:vAlign w:val="center"/>
          </w:tcPr>
          <w:p w14:paraId="78B11428"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 gabe</w:t>
            </w:r>
          </w:p>
        </w:tc>
      </w:tr>
      <w:tr w:rsidR="00532457" w14:paraId="1FE16526" w14:textId="77777777" w:rsidTr="00D240DE">
        <w:trPr>
          <w:trHeight w:val="198"/>
          <w:jc w:val="center"/>
        </w:trPr>
        <w:tc>
          <w:tcPr>
            <w:tcW w:w="993" w:type="dxa"/>
            <w:tcBorders>
              <w:top w:val="single" w:sz="2" w:space="0" w:color="auto"/>
              <w:bottom w:val="single" w:sz="2" w:space="0" w:color="auto"/>
            </w:tcBorders>
            <w:vAlign w:val="center"/>
          </w:tcPr>
          <w:p w14:paraId="2E02F2DF"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22</w:t>
            </w:r>
          </w:p>
        </w:tc>
        <w:tc>
          <w:tcPr>
            <w:tcW w:w="5244" w:type="dxa"/>
            <w:tcBorders>
              <w:top w:val="single" w:sz="2" w:space="0" w:color="auto"/>
              <w:bottom w:val="single" w:sz="2" w:space="0" w:color="auto"/>
            </w:tcBorders>
            <w:vAlign w:val="center"/>
          </w:tcPr>
          <w:p w14:paraId="422C29FB"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Enpresa errentariaren betebeharrak</w:t>
            </w:r>
          </w:p>
        </w:tc>
        <w:tc>
          <w:tcPr>
            <w:tcW w:w="2268" w:type="dxa"/>
            <w:tcBorders>
              <w:top w:val="single" w:sz="2" w:space="0" w:color="auto"/>
              <w:bottom w:val="single" w:sz="2" w:space="0" w:color="auto"/>
            </w:tcBorders>
            <w:vAlign w:val="center"/>
          </w:tcPr>
          <w:p w14:paraId="33535B46" w14:textId="77777777" w:rsidR="00532457" w:rsidRDefault="00532457" w:rsidP="00850879">
            <w:pPr>
              <w:pStyle w:val="texto"/>
              <w:spacing w:after="0"/>
              <w:ind w:firstLine="0"/>
              <w:jc w:val="right"/>
              <w:rPr>
                <w:rFonts w:ascii="Arial Narrow" w:hAnsi="Arial Narrow"/>
                <w:sz w:val="20"/>
                <w:szCs w:val="20"/>
              </w:rPr>
            </w:pPr>
            <w:r>
              <w:rPr>
                <w:rFonts w:ascii="Arial Narrow" w:hAnsi="Arial Narrow"/>
                <w:sz w:val="20"/>
                <w:szCs w:val="20"/>
              </w:rPr>
              <w:t>Neurri batean beteta</w:t>
            </w:r>
          </w:p>
        </w:tc>
      </w:tr>
      <w:tr w:rsidR="00532457" w14:paraId="5731F192" w14:textId="77777777" w:rsidTr="00D240DE">
        <w:trPr>
          <w:trHeight w:val="198"/>
          <w:jc w:val="center"/>
        </w:trPr>
        <w:tc>
          <w:tcPr>
            <w:tcW w:w="993" w:type="dxa"/>
            <w:tcBorders>
              <w:top w:val="single" w:sz="2" w:space="0" w:color="auto"/>
              <w:bottom w:val="single" w:sz="2" w:space="0" w:color="auto"/>
            </w:tcBorders>
            <w:vAlign w:val="center"/>
          </w:tcPr>
          <w:p w14:paraId="24F218AE"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25</w:t>
            </w:r>
          </w:p>
        </w:tc>
        <w:tc>
          <w:tcPr>
            <w:tcW w:w="5244" w:type="dxa"/>
            <w:tcBorders>
              <w:top w:val="single" w:sz="2" w:space="0" w:color="auto"/>
              <w:bottom w:val="single" w:sz="2" w:space="0" w:color="auto"/>
            </w:tcBorders>
            <w:vAlign w:val="center"/>
          </w:tcPr>
          <w:p w14:paraId="76A995B0" w14:textId="77777777" w:rsidR="00532457" w:rsidRPr="008C02F6" w:rsidRDefault="00532457" w:rsidP="00D240DE">
            <w:pPr>
              <w:pStyle w:val="texto"/>
              <w:spacing w:after="0"/>
              <w:ind w:left="-6" w:firstLine="0"/>
              <w:jc w:val="left"/>
              <w:rPr>
                <w:rFonts w:ascii="Arial Narrow" w:hAnsi="Arial Narrow"/>
                <w:sz w:val="20"/>
                <w:szCs w:val="20"/>
              </w:rPr>
            </w:pPr>
            <w:proofErr w:type="spellStart"/>
            <w:r>
              <w:rPr>
                <w:rFonts w:ascii="Arial Narrow" w:hAnsi="Arial Narrow"/>
                <w:sz w:val="20"/>
                <w:szCs w:val="20"/>
              </w:rPr>
              <w:t>NZn</w:t>
            </w:r>
            <w:proofErr w:type="spellEnd"/>
            <w:r>
              <w:rPr>
                <w:rFonts w:ascii="Arial Narrow" w:hAnsi="Arial Narrow"/>
                <w:sz w:val="20"/>
                <w:szCs w:val="20"/>
              </w:rPr>
              <w:t xml:space="preserve"> egitekoak ziren probak</w:t>
            </w:r>
          </w:p>
        </w:tc>
        <w:tc>
          <w:tcPr>
            <w:tcW w:w="2268" w:type="dxa"/>
            <w:tcBorders>
              <w:top w:val="single" w:sz="2" w:space="0" w:color="auto"/>
              <w:bottom w:val="single" w:sz="2" w:space="0" w:color="auto"/>
            </w:tcBorders>
            <w:vAlign w:val="center"/>
          </w:tcPr>
          <w:p w14:paraId="62E06FE8"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r w:rsidR="00532457" w14:paraId="2B42AE39" w14:textId="77777777" w:rsidTr="00D240DE">
        <w:trPr>
          <w:trHeight w:val="198"/>
          <w:jc w:val="center"/>
        </w:trPr>
        <w:tc>
          <w:tcPr>
            <w:tcW w:w="993" w:type="dxa"/>
            <w:tcBorders>
              <w:top w:val="single" w:sz="2" w:space="0" w:color="auto"/>
              <w:bottom w:val="single" w:sz="4" w:space="0" w:color="auto"/>
            </w:tcBorders>
            <w:vAlign w:val="center"/>
          </w:tcPr>
          <w:p w14:paraId="320D4329" w14:textId="77777777" w:rsidR="00532457" w:rsidRPr="008C02F6" w:rsidRDefault="00532457" w:rsidP="00850879">
            <w:pPr>
              <w:pStyle w:val="texto"/>
              <w:spacing w:after="0"/>
              <w:ind w:left="-105" w:firstLine="0"/>
              <w:jc w:val="left"/>
              <w:rPr>
                <w:rFonts w:ascii="Arial Narrow" w:hAnsi="Arial Narrow"/>
                <w:sz w:val="20"/>
                <w:szCs w:val="20"/>
              </w:rPr>
            </w:pPr>
            <w:r>
              <w:rPr>
                <w:rFonts w:ascii="Arial Narrow" w:hAnsi="Arial Narrow"/>
                <w:sz w:val="20"/>
                <w:szCs w:val="20"/>
              </w:rPr>
              <w:t>30</w:t>
            </w:r>
          </w:p>
        </w:tc>
        <w:tc>
          <w:tcPr>
            <w:tcW w:w="5244" w:type="dxa"/>
            <w:tcBorders>
              <w:top w:val="single" w:sz="2" w:space="0" w:color="auto"/>
              <w:bottom w:val="single" w:sz="4" w:space="0" w:color="auto"/>
            </w:tcBorders>
            <w:vAlign w:val="center"/>
          </w:tcPr>
          <w:p w14:paraId="41D63C8F" w14:textId="77777777" w:rsidR="00532457" w:rsidRPr="008C02F6" w:rsidRDefault="00532457" w:rsidP="00D240DE">
            <w:pPr>
              <w:pStyle w:val="texto"/>
              <w:spacing w:after="0"/>
              <w:ind w:left="-6" w:firstLine="0"/>
              <w:jc w:val="left"/>
              <w:rPr>
                <w:rFonts w:ascii="Arial Narrow" w:hAnsi="Arial Narrow"/>
                <w:sz w:val="20"/>
                <w:szCs w:val="20"/>
              </w:rPr>
            </w:pPr>
            <w:r>
              <w:rPr>
                <w:rFonts w:ascii="Arial Narrow" w:hAnsi="Arial Narrow"/>
                <w:sz w:val="20"/>
                <w:szCs w:val="20"/>
              </w:rPr>
              <w:t>Kontratua betetzea bermatzeko abala</w:t>
            </w:r>
          </w:p>
        </w:tc>
        <w:tc>
          <w:tcPr>
            <w:tcW w:w="2268" w:type="dxa"/>
            <w:tcBorders>
              <w:top w:val="single" w:sz="2" w:space="0" w:color="auto"/>
              <w:bottom w:val="single" w:sz="4" w:space="0" w:color="auto"/>
            </w:tcBorders>
            <w:vAlign w:val="center"/>
          </w:tcPr>
          <w:p w14:paraId="52DE0A6C" w14:textId="77777777" w:rsidR="00532457" w:rsidRPr="008C02F6" w:rsidRDefault="00532457" w:rsidP="00850879">
            <w:pPr>
              <w:pStyle w:val="texto"/>
              <w:spacing w:after="0"/>
              <w:ind w:firstLine="0"/>
              <w:jc w:val="right"/>
              <w:rPr>
                <w:rFonts w:ascii="Arial Narrow" w:hAnsi="Arial Narrow"/>
                <w:sz w:val="20"/>
                <w:szCs w:val="20"/>
              </w:rPr>
            </w:pPr>
            <w:r>
              <w:rPr>
                <w:rFonts w:ascii="Arial Narrow" w:hAnsi="Arial Narrow"/>
                <w:sz w:val="20"/>
                <w:szCs w:val="20"/>
              </w:rPr>
              <w:t>Beteta</w:t>
            </w:r>
          </w:p>
        </w:tc>
      </w:tr>
    </w:tbl>
    <w:p w14:paraId="38228425" w14:textId="77777777" w:rsidR="00D521AC" w:rsidRDefault="00E42235" w:rsidP="00E42235">
      <w:pPr>
        <w:pStyle w:val="texto"/>
        <w:spacing w:before="120" w:after="120"/>
        <w:rPr>
          <w:szCs w:val="26"/>
        </w:rPr>
      </w:pPr>
      <w:r>
        <w:t>Aurreko taula aztertuta ondorioztatu ahal dugu 13 klausula bete egin zirela, lau klausula neurri batean bete zirela, eta gainerako hirurak ez zirela bete. Jarraian xehetasunez azalduko ditugu betetze partzial eta ez-betetze horiek.</w:t>
      </w:r>
    </w:p>
    <w:p w14:paraId="1F344534" w14:textId="77777777" w:rsidR="00E42235" w:rsidRDefault="00E42235"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 xml:space="preserve">Hirugarren klausula ez da bete, ez zelako egin 2. kategorian sailkatutako ondasunen balorazio ekonomikoa horretarako ezarritako epean; azkenean balorazio hori egin zen, baina enpresa errentariak </w:t>
      </w:r>
      <w:proofErr w:type="spellStart"/>
      <w:r>
        <w:t>NICDOri</w:t>
      </w:r>
      <w:proofErr w:type="spellEnd"/>
      <w:r>
        <w:t xml:space="preserve"> egin behar zizkion ordainketak atzerapenarekin egin ziren. </w:t>
      </w:r>
    </w:p>
    <w:p w14:paraId="334F937D" w14:textId="22057F94" w:rsidR="00E42235" w:rsidRDefault="00E42235"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 xml:space="preserve">Bosgarren klausula neurri batean bete da. Izan ere, enpresa errentariak beti ordaindu du errenta goiz edo berandu, baina 33 aldietatik 26tan berandu ordaindu du, ezarritako epeetatik kanpo. </w:t>
      </w:r>
    </w:p>
    <w:p w14:paraId="0ED9F3B6" w14:textId="77777777" w:rsidR="00224154" w:rsidRDefault="00E42235"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Zazpigarren klausulari dagokionez, esan behar dugu urteko mantentze-plan bat adostu zela eta Batzorde Teknikoak enpresa errentariaren betetze mailaren balorazioa egin zuela 2015ean eta 2016an.</w:t>
      </w:r>
    </w:p>
    <w:p w14:paraId="5A6743AA" w14:textId="77777777" w:rsidR="00224154" w:rsidRDefault="00224154" w:rsidP="00750C68">
      <w:pPr>
        <w:pStyle w:val="texto"/>
        <w:tabs>
          <w:tab w:val="clear" w:pos="2835"/>
          <w:tab w:val="clear" w:pos="3969"/>
          <w:tab w:val="clear" w:pos="5103"/>
          <w:tab w:val="clear" w:pos="6237"/>
          <w:tab w:val="clear" w:pos="7371"/>
        </w:tabs>
        <w:spacing w:before="120" w:after="120"/>
        <w:rPr>
          <w:szCs w:val="26"/>
        </w:rPr>
      </w:pPr>
      <w:r>
        <w:t>2017an, 2018an eta 2019an ez da inon ageri Batzorde Teknikoak ontzat eman zuenik planaren betetze maila.</w:t>
      </w:r>
    </w:p>
    <w:p w14:paraId="469BB397" w14:textId="77777777" w:rsidR="00E42235" w:rsidRDefault="00224154" w:rsidP="00750C68">
      <w:pPr>
        <w:pStyle w:val="texto"/>
        <w:tabs>
          <w:tab w:val="clear" w:pos="2835"/>
          <w:tab w:val="clear" w:pos="3969"/>
          <w:tab w:val="clear" w:pos="5103"/>
          <w:tab w:val="clear" w:pos="6237"/>
          <w:tab w:val="clear" w:pos="7371"/>
        </w:tabs>
        <w:spacing w:before="120" w:after="120"/>
        <w:rPr>
          <w:szCs w:val="26"/>
        </w:rPr>
      </w:pPr>
      <w:r>
        <w:lastRenderedPageBreak/>
        <w:t xml:space="preserve">2017rako planaren kasuan, ez daude jasorik zenbait alderdiri buruzko ziurtagiriak, besteak beste konpresoreei eta klimatizazioari buruzkoak. 2018ko planari dagokionez, ez dago jasorik teknika- eta lege-alderdien berrikuspenei buruzko ziurtagiririk. 2019ko planari dagokionez, ez dago jasorik berrikuspenaren eta mantentze-lanen teknika- eta lege-alderdien ziurtagiririk. </w:t>
      </w:r>
    </w:p>
    <w:p w14:paraId="5E4571BC" w14:textId="77777777" w:rsidR="00224154" w:rsidRDefault="00224154" w:rsidP="00750C68">
      <w:pPr>
        <w:pStyle w:val="texto"/>
        <w:tabs>
          <w:tab w:val="clear" w:pos="2835"/>
          <w:tab w:val="clear" w:pos="3969"/>
          <w:tab w:val="clear" w:pos="5103"/>
          <w:tab w:val="clear" w:pos="6237"/>
          <w:tab w:val="clear" w:pos="7371"/>
        </w:tabs>
        <w:spacing w:before="120" w:after="120"/>
        <w:rPr>
          <w:szCs w:val="26"/>
        </w:rPr>
      </w:pPr>
      <w:r>
        <w:t>Laburbilduz, 2017tik aurrera arazoak azaldu ziren enpresa errentariak mantentze-betebeharrak betetzearen inguruan, eta ondorioz Batzorde Teknikoak ez zuen ontzat eman 2017-2019 aldirako mantentze-planaren exekuzioa.</w:t>
      </w:r>
    </w:p>
    <w:p w14:paraId="292916E2" w14:textId="77777777" w:rsidR="00205444" w:rsidRDefault="00205444"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Zortzigarren klausulak Nafarroako Zirkuituko langileen alde subrogatu beharra ezartzen zuen, eta baldintza berberetan subrogatu ere, baina aurreikusten zuen enpresa errentariak plantilla bere premietara egokitu ahalko zuela, betiere 15 langileko plantillari eutsiz 2014an eta 19koari 2015ean, batez beste. Subrogazioa behar bezala egin zen, baina adierazitako urteetako batez besteko plantilla aurreikusitakoa baino txikiagoa izan zen kontu-auditoretzako txostenean jasotako datuen arabera: 14 langile 2014an eta 16 langile 2015ean.</w:t>
      </w:r>
    </w:p>
    <w:p w14:paraId="285FB0EC" w14:textId="77777777" w:rsidR="00A76CD2" w:rsidRDefault="00497FDA"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 xml:space="preserve">Hamahirugarren klausulak ezartzen zuen enpresa errentariak bere urteko kontuak egin behar zituela ekitaldia amaitu eta hiru hilabeteko epean, eta batzar orokorrak ekitaldia itxi eta sei hilabeteko epean onetsi behar zituela. </w:t>
      </w:r>
    </w:p>
    <w:p w14:paraId="7A1318E2" w14:textId="77777777" w:rsidR="00224154" w:rsidRDefault="0062071C" w:rsidP="00750C68">
      <w:pPr>
        <w:pStyle w:val="texto"/>
        <w:tabs>
          <w:tab w:val="clear" w:pos="2835"/>
          <w:tab w:val="clear" w:pos="3969"/>
          <w:tab w:val="clear" w:pos="5103"/>
          <w:tab w:val="clear" w:pos="6237"/>
          <w:tab w:val="clear" w:pos="7371"/>
        </w:tabs>
        <w:spacing w:before="120" w:after="120"/>
        <w:rPr>
          <w:szCs w:val="26"/>
        </w:rPr>
      </w:pPr>
      <w:r>
        <w:t xml:space="preserve">2016ko, 2017ko eta 2018ko kontuak atzeratuta aurkeztu ziren, eta 2019koak aurkeztu ere ez ziren egin; kontuen </w:t>
      </w:r>
      <w:proofErr w:type="spellStart"/>
      <w:r>
        <w:t>auditoriari</w:t>
      </w:r>
      <w:proofErr w:type="spellEnd"/>
      <w:r>
        <w:t xml:space="preserve"> dagokionez, ez zen halakorik egin 2018ko eta 2019ko ekitaldietarako.</w:t>
      </w:r>
    </w:p>
    <w:p w14:paraId="49AE9D6C" w14:textId="77777777" w:rsidR="00205444" w:rsidRDefault="00205444"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Hogeita batgarren klausulak enpresa errentariaren zerga-ordainketa arautzen zuen. Gorago esan dugun moduan, enpresa errentariak ez zituen bete zerga-betebeharrak. Nolanahi ere, abala exekutatuz egin zaie aurre ordaindu gabeko zerga horiei.</w:t>
      </w:r>
    </w:p>
    <w:p w14:paraId="4ADA13DF" w14:textId="77777777" w:rsidR="00205444" w:rsidRDefault="00205444" w:rsidP="00750C68">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before="120" w:after="120"/>
        <w:ind w:left="0" w:firstLine="289"/>
        <w:rPr>
          <w:szCs w:val="26"/>
        </w:rPr>
      </w:pPr>
      <w:r>
        <w:t xml:space="preserve">Hogeita bigarren klausulak enpresa errentariaren betebeharrak ezartzen zituen, hemen aztertutako batzuk tartean: instalazioak mantendu eta zaintzea, auditoretza-txostenak egitea, sei hilean behin finantza-egoeren orriak aurkeztea, eta abar. Aurreko puntuetan azaldutako azterketa kontuan izanda, klausula hau neurri batean baino ez da bete, enpresak ez dielako egokiro aurre egin bere betebehar guztiei. </w:t>
      </w:r>
    </w:p>
    <w:p w14:paraId="2B393179" w14:textId="77777777" w:rsidR="004C5180" w:rsidRDefault="004C5180" w:rsidP="00850879">
      <w:pPr>
        <w:pStyle w:val="atitulo2"/>
        <w:spacing w:before="240"/>
        <w:rPr>
          <w:bCs w:val="0"/>
          <w:iCs w:val="0"/>
        </w:rPr>
      </w:pPr>
      <w:bookmarkStart w:id="21" w:name="_Toc94176416"/>
      <w:r>
        <w:t>IV.3. Amaierako konklusioa eta gomendioak</w:t>
      </w:r>
      <w:bookmarkEnd w:id="21"/>
    </w:p>
    <w:p w14:paraId="4C2BB22B" w14:textId="77777777" w:rsidR="008D63D4" w:rsidRDefault="004708EC" w:rsidP="00750C68">
      <w:pPr>
        <w:pStyle w:val="texto"/>
        <w:spacing w:before="120" w:after="120"/>
        <w:rPr>
          <w:szCs w:val="26"/>
        </w:rPr>
      </w:pPr>
      <w:r>
        <w:t xml:space="preserve">Nafarroako Zirkuitua 2010ean inauguratu zen, bai ekitaldi korporatiboak bai aisiakoak sortzeko eta hartzeko azpiegitura gisa, eta 55 milioiko kostua izan zuen. Jabea NICDO da. </w:t>
      </w:r>
      <w:proofErr w:type="spellStart"/>
      <w:r>
        <w:t>NICDOk</w:t>
      </w:r>
      <w:proofErr w:type="spellEnd"/>
      <w:r>
        <w:t xml:space="preserve"> kudeatu zuen azpiegitura 2013ra arte. Orduan Nafarroako Zirkuitua errentan emateko aukera aztertu zen, bost milioiko ustiapen-defizit metatua izan eta gero.</w:t>
      </w:r>
    </w:p>
    <w:p w14:paraId="435EF2D6" w14:textId="77777777" w:rsidR="00335F77" w:rsidRDefault="008D63D4" w:rsidP="00750C68">
      <w:pPr>
        <w:pStyle w:val="texto"/>
        <w:spacing w:before="120" w:after="120"/>
        <w:rPr>
          <w:szCs w:val="26"/>
        </w:rPr>
      </w:pPr>
      <w:r>
        <w:lastRenderedPageBreak/>
        <w:t xml:space="preserve">Errentamenduaren aurretik txostenak egin ziren aukera onenak aztertzeko, eta ondorioztatu zen Nafarroako Zirkuitua errentan ematea zela kudeaketa-aukerarik onena. </w:t>
      </w:r>
    </w:p>
    <w:p w14:paraId="2C96E611" w14:textId="77777777" w:rsidR="004C07AB" w:rsidRDefault="00204A17" w:rsidP="00750C68">
      <w:pPr>
        <w:pStyle w:val="texto"/>
        <w:spacing w:before="120" w:after="120"/>
        <w:rPr>
          <w:szCs w:val="26"/>
        </w:rPr>
      </w:pPr>
      <w:r>
        <w:t xml:space="preserve">Errentamendu prozeduran publizitatearen eta lehiaren printzipioak bete ziren, eta 2014an egin zen Nafarroako Zirkuitua errentan emateko lehenbiziko kontratua, 2014-2018 aldirako. Kontratua nola betetzen zen kontrolatu zen bi batzorderen bidez, eta horrela agerian jarri ziren kontratuko klausula garrantzitsu batzuen ez-betetzeak, hala nola instalazioak mantentzeari buruzko klausularena. Gerora 720.467 euroko zenbatekoa exekutatu da abaletik, inguruabar horiei eta enpresak bete ez dituen gainerako betebeharrei aurre egin ahal izateko. </w:t>
      </w:r>
    </w:p>
    <w:p w14:paraId="3404EA5A" w14:textId="77777777" w:rsidR="00CC4E1B" w:rsidRDefault="00CC4E1B" w:rsidP="00750C68">
      <w:pPr>
        <w:pStyle w:val="texto"/>
        <w:spacing w:before="120" w:after="120"/>
        <w:rPr>
          <w:szCs w:val="26"/>
        </w:rPr>
      </w:pPr>
      <w:r>
        <w:t>2018an kontratuaren luzapena egin zen 2019rako, eta 2019ko uztailean kontratu berri bat sinatu zen 2020-2024 aldirako. Enpresak ordainketetan eta txosten honek deskribatutako gainerako betebeharretan huts egitearen ondorioz, abala exekutatu egin zen, aditu independenteek egindako balorazio txostenak aintzat hartuta.</w:t>
      </w:r>
    </w:p>
    <w:p w14:paraId="3B9F3FCF" w14:textId="77777777" w:rsidR="004708EC" w:rsidRDefault="00CC4E1B" w:rsidP="00750C68">
      <w:pPr>
        <w:pStyle w:val="texto"/>
        <w:spacing w:before="120" w:after="120"/>
        <w:rPr>
          <w:szCs w:val="26"/>
        </w:rPr>
      </w:pPr>
      <w:r>
        <w:t xml:space="preserve">2020tik aurrera, errentamendu kontratua amaitu ondoren, </w:t>
      </w:r>
      <w:proofErr w:type="spellStart"/>
      <w:r>
        <w:t>NICDOk</w:t>
      </w:r>
      <w:proofErr w:type="spellEnd"/>
      <w:r>
        <w:t xml:space="preserve"> bere gain hartu zuen Nafarroako Zirkuituaren zuzeneko kudeaketa. 2020an kudeaketa horri lotutako gastuak 2,40 milioikoak izan ziren eta sarrerak 0,68 milioikoak, eta batez besteko plantilla bederatzi langilekoa; dena dela, COVID-19aren pandemiak eragina izan zuen adierazle horietan. </w:t>
      </w:r>
    </w:p>
    <w:p w14:paraId="675FBC1E" w14:textId="77777777" w:rsidR="00CC4E1B" w:rsidRDefault="00CC4E1B" w:rsidP="00750C68">
      <w:pPr>
        <w:pStyle w:val="texto"/>
        <w:spacing w:before="120" w:after="120"/>
        <w:rPr>
          <w:szCs w:val="26"/>
        </w:rPr>
      </w:pPr>
      <w:r>
        <w:t xml:space="preserve">Azken batean, ondorioztatu ahal dugu </w:t>
      </w:r>
      <w:proofErr w:type="spellStart"/>
      <w:r>
        <w:t>NICDOk</w:t>
      </w:r>
      <w:proofErr w:type="spellEnd"/>
      <w:r>
        <w:t xml:space="preserve"> zentzuzko eran gauzatu zituela Nafarroako Zirkuitua errentan emateko prozedurak, bere buruaren defentsan jardun zuela horretarako sortutako batzordeen bidez, gero abala exekutatu egin zuela enpresa errentariak bete gabeko betebeharrengatik, eta hori guztia azpiegiturako jardueraren jarraitutasuna zainduta eta bermatuta egin zuela.</w:t>
      </w:r>
    </w:p>
    <w:p w14:paraId="5EC0B585" w14:textId="77777777" w:rsidR="001A427D" w:rsidRDefault="001A427D" w:rsidP="00750C68">
      <w:pPr>
        <w:pStyle w:val="texto"/>
        <w:spacing w:before="120" w:after="120"/>
        <w:rPr>
          <w:szCs w:val="26"/>
        </w:rPr>
      </w:pPr>
    </w:p>
    <w:p w14:paraId="22009B5D" w14:textId="77777777" w:rsidR="000673EF" w:rsidRPr="00ED0F4A" w:rsidRDefault="00E77E9F" w:rsidP="00750C68">
      <w:pPr>
        <w:pStyle w:val="texto"/>
        <w:spacing w:before="120" w:after="120"/>
        <w:rPr>
          <w:szCs w:val="26"/>
        </w:rPr>
      </w:pPr>
      <w:r>
        <w:t>Gure gomendioak:</w:t>
      </w:r>
    </w:p>
    <w:p w14:paraId="0C5515C8" w14:textId="77777777" w:rsidR="00394FC9" w:rsidRPr="00394FC9" w:rsidRDefault="000673EF" w:rsidP="00124F95">
      <w:pPr>
        <w:pStyle w:val="texto"/>
        <w:numPr>
          <w:ilvl w:val="0"/>
          <w:numId w:val="44"/>
        </w:numPr>
        <w:tabs>
          <w:tab w:val="clear" w:pos="2835"/>
          <w:tab w:val="clear" w:pos="3969"/>
          <w:tab w:val="clear" w:pos="5103"/>
          <w:tab w:val="clear" w:pos="6237"/>
          <w:tab w:val="clear" w:pos="7371"/>
        </w:tabs>
        <w:spacing w:before="120" w:after="120"/>
        <w:ind w:left="0" w:firstLine="284"/>
      </w:pPr>
      <w:r>
        <w:rPr>
          <w:i/>
          <w:szCs w:val="26"/>
        </w:rPr>
        <w:t>Aztertzea zein izanen den kudeaketa-aukera merkeen, eraginkorren eta efizienteena behin azpiegitura honetako ohiko jardueraren erritmoa berreskuratzen denean.</w:t>
      </w:r>
    </w:p>
    <w:p w14:paraId="373148B6" w14:textId="77777777" w:rsidR="00394FC9" w:rsidRPr="00394FC9" w:rsidRDefault="00394FC9" w:rsidP="00394FC9">
      <w:pPr>
        <w:pStyle w:val="texto"/>
        <w:numPr>
          <w:ilvl w:val="0"/>
          <w:numId w:val="44"/>
        </w:numPr>
        <w:tabs>
          <w:tab w:val="clear" w:pos="2835"/>
          <w:tab w:val="clear" w:pos="3969"/>
          <w:tab w:val="clear" w:pos="5103"/>
          <w:tab w:val="clear" w:pos="6237"/>
          <w:tab w:val="clear" w:pos="7371"/>
        </w:tabs>
        <w:spacing w:before="120" w:after="120"/>
        <w:ind w:left="0" w:firstLine="284"/>
        <w:rPr>
          <w:i/>
          <w:szCs w:val="26"/>
        </w:rPr>
      </w:pPr>
      <w:r>
        <w:rPr>
          <w:i/>
          <w:szCs w:val="26"/>
        </w:rPr>
        <w:t>Inbertsioak egiteko erabakiak hartu aurretik azterketa zorrotz eta sakonak egitea, bereziki inbertsioak halako munta bat duenean.</w:t>
      </w:r>
    </w:p>
    <w:p w14:paraId="78BF4AA7" w14:textId="77777777" w:rsidR="00B76259" w:rsidRPr="00394FC9" w:rsidRDefault="00B76259" w:rsidP="00394FC9">
      <w:pPr>
        <w:pStyle w:val="texto"/>
        <w:spacing w:before="120" w:after="120"/>
        <w:rPr>
          <w:szCs w:val="26"/>
        </w:rPr>
      </w:pPr>
      <w:r>
        <w:t xml:space="preserve">Txosten hau, araudi indardunak ezarritako izapideak bete ondoren, </w:t>
      </w:r>
      <w:proofErr w:type="spellStart"/>
      <w:r>
        <w:t>auditore</w:t>
      </w:r>
      <w:proofErr w:type="spellEnd"/>
      <w:r>
        <w:t xml:space="preserve"> Karen Moreno Orduña andreak proposatuta egin da, bera izan baita lan honen arduraduna.</w:t>
      </w:r>
    </w:p>
    <w:p w14:paraId="5D9FCF05" w14:textId="77777777" w:rsidR="001830DF" w:rsidRPr="00125C91" w:rsidRDefault="001830DF" w:rsidP="00750C68">
      <w:pPr>
        <w:pStyle w:val="texto"/>
        <w:spacing w:before="120" w:after="120"/>
      </w:pPr>
    </w:p>
    <w:p w14:paraId="56D5D173" w14:textId="77777777" w:rsidR="00A577F5" w:rsidRPr="00B100E6" w:rsidRDefault="00CC4E1B" w:rsidP="00CC4E1B">
      <w:pPr>
        <w:pStyle w:val="texto"/>
        <w:spacing w:before="120" w:after="120"/>
        <w:jc w:val="center"/>
        <w:rPr>
          <w:szCs w:val="26"/>
        </w:rPr>
      </w:pPr>
      <w:r>
        <w:t>Iruñean, 2022ko urtarrilaren 13an</w:t>
      </w:r>
    </w:p>
    <w:p w14:paraId="63D1126D" w14:textId="77777777" w:rsidR="00A87FBB" w:rsidRPr="001F055D" w:rsidRDefault="00CC4E1B" w:rsidP="00B3214F">
      <w:pPr>
        <w:pStyle w:val="texto"/>
        <w:spacing w:before="120" w:after="120"/>
        <w:jc w:val="center"/>
        <w:rPr>
          <w:sz w:val="24"/>
        </w:rPr>
      </w:pPr>
      <w:r>
        <w:t xml:space="preserve">Lehendakaria, </w:t>
      </w:r>
      <w:proofErr w:type="spellStart"/>
      <w:r>
        <w:t>Asunción</w:t>
      </w:r>
      <w:proofErr w:type="spellEnd"/>
      <w:r>
        <w:t xml:space="preserve"> </w:t>
      </w:r>
      <w:proofErr w:type="spellStart"/>
      <w:r>
        <w:t>Olaechea</w:t>
      </w:r>
      <w:proofErr w:type="spellEnd"/>
      <w:r>
        <w:t xml:space="preserve"> Estanga</w:t>
      </w:r>
      <w:bookmarkEnd w:id="6"/>
      <w:bookmarkEnd w:id="7"/>
      <w:bookmarkEnd w:id="8"/>
      <w:bookmarkEnd w:id="9"/>
      <w:bookmarkEnd w:id="10"/>
      <w:bookmarkEnd w:id="11"/>
    </w:p>
    <w:sectPr w:rsidR="00A87FBB" w:rsidRPr="001F055D" w:rsidSect="00650738">
      <w:headerReference w:type="default" r:id="rId14"/>
      <w:footerReference w:type="default" r:id="rId15"/>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7417" w14:textId="77777777" w:rsidR="00D03E05" w:rsidRDefault="00D03E05">
      <w:r>
        <w:separator/>
      </w:r>
    </w:p>
  </w:endnote>
  <w:endnote w:type="continuationSeparator" w:id="0">
    <w:p w14:paraId="415DC2BD" w14:textId="77777777" w:rsidR="00D03E05" w:rsidRDefault="00D03E05">
      <w:r>
        <w:continuationSeparator/>
      </w:r>
    </w:p>
    <w:p w14:paraId="45049F9B" w14:textId="77777777" w:rsidR="00D03E05" w:rsidRDefault="00D03E05"/>
    <w:p w14:paraId="5D6BDA11" w14:textId="77777777" w:rsidR="00D03E05" w:rsidRDefault="00D03E05"/>
    <w:p w14:paraId="0D99B970" w14:textId="77777777" w:rsidR="00D03E05" w:rsidRDefault="00D03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Verdana">
    <w:panose1 w:val="020B0604030504040204"/>
    <w:charset w:val="00"/>
    <w:family w:val="swiss"/>
    <w:pitch w:val="variable"/>
    <w:sig w:usb0="A00006FF" w:usb1="4000205B" w:usb2="00000010" w:usb3="00000000" w:csb0="0000019F" w:csb1="00000000"/>
  </w:font>
  <w:font w:name="Traj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E254" w14:textId="58AC4DDB" w:rsidR="006E5C76" w:rsidRDefault="006E5C7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4421DD">
      <w:rPr>
        <w:rStyle w:val="Nmerodepgina"/>
      </w:rPr>
      <w:fldChar w:fldCharType="separate"/>
    </w:r>
    <w:r w:rsidR="004421DD">
      <w:rPr>
        <w:rStyle w:val="Nmerodepgina"/>
        <w:noProof/>
      </w:rPr>
      <w:t>15</w:t>
    </w:r>
    <w:r>
      <w:rPr>
        <w:rStyle w:val="Nmerodepgina"/>
      </w:rPr>
      <w:fldChar w:fldCharType="end"/>
    </w:r>
  </w:p>
  <w:p w14:paraId="76397B71" w14:textId="77777777" w:rsidR="006E5C76" w:rsidRDefault="006E5C76"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0D27" w14:textId="77777777" w:rsidR="006E5C76" w:rsidRPr="00F03814" w:rsidRDefault="006E5C76"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3AAAC3D6" wp14:editId="4427C61A">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56158EE6" w14:textId="77777777" w:rsidR="006E5C76" w:rsidRPr="00F74E38" w:rsidRDefault="006E5C76"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1390" w14:textId="77777777" w:rsidR="006E5C76" w:rsidRDefault="006E5C76"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2A9E" w14:textId="4155EB07" w:rsidR="006E5C76" w:rsidRPr="00F03814" w:rsidRDefault="006E5C76" w:rsidP="00335869">
    <w:pPr>
      <w:pStyle w:val="Piedepgina"/>
      <w:tabs>
        <w:tab w:val="clear" w:pos="2835"/>
        <w:tab w:val="clear" w:pos="3969"/>
        <w:tab w:val="clear" w:pos="4252"/>
        <w:tab w:val="clear" w:pos="5103"/>
        <w:tab w:val="clear" w:pos="6237"/>
        <w:tab w:val="clear" w:pos="7371"/>
        <w:tab w:val="clear" w:pos="8504"/>
        <w:tab w:val="center" w:pos="8760"/>
      </w:tabs>
      <w:spacing w:after="0"/>
      <w:ind w:right="29"/>
      <w:jc w:val="left"/>
      <w:rPr>
        <w:rFonts w:ascii="Trajan" w:hAnsi="Trajan"/>
        <w:sz w:val="24"/>
        <w:szCs w:val="24"/>
      </w:rPr>
    </w:pPr>
    <w:r>
      <w:rPr>
        <w:rFonts w:ascii="GillSans" w:hAnsi="GillSans"/>
        <w:noProof/>
      </w:rPr>
      <w:drawing>
        <wp:inline distT="0" distB="0" distL="0" distR="0" wp14:anchorId="0A1CCD8D" wp14:editId="0E06600F">
          <wp:extent cx="219075" cy="371475"/>
          <wp:effectExtent l="0" t="0" r="9525" b="9525"/>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 xml:space="preserve">                             </w:t>
    </w:r>
    <w:r>
      <w:rPr>
        <w:rStyle w:val="Nmerodepgina"/>
        <w:szCs w:val="24"/>
      </w:rPr>
      <w:t xml:space="preserve">- </w:t>
    </w:r>
    <w:r w:rsidR="00650738">
      <w:rPr>
        <w:rStyle w:val="Nmerodepgina"/>
        <w:szCs w:val="24"/>
      </w:rPr>
      <w:fldChar w:fldCharType="begin"/>
    </w:r>
    <w:r w:rsidR="00650738">
      <w:rPr>
        <w:rStyle w:val="Nmerodepgina"/>
        <w:szCs w:val="24"/>
      </w:rPr>
      <w:instrText xml:space="preserve"> PAGE  \* Arabic </w:instrText>
    </w:r>
    <w:r w:rsidR="00650738">
      <w:rPr>
        <w:rStyle w:val="Nmerodepgina"/>
        <w:szCs w:val="24"/>
      </w:rPr>
      <w:fldChar w:fldCharType="separate"/>
    </w:r>
    <w:r w:rsidR="00650738">
      <w:rPr>
        <w:rStyle w:val="Nmerodepgina"/>
        <w:szCs w:val="24"/>
      </w:rPr>
      <w:t>16</w:t>
    </w:r>
    <w:r w:rsidR="00650738">
      <w:rPr>
        <w:rStyle w:val="Nmerodepgina"/>
        <w:szCs w:val="24"/>
      </w:rPr>
      <w:fldChar w:fldCharType="end"/>
    </w:r>
    <w:r>
      <w:rPr>
        <w:rStyle w:val="Nmerodepgina"/>
        <w:szCs w:val="24"/>
      </w:rPr>
      <w:t xml:space="preserve"> -</w:t>
    </w:r>
  </w:p>
  <w:p w14:paraId="6F9BCB7C" w14:textId="77777777" w:rsidR="006E5C76" w:rsidRPr="00C13453" w:rsidRDefault="006E5C76" w:rsidP="00D2472C">
    <w:pPr>
      <w:pStyle w:val="BorradorProvisional"/>
      <w:ind w:left="0"/>
      <w:jc w:val="center"/>
    </w:pPr>
  </w:p>
  <w:p w14:paraId="46DA36F4" w14:textId="77777777" w:rsidR="006E5C76" w:rsidRDefault="006E5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D378" w14:textId="77777777" w:rsidR="00D03E05" w:rsidRDefault="00D03E05" w:rsidP="001D0224">
      <w:pPr>
        <w:ind w:firstLine="0"/>
      </w:pPr>
      <w:r>
        <w:separator/>
      </w:r>
    </w:p>
  </w:footnote>
  <w:footnote w:type="continuationSeparator" w:id="0">
    <w:p w14:paraId="55776E68" w14:textId="77777777" w:rsidR="00D03E05" w:rsidRDefault="00D03E05">
      <w:r>
        <w:continuationSeparator/>
      </w:r>
    </w:p>
    <w:p w14:paraId="61D37428" w14:textId="77777777" w:rsidR="00D03E05" w:rsidRDefault="00D03E05"/>
    <w:p w14:paraId="081BFD59" w14:textId="77777777" w:rsidR="00D03E05" w:rsidRDefault="00D03E05"/>
    <w:p w14:paraId="34D2F881" w14:textId="77777777" w:rsidR="00D03E05" w:rsidRDefault="00D03E05"/>
  </w:footnote>
  <w:footnote w:id="1">
    <w:p w14:paraId="259FDE04" w14:textId="77777777" w:rsidR="006E5C76" w:rsidRPr="009F07B0" w:rsidRDefault="006E5C76" w:rsidP="009F07B0">
      <w:pPr>
        <w:pStyle w:val="Textonotapie"/>
        <w:ind w:firstLine="0"/>
      </w:pPr>
      <w:r>
        <w:rPr>
          <w:rStyle w:val="Refdenotaalpie"/>
        </w:rPr>
        <w:footnoteRef/>
      </w:r>
      <w:r>
        <w:t xml:space="preserve"> Zenbateko hori ageri da NEKP egindako errentamenduaren balorazio ekonomikoari buruzko txostenean, eta honela osatzen da: 20 milioi kapitalean eta 35 milioi mailegu batean.</w:t>
      </w:r>
    </w:p>
  </w:footnote>
  <w:footnote w:id="2">
    <w:p w14:paraId="01150CA2" w14:textId="77777777" w:rsidR="00204A17" w:rsidRDefault="00204A17" w:rsidP="00204A17">
      <w:pPr>
        <w:pStyle w:val="Textonotapie"/>
        <w:ind w:firstLine="0"/>
      </w:pPr>
      <w:r>
        <w:rPr>
          <w:rStyle w:val="Refdenotaalpie"/>
        </w:rPr>
        <w:footnoteRef/>
      </w:r>
      <w:r>
        <w:t xml:space="preserve"> Abala aldatzea ere proposatu zen, milioi bat euroren ordez 500.000 euroko abala jartzea, hain zuzen; azkenean ez zen abalaren aldaketa hori gauzatu, eta hasieran ezarritako milioi euroko abalari eutsi zitzaion.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5741" w14:textId="77777777" w:rsidR="00650738" w:rsidRDefault="00650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3C88" w14:textId="77777777" w:rsidR="001F4AFD" w:rsidRDefault="001F4AFD" w:rsidP="00E73AE3">
    <w:pPr>
      <w:pStyle w:val="Encabezado"/>
      <w:pBdr>
        <w:bottom w:val="single" w:sz="4" w:space="1" w:color="auto"/>
      </w:pBdr>
      <w:spacing w:after="40"/>
      <w:ind w:firstLine="0"/>
      <w:rPr>
        <w:lang w:val="es-ES"/>
      </w:rPr>
    </w:pPr>
  </w:p>
  <w:p w14:paraId="391130FB" w14:textId="77777777" w:rsidR="001F4AFD" w:rsidRDefault="001F4AFD" w:rsidP="00E73AE3">
    <w:pPr>
      <w:pStyle w:val="Encabezado"/>
      <w:pBdr>
        <w:bottom w:val="single" w:sz="4" w:space="1" w:color="auto"/>
      </w:pBdr>
      <w:spacing w:after="40"/>
      <w:ind w:firstLine="0"/>
    </w:pPr>
    <w:r>
      <w:rPr>
        <w:b/>
        <w:noProof/>
      </w:rPr>
      <w:drawing>
        <wp:anchor distT="0" distB="0" distL="114300" distR="114300" simplePos="0" relativeHeight="251659264" behindDoc="1" locked="0" layoutInCell="1" allowOverlap="1" wp14:anchorId="31746192" wp14:editId="58CFE5AB">
          <wp:simplePos x="0" y="0"/>
          <wp:positionH relativeFrom="margin">
            <wp:posOffset>-37465</wp:posOffset>
          </wp:positionH>
          <wp:positionV relativeFrom="paragraph">
            <wp:posOffset>95250</wp:posOffset>
          </wp:positionV>
          <wp:extent cx="771525" cy="762000"/>
          <wp:effectExtent l="0" t="0" r="9525" b="0"/>
          <wp:wrapNone/>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0E586" w14:textId="77777777" w:rsidR="001F4AFD" w:rsidRDefault="001F4AFD" w:rsidP="00E73AE3">
    <w:pPr>
      <w:pStyle w:val="Encabezado"/>
      <w:pBdr>
        <w:bottom w:val="single" w:sz="4" w:space="1" w:color="auto"/>
      </w:pBdr>
      <w:spacing w:after="40"/>
      <w:ind w:firstLine="0"/>
      <w:rPr>
        <w:lang w:val="es-ES"/>
      </w:rPr>
    </w:pPr>
  </w:p>
  <w:p w14:paraId="48C22570" w14:textId="77777777" w:rsidR="001F4AFD" w:rsidRDefault="001F4AFD" w:rsidP="00E73AE3">
    <w:pPr>
      <w:pStyle w:val="Encabezado"/>
      <w:pBdr>
        <w:bottom w:val="single" w:sz="4" w:space="1" w:color="auto"/>
      </w:pBdr>
      <w:spacing w:after="40"/>
      <w:ind w:firstLine="0"/>
      <w:rPr>
        <w:lang w:val="es-ES"/>
      </w:rPr>
    </w:pPr>
  </w:p>
  <w:p w14:paraId="5B2318C5" w14:textId="77777777" w:rsidR="001F4AFD" w:rsidRDefault="001F4AFD" w:rsidP="00E73AE3">
    <w:pPr>
      <w:pStyle w:val="Encabezado"/>
      <w:pBdr>
        <w:bottom w:val="single" w:sz="4" w:space="1" w:color="auto"/>
      </w:pBdr>
      <w:spacing w:after="40"/>
      <w:ind w:firstLine="0"/>
      <w:rPr>
        <w:lang w:val="es-ES"/>
      </w:rPr>
    </w:pPr>
  </w:p>
  <w:p w14:paraId="6C7A2AA9" w14:textId="77777777" w:rsidR="001F4AFD" w:rsidRDefault="001F4AFD" w:rsidP="001F4AFD">
    <w:pPr>
      <w:pStyle w:val="Encabezado"/>
      <w:pBdr>
        <w:bottom w:val="single" w:sz="4" w:space="1" w:color="auto"/>
      </w:pBdr>
      <w:spacing w:after="40"/>
      <w:ind w:firstLine="0"/>
      <w:jc w:val="left"/>
      <w:rPr>
        <w:lang w:val="es-ES"/>
      </w:rPr>
    </w:pPr>
  </w:p>
  <w:p w14:paraId="25C38138" w14:textId="77777777" w:rsidR="001F4AFD" w:rsidRDefault="001F4AFD" w:rsidP="00E73AE3">
    <w:pPr>
      <w:pStyle w:val="Encabezado"/>
      <w:pBdr>
        <w:bottom w:val="single" w:sz="4" w:space="1" w:color="auto"/>
      </w:pBdr>
      <w:spacing w:after="40"/>
      <w:ind w:firstLine="0"/>
      <w:rPr>
        <w:lang w:val="es-ES"/>
      </w:rPr>
    </w:pPr>
  </w:p>
  <w:p w14:paraId="58410381" w14:textId="77777777" w:rsidR="006E5C76" w:rsidRDefault="006E5C76" w:rsidP="00E73AE3">
    <w:pPr>
      <w:pStyle w:val="Encabezado"/>
      <w:pBdr>
        <w:bottom w:val="single" w:sz="4" w:space="1" w:color="auto"/>
      </w:pBdr>
      <w:spacing w:after="40"/>
      <w:ind w:firstLine="0"/>
    </w:pPr>
    <w:r>
      <w:t>NAFARROAKO ZIRKUITUAREN ERRENTAMENDUARI BURUZKO FISKALIZAZIO-TXOSTENA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ECCF" w14:textId="77777777" w:rsidR="006E5C76" w:rsidRDefault="006E5C76" w:rsidP="006A2D41">
    <w:pPr>
      <w:pStyle w:val="Encabezado"/>
      <w:ind w:firstLine="0"/>
      <w:jc w:val="left"/>
    </w:pPr>
    <w:r>
      <w:rPr>
        <w:noProof/>
      </w:rPr>
      <w:drawing>
        <wp:inline distT="0" distB="0" distL="0" distR="0" wp14:anchorId="44E7B9B9" wp14:editId="08CCC5BA">
          <wp:extent cx="771525" cy="762000"/>
          <wp:effectExtent l="0" t="0" r="9525" b="0"/>
          <wp:docPr id="10" name="Imagen 1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9520" w14:textId="3BD4A565" w:rsidR="006E5C76" w:rsidRDefault="006E5C76" w:rsidP="00810B0F">
    <w:pPr>
      <w:pStyle w:val="Encabezado"/>
      <w:pBdr>
        <w:bottom w:val="single" w:sz="4" w:space="1" w:color="auto"/>
      </w:pBdr>
      <w:tabs>
        <w:tab w:val="clear" w:pos="4252"/>
        <w:tab w:val="clear" w:pos="8504"/>
        <w:tab w:val="center" w:pos="1134"/>
      </w:tabs>
      <w:spacing w:after="40"/>
      <w:ind w:firstLine="0"/>
      <w:jc w:val="left"/>
    </w:pPr>
    <w:r>
      <w:rPr>
        <w:b/>
        <w:noProof/>
      </w:rPr>
      <w:drawing>
        <wp:inline distT="0" distB="0" distL="0" distR="0" wp14:anchorId="32CA2A0B" wp14:editId="10BBA7B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w:t>
    </w:r>
    <w:r>
      <w:t>NAFARROAKO ZIRKUITUAREN ERRENTAMENDUARI BURUZKO FISKALIZAZIO-TXOSTENA</w:t>
    </w:r>
  </w:p>
  <w:p w14:paraId="4481F140" w14:textId="77777777" w:rsidR="006E5C76" w:rsidRPr="00D53414" w:rsidRDefault="006E5C76" w:rsidP="00D534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028"/>
    <w:multiLevelType w:val="hybridMultilevel"/>
    <w:tmpl w:val="EE000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60C3724"/>
    <w:multiLevelType w:val="hybridMultilevel"/>
    <w:tmpl w:val="26421CE6"/>
    <w:lvl w:ilvl="0" w:tplc="0C0A0017">
      <w:start w:val="1"/>
      <w:numFmt w:val="lowerLetter"/>
      <w:lvlText w:val="%1)"/>
      <w:lvlJc w:val="left"/>
      <w:pPr>
        <w:ind w:left="720" w:hanging="360"/>
      </w:pPr>
      <w:rPr>
        <w:rFonts w:hint="default"/>
        <w:color w:val="auto"/>
      </w:rPr>
    </w:lvl>
    <w:lvl w:ilvl="1" w:tplc="0C0A0017">
      <w:start w:val="1"/>
      <w:numFmt w:val="lowerLetter"/>
      <w:lvlText w:val="%2)"/>
      <w:lvlJc w:val="left"/>
      <w:pPr>
        <w:ind w:left="2084" w:hanging="360"/>
      </w:pPr>
      <w:rPr>
        <w:rFonts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 w15:restartNumberingAfterBreak="0">
    <w:nsid w:val="078E0D07"/>
    <w:multiLevelType w:val="hybridMultilevel"/>
    <w:tmpl w:val="0B3077C8"/>
    <w:lvl w:ilvl="0" w:tplc="0C0A0001">
      <w:start w:val="1"/>
      <w:numFmt w:val="bullet"/>
      <w:lvlText w:val=""/>
      <w:lvlJc w:val="left"/>
      <w:pPr>
        <w:ind w:left="1004" w:hanging="360"/>
      </w:pPr>
      <w:rPr>
        <w:rFonts w:ascii="Symbol" w:hAnsi="Symbol" w:hint="default"/>
      </w:rPr>
    </w:lvl>
    <w:lvl w:ilvl="1" w:tplc="0C0A0019">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7C70245"/>
    <w:multiLevelType w:val="hybridMultilevel"/>
    <w:tmpl w:val="9ACADF84"/>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AAD304B"/>
    <w:multiLevelType w:val="hybridMultilevel"/>
    <w:tmpl w:val="78B2D7B4"/>
    <w:lvl w:ilvl="0" w:tplc="0C0A0001">
      <w:start w:val="1"/>
      <w:numFmt w:val="bullet"/>
      <w:lvlText w:val=""/>
      <w:lvlJc w:val="left"/>
      <w:pPr>
        <w:ind w:left="1080" w:hanging="360"/>
      </w:pPr>
      <w:rPr>
        <w:rFonts w:ascii="Symbol" w:hAnsi="Symbol" w:hint="default"/>
      </w:rPr>
    </w:lvl>
    <w:lvl w:ilvl="1" w:tplc="0C0A0017">
      <w:start w:val="1"/>
      <w:numFmt w:val="lowerLetter"/>
      <w:lvlText w:val="%2)"/>
      <w:lvlJc w:val="left"/>
      <w:pPr>
        <w:ind w:left="1800" w:hanging="360"/>
      </w:pPr>
      <w:rPr>
        <w:rFonts w:hint="default"/>
      </w:rPr>
    </w:lvl>
    <w:lvl w:ilvl="2" w:tplc="B33EEC96">
      <w:start w:val="4"/>
      <w:numFmt w:val="bullet"/>
      <w:lvlText w:val="-"/>
      <w:lvlJc w:val="left"/>
      <w:pPr>
        <w:ind w:left="2520" w:hanging="360"/>
      </w:pPr>
      <w:rPr>
        <w:rFonts w:ascii="Times New Roman" w:eastAsia="Times New Roman" w:hAnsi="Times New Roman" w:cs="Times New Roman"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0C2F07E2"/>
    <w:multiLevelType w:val="hybridMultilevel"/>
    <w:tmpl w:val="3BBE3358"/>
    <w:lvl w:ilvl="0" w:tplc="0C0A0017">
      <w:start w:val="1"/>
      <w:numFmt w:val="lowerLetter"/>
      <w:lvlText w:val="%1)"/>
      <w:lvlJc w:val="left"/>
      <w:pPr>
        <w:ind w:left="1004" w:hanging="360"/>
      </w:pPr>
      <w:rPr>
        <w:rFonts w:hint="default"/>
        <w:color w:val="auto"/>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8" w15:restartNumberingAfterBreak="0">
    <w:nsid w:val="16EE67D0"/>
    <w:multiLevelType w:val="hybridMultilevel"/>
    <w:tmpl w:val="061A59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50225E"/>
    <w:multiLevelType w:val="hybridMultilevel"/>
    <w:tmpl w:val="DCE62680"/>
    <w:lvl w:ilvl="0" w:tplc="F50A19D2">
      <w:start w:val="46"/>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273720"/>
    <w:multiLevelType w:val="hybridMultilevel"/>
    <w:tmpl w:val="B0C0288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C900677"/>
    <w:multiLevelType w:val="hybridMultilevel"/>
    <w:tmpl w:val="5FCCAFE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1DA44BC4"/>
    <w:multiLevelType w:val="hybridMultilevel"/>
    <w:tmpl w:val="4C5A8886"/>
    <w:lvl w:ilvl="0" w:tplc="F99EAFF2">
      <w:start w:val="1"/>
      <w:numFmt w:val="lowerLetter"/>
      <w:lvlText w:val="%1)"/>
      <w:lvlJc w:val="left"/>
      <w:pPr>
        <w:ind w:left="720" w:hanging="360"/>
      </w:pPr>
      <w:rPr>
        <w:rFonts w:hint="default"/>
        <w:b w:val="0"/>
        <w:color w:val="auto"/>
      </w:rPr>
    </w:lvl>
    <w:lvl w:ilvl="1" w:tplc="0C0A0017">
      <w:start w:val="1"/>
      <w:numFmt w:val="lowerLetter"/>
      <w:lvlText w:val="%2)"/>
      <w:lvlJc w:val="left"/>
      <w:pPr>
        <w:ind w:left="2084" w:hanging="360"/>
      </w:pPr>
      <w:rPr>
        <w:rFonts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3" w15:restartNumberingAfterBreak="0">
    <w:nsid w:val="20AB67C7"/>
    <w:multiLevelType w:val="hybridMultilevel"/>
    <w:tmpl w:val="5B7CF64A"/>
    <w:lvl w:ilvl="0" w:tplc="DA2AFB2A">
      <w:start w:val="1"/>
      <w:numFmt w:val="bullet"/>
      <w:lvlText w:val=""/>
      <w:lvlJc w:val="left"/>
      <w:pPr>
        <w:ind w:left="360" w:hanging="360"/>
      </w:pPr>
      <w:rPr>
        <w:rFonts w:ascii="Symbol" w:hAnsi="Symbol" w:hint="default"/>
        <w:color w:val="auto"/>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23EE18F2"/>
    <w:multiLevelType w:val="hybridMultilevel"/>
    <w:tmpl w:val="AEE05A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25EC7860"/>
    <w:multiLevelType w:val="hybridMultilevel"/>
    <w:tmpl w:val="FD6A5E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357516C"/>
    <w:multiLevelType w:val="hybridMultilevel"/>
    <w:tmpl w:val="4B74183C"/>
    <w:lvl w:ilvl="0" w:tplc="39ACD2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E50B60"/>
    <w:multiLevelType w:val="hybridMultilevel"/>
    <w:tmpl w:val="F1C6EF2C"/>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37D64A5A"/>
    <w:multiLevelType w:val="hybridMultilevel"/>
    <w:tmpl w:val="990E2EF4"/>
    <w:lvl w:ilvl="0" w:tplc="96F84780">
      <w:start w:val="1"/>
      <w:numFmt w:val="lowerLetter"/>
      <w:lvlText w:val="%1)"/>
      <w:lvlJc w:val="left"/>
      <w:pPr>
        <w:ind w:left="1003" w:hanging="360"/>
      </w:pPr>
      <w:rPr>
        <w:rFonts w:hint="default"/>
        <w:b w:val="0"/>
        <w:color w:val="auto"/>
      </w:rPr>
    </w:lvl>
    <w:lvl w:ilvl="1" w:tplc="0C0A0017">
      <w:start w:val="1"/>
      <w:numFmt w:val="lowerLetter"/>
      <w:lvlText w:val="%2)"/>
      <w:lvlJc w:val="left"/>
      <w:pPr>
        <w:ind w:left="2367" w:hanging="360"/>
      </w:pPr>
      <w:rPr>
        <w:rFonts w:hint="default"/>
      </w:rPr>
    </w:lvl>
    <w:lvl w:ilvl="2" w:tplc="24FC36C2">
      <w:start w:val="1"/>
      <w:numFmt w:val="decimal"/>
      <w:lvlText w:val="%3."/>
      <w:lvlJc w:val="left"/>
      <w:pPr>
        <w:ind w:left="3087" w:hanging="360"/>
      </w:pPr>
      <w:rPr>
        <w:rFont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9" w15:restartNumberingAfterBreak="0">
    <w:nsid w:val="3B752E78"/>
    <w:multiLevelType w:val="hybridMultilevel"/>
    <w:tmpl w:val="C5944D64"/>
    <w:lvl w:ilvl="0" w:tplc="0C0A0011">
      <w:start w:val="1"/>
      <w:numFmt w:val="decimal"/>
      <w:lvlText w:val="%1)"/>
      <w:lvlJc w:val="left"/>
      <w:pPr>
        <w:ind w:left="2140" w:hanging="360"/>
      </w:pPr>
    </w:lvl>
    <w:lvl w:ilvl="1" w:tplc="0C0A0019" w:tentative="1">
      <w:start w:val="1"/>
      <w:numFmt w:val="lowerLetter"/>
      <w:lvlText w:val="%2."/>
      <w:lvlJc w:val="left"/>
      <w:pPr>
        <w:ind w:left="2860" w:hanging="360"/>
      </w:pPr>
    </w:lvl>
    <w:lvl w:ilvl="2" w:tplc="0C0A001B" w:tentative="1">
      <w:start w:val="1"/>
      <w:numFmt w:val="lowerRoman"/>
      <w:lvlText w:val="%3."/>
      <w:lvlJc w:val="right"/>
      <w:pPr>
        <w:ind w:left="3580" w:hanging="180"/>
      </w:pPr>
    </w:lvl>
    <w:lvl w:ilvl="3" w:tplc="0C0A000F" w:tentative="1">
      <w:start w:val="1"/>
      <w:numFmt w:val="decimal"/>
      <w:lvlText w:val="%4."/>
      <w:lvlJc w:val="left"/>
      <w:pPr>
        <w:ind w:left="4300" w:hanging="360"/>
      </w:pPr>
    </w:lvl>
    <w:lvl w:ilvl="4" w:tplc="0C0A0019" w:tentative="1">
      <w:start w:val="1"/>
      <w:numFmt w:val="lowerLetter"/>
      <w:lvlText w:val="%5."/>
      <w:lvlJc w:val="left"/>
      <w:pPr>
        <w:ind w:left="5020" w:hanging="360"/>
      </w:pPr>
    </w:lvl>
    <w:lvl w:ilvl="5" w:tplc="0C0A001B" w:tentative="1">
      <w:start w:val="1"/>
      <w:numFmt w:val="lowerRoman"/>
      <w:lvlText w:val="%6."/>
      <w:lvlJc w:val="right"/>
      <w:pPr>
        <w:ind w:left="5740" w:hanging="180"/>
      </w:pPr>
    </w:lvl>
    <w:lvl w:ilvl="6" w:tplc="0C0A000F" w:tentative="1">
      <w:start w:val="1"/>
      <w:numFmt w:val="decimal"/>
      <w:lvlText w:val="%7."/>
      <w:lvlJc w:val="left"/>
      <w:pPr>
        <w:ind w:left="6460" w:hanging="360"/>
      </w:pPr>
    </w:lvl>
    <w:lvl w:ilvl="7" w:tplc="0C0A0019" w:tentative="1">
      <w:start w:val="1"/>
      <w:numFmt w:val="lowerLetter"/>
      <w:lvlText w:val="%8."/>
      <w:lvlJc w:val="left"/>
      <w:pPr>
        <w:ind w:left="7180" w:hanging="360"/>
      </w:pPr>
    </w:lvl>
    <w:lvl w:ilvl="8" w:tplc="0C0A001B" w:tentative="1">
      <w:start w:val="1"/>
      <w:numFmt w:val="lowerRoman"/>
      <w:lvlText w:val="%9."/>
      <w:lvlJc w:val="right"/>
      <w:pPr>
        <w:ind w:left="7900" w:hanging="180"/>
      </w:pPr>
    </w:lvl>
  </w:abstractNum>
  <w:abstractNum w:abstractNumId="20" w15:restartNumberingAfterBreak="0">
    <w:nsid w:val="3C8336F3"/>
    <w:multiLevelType w:val="hybridMultilevel"/>
    <w:tmpl w:val="26421CE6"/>
    <w:lvl w:ilvl="0" w:tplc="0C0A0017">
      <w:start w:val="1"/>
      <w:numFmt w:val="lowerLetter"/>
      <w:lvlText w:val="%1)"/>
      <w:lvlJc w:val="left"/>
      <w:pPr>
        <w:ind w:left="720" w:hanging="360"/>
      </w:pPr>
      <w:rPr>
        <w:rFonts w:hint="default"/>
        <w:color w:val="auto"/>
      </w:rPr>
    </w:lvl>
    <w:lvl w:ilvl="1" w:tplc="0C0A0017">
      <w:start w:val="1"/>
      <w:numFmt w:val="lowerLetter"/>
      <w:lvlText w:val="%2)"/>
      <w:lvlJc w:val="left"/>
      <w:pPr>
        <w:ind w:left="2084" w:hanging="360"/>
      </w:pPr>
      <w:rPr>
        <w:rFonts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1" w15:restartNumberingAfterBreak="0">
    <w:nsid w:val="3ECB370B"/>
    <w:multiLevelType w:val="hybridMultilevel"/>
    <w:tmpl w:val="E6A04D7C"/>
    <w:lvl w:ilvl="0" w:tplc="0C0A0001">
      <w:start w:val="1"/>
      <w:numFmt w:val="bullet"/>
      <w:lvlText w:val=""/>
      <w:lvlJc w:val="left"/>
      <w:pPr>
        <w:ind w:left="1145" w:hanging="360"/>
      </w:pPr>
      <w:rPr>
        <w:rFonts w:ascii="Symbol" w:hAnsi="Symbol" w:hint="default"/>
      </w:rPr>
    </w:lvl>
    <w:lvl w:ilvl="1" w:tplc="0C0A0017">
      <w:start w:val="1"/>
      <w:numFmt w:val="lowerLetter"/>
      <w:lvlText w:val="%2)"/>
      <w:lvlJc w:val="left"/>
      <w:pPr>
        <w:ind w:left="1865" w:hanging="360"/>
      </w:pPr>
      <w:rPr>
        <w:rFonts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2" w15:restartNumberingAfterBreak="0">
    <w:nsid w:val="41616E7B"/>
    <w:multiLevelType w:val="hybridMultilevel"/>
    <w:tmpl w:val="6E5E7BC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446E6C6F"/>
    <w:multiLevelType w:val="hybridMultilevel"/>
    <w:tmpl w:val="F6DCEDC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447E6A3F"/>
    <w:multiLevelType w:val="hybridMultilevel"/>
    <w:tmpl w:val="BCF45C7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465561EC"/>
    <w:multiLevelType w:val="hybridMultilevel"/>
    <w:tmpl w:val="4E2A10DC"/>
    <w:lvl w:ilvl="0" w:tplc="0C0A0017">
      <w:start w:val="1"/>
      <w:numFmt w:val="lowerLetter"/>
      <w:lvlText w:val="%1)"/>
      <w:lvlJc w:val="left"/>
      <w:pPr>
        <w:ind w:left="1003" w:hanging="360"/>
      </w:pPr>
      <w:rPr>
        <w:rFonts w:hint="default"/>
        <w:color w:val="auto"/>
      </w:rPr>
    </w:lvl>
    <w:lvl w:ilvl="1" w:tplc="0C0A0017">
      <w:start w:val="1"/>
      <w:numFmt w:val="lowerLetter"/>
      <w:lvlText w:val="%2)"/>
      <w:lvlJc w:val="left"/>
      <w:pPr>
        <w:ind w:left="2367" w:hanging="360"/>
      </w:pPr>
      <w:rPr>
        <w:rFonts w:hint="default"/>
      </w:rPr>
    </w:lvl>
    <w:lvl w:ilvl="2" w:tplc="24FC36C2">
      <w:start w:val="1"/>
      <w:numFmt w:val="decimal"/>
      <w:lvlText w:val="%3."/>
      <w:lvlJc w:val="left"/>
      <w:pPr>
        <w:ind w:left="3087" w:hanging="360"/>
      </w:pPr>
      <w:rPr>
        <w:rFont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6" w15:restartNumberingAfterBreak="0">
    <w:nsid w:val="4A305662"/>
    <w:multiLevelType w:val="hybridMultilevel"/>
    <w:tmpl w:val="6044767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4A5D049F"/>
    <w:multiLevelType w:val="hybridMultilevel"/>
    <w:tmpl w:val="4464472C"/>
    <w:lvl w:ilvl="0" w:tplc="B4DC08B6">
      <w:start w:val="1"/>
      <w:numFmt w:val="lowerLetter"/>
      <w:lvlText w:val="%1)"/>
      <w:lvlJc w:val="left"/>
      <w:pPr>
        <w:ind w:left="1353" w:hanging="360"/>
      </w:pPr>
      <w:rPr>
        <w:rFont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15:restartNumberingAfterBreak="0">
    <w:nsid w:val="4CAB0F80"/>
    <w:multiLevelType w:val="hybridMultilevel"/>
    <w:tmpl w:val="685E3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37051A"/>
    <w:multiLevelType w:val="hybridMultilevel"/>
    <w:tmpl w:val="F0A0DEEA"/>
    <w:lvl w:ilvl="0" w:tplc="F99EAFF2">
      <w:start w:val="1"/>
      <w:numFmt w:val="lowerLetter"/>
      <w:lvlText w:val="%1)"/>
      <w:lvlJc w:val="left"/>
      <w:pPr>
        <w:ind w:left="720" w:hanging="360"/>
      </w:pPr>
      <w:rPr>
        <w:rFonts w:hint="default"/>
        <w:b w:val="0"/>
        <w:color w:val="auto"/>
      </w:rPr>
    </w:lvl>
    <w:lvl w:ilvl="1" w:tplc="0C0A0017">
      <w:start w:val="1"/>
      <w:numFmt w:val="lowerLetter"/>
      <w:lvlText w:val="%2)"/>
      <w:lvlJc w:val="left"/>
      <w:pPr>
        <w:ind w:left="2084" w:hanging="360"/>
      </w:pPr>
      <w:rPr>
        <w:rFonts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0" w15:restartNumberingAfterBreak="0">
    <w:nsid w:val="55487EB4"/>
    <w:multiLevelType w:val="hybridMultilevel"/>
    <w:tmpl w:val="26421CE6"/>
    <w:lvl w:ilvl="0" w:tplc="0C0A0017">
      <w:start w:val="1"/>
      <w:numFmt w:val="lowerLetter"/>
      <w:lvlText w:val="%1)"/>
      <w:lvlJc w:val="left"/>
      <w:pPr>
        <w:ind w:left="720" w:hanging="360"/>
      </w:pPr>
      <w:rPr>
        <w:rFonts w:hint="default"/>
        <w:color w:val="auto"/>
      </w:rPr>
    </w:lvl>
    <w:lvl w:ilvl="1" w:tplc="0C0A0017">
      <w:start w:val="1"/>
      <w:numFmt w:val="lowerLetter"/>
      <w:lvlText w:val="%2)"/>
      <w:lvlJc w:val="left"/>
      <w:pPr>
        <w:ind w:left="2084" w:hanging="360"/>
      </w:pPr>
      <w:rPr>
        <w:rFonts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1" w15:restartNumberingAfterBreak="0">
    <w:nsid w:val="58917C68"/>
    <w:multiLevelType w:val="hybridMultilevel"/>
    <w:tmpl w:val="E06AC546"/>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58E8769A"/>
    <w:multiLevelType w:val="hybridMultilevel"/>
    <w:tmpl w:val="1D861E8C"/>
    <w:lvl w:ilvl="0" w:tplc="565693B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644B5128"/>
    <w:multiLevelType w:val="singleLevel"/>
    <w:tmpl w:val="F50A19D2"/>
    <w:lvl w:ilvl="0">
      <w:start w:val="46"/>
      <w:numFmt w:val="bullet"/>
      <w:lvlText w:val=""/>
      <w:lvlJc w:val="left"/>
      <w:pPr>
        <w:tabs>
          <w:tab w:val="num" w:pos="560"/>
        </w:tabs>
        <w:ind w:left="30" w:firstLine="170"/>
      </w:pPr>
      <w:rPr>
        <w:rFonts w:ascii="Wingdings" w:hAnsi="Wingdings" w:hint="default"/>
      </w:rPr>
    </w:lvl>
  </w:abstractNum>
  <w:abstractNum w:abstractNumId="34" w15:restartNumberingAfterBreak="0">
    <w:nsid w:val="65484046"/>
    <w:multiLevelType w:val="hybridMultilevel"/>
    <w:tmpl w:val="1C065ED4"/>
    <w:lvl w:ilvl="0" w:tplc="38E4CA8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A51B8E"/>
    <w:multiLevelType w:val="hybridMultilevel"/>
    <w:tmpl w:val="26421CE6"/>
    <w:lvl w:ilvl="0" w:tplc="0C0A0017">
      <w:start w:val="1"/>
      <w:numFmt w:val="lowerLetter"/>
      <w:lvlText w:val="%1)"/>
      <w:lvlJc w:val="left"/>
      <w:pPr>
        <w:ind w:left="1069" w:hanging="360"/>
      </w:pPr>
      <w:rPr>
        <w:rFonts w:hint="default"/>
        <w:color w:val="auto"/>
      </w:rPr>
    </w:lvl>
    <w:lvl w:ilvl="1" w:tplc="0C0A0017">
      <w:start w:val="1"/>
      <w:numFmt w:val="lowerLetter"/>
      <w:lvlText w:val="%2)"/>
      <w:lvlJc w:val="left"/>
      <w:pPr>
        <w:ind w:left="2433" w:hanging="360"/>
      </w:pPr>
      <w:rPr>
        <w:rFonts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6" w15:restartNumberingAfterBreak="0">
    <w:nsid w:val="6A5207BB"/>
    <w:multiLevelType w:val="hybridMultilevel"/>
    <w:tmpl w:val="6F1CFB74"/>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15:restartNumberingAfterBreak="0">
    <w:nsid w:val="6DF808AC"/>
    <w:multiLevelType w:val="hybridMultilevel"/>
    <w:tmpl w:val="BB4E3E4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8" w15:restartNumberingAfterBreak="0">
    <w:nsid w:val="700D0087"/>
    <w:multiLevelType w:val="hybridMultilevel"/>
    <w:tmpl w:val="EDA69948"/>
    <w:lvl w:ilvl="0" w:tplc="267481DA">
      <w:numFmt w:val="bullet"/>
      <w:lvlText w:val="-"/>
      <w:lvlJc w:val="left"/>
      <w:pPr>
        <w:ind w:left="4339" w:hanging="360"/>
      </w:pPr>
      <w:rPr>
        <w:rFonts w:ascii="Times New Roman" w:eastAsia="Times New Roman" w:hAnsi="Times New Roman" w:cs="Times New Roman" w:hint="default"/>
      </w:rPr>
    </w:lvl>
    <w:lvl w:ilvl="1" w:tplc="0C0A0003" w:tentative="1">
      <w:start w:val="1"/>
      <w:numFmt w:val="bullet"/>
      <w:lvlText w:val="o"/>
      <w:lvlJc w:val="left"/>
      <w:pPr>
        <w:ind w:left="5059" w:hanging="360"/>
      </w:pPr>
      <w:rPr>
        <w:rFonts w:ascii="Courier New" w:hAnsi="Courier New" w:cs="Courier New" w:hint="default"/>
      </w:rPr>
    </w:lvl>
    <w:lvl w:ilvl="2" w:tplc="0C0A0005" w:tentative="1">
      <w:start w:val="1"/>
      <w:numFmt w:val="bullet"/>
      <w:lvlText w:val=""/>
      <w:lvlJc w:val="left"/>
      <w:pPr>
        <w:ind w:left="5779" w:hanging="360"/>
      </w:pPr>
      <w:rPr>
        <w:rFonts w:ascii="Wingdings" w:hAnsi="Wingdings" w:hint="default"/>
      </w:rPr>
    </w:lvl>
    <w:lvl w:ilvl="3" w:tplc="0C0A0001" w:tentative="1">
      <w:start w:val="1"/>
      <w:numFmt w:val="bullet"/>
      <w:lvlText w:val=""/>
      <w:lvlJc w:val="left"/>
      <w:pPr>
        <w:ind w:left="6499" w:hanging="360"/>
      </w:pPr>
      <w:rPr>
        <w:rFonts w:ascii="Symbol" w:hAnsi="Symbol" w:hint="default"/>
      </w:rPr>
    </w:lvl>
    <w:lvl w:ilvl="4" w:tplc="0C0A0003" w:tentative="1">
      <w:start w:val="1"/>
      <w:numFmt w:val="bullet"/>
      <w:lvlText w:val="o"/>
      <w:lvlJc w:val="left"/>
      <w:pPr>
        <w:ind w:left="7219" w:hanging="360"/>
      </w:pPr>
      <w:rPr>
        <w:rFonts w:ascii="Courier New" w:hAnsi="Courier New" w:cs="Courier New" w:hint="default"/>
      </w:rPr>
    </w:lvl>
    <w:lvl w:ilvl="5" w:tplc="0C0A0005" w:tentative="1">
      <w:start w:val="1"/>
      <w:numFmt w:val="bullet"/>
      <w:lvlText w:val=""/>
      <w:lvlJc w:val="left"/>
      <w:pPr>
        <w:ind w:left="7939" w:hanging="360"/>
      </w:pPr>
      <w:rPr>
        <w:rFonts w:ascii="Wingdings" w:hAnsi="Wingdings" w:hint="default"/>
      </w:rPr>
    </w:lvl>
    <w:lvl w:ilvl="6" w:tplc="0C0A0001" w:tentative="1">
      <w:start w:val="1"/>
      <w:numFmt w:val="bullet"/>
      <w:lvlText w:val=""/>
      <w:lvlJc w:val="left"/>
      <w:pPr>
        <w:ind w:left="8659" w:hanging="360"/>
      </w:pPr>
      <w:rPr>
        <w:rFonts w:ascii="Symbol" w:hAnsi="Symbol" w:hint="default"/>
      </w:rPr>
    </w:lvl>
    <w:lvl w:ilvl="7" w:tplc="0C0A0003" w:tentative="1">
      <w:start w:val="1"/>
      <w:numFmt w:val="bullet"/>
      <w:lvlText w:val="o"/>
      <w:lvlJc w:val="left"/>
      <w:pPr>
        <w:ind w:left="9379" w:hanging="360"/>
      </w:pPr>
      <w:rPr>
        <w:rFonts w:ascii="Courier New" w:hAnsi="Courier New" w:cs="Courier New" w:hint="default"/>
      </w:rPr>
    </w:lvl>
    <w:lvl w:ilvl="8" w:tplc="0C0A0005" w:tentative="1">
      <w:start w:val="1"/>
      <w:numFmt w:val="bullet"/>
      <w:lvlText w:val=""/>
      <w:lvlJc w:val="left"/>
      <w:pPr>
        <w:ind w:left="10099" w:hanging="360"/>
      </w:pPr>
      <w:rPr>
        <w:rFonts w:ascii="Wingdings" w:hAnsi="Wingdings" w:hint="default"/>
      </w:rPr>
    </w:lvl>
  </w:abstractNum>
  <w:abstractNum w:abstractNumId="39" w15:restartNumberingAfterBreak="0">
    <w:nsid w:val="70467F8A"/>
    <w:multiLevelType w:val="hybridMultilevel"/>
    <w:tmpl w:val="65525A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2823179"/>
    <w:multiLevelType w:val="hybridMultilevel"/>
    <w:tmpl w:val="640696D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15:restartNumberingAfterBreak="0">
    <w:nsid w:val="74A062AE"/>
    <w:multiLevelType w:val="hybridMultilevel"/>
    <w:tmpl w:val="8A845238"/>
    <w:lvl w:ilvl="0" w:tplc="0C0A0001">
      <w:start w:val="1"/>
      <w:numFmt w:val="bullet"/>
      <w:lvlText w:val=""/>
      <w:lvlJc w:val="left"/>
      <w:pPr>
        <w:ind w:left="1004" w:hanging="360"/>
      </w:pPr>
      <w:rPr>
        <w:rFonts w:ascii="Symbol" w:hAnsi="Symbol" w:hint="default"/>
      </w:rPr>
    </w:lvl>
    <w:lvl w:ilvl="1" w:tplc="82AEF1E8">
      <w:start w:val="1"/>
      <w:numFmt w:val="decimal"/>
      <w:lvlText w:val="%2."/>
      <w:lvlJc w:val="left"/>
      <w:pPr>
        <w:ind w:left="1724" w:hanging="360"/>
      </w:pPr>
      <w:rPr>
        <w:rFonts w:ascii="Times New Roman" w:eastAsia="Times New Roman" w:hAnsi="Times New Roman" w:cs="Times New Roman"/>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15:restartNumberingAfterBreak="0">
    <w:nsid w:val="76D87BC2"/>
    <w:multiLevelType w:val="hybridMultilevel"/>
    <w:tmpl w:val="4C5A8886"/>
    <w:lvl w:ilvl="0" w:tplc="F99EAFF2">
      <w:start w:val="1"/>
      <w:numFmt w:val="lowerLetter"/>
      <w:lvlText w:val="%1)"/>
      <w:lvlJc w:val="left"/>
      <w:pPr>
        <w:ind w:left="720" w:hanging="360"/>
      </w:pPr>
      <w:rPr>
        <w:rFonts w:hint="default"/>
        <w:b w:val="0"/>
        <w:color w:val="auto"/>
      </w:rPr>
    </w:lvl>
    <w:lvl w:ilvl="1" w:tplc="0C0A0017">
      <w:start w:val="1"/>
      <w:numFmt w:val="lowerLetter"/>
      <w:lvlText w:val="%2)"/>
      <w:lvlJc w:val="left"/>
      <w:pPr>
        <w:ind w:left="2084" w:hanging="360"/>
      </w:pPr>
      <w:rPr>
        <w:rFonts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3" w15:restartNumberingAfterBreak="0">
    <w:nsid w:val="7B19405B"/>
    <w:multiLevelType w:val="hybridMultilevel"/>
    <w:tmpl w:val="2BDCEB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13"/>
  </w:num>
  <w:num w:numId="4">
    <w:abstractNumId w:val="17"/>
  </w:num>
  <w:num w:numId="5">
    <w:abstractNumId w:val="27"/>
  </w:num>
  <w:num w:numId="6">
    <w:abstractNumId w:val="32"/>
  </w:num>
  <w:num w:numId="7">
    <w:abstractNumId w:val="21"/>
  </w:num>
  <w:num w:numId="8">
    <w:abstractNumId w:val="41"/>
  </w:num>
  <w:num w:numId="9">
    <w:abstractNumId w:val="31"/>
  </w:num>
  <w:num w:numId="10">
    <w:abstractNumId w:val="4"/>
  </w:num>
  <w:num w:numId="11">
    <w:abstractNumId w:val="37"/>
  </w:num>
  <w:num w:numId="12">
    <w:abstractNumId w:val="11"/>
  </w:num>
  <w:num w:numId="13">
    <w:abstractNumId w:val="19"/>
  </w:num>
  <w:num w:numId="14">
    <w:abstractNumId w:val="22"/>
  </w:num>
  <w:num w:numId="15">
    <w:abstractNumId w:val="9"/>
  </w:num>
  <w:num w:numId="16">
    <w:abstractNumId w:val="23"/>
  </w:num>
  <w:num w:numId="17">
    <w:abstractNumId w:val="25"/>
  </w:num>
  <w:num w:numId="18">
    <w:abstractNumId w:val="2"/>
  </w:num>
  <w:num w:numId="19">
    <w:abstractNumId w:val="6"/>
  </w:num>
  <w:num w:numId="20">
    <w:abstractNumId w:val="24"/>
  </w:num>
  <w:num w:numId="21">
    <w:abstractNumId w:val="28"/>
  </w:num>
  <w:num w:numId="22">
    <w:abstractNumId w:val="33"/>
  </w:num>
  <w:num w:numId="23">
    <w:abstractNumId w:val="26"/>
  </w:num>
  <w:num w:numId="24">
    <w:abstractNumId w:val="35"/>
  </w:num>
  <w:num w:numId="25">
    <w:abstractNumId w:val="30"/>
  </w:num>
  <w:num w:numId="26">
    <w:abstractNumId w:val="12"/>
  </w:num>
  <w:num w:numId="27">
    <w:abstractNumId w:val="18"/>
  </w:num>
  <w:num w:numId="28">
    <w:abstractNumId w:val="39"/>
  </w:num>
  <w:num w:numId="29">
    <w:abstractNumId w:val="43"/>
  </w:num>
  <w:num w:numId="30">
    <w:abstractNumId w:val="8"/>
  </w:num>
  <w:num w:numId="31">
    <w:abstractNumId w:val="0"/>
  </w:num>
  <w:num w:numId="32">
    <w:abstractNumId w:val="14"/>
  </w:num>
  <w:num w:numId="33">
    <w:abstractNumId w:val="10"/>
  </w:num>
  <w:num w:numId="34">
    <w:abstractNumId w:val="42"/>
  </w:num>
  <w:num w:numId="35">
    <w:abstractNumId w:val="15"/>
  </w:num>
  <w:num w:numId="36">
    <w:abstractNumId w:val="29"/>
  </w:num>
  <w:num w:numId="37">
    <w:abstractNumId w:val="20"/>
  </w:num>
  <w:num w:numId="38">
    <w:abstractNumId w:val="34"/>
  </w:num>
  <w:num w:numId="39">
    <w:abstractNumId w:val="38"/>
  </w:num>
  <w:num w:numId="40">
    <w:abstractNumId w:val="36"/>
  </w:num>
  <w:num w:numId="41">
    <w:abstractNumId w:val="3"/>
  </w:num>
  <w:num w:numId="42">
    <w:abstractNumId w:val="1"/>
  </w:num>
  <w:num w:numId="43">
    <w:abstractNumId w:val="5"/>
  </w:num>
  <w:num w:numId="44">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1F"/>
    <w:rsid w:val="000018CB"/>
    <w:rsid w:val="000019D8"/>
    <w:rsid w:val="000031FC"/>
    <w:rsid w:val="000064BD"/>
    <w:rsid w:val="00006736"/>
    <w:rsid w:val="00006A97"/>
    <w:rsid w:val="0000758E"/>
    <w:rsid w:val="0001123B"/>
    <w:rsid w:val="00012A7F"/>
    <w:rsid w:val="00017A3A"/>
    <w:rsid w:val="000229B5"/>
    <w:rsid w:val="00026B26"/>
    <w:rsid w:val="00034826"/>
    <w:rsid w:val="00036E42"/>
    <w:rsid w:val="00041DEC"/>
    <w:rsid w:val="00041F22"/>
    <w:rsid w:val="0004218B"/>
    <w:rsid w:val="00042EB6"/>
    <w:rsid w:val="0004336A"/>
    <w:rsid w:val="0004373B"/>
    <w:rsid w:val="000448FA"/>
    <w:rsid w:val="00045EE8"/>
    <w:rsid w:val="0005073A"/>
    <w:rsid w:val="00051169"/>
    <w:rsid w:val="00053A42"/>
    <w:rsid w:val="0005517D"/>
    <w:rsid w:val="00060CA6"/>
    <w:rsid w:val="0006133D"/>
    <w:rsid w:val="000619E4"/>
    <w:rsid w:val="00062F2D"/>
    <w:rsid w:val="00063585"/>
    <w:rsid w:val="000673EF"/>
    <w:rsid w:val="00071476"/>
    <w:rsid w:val="00071CD0"/>
    <w:rsid w:val="00075692"/>
    <w:rsid w:val="00076E53"/>
    <w:rsid w:val="00077BAF"/>
    <w:rsid w:val="000805AD"/>
    <w:rsid w:val="00080605"/>
    <w:rsid w:val="00087B8D"/>
    <w:rsid w:val="00093D67"/>
    <w:rsid w:val="00093E60"/>
    <w:rsid w:val="000952A1"/>
    <w:rsid w:val="00095923"/>
    <w:rsid w:val="00096452"/>
    <w:rsid w:val="000A0146"/>
    <w:rsid w:val="000A18B7"/>
    <w:rsid w:val="000A2C1E"/>
    <w:rsid w:val="000A4697"/>
    <w:rsid w:val="000A7C86"/>
    <w:rsid w:val="000B10AB"/>
    <w:rsid w:val="000B1CAC"/>
    <w:rsid w:val="000B224A"/>
    <w:rsid w:val="000B2728"/>
    <w:rsid w:val="000B3943"/>
    <w:rsid w:val="000B4477"/>
    <w:rsid w:val="000B4AB2"/>
    <w:rsid w:val="000B7D38"/>
    <w:rsid w:val="000C0704"/>
    <w:rsid w:val="000C101A"/>
    <w:rsid w:val="000C2B07"/>
    <w:rsid w:val="000C2E09"/>
    <w:rsid w:val="000C39CC"/>
    <w:rsid w:val="000C4267"/>
    <w:rsid w:val="000C7566"/>
    <w:rsid w:val="000D0395"/>
    <w:rsid w:val="000D06B5"/>
    <w:rsid w:val="000D12D8"/>
    <w:rsid w:val="000D188E"/>
    <w:rsid w:val="000D226E"/>
    <w:rsid w:val="000D341C"/>
    <w:rsid w:val="000D36FA"/>
    <w:rsid w:val="000D3B1F"/>
    <w:rsid w:val="000D4C33"/>
    <w:rsid w:val="000D5335"/>
    <w:rsid w:val="000D5882"/>
    <w:rsid w:val="000D7E96"/>
    <w:rsid w:val="000E13BC"/>
    <w:rsid w:val="000E7B86"/>
    <w:rsid w:val="000F200C"/>
    <w:rsid w:val="000F2B66"/>
    <w:rsid w:val="000F3D83"/>
    <w:rsid w:val="000F501B"/>
    <w:rsid w:val="000F73F0"/>
    <w:rsid w:val="000F7C5F"/>
    <w:rsid w:val="00100F12"/>
    <w:rsid w:val="00103589"/>
    <w:rsid w:val="001045C9"/>
    <w:rsid w:val="0010543A"/>
    <w:rsid w:val="00107CC1"/>
    <w:rsid w:val="00107D77"/>
    <w:rsid w:val="001105F6"/>
    <w:rsid w:val="00110B31"/>
    <w:rsid w:val="00111A92"/>
    <w:rsid w:val="00113389"/>
    <w:rsid w:val="001145C3"/>
    <w:rsid w:val="001161D2"/>
    <w:rsid w:val="00116A75"/>
    <w:rsid w:val="00116F30"/>
    <w:rsid w:val="00116F8B"/>
    <w:rsid w:val="001175BF"/>
    <w:rsid w:val="00117CBE"/>
    <w:rsid w:val="00120C90"/>
    <w:rsid w:val="00121B91"/>
    <w:rsid w:val="00121D84"/>
    <w:rsid w:val="00124987"/>
    <w:rsid w:val="00130A37"/>
    <w:rsid w:val="00131DF1"/>
    <w:rsid w:val="00132C38"/>
    <w:rsid w:val="00133984"/>
    <w:rsid w:val="00135F74"/>
    <w:rsid w:val="0013627E"/>
    <w:rsid w:val="0013657A"/>
    <w:rsid w:val="001365C4"/>
    <w:rsid w:val="001411A1"/>
    <w:rsid w:val="0014139E"/>
    <w:rsid w:val="0014147D"/>
    <w:rsid w:val="0014151D"/>
    <w:rsid w:val="001415BF"/>
    <w:rsid w:val="00141D29"/>
    <w:rsid w:val="001431E6"/>
    <w:rsid w:val="00144B6B"/>
    <w:rsid w:val="0014506A"/>
    <w:rsid w:val="0014728F"/>
    <w:rsid w:val="00147536"/>
    <w:rsid w:val="0015183C"/>
    <w:rsid w:val="001521A2"/>
    <w:rsid w:val="00152358"/>
    <w:rsid w:val="001544CC"/>
    <w:rsid w:val="00155BFF"/>
    <w:rsid w:val="00157A17"/>
    <w:rsid w:val="00160F66"/>
    <w:rsid w:val="001633AF"/>
    <w:rsid w:val="00163A90"/>
    <w:rsid w:val="001645CE"/>
    <w:rsid w:val="00166644"/>
    <w:rsid w:val="00166A6C"/>
    <w:rsid w:val="0017052E"/>
    <w:rsid w:val="00173EDD"/>
    <w:rsid w:val="0017402B"/>
    <w:rsid w:val="001741DD"/>
    <w:rsid w:val="00175CE7"/>
    <w:rsid w:val="00181D37"/>
    <w:rsid w:val="00182575"/>
    <w:rsid w:val="001830DF"/>
    <w:rsid w:val="001835B7"/>
    <w:rsid w:val="00183D11"/>
    <w:rsid w:val="0018426B"/>
    <w:rsid w:val="0018460C"/>
    <w:rsid w:val="001852E3"/>
    <w:rsid w:val="00185A37"/>
    <w:rsid w:val="001876FF"/>
    <w:rsid w:val="00193C6B"/>
    <w:rsid w:val="00194309"/>
    <w:rsid w:val="0019660E"/>
    <w:rsid w:val="001A0F7D"/>
    <w:rsid w:val="001A427D"/>
    <w:rsid w:val="001A588B"/>
    <w:rsid w:val="001B06DD"/>
    <w:rsid w:val="001B184D"/>
    <w:rsid w:val="001B1E68"/>
    <w:rsid w:val="001B2E34"/>
    <w:rsid w:val="001B39E2"/>
    <w:rsid w:val="001C0F14"/>
    <w:rsid w:val="001C1035"/>
    <w:rsid w:val="001C13E9"/>
    <w:rsid w:val="001C2B26"/>
    <w:rsid w:val="001C3A32"/>
    <w:rsid w:val="001C5783"/>
    <w:rsid w:val="001C64DC"/>
    <w:rsid w:val="001D0224"/>
    <w:rsid w:val="001D0C96"/>
    <w:rsid w:val="001D2D2A"/>
    <w:rsid w:val="001D4F09"/>
    <w:rsid w:val="001D5E79"/>
    <w:rsid w:val="001D6360"/>
    <w:rsid w:val="001D6E01"/>
    <w:rsid w:val="001E0083"/>
    <w:rsid w:val="001E0DAC"/>
    <w:rsid w:val="001E48B3"/>
    <w:rsid w:val="001E683C"/>
    <w:rsid w:val="001E7185"/>
    <w:rsid w:val="001E7F16"/>
    <w:rsid w:val="001F033A"/>
    <w:rsid w:val="001F055D"/>
    <w:rsid w:val="001F1482"/>
    <w:rsid w:val="001F1885"/>
    <w:rsid w:val="001F2074"/>
    <w:rsid w:val="001F20D7"/>
    <w:rsid w:val="001F4AFD"/>
    <w:rsid w:val="001F7744"/>
    <w:rsid w:val="00200616"/>
    <w:rsid w:val="002014EB"/>
    <w:rsid w:val="00202B1A"/>
    <w:rsid w:val="00204979"/>
    <w:rsid w:val="00204A17"/>
    <w:rsid w:val="00204CBC"/>
    <w:rsid w:val="00205444"/>
    <w:rsid w:val="00211D69"/>
    <w:rsid w:val="00212953"/>
    <w:rsid w:val="002179DB"/>
    <w:rsid w:val="00221FDE"/>
    <w:rsid w:val="00222CEA"/>
    <w:rsid w:val="00224154"/>
    <w:rsid w:val="002255DB"/>
    <w:rsid w:val="00227E48"/>
    <w:rsid w:val="002303C7"/>
    <w:rsid w:val="00230577"/>
    <w:rsid w:val="00230906"/>
    <w:rsid w:val="0023209D"/>
    <w:rsid w:val="002333F8"/>
    <w:rsid w:val="00233D79"/>
    <w:rsid w:val="00234768"/>
    <w:rsid w:val="00234873"/>
    <w:rsid w:val="0023701D"/>
    <w:rsid w:val="00237657"/>
    <w:rsid w:val="00240BB7"/>
    <w:rsid w:val="002422F8"/>
    <w:rsid w:val="00242BA7"/>
    <w:rsid w:val="002437B5"/>
    <w:rsid w:val="00244E6D"/>
    <w:rsid w:val="00244EF1"/>
    <w:rsid w:val="00245EA5"/>
    <w:rsid w:val="00246F21"/>
    <w:rsid w:val="00250C42"/>
    <w:rsid w:val="00252C64"/>
    <w:rsid w:val="00253E78"/>
    <w:rsid w:val="00256864"/>
    <w:rsid w:val="0026029F"/>
    <w:rsid w:val="00260B8C"/>
    <w:rsid w:val="0026237E"/>
    <w:rsid w:val="00262C3C"/>
    <w:rsid w:val="00264C88"/>
    <w:rsid w:val="0026532C"/>
    <w:rsid w:val="0026575D"/>
    <w:rsid w:val="002705B0"/>
    <w:rsid w:val="002717A6"/>
    <w:rsid w:val="00271B66"/>
    <w:rsid w:val="00272015"/>
    <w:rsid w:val="002736FB"/>
    <w:rsid w:val="00273C10"/>
    <w:rsid w:val="00273E51"/>
    <w:rsid w:val="002740D1"/>
    <w:rsid w:val="00274B4C"/>
    <w:rsid w:val="00276264"/>
    <w:rsid w:val="00281DCA"/>
    <w:rsid w:val="00281DD2"/>
    <w:rsid w:val="0029315C"/>
    <w:rsid w:val="00293A42"/>
    <w:rsid w:val="0029519E"/>
    <w:rsid w:val="002975A2"/>
    <w:rsid w:val="00297B04"/>
    <w:rsid w:val="00297C93"/>
    <w:rsid w:val="00297EA4"/>
    <w:rsid w:val="002A012B"/>
    <w:rsid w:val="002A056C"/>
    <w:rsid w:val="002A1AE8"/>
    <w:rsid w:val="002A3F74"/>
    <w:rsid w:val="002A48A3"/>
    <w:rsid w:val="002A540A"/>
    <w:rsid w:val="002A66A5"/>
    <w:rsid w:val="002A6EBB"/>
    <w:rsid w:val="002B21E9"/>
    <w:rsid w:val="002B2B87"/>
    <w:rsid w:val="002B4B24"/>
    <w:rsid w:val="002B4E0F"/>
    <w:rsid w:val="002B5754"/>
    <w:rsid w:val="002C0A84"/>
    <w:rsid w:val="002C7026"/>
    <w:rsid w:val="002C7E08"/>
    <w:rsid w:val="002D089F"/>
    <w:rsid w:val="002D4F3F"/>
    <w:rsid w:val="002D5635"/>
    <w:rsid w:val="002D65E8"/>
    <w:rsid w:val="002D68BC"/>
    <w:rsid w:val="002D7D32"/>
    <w:rsid w:val="002D7EF7"/>
    <w:rsid w:val="002E0011"/>
    <w:rsid w:val="002E02E5"/>
    <w:rsid w:val="002E0478"/>
    <w:rsid w:val="002E0791"/>
    <w:rsid w:val="002E0A99"/>
    <w:rsid w:val="002E0DFC"/>
    <w:rsid w:val="002E115B"/>
    <w:rsid w:val="002E1B92"/>
    <w:rsid w:val="002E7B81"/>
    <w:rsid w:val="002F09FB"/>
    <w:rsid w:val="002F0B1C"/>
    <w:rsid w:val="002F0FE3"/>
    <w:rsid w:val="002F1AF0"/>
    <w:rsid w:val="002F2530"/>
    <w:rsid w:val="002F272A"/>
    <w:rsid w:val="002F3225"/>
    <w:rsid w:val="002F53B4"/>
    <w:rsid w:val="002F6E3F"/>
    <w:rsid w:val="002F76D6"/>
    <w:rsid w:val="00303506"/>
    <w:rsid w:val="0030446A"/>
    <w:rsid w:val="00307057"/>
    <w:rsid w:val="00312513"/>
    <w:rsid w:val="00312819"/>
    <w:rsid w:val="003128F2"/>
    <w:rsid w:val="00312E9C"/>
    <w:rsid w:val="003132AA"/>
    <w:rsid w:val="00313875"/>
    <w:rsid w:val="00313BFC"/>
    <w:rsid w:val="00315D75"/>
    <w:rsid w:val="0031677C"/>
    <w:rsid w:val="003203BF"/>
    <w:rsid w:val="00321369"/>
    <w:rsid w:val="00324EE1"/>
    <w:rsid w:val="003255CE"/>
    <w:rsid w:val="00325BD1"/>
    <w:rsid w:val="003305EA"/>
    <w:rsid w:val="00330787"/>
    <w:rsid w:val="00331458"/>
    <w:rsid w:val="00331F51"/>
    <w:rsid w:val="00332CE9"/>
    <w:rsid w:val="00335869"/>
    <w:rsid w:val="00335F77"/>
    <w:rsid w:val="00337493"/>
    <w:rsid w:val="0034285F"/>
    <w:rsid w:val="00344960"/>
    <w:rsid w:val="003464A4"/>
    <w:rsid w:val="003511CA"/>
    <w:rsid w:val="00351684"/>
    <w:rsid w:val="00354458"/>
    <w:rsid w:val="00356CE9"/>
    <w:rsid w:val="00360B03"/>
    <w:rsid w:val="00362C6E"/>
    <w:rsid w:val="00363653"/>
    <w:rsid w:val="0036509D"/>
    <w:rsid w:val="0036517C"/>
    <w:rsid w:val="003720B7"/>
    <w:rsid w:val="0037228C"/>
    <w:rsid w:val="00372318"/>
    <w:rsid w:val="00372D5B"/>
    <w:rsid w:val="003738FD"/>
    <w:rsid w:val="00374579"/>
    <w:rsid w:val="003769EA"/>
    <w:rsid w:val="003810BE"/>
    <w:rsid w:val="003838FC"/>
    <w:rsid w:val="00385353"/>
    <w:rsid w:val="00386807"/>
    <w:rsid w:val="00386F6C"/>
    <w:rsid w:val="003870E4"/>
    <w:rsid w:val="00387709"/>
    <w:rsid w:val="00387794"/>
    <w:rsid w:val="00392773"/>
    <w:rsid w:val="00392D6C"/>
    <w:rsid w:val="00392FC6"/>
    <w:rsid w:val="003932AF"/>
    <w:rsid w:val="00394FC9"/>
    <w:rsid w:val="0039615B"/>
    <w:rsid w:val="00397162"/>
    <w:rsid w:val="00397D2E"/>
    <w:rsid w:val="003A335E"/>
    <w:rsid w:val="003A3DD2"/>
    <w:rsid w:val="003A60FF"/>
    <w:rsid w:val="003A70C9"/>
    <w:rsid w:val="003B2E71"/>
    <w:rsid w:val="003B3573"/>
    <w:rsid w:val="003B44F5"/>
    <w:rsid w:val="003B5813"/>
    <w:rsid w:val="003B59ED"/>
    <w:rsid w:val="003B5CD0"/>
    <w:rsid w:val="003C03EA"/>
    <w:rsid w:val="003C0BBF"/>
    <w:rsid w:val="003C196B"/>
    <w:rsid w:val="003C2310"/>
    <w:rsid w:val="003C2D5C"/>
    <w:rsid w:val="003C354B"/>
    <w:rsid w:val="003C4080"/>
    <w:rsid w:val="003C6E1D"/>
    <w:rsid w:val="003D058C"/>
    <w:rsid w:val="003D10CB"/>
    <w:rsid w:val="003D34EF"/>
    <w:rsid w:val="003D4762"/>
    <w:rsid w:val="003D6961"/>
    <w:rsid w:val="003D76B1"/>
    <w:rsid w:val="003E17A6"/>
    <w:rsid w:val="003E2B58"/>
    <w:rsid w:val="003E43DB"/>
    <w:rsid w:val="003E4AA5"/>
    <w:rsid w:val="003E5CD0"/>
    <w:rsid w:val="003F1CEC"/>
    <w:rsid w:val="003F42F0"/>
    <w:rsid w:val="003F43BF"/>
    <w:rsid w:val="003F445E"/>
    <w:rsid w:val="003F62F0"/>
    <w:rsid w:val="003F6BE4"/>
    <w:rsid w:val="003F780A"/>
    <w:rsid w:val="0040124F"/>
    <w:rsid w:val="00401FEB"/>
    <w:rsid w:val="00403CF8"/>
    <w:rsid w:val="004054A1"/>
    <w:rsid w:val="00407443"/>
    <w:rsid w:val="00407459"/>
    <w:rsid w:val="00407508"/>
    <w:rsid w:val="0040788E"/>
    <w:rsid w:val="0041027D"/>
    <w:rsid w:val="00414D01"/>
    <w:rsid w:val="0041665C"/>
    <w:rsid w:val="004170FE"/>
    <w:rsid w:val="004209E6"/>
    <w:rsid w:val="0042324B"/>
    <w:rsid w:val="004234E8"/>
    <w:rsid w:val="00426805"/>
    <w:rsid w:val="00430150"/>
    <w:rsid w:val="004302F9"/>
    <w:rsid w:val="00430744"/>
    <w:rsid w:val="0043229B"/>
    <w:rsid w:val="00435287"/>
    <w:rsid w:val="004374A4"/>
    <w:rsid w:val="00440A22"/>
    <w:rsid w:val="0044115A"/>
    <w:rsid w:val="004421DD"/>
    <w:rsid w:val="0044254F"/>
    <w:rsid w:val="004437E0"/>
    <w:rsid w:val="00444BD8"/>
    <w:rsid w:val="00447A72"/>
    <w:rsid w:val="00447C39"/>
    <w:rsid w:val="0045550E"/>
    <w:rsid w:val="00455FC9"/>
    <w:rsid w:val="00456456"/>
    <w:rsid w:val="004608BF"/>
    <w:rsid w:val="0046233B"/>
    <w:rsid w:val="00462367"/>
    <w:rsid w:val="00463B4A"/>
    <w:rsid w:val="00464143"/>
    <w:rsid w:val="0046490C"/>
    <w:rsid w:val="00466915"/>
    <w:rsid w:val="00470287"/>
    <w:rsid w:val="00470733"/>
    <w:rsid w:val="004708EC"/>
    <w:rsid w:val="00474788"/>
    <w:rsid w:val="004777D7"/>
    <w:rsid w:val="00477C53"/>
    <w:rsid w:val="004813C6"/>
    <w:rsid w:val="00482DBF"/>
    <w:rsid w:val="004834FC"/>
    <w:rsid w:val="004836D2"/>
    <w:rsid w:val="00485380"/>
    <w:rsid w:val="00485999"/>
    <w:rsid w:val="00490BB4"/>
    <w:rsid w:val="00491BEB"/>
    <w:rsid w:val="00493D87"/>
    <w:rsid w:val="004950D4"/>
    <w:rsid w:val="00497600"/>
    <w:rsid w:val="00497FDA"/>
    <w:rsid w:val="004A0506"/>
    <w:rsid w:val="004A1AEB"/>
    <w:rsid w:val="004A1F9D"/>
    <w:rsid w:val="004A2113"/>
    <w:rsid w:val="004A2342"/>
    <w:rsid w:val="004A2F62"/>
    <w:rsid w:val="004A42AF"/>
    <w:rsid w:val="004A530A"/>
    <w:rsid w:val="004A6051"/>
    <w:rsid w:val="004B13E3"/>
    <w:rsid w:val="004B1590"/>
    <w:rsid w:val="004B198D"/>
    <w:rsid w:val="004B1DB8"/>
    <w:rsid w:val="004B264B"/>
    <w:rsid w:val="004B2E6C"/>
    <w:rsid w:val="004B2F01"/>
    <w:rsid w:val="004B4182"/>
    <w:rsid w:val="004B42DB"/>
    <w:rsid w:val="004B4364"/>
    <w:rsid w:val="004B4538"/>
    <w:rsid w:val="004B6FB6"/>
    <w:rsid w:val="004C07AB"/>
    <w:rsid w:val="004C0EE8"/>
    <w:rsid w:val="004C3423"/>
    <w:rsid w:val="004C3EF8"/>
    <w:rsid w:val="004C5180"/>
    <w:rsid w:val="004C571D"/>
    <w:rsid w:val="004C6948"/>
    <w:rsid w:val="004D1E22"/>
    <w:rsid w:val="004D1E55"/>
    <w:rsid w:val="004D35A2"/>
    <w:rsid w:val="004D5FD1"/>
    <w:rsid w:val="004E0163"/>
    <w:rsid w:val="004E1388"/>
    <w:rsid w:val="004E14B2"/>
    <w:rsid w:val="004E25C9"/>
    <w:rsid w:val="004E5BB2"/>
    <w:rsid w:val="004E6D6D"/>
    <w:rsid w:val="004F3C02"/>
    <w:rsid w:val="004F7C93"/>
    <w:rsid w:val="005003DC"/>
    <w:rsid w:val="0050175E"/>
    <w:rsid w:val="00503185"/>
    <w:rsid w:val="00506105"/>
    <w:rsid w:val="00513041"/>
    <w:rsid w:val="00513162"/>
    <w:rsid w:val="00514F42"/>
    <w:rsid w:val="005235DB"/>
    <w:rsid w:val="00525809"/>
    <w:rsid w:val="00526ACA"/>
    <w:rsid w:val="00532457"/>
    <w:rsid w:val="00533CB9"/>
    <w:rsid w:val="005350F5"/>
    <w:rsid w:val="00535130"/>
    <w:rsid w:val="00537302"/>
    <w:rsid w:val="00542484"/>
    <w:rsid w:val="00545591"/>
    <w:rsid w:val="0054761B"/>
    <w:rsid w:val="0055163D"/>
    <w:rsid w:val="005543B7"/>
    <w:rsid w:val="00555509"/>
    <w:rsid w:val="00561C5B"/>
    <w:rsid w:val="00564F2D"/>
    <w:rsid w:val="00565F85"/>
    <w:rsid w:val="00566CDA"/>
    <w:rsid w:val="0056727E"/>
    <w:rsid w:val="00567BA6"/>
    <w:rsid w:val="00570033"/>
    <w:rsid w:val="00570147"/>
    <w:rsid w:val="0057307E"/>
    <w:rsid w:val="00573A4C"/>
    <w:rsid w:val="00573DEF"/>
    <w:rsid w:val="00574B79"/>
    <w:rsid w:val="00574D12"/>
    <w:rsid w:val="005800B4"/>
    <w:rsid w:val="0058070B"/>
    <w:rsid w:val="00580FB0"/>
    <w:rsid w:val="0058187A"/>
    <w:rsid w:val="0058296F"/>
    <w:rsid w:val="0058440B"/>
    <w:rsid w:val="005844DE"/>
    <w:rsid w:val="00587ECB"/>
    <w:rsid w:val="00590A2B"/>
    <w:rsid w:val="00591B20"/>
    <w:rsid w:val="00594F02"/>
    <w:rsid w:val="00595016"/>
    <w:rsid w:val="005958C8"/>
    <w:rsid w:val="00595E80"/>
    <w:rsid w:val="005961EA"/>
    <w:rsid w:val="0059650E"/>
    <w:rsid w:val="00596953"/>
    <w:rsid w:val="005976EC"/>
    <w:rsid w:val="005978B7"/>
    <w:rsid w:val="005A10A4"/>
    <w:rsid w:val="005A1E61"/>
    <w:rsid w:val="005A2960"/>
    <w:rsid w:val="005A2D11"/>
    <w:rsid w:val="005A3EA6"/>
    <w:rsid w:val="005A6030"/>
    <w:rsid w:val="005A69CA"/>
    <w:rsid w:val="005B0FBD"/>
    <w:rsid w:val="005B57AD"/>
    <w:rsid w:val="005B5A06"/>
    <w:rsid w:val="005B638C"/>
    <w:rsid w:val="005B722E"/>
    <w:rsid w:val="005C02FE"/>
    <w:rsid w:val="005C50AC"/>
    <w:rsid w:val="005C6406"/>
    <w:rsid w:val="005D3D24"/>
    <w:rsid w:val="005D675C"/>
    <w:rsid w:val="005D69D1"/>
    <w:rsid w:val="005E210D"/>
    <w:rsid w:val="005E5808"/>
    <w:rsid w:val="005F0EFB"/>
    <w:rsid w:val="005F2315"/>
    <w:rsid w:val="005F2425"/>
    <w:rsid w:val="005F5EC7"/>
    <w:rsid w:val="005F7207"/>
    <w:rsid w:val="005F7FCF"/>
    <w:rsid w:val="00600FDB"/>
    <w:rsid w:val="006035DA"/>
    <w:rsid w:val="0060747D"/>
    <w:rsid w:val="00607691"/>
    <w:rsid w:val="0061062C"/>
    <w:rsid w:val="00613183"/>
    <w:rsid w:val="006133F0"/>
    <w:rsid w:val="00616888"/>
    <w:rsid w:val="006176BE"/>
    <w:rsid w:val="0062071C"/>
    <w:rsid w:val="006212CB"/>
    <w:rsid w:val="00621CF9"/>
    <w:rsid w:val="00626008"/>
    <w:rsid w:val="006279F9"/>
    <w:rsid w:val="0063321D"/>
    <w:rsid w:val="0063402D"/>
    <w:rsid w:val="006369EE"/>
    <w:rsid w:val="006405A8"/>
    <w:rsid w:val="006454D9"/>
    <w:rsid w:val="0064700E"/>
    <w:rsid w:val="00647CB8"/>
    <w:rsid w:val="00650183"/>
    <w:rsid w:val="00650677"/>
    <w:rsid w:val="00650738"/>
    <w:rsid w:val="00655D39"/>
    <w:rsid w:val="00655D5C"/>
    <w:rsid w:val="00657ABE"/>
    <w:rsid w:val="00657F27"/>
    <w:rsid w:val="006627D4"/>
    <w:rsid w:val="00666C24"/>
    <w:rsid w:val="00666D5F"/>
    <w:rsid w:val="00670658"/>
    <w:rsid w:val="00670F7F"/>
    <w:rsid w:val="00671EA9"/>
    <w:rsid w:val="00672B52"/>
    <w:rsid w:val="006736A9"/>
    <w:rsid w:val="00673BC7"/>
    <w:rsid w:val="00674975"/>
    <w:rsid w:val="00675D39"/>
    <w:rsid w:val="006775E3"/>
    <w:rsid w:val="006831AA"/>
    <w:rsid w:val="0068560B"/>
    <w:rsid w:val="00686B2F"/>
    <w:rsid w:val="006934C7"/>
    <w:rsid w:val="00694502"/>
    <w:rsid w:val="00695484"/>
    <w:rsid w:val="006A1277"/>
    <w:rsid w:val="006A2602"/>
    <w:rsid w:val="006A2D41"/>
    <w:rsid w:val="006A3983"/>
    <w:rsid w:val="006A4FFC"/>
    <w:rsid w:val="006A53E0"/>
    <w:rsid w:val="006A5E31"/>
    <w:rsid w:val="006A67E1"/>
    <w:rsid w:val="006C0010"/>
    <w:rsid w:val="006C18CA"/>
    <w:rsid w:val="006C2224"/>
    <w:rsid w:val="006C36FB"/>
    <w:rsid w:val="006C37E3"/>
    <w:rsid w:val="006C4B56"/>
    <w:rsid w:val="006C617C"/>
    <w:rsid w:val="006C621E"/>
    <w:rsid w:val="006C6B72"/>
    <w:rsid w:val="006C7D62"/>
    <w:rsid w:val="006D0336"/>
    <w:rsid w:val="006D0B23"/>
    <w:rsid w:val="006D2ED6"/>
    <w:rsid w:val="006D3B7A"/>
    <w:rsid w:val="006D459F"/>
    <w:rsid w:val="006D5685"/>
    <w:rsid w:val="006D7C63"/>
    <w:rsid w:val="006E1987"/>
    <w:rsid w:val="006E23B2"/>
    <w:rsid w:val="006E3E89"/>
    <w:rsid w:val="006E47DF"/>
    <w:rsid w:val="006E4EB7"/>
    <w:rsid w:val="006E5207"/>
    <w:rsid w:val="006E5C76"/>
    <w:rsid w:val="006E6E93"/>
    <w:rsid w:val="006F5C70"/>
    <w:rsid w:val="006F5DDB"/>
    <w:rsid w:val="006F6A20"/>
    <w:rsid w:val="00701079"/>
    <w:rsid w:val="0070295F"/>
    <w:rsid w:val="0070302E"/>
    <w:rsid w:val="007047B2"/>
    <w:rsid w:val="00704DE7"/>
    <w:rsid w:val="00705B70"/>
    <w:rsid w:val="00706868"/>
    <w:rsid w:val="007078B8"/>
    <w:rsid w:val="0071231C"/>
    <w:rsid w:val="00712E6F"/>
    <w:rsid w:val="0071371A"/>
    <w:rsid w:val="00715E32"/>
    <w:rsid w:val="00716082"/>
    <w:rsid w:val="007162D1"/>
    <w:rsid w:val="00716463"/>
    <w:rsid w:val="0071706E"/>
    <w:rsid w:val="007209AE"/>
    <w:rsid w:val="00724543"/>
    <w:rsid w:val="00727292"/>
    <w:rsid w:val="00727383"/>
    <w:rsid w:val="00732512"/>
    <w:rsid w:val="007352D3"/>
    <w:rsid w:val="00736A48"/>
    <w:rsid w:val="00737A20"/>
    <w:rsid w:val="00740009"/>
    <w:rsid w:val="00740254"/>
    <w:rsid w:val="00742F6A"/>
    <w:rsid w:val="007444D6"/>
    <w:rsid w:val="007446E8"/>
    <w:rsid w:val="00750C68"/>
    <w:rsid w:val="00751008"/>
    <w:rsid w:val="00751553"/>
    <w:rsid w:val="0075165E"/>
    <w:rsid w:val="007546D3"/>
    <w:rsid w:val="00754E10"/>
    <w:rsid w:val="00762A29"/>
    <w:rsid w:val="00762E01"/>
    <w:rsid w:val="0076327D"/>
    <w:rsid w:val="00767745"/>
    <w:rsid w:val="007679AB"/>
    <w:rsid w:val="007707FC"/>
    <w:rsid w:val="00770BE3"/>
    <w:rsid w:val="0077177A"/>
    <w:rsid w:val="007728A8"/>
    <w:rsid w:val="00773BB1"/>
    <w:rsid w:val="00773D2B"/>
    <w:rsid w:val="007764CC"/>
    <w:rsid w:val="00777B70"/>
    <w:rsid w:val="00783D5F"/>
    <w:rsid w:val="00785A76"/>
    <w:rsid w:val="00787852"/>
    <w:rsid w:val="007915BC"/>
    <w:rsid w:val="007967FA"/>
    <w:rsid w:val="00797E7A"/>
    <w:rsid w:val="007A067B"/>
    <w:rsid w:val="007A0E2C"/>
    <w:rsid w:val="007A0EA6"/>
    <w:rsid w:val="007A1436"/>
    <w:rsid w:val="007A2D9E"/>
    <w:rsid w:val="007A37AB"/>
    <w:rsid w:val="007A46AD"/>
    <w:rsid w:val="007A6617"/>
    <w:rsid w:val="007B0381"/>
    <w:rsid w:val="007B0F3D"/>
    <w:rsid w:val="007B148D"/>
    <w:rsid w:val="007B18C8"/>
    <w:rsid w:val="007B28DE"/>
    <w:rsid w:val="007B49FD"/>
    <w:rsid w:val="007B7A5F"/>
    <w:rsid w:val="007C36BE"/>
    <w:rsid w:val="007C698B"/>
    <w:rsid w:val="007D3FAE"/>
    <w:rsid w:val="007D53ED"/>
    <w:rsid w:val="007D6001"/>
    <w:rsid w:val="007D7F94"/>
    <w:rsid w:val="007E185F"/>
    <w:rsid w:val="007E1B76"/>
    <w:rsid w:val="007E219A"/>
    <w:rsid w:val="007E36C3"/>
    <w:rsid w:val="007E37BF"/>
    <w:rsid w:val="007E6593"/>
    <w:rsid w:val="007E70D3"/>
    <w:rsid w:val="007F1101"/>
    <w:rsid w:val="007F1C7E"/>
    <w:rsid w:val="007F2CB1"/>
    <w:rsid w:val="008000CB"/>
    <w:rsid w:val="008013B4"/>
    <w:rsid w:val="0080159C"/>
    <w:rsid w:val="008039E6"/>
    <w:rsid w:val="00803D20"/>
    <w:rsid w:val="008053B3"/>
    <w:rsid w:val="0080679D"/>
    <w:rsid w:val="00806DE6"/>
    <w:rsid w:val="00806E26"/>
    <w:rsid w:val="00807286"/>
    <w:rsid w:val="00810B0F"/>
    <w:rsid w:val="008112A0"/>
    <w:rsid w:val="00813166"/>
    <w:rsid w:val="00813CC2"/>
    <w:rsid w:val="00816195"/>
    <w:rsid w:val="0081696D"/>
    <w:rsid w:val="00816E01"/>
    <w:rsid w:val="00816F95"/>
    <w:rsid w:val="008173D0"/>
    <w:rsid w:val="00820F07"/>
    <w:rsid w:val="00823235"/>
    <w:rsid w:val="00824659"/>
    <w:rsid w:val="008249F1"/>
    <w:rsid w:val="00824AF2"/>
    <w:rsid w:val="008263F1"/>
    <w:rsid w:val="00826686"/>
    <w:rsid w:val="00826CBB"/>
    <w:rsid w:val="008320AC"/>
    <w:rsid w:val="00832131"/>
    <w:rsid w:val="00835563"/>
    <w:rsid w:val="00836511"/>
    <w:rsid w:val="00836B02"/>
    <w:rsid w:val="00836EC6"/>
    <w:rsid w:val="0083741E"/>
    <w:rsid w:val="00837985"/>
    <w:rsid w:val="00840E3D"/>
    <w:rsid w:val="00841D8C"/>
    <w:rsid w:val="00842220"/>
    <w:rsid w:val="008431E3"/>
    <w:rsid w:val="00844111"/>
    <w:rsid w:val="00844DE8"/>
    <w:rsid w:val="00844F74"/>
    <w:rsid w:val="00846382"/>
    <w:rsid w:val="00850879"/>
    <w:rsid w:val="00850F57"/>
    <w:rsid w:val="0085252E"/>
    <w:rsid w:val="0085304A"/>
    <w:rsid w:val="008536C2"/>
    <w:rsid w:val="0085545C"/>
    <w:rsid w:val="008600C7"/>
    <w:rsid w:val="008617D0"/>
    <w:rsid w:val="00861A60"/>
    <w:rsid w:val="00862357"/>
    <w:rsid w:val="00862D02"/>
    <w:rsid w:val="00862D57"/>
    <w:rsid w:val="008637B9"/>
    <w:rsid w:val="00864194"/>
    <w:rsid w:val="00864FE1"/>
    <w:rsid w:val="00866C2D"/>
    <w:rsid w:val="008678C8"/>
    <w:rsid w:val="00870399"/>
    <w:rsid w:val="0087053F"/>
    <w:rsid w:val="00870B82"/>
    <w:rsid w:val="008711EC"/>
    <w:rsid w:val="008718FE"/>
    <w:rsid w:val="008727EC"/>
    <w:rsid w:val="00872946"/>
    <w:rsid w:val="00875BBE"/>
    <w:rsid w:val="00880A9C"/>
    <w:rsid w:val="00881922"/>
    <w:rsid w:val="00883928"/>
    <w:rsid w:val="00883DDE"/>
    <w:rsid w:val="00885589"/>
    <w:rsid w:val="00891D73"/>
    <w:rsid w:val="00892A44"/>
    <w:rsid w:val="008950AB"/>
    <w:rsid w:val="00897CD6"/>
    <w:rsid w:val="00897F21"/>
    <w:rsid w:val="00897FA4"/>
    <w:rsid w:val="008A2DE8"/>
    <w:rsid w:val="008A312D"/>
    <w:rsid w:val="008A38E6"/>
    <w:rsid w:val="008A3E09"/>
    <w:rsid w:val="008A3E57"/>
    <w:rsid w:val="008A77A7"/>
    <w:rsid w:val="008B3F34"/>
    <w:rsid w:val="008B55A0"/>
    <w:rsid w:val="008C02F6"/>
    <w:rsid w:val="008C0EA9"/>
    <w:rsid w:val="008C0EF8"/>
    <w:rsid w:val="008C2849"/>
    <w:rsid w:val="008C4254"/>
    <w:rsid w:val="008C4D4F"/>
    <w:rsid w:val="008C56B9"/>
    <w:rsid w:val="008D05E0"/>
    <w:rsid w:val="008D091B"/>
    <w:rsid w:val="008D2600"/>
    <w:rsid w:val="008D488C"/>
    <w:rsid w:val="008D63D4"/>
    <w:rsid w:val="008D72F4"/>
    <w:rsid w:val="008D78F4"/>
    <w:rsid w:val="008E0AC0"/>
    <w:rsid w:val="008E221A"/>
    <w:rsid w:val="008E328B"/>
    <w:rsid w:val="008E37EE"/>
    <w:rsid w:val="008E3FFE"/>
    <w:rsid w:val="008E60BE"/>
    <w:rsid w:val="008E6B74"/>
    <w:rsid w:val="008E76AE"/>
    <w:rsid w:val="008F0FAF"/>
    <w:rsid w:val="008F1E3A"/>
    <w:rsid w:val="008F39B8"/>
    <w:rsid w:val="008F46CD"/>
    <w:rsid w:val="008F6480"/>
    <w:rsid w:val="008F68F5"/>
    <w:rsid w:val="008F7740"/>
    <w:rsid w:val="008F7E6E"/>
    <w:rsid w:val="00900CA2"/>
    <w:rsid w:val="009018CB"/>
    <w:rsid w:val="00901C19"/>
    <w:rsid w:val="00903653"/>
    <w:rsid w:val="009044B1"/>
    <w:rsid w:val="00904FDA"/>
    <w:rsid w:val="00904FFF"/>
    <w:rsid w:val="00910A52"/>
    <w:rsid w:val="00911479"/>
    <w:rsid w:val="00911FBE"/>
    <w:rsid w:val="00912A29"/>
    <w:rsid w:val="0091484D"/>
    <w:rsid w:val="00916D72"/>
    <w:rsid w:val="00920EC4"/>
    <w:rsid w:val="00925E71"/>
    <w:rsid w:val="0093329F"/>
    <w:rsid w:val="00937043"/>
    <w:rsid w:val="00942CEF"/>
    <w:rsid w:val="00943C94"/>
    <w:rsid w:val="009445D3"/>
    <w:rsid w:val="00945A46"/>
    <w:rsid w:val="009476AE"/>
    <w:rsid w:val="0094780F"/>
    <w:rsid w:val="00947BBC"/>
    <w:rsid w:val="00951F53"/>
    <w:rsid w:val="0095428C"/>
    <w:rsid w:val="00955A8A"/>
    <w:rsid w:val="009570D7"/>
    <w:rsid w:val="0096400D"/>
    <w:rsid w:val="00965A97"/>
    <w:rsid w:val="00966600"/>
    <w:rsid w:val="00966D29"/>
    <w:rsid w:val="009671D9"/>
    <w:rsid w:val="009703D4"/>
    <w:rsid w:val="00971352"/>
    <w:rsid w:val="00973CBC"/>
    <w:rsid w:val="00975E5B"/>
    <w:rsid w:val="009764D6"/>
    <w:rsid w:val="00977C8F"/>
    <w:rsid w:val="00977F94"/>
    <w:rsid w:val="0098265B"/>
    <w:rsid w:val="00983256"/>
    <w:rsid w:val="009861BD"/>
    <w:rsid w:val="009863E9"/>
    <w:rsid w:val="00987014"/>
    <w:rsid w:val="00990335"/>
    <w:rsid w:val="00992E20"/>
    <w:rsid w:val="009936FC"/>
    <w:rsid w:val="00993925"/>
    <w:rsid w:val="00993977"/>
    <w:rsid w:val="00997272"/>
    <w:rsid w:val="009A05D1"/>
    <w:rsid w:val="009A28AC"/>
    <w:rsid w:val="009A3A5B"/>
    <w:rsid w:val="009A3A69"/>
    <w:rsid w:val="009A3F2A"/>
    <w:rsid w:val="009B1D83"/>
    <w:rsid w:val="009B2AAC"/>
    <w:rsid w:val="009B3521"/>
    <w:rsid w:val="009B541C"/>
    <w:rsid w:val="009C0839"/>
    <w:rsid w:val="009C3DAB"/>
    <w:rsid w:val="009C4460"/>
    <w:rsid w:val="009C6F99"/>
    <w:rsid w:val="009D16A5"/>
    <w:rsid w:val="009D2D4A"/>
    <w:rsid w:val="009D4A9A"/>
    <w:rsid w:val="009D7192"/>
    <w:rsid w:val="009D7B67"/>
    <w:rsid w:val="009E0E38"/>
    <w:rsid w:val="009E1A35"/>
    <w:rsid w:val="009E37E1"/>
    <w:rsid w:val="009E3A97"/>
    <w:rsid w:val="009E51FD"/>
    <w:rsid w:val="009F07B0"/>
    <w:rsid w:val="009F09AA"/>
    <w:rsid w:val="009F2C16"/>
    <w:rsid w:val="009F2C1B"/>
    <w:rsid w:val="009F3099"/>
    <w:rsid w:val="009F335C"/>
    <w:rsid w:val="009F5864"/>
    <w:rsid w:val="00A002B5"/>
    <w:rsid w:val="00A01AC9"/>
    <w:rsid w:val="00A024D4"/>
    <w:rsid w:val="00A0260C"/>
    <w:rsid w:val="00A0326D"/>
    <w:rsid w:val="00A041B5"/>
    <w:rsid w:val="00A04503"/>
    <w:rsid w:val="00A04F8C"/>
    <w:rsid w:val="00A05158"/>
    <w:rsid w:val="00A068B8"/>
    <w:rsid w:val="00A079D3"/>
    <w:rsid w:val="00A135DC"/>
    <w:rsid w:val="00A13BF5"/>
    <w:rsid w:val="00A14837"/>
    <w:rsid w:val="00A15634"/>
    <w:rsid w:val="00A213ED"/>
    <w:rsid w:val="00A217FD"/>
    <w:rsid w:val="00A225E3"/>
    <w:rsid w:val="00A2387F"/>
    <w:rsid w:val="00A23A26"/>
    <w:rsid w:val="00A245DA"/>
    <w:rsid w:val="00A24A8F"/>
    <w:rsid w:val="00A25708"/>
    <w:rsid w:val="00A25BF0"/>
    <w:rsid w:val="00A27574"/>
    <w:rsid w:val="00A3026E"/>
    <w:rsid w:val="00A314A2"/>
    <w:rsid w:val="00A3225D"/>
    <w:rsid w:val="00A33E67"/>
    <w:rsid w:val="00A408E0"/>
    <w:rsid w:val="00A40A8C"/>
    <w:rsid w:val="00A4576A"/>
    <w:rsid w:val="00A45AD0"/>
    <w:rsid w:val="00A45EE9"/>
    <w:rsid w:val="00A53B91"/>
    <w:rsid w:val="00A53C14"/>
    <w:rsid w:val="00A577F5"/>
    <w:rsid w:val="00A579EA"/>
    <w:rsid w:val="00A6093E"/>
    <w:rsid w:val="00A61410"/>
    <w:rsid w:val="00A6198A"/>
    <w:rsid w:val="00A640C6"/>
    <w:rsid w:val="00A65108"/>
    <w:rsid w:val="00A70353"/>
    <w:rsid w:val="00A7067F"/>
    <w:rsid w:val="00A707A7"/>
    <w:rsid w:val="00A70A43"/>
    <w:rsid w:val="00A718FD"/>
    <w:rsid w:val="00A72341"/>
    <w:rsid w:val="00A7356C"/>
    <w:rsid w:val="00A76CD2"/>
    <w:rsid w:val="00A776D0"/>
    <w:rsid w:val="00A776ED"/>
    <w:rsid w:val="00A80E50"/>
    <w:rsid w:val="00A8137F"/>
    <w:rsid w:val="00A83501"/>
    <w:rsid w:val="00A83663"/>
    <w:rsid w:val="00A83B0F"/>
    <w:rsid w:val="00A84216"/>
    <w:rsid w:val="00A8474C"/>
    <w:rsid w:val="00A876F1"/>
    <w:rsid w:val="00A87FBB"/>
    <w:rsid w:val="00A90BFA"/>
    <w:rsid w:val="00A90DA6"/>
    <w:rsid w:val="00A915CB"/>
    <w:rsid w:val="00A92510"/>
    <w:rsid w:val="00A9260F"/>
    <w:rsid w:val="00A92BF3"/>
    <w:rsid w:val="00A943C8"/>
    <w:rsid w:val="00A950A4"/>
    <w:rsid w:val="00A9520D"/>
    <w:rsid w:val="00A96220"/>
    <w:rsid w:val="00A9747D"/>
    <w:rsid w:val="00AA00A6"/>
    <w:rsid w:val="00AA19F0"/>
    <w:rsid w:val="00AA2013"/>
    <w:rsid w:val="00AA37B1"/>
    <w:rsid w:val="00AA618E"/>
    <w:rsid w:val="00AA6BA8"/>
    <w:rsid w:val="00AA7048"/>
    <w:rsid w:val="00AA7F5A"/>
    <w:rsid w:val="00AB2340"/>
    <w:rsid w:val="00AB5248"/>
    <w:rsid w:val="00AB5FE4"/>
    <w:rsid w:val="00AB659D"/>
    <w:rsid w:val="00AC229F"/>
    <w:rsid w:val="00AC3E23"/>
    <w:rsid w:val="00AC781B"/>
    <w:rsid w:val="00AD1FCB"/>
    <w:rsid w:val="00AD4784"/>
    <w:rsid w:val="00AD7671"/>
    <w:rsid w:val="00AE0250"/>
    <w:rsid w:val="00AE03D3"/>
    <w:rsid w:val="00AE0B9E"/>
    <w:rsid w:val="00AE4C35"/>
    <w:rsid w:val="00AE53E8"/>
    <w:rsid w:val="00AE6FE4"/>
    <w:rsid w:val="00AF1CC0"/>
    <w:rsid w:val="00AF2059"/>
    <w:rsid w:val="00AF3D84"/>
    <w:rsid w:val="00AF4161"/>
    <w:rsid w:val="00AF580B"/>
    <w:rsid w:val="00B007C8"/>
    <w:rsid w:val="00B100E6"/>
    <w:rsid w:val="00B13FC6"/>
    <w:rsid w:val="00B14410"/>
    <w:rsid w:val="00B14F03"/>
    <w:rsid w:val="00B15CAB"/>
    <w:rsid w:val="00B15E61"/>
    <w:rsid w:val="00B23FA2"/>
    <w:rsid w:val="00B24F35"/>
    <w:rsid w:val="00B30BE2"/>
    <w:rsid w:val="00B3214F"/>
    <w:rsid w:val="00B32C88"/>
    <w:rsid w:val="00B34747"/>
    <w:rsid w:val="00B373AE"/>
    <w:rsid w:val="00B37C43"/>
    <w:rsid w:val="00B404FE"/>
    <w:rsid w:val="00B42E49"/>
    <w:rsid w:val="00B50903"/>
    <w:rsid w:val="00B53A0A"/>
    <w:rsid w:val="00B62FFE"/>
    <w:rsid w:val="00B634FE"/>
    <w:rsid w:val="00B65013"/>
    <w:rsid w:val="00B70071"/>
    <w:rsid w:val="00B708C1"/>
    <w:rsid w:val="00B70A17"/>
    <w:rsid w:val="00B7123A"/>
    <w:rsid w:val="00B72555"/>
    <w:rsid w:val="00B74316"/>
    <w:rsid w:val="00B7435C"/>
    <w:rsid w:val="00B76259"/>
    <w:rsid w:val="00B76F38"/>
    <w:rsid w:val="00B80562"/>
    <w:rsid w:val="00B8085D"/>
    <w:rsid w:val="00B81EFF"/>
    <w:rsid w:val="00B82EA1"/>
    <w:rsid w:val="00B836BB"/>
    <w:rsid w:val="00B84122"/>
    <w:rsid w:val="00B862B0"/>
    <w:rsid w:val="00B9048C"/>
    <w:rsid w:val="00B90B0D"/>
    <w:rsid w:val="00B966E8"/>
    <w:rsid w:val="00BA0414"/>
    <w:rsid w:val="00BA2B7C"/>
    <w:rsid w:val="00BA5C95"/>
    <w:rsid w:val="00BA7373"/>
    <w:rsid w:val="00BB142A"/>
    <w:rsid w:val="00BB341C"/>
    <w:rsid w:val="00BB34B9"/>
    <w:rsid w:val="00BB35C2"/>
    <w:rsid w:val="00BB3636"/>
    <w:rsid w:val="00BB3819"/>
    <w:rsid w:val="00BB3E86"/>
    <w:rsid w:val="00BB553B"/>
    <w:rsid w:val="00BB7B29"/>
    <w:rsid w:val="00BB7DAE"/>
    <w:rsid w:val="00BC170E"/>
    <w:rsid w:val="00BC28D7"/>
    <w:rsid w:val="00BC3007"/>
    <w:rsid w:val="00BC376C"/>
    <w:rsid w:val="00BC6321"/>
    <w:rsid w:val="00BC7817"/>
    <w:rsid w:val="00BC7A00"/>
    <w:rsid w:val="00BD2551"/>
    <w:rsid w:val="00BD2F3A"/>
    <w:rsid w:val="00BD3819"/>
    <w:rsid w:val="00BD46E5"/>
    <w:rsid w:val="00BD642D"/>
    <w:rsid w:val="00BD6988"/>
    <w:rsid w:val="00BD6E66"/>
    <w:rsid w:val="00BE128C"/>
    <w:rsid w:val="00BE198C"/>
    <w:rsid w:val="00BE1A77"/>
    <w:rsid w:val="00BE4742"/>
    <w:rsid w:val="00BE6354"/>
    <w:rsid w:val="00BE7383"/>
    <w:rsid w:val="00BE754D"/>
    <w:rsid w:val="00BF1DB9"/>
    <w:rsid w:val="00BF5F47"/>
    <w:rsid w:val="00BF6D10"/>
    <w:rsid w:val="00BF6E79"/>
    <w:rsid w:val="00BF7947"/>
    <w:rsid w:val="00BF7FD3"/>
    <w:rsid w:val="00C036BE"/>
    <w:rsid w:val="00C03F6C"/>
    <w:rsid w:val="00C05C08"/>
    <w:rsid w:val="00C07460"/>
    <w:rsid w:val="00C10938"/>
    <w:rsid w:val="00C12108"/>
    <w:rsid w:val="00C121D9"/>
    <w:rsid w:val="00C13453"/>
    <w:rsid w:val="00C172D8"/>
    <w:rsid w:val="00C21C37"/>
    <w:rsid w:val="00C220F9"/>
    <w:rsid w:val="00C2541C"/>
    <w:rsid w:val="00C25E5C"/>
    <w:rsid w:val="00C26862"/>
    <w:rsid w:val="00C30458"/>
    <w:rsid w:val="00C31DA6"/>
    <w:rsid w:val="00C32607"/>
    <w:rsid w:val="00C33260"/>
    <w:rsid w:val="00C37A65"/>
    <w:rsid w:val="00C4113C"/>
    <w:rsid w:val="00C43AE9"/>
    <w:rsid w:val="00C4476A"/>
    <w:rsid w:val="00C4598F"/>
    <w:rsid w:val="00C50360"/>
    <w:rsid w:val="00C50D30"/>
    <w:rsid w:val="00C54E12"/>
    <w:rsid w:val="00C55468"/>
    <w:rsid w:val="00C56015"/>
    <w:rsid w:val="00C60C15"/>
    <w:rsid w:val="00C61613"/>
    <w:rsid w:val="00C622C3"/>
    <w:rsid w:val="00C63BD5"/>
    <w:rsid w:val="00C6626C"/>
    <w:rsid w:val="00C67037"/>
    <w:rsid w:val="00C676BF"/>
    <w:rsid w:val="00C6795A"/>
    <w:rsid w:val="00C74906"/>
    <w:rsid w:val="00C75C9D"/>
    <w:rsid w:val="00C7723D"/>
    <w:rsid w:val="00C80CCD"/>
    <w:rsid w:val="00C81B40"/>
    <w:rsid w:val="00C81FEA"/>
    <w:rsid w:val="00C828B9"/>
    <w:rsid w:val="00C83969"/>
    <w:rsid w:val="00C83E39"/>
    <w:rsid w:val="00C851BE"/>
    <w:rsid w:val="00C86C95"/>
    <w:rsid w:val="00C9010E"/>
    <w:rsid w:val="00C9041B"/>
    <w:rsid w:val="00C949CD"/>
    <w:rsid w:val="00C9781F"/>
    <w:rsid w:val="00C97CF4"/>
    <w:rsid w:val="00CA05EB"/>
    <w:rsid w:val="00CA3515"/>
    <w:rsid w:val="00CA3A05"/>
    <w:rsid w:val="00CA3EBD"/>
    <w:rsid w:val="00CA4C4B"/>
    <w:rsid w:val="00CA59B6"/>
    <w:rsid w:val="00CA5A46"/>
    <w:rsid w:val="00CA70C1"/>
    <w:rsid w:val="00CA765E"/>
    <w:rsid w:val="00CB14E9"/>
    <w:rsid w:val="00CB1899"/>
    <w:rsid w:val="00CB202D"/>
    <w:rsid w:val="00CB29F9"/>
    <w:rsid w:val="00CB3DAF"/>
    <w:rsid w:val="00CB6D90"/>
    <w:rsid w:val="00CB72C3"/>
    <w:rsid w:val="00CC2EA2"/>
    <w:rsid w:val="00CC45E4"/>
    <w:rsid w:val="00CC4E1B"/>
    <w:rsid w:val="00CC682C"/>
    <w:rsid w:val="00CD019F"/>
    <w:rsid w:val="00CD126C"/>
    <w:rsid w:val="00CD1B43"/>
    <w:rsid w:val="00CD25B3"/>
    <w:rsid w:val="00CD27C5"/>
    <w:rsid w:val="00CD35CE"/>
    <w:rsid w:val="00CD3F00"/>
    <w:rsid w:val="00CD6D79"/>
    <w:rsid w:val="00CE08EF"/>
    <w:rsid w:val="00CE0B8B"/>
    <w:rsid w:val="00CE3C97"/>
    <w:rsid w:val="00CE4169"/>
    <w:rsid w:val="00CE4867"/>
    <w:rsid w:val="00CE5046"/>
    <w:rsid w:val="00CE7894"/>
    <w:rsid w:val="00CF06A1"/>
    <w:rsid w:val="00CF1467"/>
    <w:rsid w:val="00CF48D6"/>
    <w:rsid w:val="00CF57D6"/>
    <w:rsid w:val="00CF6C1B"/>
    <w:rsid w:val="00CF7872"/>
    <w:rsid w:val="00D019D5"/>
    <w:rsid w:val="00D03E05"/>
    <w:rsid w:val="00D040FE"/>
    <w:rsid w:val="00D0574F"/>
    <w:rsid w:val="00D06064"/>
    <w:rsid w:val="00D063A8"/>
    <w:rsid w:val="00D11568"/>
    <w:rsid w:val="00D14182"/>
    <w:rsid w:val="00D14573"/>
    <w:rsid w:val="00D168FD"/>
    <w:rsid w:val="00D16F64"/>
    <w:rsid w:val="00D203ED"/>
    <w:rsid w:val="00D224E3"/>
    <w:rsid w:val="00D22B37"/>
    <w:rsid w:val="00D240DE"/>
    <w:rsid w:val="00D2472C"/>
    <w:rsid w:val="00D279BA"/>
    <w:rsid w:val="00D350D5"/>
    <w:rsid w:val="00D35BCD"/>
    <w:rsid w:val="00D37677"/>
    <w:rsid w:val="00D404B5"/>
    <w:rsid w:val="00D42B7C"/>
    <w:rsid w:val="00D447CB"/>
    <w:rsid w:val="00D45BA5"/>
    <w:rsid w:val="00D471A6"/>
    <w:rsid w:val="00D47A49"/>
    <w:rsid w:val="00D47D16"/>
    <w:rsid w:val="00D505F4"/>
    <w:rsid w:val="00D50B06"/>
    <w:rsid w:val="00D51C9B"/>
    <w:rsid w:val="00D51CE1"/>
    <w:rsid w:val="00D521AC"/>
    <w:rsid w:val="00D5282C"/>
    <w:rsid w:val="00D53414"/>
    <w:rsid w:val="00D55C83"/>
    <w:rsid w:val="00D562F2"/>
    <w:rsid w:val="00D56B33"/>
    <w:rsid w:val="00D614C9"/>
    <w:rsid w:val="00D61B93"/>
    <w:rsid w:val="00D6311C"/>
    <w:rsid w:val="00D641D8"/>
    <w:rsid w:val="00D67E4A"/>
    <w:rsid w:val="00D72165"/>
    <w:rsid w:val="00D7402E"/>
    <w:rsid w:val="00D75902"/>
    <w:rsid w:val="00D763FD"/>
    <w:rsid w:val="00D81576"/>
    <w:rsid w:val="00D85479"/>
    <w:rsid w:val="00D85A2E"/>
    <w:rsid w:val="00D90AD1"/>
    <w:rsid w:val="00D90F1F"/>
    <w:rsid w:val="00D941F7"/>
    <w:rsid w:val="00DA0676"/>
    <w:rsid w:val="00DA1826"/>
    <w:rsid w:val="00DA4DDF"/>
    <w:rsid w:val="00DB0804"/>
    <w:rsid w:val="00DB13A6"/>
    <w:rsid w:val="00DB18A9"/>
    <w:rsid w:val="00DB2C0A"/>
    <w:rsid w:val="00DB2FC4"/>
    <w:rsid w:val="00DB4254"/>
    <w:rsid w:val="00DB4E9A"/>
    <w:rsid w:val="00DB5023"/>
    <w:rsid w:val="00DB6D9A"/>
    <w:rsid w:val="00DC3233"/>
    <w:rsid w:val="00DC382A"/>
    <w:rsid w:val="00DC4163"/>
    <w:rsid w:val="00DC6AFE"/>
    <w:rsid w:val="00DD0086"/>
    <w:rsid w:val="00DD2147"/>
    <w:rsid w:val="00DD4A97"/>
    <w:rsid w:val="00DE1923"/>
    <w:rsid w:val="00DE2B33"/>
    <w:rsid w:val="00DE394C"/>
    <w:rsid w:val="00DE485E"/>
    <w:rsid w:val="00DE5361"/>
    <w:rsid w:val="00DE5A40"/>
    <w:rsid w:val="00DE638B"/>
    <w:rsid w:val="00DE72EE"/>
    <w:rsid w:val="00DE7A89"/>
    <w:rsid w:val="00DF1696"/>
    <w:rsid w:val="00DF1D7A"/>
    <w:rsid w:val="00DF37E5"/>
    <w:rsid w:val="00DF5077"/>
    <w:rsid w:val="00DF6535"/>
    <w:rsid w:val="00DF6874"/>
    <w:rsid w:val="00E034FE"/>
    <w:rsid w:val="00E041E5"/>
    <w:rsid w:val="00E04888"/>
    <w:rsid w:val="00E05E53"/>
    <w:rsid w:val="00E0763B"/>
    <w:rsid w:val="00E07C7D"/>
    <w:rsid w:val="00E10302"/>
    <w:rsid w:val="00E107DC"/>
    <w:rsid w:val="00E110B2"/>
    <w:rsid w:val="00E14BAA"/>
    <w:rsid w:val="00E166AE"/>
    <w:rsid w:val="00E17EC5"/>
    <w:rsid w:val="00E21CA3"/>
    <w:rsid w:val="00E2425F"/>
    <w:rsid w:val="00E24A50"/>
    <w:rsid w:val="00E25DA1"/>
    <w:rsid w:val="00E26BFD"/>
    <w:rsid w:val="00E27E90"/>
    <w:rsid w:val="00E3153B"/>
    <w:rsid w:val="00E32511"/>
    <w:rsid w:val="00E328A6"/>
    <w:rsid w:val="00E32B03"/>
    <w:rsid w:val="00E33D02"/>
    <w:rsid w:val="00E34F2C"/>
    <w:rsid w:val="00E35D79"/>
    <w:rsid w:val="00E42235"/>
    <w:rsid w:val="00E422B8"/>
    <w:rsid w:val="00E43667"/>
    <w:rsid w:val="00E43D07"/>
    <w:rsid w:val="00E45060"/>
    <w:rsid w:val="00E45DD4"/>
    <w:rsid w:val="00E4641E"/>
    <w:rsid w:val="00E5032F"/>
    <w:rsid w:val="00E519AE"/>
    <w:rsid w:val="00E57AF7"/>
    <w:rsid w:val="00E6029A"/>
    <w:rsid w:val="00E61AD5"/>
    <w:rsid w:val="00E6241B"/>
    <w:rsid w:val="00E648C2"/>
    <w:rsid w:val="00E64FA8"/>
    <w:rsid w:val="00E64FCC"/>
    <w:rsid w:val="00E703B6"/>
    <w:rsid w:val="00E70567"/>
    <w:rsid w:val="00E70E3E"/>
    <w:rsid w:val="00E713AF"/>
    <w:rsid w:val="00E72200"/>
    <w:rsid w:val="00E72B1B"/>
    <w:rsid w:val="00E73AE3"/>
    <w:rsid w:val="00E75D47"/>
    <w:rsid w:val="00E75E34"/>
    <w:rsid w:val="00E76013"/>
    <w:rsid w:val="00E763DA"/>
    <w:rsid w:val="00E766F5"/>
    <w:rsid w:val="00E772A2"/>
    <w:rsid w:val="00E77A05"/>
    <w:rsid w:val="00E77E9F"/>
    <w:rsid w:val="00E80520"/>
    <w:rsid w:val="00E81692"/>
    <w:rsid w:val="00E82948"/>
    <w:rsid w:val="00E8400F"/>
    <w:rsid w:val="00E8528A"/>
    <w:rsid w:val="00E8722B"/>
    <w:rsid w:val="00E90218"/>
    <w:rsid w:val="00E913BB"/>
    <w:rsid w:val="00E92DF1"/>
    <w:rsid w:val="00E9407F"/>
    <w:rsid w:val="00E95F2E"/>
    <w:rsid w:val="00EA038F"/>
    <w:rsid w:val="00EA1252"/>
    <w:rsid w:val="00EA1508"/>
    <w:rsid w:val="00EA1541"/>
    <w:rsid w:val="00EA32E4"/>
    <w:rsid w:val="00EA3C9C"/>
    <w:rsid w:val="00EA7E36"/>
    <w:rsid w:val="00EB0898"/>
    <w:rsid w:val="00EB627B"/>
    <w:rsid w:val="00EB6D94"/>
    <w:rsid w:val="00EC0DF0"/>
    <w:rsid w:val="00EC4183"/>
    <w:rsid w:val="00EC4D9C"/>
    <w:rsid w:val="00EC6468"/>
    <w:rsid w:val="00EC6708"/>
    <w:rsid w:val="00ED0F4A"/>
    <w:rsid w:val="00ED1FF9"/>
    <w:rsid w:val="00ED207C"/>
    <w:rsid w:val="00ED325A"/>
    <w:rsid w:val="00ED3F41"/>
    <w:rsid w:val="00ED5615"/>
    <w:rsid w:val="00ED692E"/>
    <w:rsid w:val="00ED69AF"/>
    <w:rsid w:val="00ED7EBD"/>
    <w:rsid w:val="00EE1847"/>
    <w:rsid w:val="00EE1FFD"/>
    <w:rsid w:val="00EE240E"/>
    <w:rsid w:val="00EE2CB6"/>
    <w:rsid w:val="00EE55E1"/>
    <w:rsid w:val="00EE5DCD"/>
    <w:rsid w:val="00EE688E"/>
    <w:rsid w:val="00EE6A6D"/>
    <w:rsid w:val="00EF03E2"/>
    <w:rsid w:val="00EF1EFD"/>
    <w:rsid w:val="00EF28B6"/>
    <w:rsid w:val="00EF511B"/>
    <w:rsid w:val="00EF5E29"/>
    <w:rsid w:val="00EF7F8B"/>
    <w:rsid w:val="00F01F76"/>
    <w:rsid w:val="00F03814"/>
    <w:rsid w:val="00F07A09"/>
    <w:rsid w:val="00F109B0"/>
    <w:rsid w:val="00F130F5"/>
    <w:rsid w:val="00F1390C"/>
    <w:rsid w:val="00F14A0B"/>
    <w:rsid w:val="00F14D98"/>
    <w:rsid w:val="00F17410"/>
    <w:rsid w:val="00F20C5E"/>
    <w:rsid w:val="00F242EE"/>
    <w:rsid w:val="00F26091"/>
    <w:rsid w:val="00F32020"/>
    <w:rsid w:val="00F35BA8"/>
    <w:rsid w:val="00F35FA2"/>
    <w:rsid w:val="00F36A1D"/>
    <w:rsid w:val="00F36ECE"/>
    <w:rsid w:val="00F40420"/>
    <w:rsid w:val="00F41534"/>
    <w:rsid w:val="00F42F09"/>
    <w:rsid w:val="00F44278"/>
    <w:rsid w:val="00F45642"/>
    <w:rsid w:val="00F5104C"/>
    <w:rsid w:val="00F51843"/>
    <w:rsid w:val="00F51B65"/>
    <w:rsid w:val="00F52AAB"/>
    <w:rsid w:val="00F52EB6"/>
    <w:rsid w:val="00F541E1"/>
    <w:rsid w:val="00F54EA2"/>
    <w:rsid w:val="00F55010"/>
    <w:rsid w:val="00F55260"/>
    <w:rsid w:val="00F56853"/>
    <w:rsid w:val="00F6316B"/>
    <w:rsid w:val="00F65AE0"/>
    <w:rsid w:val="00F73EDC"/>
    <w:rsid w:val="00F74E38"/>
    <w:rsid w:val="00F76A00"/>
    <w:rsid w:val="00F76B67"/>
    <w:rsid w:val="00F76D6F"/>
    <w:rsid w:val="00F77717"/>
    <w:rsid w:val="00F778B0"/>
    <w:rsid w:val="00F83A60"/>
    <w:rsid w:val="00F83BC2"/>
    <w:rsid w:val="00F8630D"/>
    <w:rsid w:val="00F8795D"/>
    <w:rsid w:val="00F92EC1"/>
    <w:rsid w:val="00F94C47"/>
    <w:rsid w:val="00FA0421"/>
    <w:rsid w:val="00FA152F"/>
    <w:rsid w:val="00FA3295"/>
    <w:rsid w:val="00FA3389"/>
    <w:rsid w:val="00FA3476"/>
    <w:rsid w:val="00FA495F"/>
    <w:rsid w:val="00FA5028"/>
    <w:rsid w:val="00FB0C10"/>
    <w:rsid w:val="00FB2CD2"/>
    <w:rsid w:val="00FB3C36"/>
    <w:rsid w:val="00FB4280"/>
    <w:rsid w:val="00FB7837"/>
    <w:rsid w:val="00FB7CCE"/>
    <w:rsid w:val="00FC01C8"/>
    <w:rsid w:val="00FC443D"/>
    <w:rsid w:val="00FC5027"/>
    <w:rsid w:val="00FC50C7"/>
    <w:rsid w:val="00FC511D"/>
    <w:rsid w:val="00FC68BC"/>
    <w:rsid w:val="00FC7605"/>
    <w:rsid w:val="00FD0FB4"/>
    <w:rsid w:val="00FD11D4"/>
    <w:rsid w:val="00FD225D"/>
    <w:rsid w:val="00FD2384"/>
    <w:rsid w:val="00FD298A"/>
    <w:rsid w:val="00FD2F9C"/>
    <w:rsid w:val="00FD3A2C"/>
    <w:rsid w:val="00FD44CE"/>
    <w:rsid w:val="00FD6288"/>
    <w:rsid w:val="00FE0152"/>
    <w:rsid w:val="00FE452E"/>
    <w:rsid w:val="00FF0898"/>
    <w:rsid w:val="00FF2BBB"/>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D0F706"/>
  <w15:docId w15:val="{E2C1130A-8EAA-4A62-9932-034769C7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C9781F"/>
    <w:pPr>
      <w:keepNext/>
      <w:tabs>
        <w:tab w:val="num" w:pos="864"/>
      </w:tabs>
      <w:spacing w:before="240" w:after="60"/>
      <w:ind w:left="864" w:hanging="864"/>
      <w:jc w:val="left"/>
      <w:outlineLvl w:val="3"/>
    </w:pPr>
    <w:rPr>
      <w:b/>
      <w:bCs/>
      <w:sz w:val="28"/>
      <w:szCs w:val="28"/>
      <w:lang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qFormat/>
    <w:rsid w:val="00C9781F"/>
    <w:pPr>
      <w:tabs>
        <w:tab w:val="num" w:pos="1152"/>
      </w:tabs>
      <w:spacing w:before="240" w:after="60"/>
      <w:ind w:left="1152" w:hanging="1152"/>
      <w:jc w:val="left"/>
      <w:outlineLvl w:val="5"/>
    </w:pPr>
    <w:rPr>
      <w:b/>
      <w:bCs/>
      <w:sz w:val="22"/>
      <w:szCs w:val="22"/>
      <w:lang w:eastAsia="es-ES"/>
    </w:rPr>
  </w:style>
  <w:style w:type="paragraph" w:styleId="Ttulo7">
    <w:name w:val="heading 7"/>
    <w:basedOn w:val="Normal"/>
    <w:next w:val="Normal"/>
    <w:link w:val="Ttulo7Car"/>
    <w:qFormat/>
    <w:rsid w:val="00C9781F"/>
    <w:pPr>
      <w:keepNext/>
      <w:spacing w:after="0"/>
      <w:ind w:firstLine="0"/>
      <w:jc w:val="center"/>
      <w:outlineLvl w:val="6"/>
    </w:pPr>
    <w:rPr>
      <w:sz w:val="52"/>
      <w:lang w:eastAsia="es-ES"/>
    </w:rPr>
  </w:style>
  <w:style w:type="paragraph" w:styleId="Ttulo8">
    <w:name w:val="heading 8"/>
    <w:basedOn w:val="Normal"/>
    <w:next w:val="Normal"/>
    <w:link w:val="Ttulo8Car"/>
    <w:qFormat/>
    <w:rsid w:val="00C9781F"/>
    <w:pPr>
      <w:tabs>
        <w:tab w:val="num" w:pos="1440"/>
      </w:tabs>
      <w:spacing w:before="240" w:after="60"/>
      <w:ind w:left="1440" w:hanging="1440"/>
      <w:jc w:val="left"/>
      <w:outlineLvl w:val="7"/>
    </w:pPr>
    <w:rPr>
      <w:i/>
      <w:iCs/>
      <w:sz w:val="24"/>
      <w:szCs w:val="24"/>
      <w:lang w:eastAsia="es-ES"/>
    </w:rPr>
  </w:style>
  <w:style w:type="paragraph" w:styleId="Ttulo9">
    <w:name w:val="heading 9"/>
    <w:basedOn w:val="Normal"/>
    <w:next w:val="Normal"/>
    <w:link w:val="Ttulo9Car"/>
    <w:qFormat/>
    <w:rsid w:val="00C9781F"/>
    <w:pPr>
      <w:tabs>
        <w:tab w:val="num" w:pos="1584"/>
      </w:tabs>
      <w:spacing w:before="240" w:after="60"/>
      <w:ind w:left="1584" w:hanging="1584"/>
      <w:jc w:val="left"/>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1"/>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C9781F"/>
    <w:rPr>
      <w:b/>
      <w:bCs/>
      <w:sz w:val="28"/>
      <w:szCs w:val="28"/>
    </w:rPr>
  </w:style>
  <w:style w:type="character" w:customStyle="1" w:styleId="Ttulo6Car">
    <w:name w:val="Título 6 Car"/>
    <w:basedOn w:val="Fuentedeprrafopredeter"/>
    <w:link w:val="Ttulo6"/>
    <w:rsid w:val="00C9781F"/>
    <w:rPr>
      <w:b/>
      <w:bCs/>
      <w:sz w:val="22"/>
      <w:szCs w:val="22"/>
    </w:rPr>
  </w:style>
  <w:style w:type="character" w:customStyle="1" w:styleId="Ttulo7Car">
    <w:name w:val="Título 7 Car"/>
    <w:basedOn w:val="Fuentedeprrafopredeter"/>
    <w:link w:val="Ttulo7"/>
    <w:rsid w:val="00C9781F"/>
    <w:rPr>
      <w:sz w:val="52"/>
    </w:rPr>
  </w:style>
  <w:style w:type="character" w:customStyle="1" w:styleId="Ttulo8Car">
    <w:name w:val="Título 8 Car"/>
    <w:basedOn w:val="Fuentedeprrafopredeter"/>
    <w:link w:val="Ttulo8"/>
    <w:rsid w:val="00C9781F"/>
    <w:rPr>
      <w:i/>
      <w:iCs/>
      <w:sz w:val="24"/>
      <w:szCs w:val="24"/>
    </w:rPr>
  </w:style>
  <w:style w:type="character" w:customStyle="1" w:styleId="Ttulo9Car">
    <w:name w:val="Título 9 Car"/>
    <w:basedOn w:val="Fuentedeprrafopredeter"/>
    <w:link w:val="Ttulo9"/>
    <w:rsid w:val="00C9781F"/>
    <w:rPr>
      <w:rFonts w:ascii="Arial" w:hAnsi="Arial" w:cs="Arial"/>
      <w:sz w:val="22"/>
      <w:szCs w:val="22"/>
    </w:rPr>
  </w:style>
  <w:style w:type="character" w:customStyle="1" w:styleId="atitulo1Car">
    <w:name w:val="atitulo1 Car"/>
    <w:basedOn w:val="Fuentedeprrafopredeter"/>
    <w:link w:val="atitulo1"/>
    <w:locked/>
    <w:rsid w:val="00C9781F"/>
    <w:rPr>
      <w:rFonts w:ascii="Arial" w:hAnsi="Arial"/>
      <w:b/>
      <w:color w:val="000000"/>
      <w:kern w:val="28"/>
      <w:sz w:val="25"/>
      <w:szCs w:val="26"/>
      <w:lang w:val="eu-ES" w:eastAsia="en-US"/>
    </w:rPr>
  </w:style>
  <w:style w:type="paragraph" w:styleId="Textonotapie">
    <w:name w:val="footnote text"/>
    <w:basedOn w:val="Normal"/>
    <w:link w:val="TextonotapieCar"/>
    <w:unhideWhenUsed/>
    <w:rsid w:val="00C9781F"/>
    <w:pPr>
      <w:spacing w:after="0"/>
    </w:pPr>
  </w:style>
  <w:style w:type="character" w:customStyle="1" w:styleId="TextonotapieCar">
    <w:name w:val="Texto nota pie Car"/>
    <w:basedOn w:val="Fuentedeprrafopredeter"/>
    <w:link w:val="Textonotapie"/>
    <w:rsid w:val="00C9781F"/>
    <w:rPr>
      <w:lang w:val="eu-ES" w:eastAsia="en-US"/>
    </w:rPr>
  </w:style>
  <w:style w:type="character" w:styleId="Refdenotaalpie">
    <w:name w:val="footnote reference"/>
    <w:basedOn w:val="Fuentedeprrafopredeter"/>
    <w:unhideWhenUsed/>
    <w:rsid w:val="00C9781F"/>
    <w:rPr>
      <w:vertAlign w:val="superscript"/>
    </w:rPr>
  </w:style>
  <w:style w:type="paragraph" w:styleId="NormalWeb">
    <w:name w:val="Normal (Web)"/>
    <w:basedOn w:val="Normal"/>
    <w:uiPriority w:val="99"/>
    <w:unhideWhenUsed/>
    <w:rsid w:val="00C9781F"/>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C9781F"/>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C9781F"/>
    <w:pPr>
      <w:ind w:left="720"/>
      <w:contextualSpacing/>
    </w:pPr>
  </w:style>
  <w:style w:type="character" w:customStyle="1" w:styleId="Ttulo1Car">
    <w:name w:val="Título 1 Car"/>
    <w:link w:val="Ttulo1"/>
    <w:locked/>
    <w:rsid w:val="00C9781F"/>
    <w:rPr>
      <w:rFonts w:ascii="Arial" w:hAnsi="Arial" w:cs="Arial"/>
      <w:b/>
      <w:bCs/>
      <w:kern w:val="32"/>
      <w:sz w:val="32"/>
      <w:szCs w:val="32"/>
      <w:lang w:val="eu-ES" w:eastAsia="en-US"/>
    </w:rPr>
  </w:style>
  <w:style w:type="character" w:customStyle="1" w:styleId="Ttulo2Car">
    <w:name w:val="Título 2 Car"/>
    <w:link w:val="Ttulo2"/>
    <w:locked/>
    <w:rsid w:val="00C9781F"/>
    <w:rPr>
      <w:rFonts w:ascii="Arial" w:hAnsi="Arial" w:cs="Arial"/>
      <w:b/>
      <w:bCs/>
      <w:i/>
      <w:iCs/>
      <w:sz w:val="28"/>
      <w:szCs w:val="28"/>
      <w:lang w:val="eu-ES" w:eastAsia="en-US"/>
    </w:rPr>
  </w:style>
  <w:style w:type="character" w:customStyle="1" w:styleId="Ttulo3Car">
    <w:name w:val="Título 3 Car"/>
    <w:link w:val="Ttulo3"/>
    <w:locked/>
    <w:rsid w:val="00C9781F"/>
    <w:rPr>
      <w:rFonts w:ascii="Arial" w:hAnsi="Arial" w:cs="Arial"/>
      <w:b/>
      <w:bCs/>
      <w:szCs w:val="26"/>
      <w:lang w:val="eu-ES" w:eastAsia="en-US"/>
    </w:rPr>
  </w:style>
  <w:style w:type="character" w:customStyle="1" w:styleId="Ttulo5Car">
    <w:name w:val="Título 5 Car"/>
    <w:link w:val="Ttulo5"/>
    <w:locked/>
    <w:rsid w:val="00C9781F"/>
    <w:rPr>
      <w:b/>
      <w:sz w:val="28"/>
      <w:lang w:eastAsia="en-US"/>
    </w:rPr>
  </w:style>
  <w:style w:type="character" w:customStyle="1" w:styleId="TextodegloboCar">
    <w:name w:val="Texto de globo Car"/>
    <w:link w:val="Textodeglobo"/>
    <w:semiHidden/>
    <w:locked/>
    <w:rsid w:val="00C9781F"/>
    <w:rPr>
      <w:rFonts w:ascii="Tahoma" w:hAnsi="Tahoma" w:cs="Tahoma"/>
      <w:sz w:val="16"/>
      <w:szCs w:val="16"/>
      <w:lang w:val="eu-ES" w:eastAsia="en-US"/>
    </w:rPr>
  </w:style>
  <w:style w:type="character" w:customStyle="1" w:styleId="EncabezadoCar">
    <w:name w:val="Encabezado Car"/>
    <w:link w:val="Encabezado"/>
    <w:locked/>
    <w:rsid w:val="00C9781F"/>
    <w:rPr>
      <w:bCs/>
      <w:caps/>
      <w:sz w:val="14"/>
      <w:szCs w:val="12"/>
      <w:lang w:val="eu-ES" w:eastAsia="en-US"/>
    </w:rPr>
  </w:style>
  <w:style w:type="character" w:customStyle="1" w:styleId="PiedepginaCar">
    <w:name w:val="Pie de página Car"/>
    <w:link w:val="Piedepgina"/>
    <w:uiPriority w:val="99"/>
    <w:locked/>
    <w:rsid w:val="00C9781F"/>
    <w:rPr>
      <w:spacing w:val="6"/>
      <w:lang w:val="eu-ES" w:eastAsia="en-US"/>
    </w:rPr>
  </w:style>
  <w:style w:type="paragraph" w:customStyle="1" w:styleId="cuatitul">
    <w:name w:val="cuatitul"/>
    <w:basedOn w:val="Normal"/>
    <w:rsid w:val="00C9781F"/>
    <w:pPr>
      <w:spacing w:after="60"/>
      <w:ind w:firstLine="0"/>
      <w:jc w:val="center"/>
    </w:pPr>
    <w:rPr>
      <w:rFonts w:ascii="GillSans" w:eastAsia="Calibri" w:hAnsi="GillSans"/>
      <w:sz w:val="22"/>
      <w:lang w:eastAsia="es-ES"/>
    </w:rPr>
  </w:style>
  <w:style w:type="paragraph" w:customStyle="1" w:styleId="TablaCC">
    <w:name w:val="TablaCC"/>
    <w:basedOn w:val="Normal"/>
    <w:rsid w:val="00C9781F"/>
    <w:pPr>
      <w:spacing w:before="200" w:after="0"/>
      <w:ind w:firstLine="0"/>
      <w:jc w:val="left"/>
    </w:pPr>
    <w:rPr>
      <w:rFonts w:ascii="Arial" w:eastAsia="Calibri" w:hAnsi="Arial"/>
      <w:b/>
      <w:sz w:val="24"/>
      <w:szCs w:val="24"/>
    </w:rPr>
  </w:style>
  <w:style w:type="paragraph" w:customStyle="1" w:styleId="xl25">
    <w:name w:val="xl25"/>
    <w:basedOn w:val="Normal"/>
    <w:rsid w:val="00C9781F"/>
    <w:pPr>
      <w:pBdr>
        <w:left w:val="double" w:sz="6" w:space="0" w:color="auto"/>
      </w:pBdr>
      <w:spacing w:before="100" w:beforeAutospacing="1" w:after="100" w:afterAutospacing="1"/>
      <w:ind w:firstLine="0"/>
      <w:jc w:val="left"/>
      <w:textAlignment w:val="top"/>
    </w:pPr>
    <w:rPr>
      <w:rFonts w:eastAsia="Arial Unicode MS"/>
      <w:sz w:val="24"/>
      <w:szCs w:val="24"/>
      <w:lang w:eastAsia="es-ES"/>
    </w:rPr>
  </w:style>
  <w:style w:type="paragraph" w:styleId="Textoindependiente">
    <w:name w:val="Body Text"/>
    <w:basedOn w:val="Normal"/>
    <w:link w:val="TextoindependienteCar"/>
    <w:rsid w:val="00C9781F"/>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C9781F"/>
    <w:rPr>
      <w:rFonts w:ascii="Arial" w:eastAsia="Calibri" w:hAnsi="Arial"/>
      <w:sz w:val="24"/>
      <w:lang w:val="eu-ES"/>
    </w:rPr>
  </w:style>
  <w:style w:type="character" w:customStyle="1" w:styleId="AyuntamientoCar">
    <w:name w:val="Ayuntamiento Car"/>
    <w:link w:val="Ayuntamiento"/>
    <w:locked/>
    <w:rsid w:val="00C9781F"/>
    <w:rPr>
      <w:rFonts w:ascii="Arial" w:hAnsi="Arial"/>
      <w:sz w:val="24"/>
      <w:lang w:val="eu-ES"/>
    </w:rPr>
  </w:style>
  <w:style w:type="paragraph" w:customStyle="1" w:styleId="Ayuntamiento">
    <w:name w:val="Ayuntamiento"/>
    <w:basedOn w:val="Normal"/>
    <w:link w:val="AyuntamientoCar"/>
    <w:rsid w:val="00C9781F"/>
    <w:pPr>
      <w:spacing w:after="0"/>
      <w:ind w:firstLine="0"/>
    </w:pPr>
    <w:rPr>
      <w:rFonts w:ascii="Arial" w:hAnsi="Arial"/>
      <w:sz w:val="24"/>
      <w:lang w:eastAsia="es-ES"/>
    </w:rPr>
  </w:style>
  <w:style w:type="character" w:customStyle="1" w:styleId="JavierCar">
    <w:name w:val="Javier Car"/>
    <w:link w:val="Javier"/>
    <w:locked/>
    <w:rsid w:val="00C9781F"/>
    <w:rPr>
      <w:rFonts w:ascii="Arial" w:hAnsi="Arial"/>
      <w:sz w:val="24"/>
      <w:lang w:val="eu-ES"/>
    </w:rPr>
  </w:style>
  <w:style w:type="paragraph" w:customStyle="1" w:styleId="Javier">
    <w:name w:val="Javier"/>
    <w:basedOn w:val="Normal"/>
    <w:link w:val="JavierCar"/>
    <w:rsid w:val="00C9781F"/>
    <w:pPr>
      <w:spacing w:after="0"/>
      <w:ind w:firstLine="0"/>
    </w:pPr>
    <w:rPr>
      <w:rFonts w:ascii="Arial" w:hAnsi="Arial"/>
      <w:sz w:val="24"/>
      <w:lang w:eastAsia="es-ES"/>
    </w:rPr>
  </w:style>
  <w:style w:type="character" w:styleId="Textoennegrita">
    <w:name w:val="Strong"/>
    <w:qFormat/>
    <w:rsid w:val="00C9781F"/>
    <w:rPr>
      <w:b/>
    </w:rPr>
  </w:style>
  <w:style w:type="paragraph" w:customStyle="1" w:styleId="foral-f-parrafo-c">
    <w:name w:val="foral-f-parrafo-c"/>
    <w:basedOn w:val="Normal"/>
    <w:rsid w:val="00C9781F"/>
    <w:pPr>
      <w:spacing w:after="240"/>
      <w:ind w:firstLine="0"/>
      <w:jc w:val="left"/>
    </w:pPr>
    <w:rPr>
      <w:rFonts w:eastAsia="Calibri"/>
      <w:sz w:val="24"/>
      <w:szCs w:val="24"/>
      <w:lang w:eastAsia="es-ES"/>
    </w:rPr>
  </w:style>
  <w:style w:type="paragraph" w:customStyle="1" w:styleId="Estndar">
    <w:name w:val="Estándar"/>
    <w:rsid w:val="00C9781F"/>
    <w:pPr>
      <w:snapToGrid w:val="0"/>
    </w:pPr>
    <w:rPr>
      <w:rFonts w:ascii="CG Omega" w:hAnsi="CG Omega"/>
      <w:color w:val="000000"/>
      <w:sz w:val="22"/>
    </w:rPr>
  </w:style>
  <w:style w:type="paragraph" w:styleId="Textoindependiente2">
    <w:name w:val="Body Text 2"/>
    <w:basedOn w:val="Normal"/>
    <w:link w:val="Textoindependiente2Car"/>
    <w:rsid w:val="00C9781F"/>
    <w:pPr>
      <w:spacing w:after="120" w:line="480" w:lineRule="auto"/>
    </w:pPr>
    <w:rPr>
      <w:rFonts w:eastAsia="Calibri"/>
    </w:rPr>
  </w:style>
  <w:style w:type="character" w:customStyle="1" w:styleId="Textoindependiente2Car">
    <w:name w:val="Texto independiente 2 Car"/>
    <w:basedOn w:val="Fuentedeprrafopredeter"/>
    <w:link w:val="Textoindependiente2"/>
    <w:rsid w:val="00C9781F"/>
    <w:rPr>
      <w:rFonts w:eastAsia="Calibri"/>
      <w:lang w:val="eu-ES" w:eastAsia="en-US"/>
    </w:rPr>
  </w:style>
  <w:style w:type="paragraph" w:styleId="Textoindependiente3">
    <w:name w:val="Body Text 3"/>
    <w:basedOn w:val="Normal"/>
    <w:link w:val="Textoindependiente3Car"/>
    <w:rsid w:val="00C9781F"/>
    <w:pPr>
      <w:spacing w:after="0"/>
      <w:ind w:firstLine="0"/>
      <w:jc w:val="center"/>
    </w:pPr>
    <w:rPr>
      <w:rFonts w:ascii="ITCCentury Book" w:hAnsi="ITCCentury Book"/>
      <w:b/>
      <w:sz w:val="96"/>
      <w:lang w:eastAsia="es-ES"/>
    </w:rPr>
  </w:style>
  <w:style w:type="character" w:customStyle="1" w:styleId="Textoindependiente3Car">
    <w:name w:val="Texto independiente 3 Car"/>
    <w:basedOn w:val="Fuentedeprrafopredeter"/>
    <w:link w:val="Textoindependiente3"/>
    <w:rsid w:val="00C9781F"/>
    <w:rPr>
      <w:rFonts w:ascii="ITCCentury Book" w:hAnsi="ITCCentury Book"/>
      <w:b/>
      <w:sz w:val="96"/>
    </w:rPr>
  </w:style>
  <w:style w:type="paragraph" w:customStyle="1" w:styleId="c22">
    <w:name w:val="c22"/>
    <w:basedOn w:val="Normal"/>
    <w:rsid w:val="00C9781F"/>
    <w:pPr>
      <w:spacing w:before="100" w:beforeAutospacing="1" w:after="100" w:afterAutospacing="1"/>
      <w:ind w:firstLine="0"/>
      <w:jc w:val="left"/>
    </w:pPr>
    <w:rPr>
      <w:sz w:val="24"/>
      <w:szCs w:val="24"/>
      <w:lang w:eastAsia="es-ES"/>
    </w:rPr>
  </w:style>
  <w:style w:type="paragraph" w:customStyle="1" w:styleId="np">
    <w:name w:val="np"/>
    <w:basedOn w:val="Normal"/>
    <w:rsid w:val="00C9781F"/>
    <w:pPr>
      <w:spacing w:before="100" w:beforeAutospacing="1" w:after="100" w:afterAutospacing="1"/>
      <w:ind w:firstLine="0"/>
      <w:jc w:val="left"/>
    </w:pPr>
    <w:rPr>
      <w:sz w:val="24"/>
      <w:szCs w:val="24"/>
      <w:lang w:eastAsia="es-ES"/>
    </w:rPr>
  </w:style>
  <w:style w:type="paragraph" w:customStyle="1" w:styleId="Default">
    <w:name w:val="Default"/>
    <w:rsid w:val="00C9781F"/>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C9781F"/>
    <w:pPr>
      <w:overflowPunct w:val="0"/>
      <w:adjustRightInd w:val="0"/>
      <w:spacing w:before="240" w:after="0"/>
      <w:ind w:firstLine="0"/>
    </w:pPr>
    <w:rPr>
      <w:sz w:val="22"/>
      <w:lang w:eastAsia="es-ES"/>
    </w:rPr>
  </w:style>
  <w:style w:type="paragraph" w:customStyle="1" w:styleId="xa1">
    <w:name w:val="xa1"/>
    <w:basedOn w:val="Normal"/>
    <w:uiPriority w:val="99"/>
    <w:rsid w:val="00C9781F"/>
    <w:pPr>
      <w:spacing w:before="100" w:beforeAutospacing="1" w:after="100" w:afterAutospacing="1"/>
      <w:ind w:firstLine="0"/>
      <w:jc w:val="left"/>
    </w:pPr>
    <w:rPr>
      <w:rFonts w:eastAsia="Calibri"/>
      <w:sz w:val="24"/>
      <w:szCs w:val="24"/>
      <w:lang w:eastAsia="es-ES"/>
    </w:rPr>
  </w:style>
  <w:style w:type="paragraph" w:customStyle="1" w:styleId="xl2">
    <w:name w:val="xl2"/>
    <w:basedOn w:val="Normal"/>
    <w:rsid w:val="00C9781F"/>
    <w:pPr>
      <w:spacing w:before="100" w:beforeAutospacing="1" w:after="100" w:afterAutospacing="1"/>
      <w:ind w:firstLine="0"/>
      <w:jc w:val="left"/>
    </w:pPr>
    <w:rPr>
      <w:sz w:val="24"/>
      <w:szCs w:val="24"/>
      <w:lang w:eastAsia="es-ES"/>
    </w:rPr>
  </w:style>
  <w:style w:type="character" w:customStyle="1" w:styleId="apple-converted-space">
    <w:name w:val="apple-converted-space"/>
    <w:rsid w:val="00C9781F"/>
  </w:style>
  <w:style w:type="paragraph" w:customStyle="1" w:styleId="pie">
    <w:name w:val="pie"/>
    <w:basedOn w:val="Normal"/>
    <w:rsid w:val="00C9781F"/>
    <w:pPr>
      <w:spacing w:before="100" w:beforeAutospacing="1" w:after="100" w:afterAutospacing="1"/>
      <w:ind w:firstLine="0"/>
      <w:jc w:val="left"/>
    </w:pPr>
    <w:rPr>
      <w:sz w:val="24"/>
      <w:szCs w:val="24"/>
      <w:lang w:eastAsia="es-ES"/>
    </w:rPr>
  </w:style>
  <w:style w:type="character" w:customStyle="1" w:styleId="hvr">
    <w:name w:val="hvr"/>
    <w:basedOn w:val="Fuentedeprrafopredeter"/>
    <w:rsid w:val="00C9781F"/>
  </w:style>
  <w:style w:type="character" w:customStyle="1" w:styleId="spelle">
    <w:name w:val="spelle"/>
    <w:rsid w:val="00C9781F"/>
  </w:style>
  <w:style w:type="character" w:customStyle="1" w:styleId="grame">
    <w:name w:val="grame"/>
    <w:rsid w:val="00C9781F"/>
  </w:style>
  <w:style w:type="paragraph" w:customStyle="1" w:styleId="Informal2">
    <w:name w:val="Informal2"/>
    <w:basedOn w:val="Normal"/>
    <w:rsid w:val="00C9781F"/>
    <w:pPr>
      <w:spacing w:before="60" w:after="60"/>
      <w:ind w:firstLine="0"/>
      <w:jc w:val="left"/>
    </w:pPr>
    <w:rPr>
      <w:rFonts w:ascii="Arial" w:hAnsi="Arial"/>
      <w:b/>
      <w:lang w:eastAsia="es-ES"/>
    </w:rPr>
  </w:style>
  <w:style w:type="paragraph" w:customStyle="1" w:styleId="xdef">
    <w:name w:val="xdef"/>
    <w:basedOn w:val="Normal"/>
    <w:rsid w:val="00C9781F"/>
    <w:pPr>
      <w:spacing w:before="100" w:beforeAutospacing="1" w:after="100" w:afterAutospacing="1"/>
      <w:ind w:firstLine="0"/>
      <w:jc w:val="left"/>
    </w:pPr>
    <w:rPr>
      <w:sz w:val="24"/>
      <w:szCs w:val="24"/>
      <w:lang w:eastAsia="es-ES"/>
    </w:rPr>
  </w:style>
  <w:style w:type="table" w:customStyle="1" w:styleId="Tablaconcuadrcula1">
    <w:name w:val="Tabla con cuadrícula1"/>
    <w:basedOn w:val="Tablanormal"/>
    <w:next w:val="Tablaconcuadrcula"/>
    <w:rsid w:val="00C978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C9781F"/>
    <w:pPr>
      <w:spacing w:before="100" w:beforeAutospacing="1" w:after="100" w:afterAutospacing="1"/>
      <w:ind w:firstLine="0"/>
      <w:jc w:val="left"/>
    </w:pPr>
    <w:rPr>
      <w:sz w:val="24"/>
      <w:szCs w:val="24"/>
      <w:lang w:eastAsia="es-ES"/>
    </w:rPr>
  </w:style>
  <w:style w:type="paragraph" w:styleId="Textonotaalfinal">
    <w:name w:val="endnote text"/>
    <w:basedOn w:val="Normal"/>
    <w:link w:val="TextonotaalfinalCar"/>
    <w:rsid w:val="00B53A0A"/>
    <w:pPr>
      <w:spacing w:after="0"/>
    </w:pPr>
  </w:style>
  <w:style w:type="character" w:customStyle="1" w:styleId="TextonotaalfinalCar">
    <w:name w:val="Texto nota al final Car"/>
    <w:basedOn w:val="Fuentedeprrafopredeter"/>
    <w:link w:val="Textonotaalfinal"/>
    <w:rsid w:val="00B53A0A"/>
    <w:rPr>
      <w:lang w:val="eu-ES" w:eastAsia="en-US"/>
    </w:rPr>
  </w:style>
  <w:style w:type="character" w:styleId="Refdenotaalfinal">
    <w:name w:val="endnote reference"/>
    <w:basedOn w:val="Fuentedeprrafopredeter"/>
    <w:rsid w:val="00B53A0A"/>
    <w:rPr>
      <w:vertAlign w:val="superscript"/>
    </w:rPr>
  </w:style>
  <w:style w:type="character" w:styleId="Hipervnculovisitado">
    <w:name w:val="FollowedHyperlink"/>
    <w:basedOn w:val="Fuentedeprrafopredeter"/>
    <w:uiPriority w:val="99"/>
    <w:unhideWhenUsed/>
    <w:rsid w:val="002422F8"/>
    <w:rPr>
      <w:color w:val="800080"/>
      <w:u w:val="single"/>
    </w:rPr>
  </w:style>
  <w:style w:type="paragraph" w:customStyle="1" w:styleId="xl66">
    <w:name w:val="xl66"/>
    <w:basedOn w:val="Normal"/>
    <w:rsid w:val="002422F8"/>
    <w:pPr>
      <w:spacing w:before="100" w:beforeAutospacing="1" w:after="100" w:afterAutospacing="1"/>
      <w:ind w:firstLine="0"/>
      <w:jc w:val="left"/>
    </w:pPr>
    <w:rPr>
      <w:lang w:eastAsia="es-ES"/>
    </w:rPr>
  </w:style>
  <w:style w:type="paragraph" w:customStyle="1" w:styleId="xl67">
    <w:name w:val="xl67"/>
    <w:basedOn w:val="Normal"/>
    <w:rsid w:val="002422F8"/>
    <w:pPr>
      <w:shd w:val="clear" w:color="000000" w:fill="F2F2F2"/>
      <w:spacing w:before="100" w:beforeAutospacing="1" w:after="100" w:afterAutospacing="1"/>
      <w:ind w:firstLine="0"/>
      <w:jc w:val="left"/>
    </w:pPr>
    <w:rPr>
      <w:lang w:eastAsia="es-ES"/>
    </w:rPr>
  </w:style>
  <w:style w:type="paragraph" w:customStyle="1" w:styleId="xl68">
    <w:name w:val="xl68"/>
    <w:basedOn w:val="Normal"/>
    <w:rsid w:val="002422F8"/>
    <w:pPr>
      <w:shd w:val="clear" w:color="000000" w:fill="F2F2F2"/>
      <w:spacing w:before="100" w:beforeAutospacing="1" w:after="100" w:afterAutospacing="1"/>
      <w:ind w:firstLine="0"/>
      <w:jc w:val="left"/>
    </w:pPr>
    <w:rPr>
      <w:sz w:val="36"/>
      <w:szCs w:val="36"/>
      <w:lang w:eastAsia="es-ES"/>
    </w:rPr>
  </w:style>
  <w:style w:type="paragraph" w:customStyle="1" w:styleId="xl69">
    <w:name w:val="xl69"/>
    <w:basedOn w:val="Normal"/>
    <w:rsid w:val="002422F8"/>
    <w:pPr>
      <w:shd w:val="clear" w:color="000000" w:fill="EBF1DE"/>
      <w:spacing w:before="100" w:beforeAutospacing="1" w:after="100" w:afterAutospacing="1"/>
      <w:ind w:firstLine="0"/>
      <w:jc w:val="left"/>
    </w:pPr>
    <w:rPr>
      <w:lang w:eastAsia="es-ES"/>
    </w:rPr>
  </w:style>
  <w:style w:type="paragraph" w:customStyle="1" w:styleId="xl70">
    <w:name w:val="xl70"/>
    <w:basedOn w:val="Normal"/>
    <w:rsid w:val="002422F8"/>
    <w:pPr>
      <w:shd w:val="clear" w:color="000000" w:fill="E4DFEC"/>
      <w:spacing w:before="100" w:beforeAutospacing="1" w:after="100" w:afterAutospacing="1"/>
      <w:ind w:firstLine="0"/>
      <w:jc w:val="left"/>
    </w:pPr>
    <w:rPr>
      <w:lang w:eastAsia="es-ES"/>
    </w:rPr>
  </w:style>
  <w:style w:type="paragraph" w:customStyle="1" w:styleId="xl71">
    <w:name w:val="xl71"/>
    <w:basedOn w:val="Normal"/>
    <w:rsid w:val="002422F8"/>
    <w:pPr>
      <w:shd w:val="clear" w:color="000000" w:fill="E4DFEC"/>
      <w:spacing w:before="100" w:beforeAutospacing="1" w:after="100" w:afterAutospacing="1"/>
      <w:ind w:firstLine="0"/>
      <w:jc w:val="left"/>
    </w:pPr>
    <w:rPr>
      <w:b/>
      <w:bCs/>
      <w:lang w:eastAsia="es-ES"/>
    </w:rPr>
  </w:style>
  <w:style w:type="paragraph" w:customStyle="1" w:styleId="xl72">
    <w:name w:val="xl72"/>
    <w:basedOn w:val="Normal"/>
    <w:rsid w:val="002422F8"/>
    <w:pPr>
      <w:shd w:val="clear" w:color="000000" w:fill="DAEEF3"/>
      <w:spacing w:before="100" w:beforeAutospacing="1" w:after="100" w:afterAutospacing="1"/>
      <w:ind w:firstLine="0"/>
      <w:jc w:val="left"/>
    </w:pPr>
    <w:rPr>
      <w:lang w:eastAsia="es-ES"/>
    </w:rPr>
  </w:style>
  <w:style w:type="paragraph" w:customStyle="1" w:styleId="xl73">
    <w:name w:val="xl73"/>
    <w:basedOn w:val="Normal"/>
    <w:rsid w:val="002422F8"/>
    <w:pPr>
      <w:shd w:val="clear" w:color="000000" w:fill="DAEEF3"/>
      <w:spacing w:before="100" w:beforeAutospacing="1" w:after="100" w:afterAutospacing="1"/>
      <w:ind w:firstLine="0"/>
      <w:jc w:val="center"/>
    </w:pPr>
    <w:rPr>
      <w:lang w:eastAsia="es-ES"/>
    </w:rPr>
  </w:style>
  <w:style w:type="paragraph" w:customStyle="1" w:styleId="xl74">
    <w:name w:val="xl74"/>
    <w:basedOn w:val="Normal"/>
    <w:rsid w:val="002422F8"/>
    <w:pPr>
      <w:shd w:val="clear" w:color="000000" w:fill="FDE9D9"/>
      <w:spacing w:before="100" w:beforeAutospacing="1" w:after="100" w:afterAutospacing="1"/>
      <w:ind w:firstLine="0"/>
      <w:jc w:val="left"/>
    </w:pPr>
    <w:rPr>
      <w:lang w:eastAsia="es-ES"/>
    </w:rPr>
  </w:style>
  <w:style w:type="paragraph" w:customStyle="1" w:styleId="xl75">
    <w:name w:val="xl75"/>
    <w:basedOn w:val="Normal"/>
    <w:rsid w:val="002422F8"/>
    <w:pPr>
      <w:shd w:val="clear" w:color="000000" w:fill="FDE9D9"/>
      <w:spacing w:before="100" w:beforeAutospacing="1" w:after="100" w:afterAutospacing="1"/>
      <w:ind w:firstLine="0"/>
      <w:jc w:val="left"/>
    </w:pPr>
    <w:rPr>
      <w:sz w:val="36"/>
      <w:szCs w:val="36"/>
      <w:lang w:eastAsia="es-ES"/>
    </w:rPr>
  </w:style>
  <w:style w:type="paragraph" w:styleId="Sinespaciado">
    <w:name w:val="No Spacing"/>
    <w:link w:val="SinespaciadoCar"/>
    <w:uiPriority w:val="1"/>
    <w:qFormat/>
    <w:rsid w:val="002422F8"/>
    <w:rPr>
      <w:rFonts w:ascii="EYInterstate Light" w:hAnsi="EYInterstate Light"/>
      <w:szCs w:val="24"/>
      <w:lang w:eastAsia="en-US"/>
    </w:rPr>
  </w:style>
  <w:style w:type="character" w:customStyle="1" w:styleId="SinespaciadoCar">
    <w:name w:val="Sin espaciado Car"/>
    <w:basedOn w:val="Fuentedeprrafopredeter"/>
    <w:link w:val="Sinespaciado"/>
    <w:uiPriority w:val="1"/>
    <w:rsid w:val="002422F8"/>
    <w:rPr>
      <w:rFonts w:ascii="EYInterstate Light" w:hAnsi="EYInterstate Light"/>
      <w:szCs w:val="24"/>
      <w:lang w:val="eu-ES" w:eastAsia="en-US"/>
    </w:rPr>
  </w:style>
  <w:style w:type="character" w:styleId="Refdecomentario">
    <w:name w:val="annotation reference"/>
    <w:basedOn w:val="Fuentedeprrafopredeter"/>
    <w:semiHidden/>
    <w:unhideWhenUsed/>
    <w:rsid w:val="002422F8"/>
    <w:rPr>
      <w:sz w:val="16"/>
      <w:szCs w:val="16"/>
    </w:rPr>
  </w:style>
  <w:style w:type="paragraph" w:styleId="Textocomentario">
    <w:name w:val="annotation text"/>
    <w:basedOn w:val="Normal"/>
    <w:link w:val="TextocomentarioCar"/>
    <w:unhideWhenUsed/>
    <w:rsid w:val="002422F8"/>
  </w:style>
  <w:style w:type="character" w:customStyle="1" w:styleId="TextocomentarioCar">
    <w:name w:val="Texto comentario Car"/>
    <w:basedOn w:val="Fuentedeprrafopredeter"/>
    <w:link w:val="Textocomentario"/>
    <w:rsid w:val="002422F8"/>
    <w:rPr>
      <w:lang w:val="eu-ES" w:eastAsia="en-US"/>
    </w:rPr>
  </w:style>
  <w:style w:type="paragraph" w:styleId="Asuntodelcomentario">
    <w:name w:val="annotation subject"/>
    <w:basedOn w:val="Textocomentario"/>
    <w:next w:val="Textocomentario"/>
    <w:link w:val="AsuntodelcomentarioCar"/>
    <w:semiHidden/>
    <w:unhideWhenUsed/>
    <w:rsid w:val="002422F8"/>
    <w:rPr>
      <w:b/>
      <w:bCs/>
    </w:rPr>
  </w:style>
  <w:style w:type="character" w:customStyle="1" w:styleId="AsuntodelcomentarioCar">
    <w:name w:val="Asunto del comentario Car"/>
    <w:basedOn w:val="TextocomentarioCar"/>
    <w:link w:val="Asuntodelcomentario"/>
    <w:semiHidden/>
    <w:rsid w:val="002422F8"/>
    <w:rPr>
      <w:b/>
      <w:bCs/>
      <w:lang w:val="eu-ES" w:eastAsia="en-US"/>
    </w:rPr>
  </w:style>
  <w:style w:type="paragraph" w:styleId="Revisin">
    <w:name w:val="Revision"/>
    <w:hidden/>
    <w:uiPriority w:val="99"/>
    <w:semiHidden/>
    <w:rsid w:val="002422F8"/>
    <w:rPr>
      <w:lang w:eastAsia="en-US"/>
    </w:rPr>
  </w:style>
  <w:style w:type="character" w:customStyle="1" w:styleId="jselectarea">
    <w:name w:val="jselectarea"/>
    <w:basedOn w:val="Fuentedeprrafopredeter"/>
    <w:rsid w:val="002422F8"/>
  </w:style>
  <w:style w:type="table" w:customStyle="1" w:styleId="TableNormal">
    <w:name w:val="Table Normal"/>
    <w:uiPriority w:val="59"/>
    <w:rsid w:val="001E0083"/>
    <w:pPr>
      <w:autoSpaceDE w:val="0"/>
      <w:autoSpaceDN w:val="0"/>
      <w:adjustRightInd w:val="0"/>
      <w:spacing w:line="276" w:lineRule="auto"/>
    </w:pPr>
    <w:rPr>
      <w:rFonts w:ascii="Verdana" w:hAnsi="Verdana"/>
      <w:color w:val="000000"/>
      <w:sz w:val="24"/>
      <w:szCs w:val="24"/>
      <w:u w:color="000000"/>
    </w:rPr>
    <w:tblPr>
      <w:tblCellMar>
        <w:top w:w="0" w:type="dxa"/>
        <w:left w:w="0" w:type="dxa"/>
        <w:bottom w:w="0" w:type="dxa"/>
        <w:right w:w="0" w:type="dxa"/>
      </w:tblCellMar>
    </w:tblPr>
  </w:style>
  <w:style w:type="character" w:customStyle="1" w:styleId="atitulo3Car">
    <w:name w:val="atitulo3 Car"/>
    <w:link w:val="atitulo3"/>
    <w:rsid w:val="00D51C9B"/>
    <w:rPr>
      <w:rFonts w:ascii="Arial" w:hAnsi="Arial"/>
      <w:i/>
      <w:iCs/>
      <w:color w:val="000000"/>
      <w:spacing w:val="10"/>
      <w:kern w:val="28"/>
      <w:sz w:val="25"/>
      <w:szCs w:val="26"/>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325">
      <w:bodyDiv w:val="1"/>
      <w:marLeft w:val="0"/>
      <w:marRight w:val="0"/>
      <w:marTop w:val="0"/>
      <w:marBottom w:val="0"/>
      <w:divBdr>
        <w:top w:val="none" w:sz="0" w:space="0" w:color="auto"/>
        <w:left w:val="none" w:sz="0" w:space="0" w:color="auto"/>
        <w:bottom w:val="none" w:sz="0" w:space="0" w:color="auto"/>
        <w:right w:val="none" w:sz="0" w:space="0" w:color="auto"/>
      </w:divBdr>
    </w:div>
    <w:div w:id="44184374">
      <w:bodyDiv w:val="1"/>
      <w:marLeft w:val="0"/>
      <w:marRight w:val="0"/>
      <w:marTop w:val="0"/>
      <w:marBottom w:val="0"/>
      <w:divBdr>
        <w:top w:val="none" w:sz="0" w:space="0" w:color="auto"/>
        <w:left w:val="none" w:sz="0" w:space="0" w:color="auto"/>
        <w:bottom w:val="none" w:sz="0" w:space="0" w:color="auto"/>
        <w:right w:val="none" w:sz="0" w:space="0" w:color="auto"/>
      </w:divBdr>
    </w:div>
    <w:div w:id="44833984">
      <w:bodyDiv w:val="1"/>
      <w:marLeft w:val="0"/>
      <w:marRight w:val="0"/>
      <w:marTop w:val="0"/>
      <w:marBottom w:val="0"/>
      <w:divBdr>
        <w:top w:val="none" w:sz="0" w:space="0" w:color="auto"/>
        <w:left w:val="none" w:sz="0" w:space="0" w:color="auto"/>
        <w:bottom w:val="none" w:sz="0" w:space="0" w:color="auto"/>
        <w:right w:val="none" w:sz="0" w:space="0" w:color="auto"/>
      </w:divBdr>
    </w:div>
    <w:div w:id="91896666">
      <w:bodyDiv w:val="1"/>
      <w:marLeft w:val="0"/>
      <w:marRight w:val="0"/>
      <w:marTop w:val="0"/>
      <w:marBottom w:val="0"/>
      <w:divBdr>
        <w:top w:val="none" w:sz="0" w:space="0" w:color="auto"/>
        <w:left w:val="none" w:sz="0" w:space="0" w:color="auto"/>
        <w:bottom w:val="none" w:sz="0" w:space="0" w:color="auto"/>
        <w:right w:val="none" w:sz="0" w:space="0" w:color="auto"/>
      </w:divBdr>
    </w:div>
    <w:div w:id="110130411">
      <w:bodyDiv w:val="1"/>
      <w:marLeft w:val="0"/>
      <w:marRight w:val="0"/>
      <w:marTop w:val="0"/>
      <w:marBottom w:val="0"/>
      <w:divBdr>
        <w:top w:val="none" w:sz="0" w:space="0" w:color="auto"/>
        <w:left w:val="none" w:sz="0" w:space="0" w:color="auto"/>
        <w:bottom w:val="none" w:sz="0" w:space="0" w:color="auto"/>
        <w:right w:val="none" w:sz="0" w:space="0" w:color="auto"/>
      </w:divBdr>
    </w:div>
    <w:div w:id="538249641">
      <w:bodyDiv w:val="1"/>
      <w:marLeft w:val="0"/>
      <w:marRight w:val="0"/>
      <w:marTop w:val="0"/>
      <w:marBottom w:val="0"/>
      <w:divBdr>
        <w:top w:val="none" w:sz="0" w:space="0" w:color="auto"/>
        <w:left w:val="none" w:sz="0" w:space="0" w:color="auto"/>
        <w:bottom w:val="none" w:sz="0" w:space="0" w:color="auto"/>
        <w:right w:val="none" w:sz="0" w:space="0" w:color="auto"/>
      </w:divBdr>
    </w:div>
    <w:div w:id="643781579">
      <w:bodyDiv w:val="1"/>
      <w:marLeft w:val="0"/>
      <w:marRight w:val="0"/>
      <w:marTop w:val="0"/>
      <w:marBottom w:val="0"/>
      <w:divBdr>
        <w:top w:val="none" w:sz="0" w:space="0" w:color="auto"/>
        <w:left w:val="none" w:sz="0" w:space="0" w:color="auto"/>
        <w:bottom w:val="none" w:sz="0" w:space="0" w:color="auto"/>
        <w:right w:val="none" w:sz="0" w:space="0" w:color="auto"/>
      </w:divBdr>
    </w:div>
    <w:div w:id="658582588">
      <w:bodyDiv w:val="1"/>
      <w:marLeft w:val="0"/>
      <w:marRight w:val="0"/>
      <w:marTop w:val="0"/>
      <w:marBottom w:val="0"/>
      <w:divBdr>
        <w:top w:val="none" w:sz="0" w:space="0" w:color="auto"/>
        <w:left w:val="none" w:sz="0" w:space="0" w:color="auto"/>
        <w:bottom w:val="none" w:sz="0" w:space="0" w:color="auto"/>
        <w:right w:val="none" w:sz="0" w:space="0" w:color="auto"/>
      </w:divBdr>
    </w:div>
    <w:div w:id="832332764">
      <w:bodyDiv w:val="1"/>
      <w:marLeft w:val="0"/>
      <w:marRight w:val="0"/>
      <w:marTop w:val="0"/>
      <w:marBottom w:val="0"/>
      <w:divBdr>
        <w:top w:val="none" w:sz="0" w:space="0" w:color="auto"/>
        <w:left w:val="none" w:sz="0" w:space="0" w:color="auto"/>
        <w:bottom w:val="none" w:sz="0" w:space="0" w:color="auto"/>
        <w:right w:val="none" w:sz="0" w:space="0" w:color="auto"/>
      </w:divBdr>
    </w:div>
    <w:div w:id="1170025884">
      <w:bodyDiv w:val="1"/>
      <w:marLeft w:val="0"/>
      <w:marRight w:val="0"/>
      <w:marTop w:val="0"/>
      <w:marBottom w:val="0"/>
      <w:divBdr>
        <w:top w:val="none" w:sz="0" w:space="0" w:color="auto"/>
        <w:left w:val="none" w:sz="0" w:space="0" w:color="auto"/>
        <w:bottom w:val="none" w:sz="0" w:space="0" w:color="auto"/>
        <w:right w:val="none" w:sz="0" w:space="0" w:color="auto"/>
      </w:divBdr>
    </w:div>
    <w:div w:id="1396709143">
      <w:bodyDiv w:val="1"/>
      <w:marLeft w:val="0"/>
      <w:marRight w:val="0"/>
      <w:marTop w:val="0"/>
      <w:marBottom w:val="0"/>
      <w:divBdr>
        <w:top w:val="none" w:sz="0" w:space="0" w:color="auto"/>
        <w:left w:val="none" w:sz="0" w:space="0" w:color="auto"/>
        <w:bottom w:val="none" w:sz="0" w:space="0" w:color="auto"/>
        <w:right w:val="none" w:sz="0" w:space="0" w:color="auto"/>
      </w:divBdr>
    </w:div>
    <w:div w:id="1927224416">
      <w:bodyDiv w:val="1"/>
      <w:marLeft w:val="0"/>
      <w:marRight w:val="0"/>
      <w:marTop w:val="0"/>
      <w:marBottom w:val="0"/>
      <w:divBdr>
        <w:top w:val="none" w:sz="0" w:space="0" w:color="auto"/>
        <w:left w:val="none" w:sz="0" w:space="0" w:color="auto"/>
        <w:bottom w:val="none" w:sz="0" w:space="0" w:color="auto"/>
        <w:right w:val="none" w:sz="0" w:space="0" w:color="auto"/>
      </w:divBdr>
    </w:div>
    <w:div w:id="2016615848">
      <w:bodyDiv w:val="1"/>
      <w:marLeft w:val="0"/>
      <w:marRight w:val="0"/>
      <w:marTop w:val="0"/>
      <w:marBottom w:val="0"/>
      <w:divBdr>
        <w:top w:val="none" w:sz="0" w:space="0" w:color="auto"/>
        <w:left w:val="none" w:sz="0" w:space="0" w:color="auto"/>
        <w:bottom w:val="none" w:sz="0" w:space="0" w:color="auto"/>
        <w:right w:val="none" w:sz="0" w:space="0" w:color="auto"/>
      </w:divBdr>
    </w:div>
    <w:div w:id="20521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C14C2-7592-4D90-B839-87F2469A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3466</Words>
  <Characters>25951</Characters>
  <Application>Microsoft Office Word</Application>
  <DocSecurity>0</DocSecurity>
  <Lines>216</Lines>
  <Paragraphs>58</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Elizalde Elizalde, Julia (Cámara de Comptos)</dc:creator>
  <cp:lastModifiedBy>De Santiago, Iñaki</cp:lastModifiedBy>
  <cp:revision>2</cp:revision>
  <cp:lastPrinted>2021-10-28T10:11:00Z</cp:lastPrinted>
  <dcterms:created xsi:type="dcterms:W3CDTF">2022-01-27T10:47:00Z</dcterms:created>
  <dcterms:modified xsi:type="dcterms:W3CDTF">2022-01-27T10:47:00Z</dcterms:modified>
</cp:coreProperties>
</file>