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B568"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39FD56EF" wp14:editId="46FCDA47">
                <wp:simplePos x="0" y="0"/>
                <wp:positionH relativeFrom="column">
                  <wp:posOffset>-151765</wp:posOffset>
                </wp:positionH>
                <wp:positionV relativeFrom="paragraph">
                  <wp:posOffset>-817246</wp:posOffset>
                </wp:positionV>
                <wp:extent cx="1105535" cy="931545"/>
                <wp:effectExtent l="0" t="0" r="0" b="19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154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FAFEB5" w14:textId="77777777" w:rsidR="00B9085A" w:rsidRPr="003A7956" w:rsidRDefault="00B9085A" w:rsidP="004C3423">
                            <w:pPr>
                              <w:spacing w:after="0"/>
                              <w:ind w:firstLine="0"/>
                              <w:jc w:val="center"/>
                              <w:rPr>
                                <w:sz w:val="18"/>
                                <w:szCs w:val="18"/>
                              </w:rPr>
                            </w:pPr>
                            <w:r>
                              <w:rPr>
                                <w:sz w:val="18"/>
                                <w:szCs w:val="18"/>
                              </w:rPr>
                              <w:t>CAMARA DE</w:t>
                            </w:r>
                          </w:p>
                          <w:p w14:paraId="470A4450" w14:textId="77777777" w:rsidR="00B9085A" w:rsidRPr="003A7956" w:rsidRDefault="00B9085A" w:rsidP="004C3423">
                            <w:pPr>
                              <w:spacing w:after="0"/>
                              <w:ind w:firstLine="0"/>
                              <w:jc w:val="center"/>
                              <w:rPr>
                                <w:sz w:val="18"/>
                                <w:szCs w:val="18"/>
                              </w:rPr>
                            </w:pPr>
                            <w:r>
                              <w:rPr>
                                <w:sz w:val="18"/>
                                <w:szCs w:val="18"/>
                              </w:rPr>
                              <w:t>COMPTOS</w:t>
                            </w:r>
                          </w:p>
                          <w:p w14:paraId="6FEB93BE" w14:textId="77777777" w:rsidR="00B9085A" w:rsidRPr="003A7956" w:rsidRDefault="00B9085A" w:rsidP="004C3423">
                            <w:pPr>
                              <w:spacing w:after="0"/>
                              <w:ind w:firstLine="0"/>
                              <w:jc w:val="center"/>
                              <w:rPr>
                                <w:sz w:val="18"/>
                                <w:szCs w:val="18"/>
                              </w:rPr>
                            </w:pPr>
                            <w:r>
                              <w:rPr>
                                <w:sz w:val="18"/>
                                <w:szCs w:val="18"/>
                              </w:rPr>
                              <w:t>DE NAVARRA</w:t>
                            </w:r>
                          </w:p>
                          <w:p w14:paraId="3B8FC254" w14:textId="77777777" w:rsidR="00B9085A" w:rsidRPr="003A7956" w:rsidRDefault="00B9085A" w:rsidP="004C3423">
                            <w:pPr>
                              <w:spacing w:after="0"/>
                              <w:ind w:firstLine="0"/>
                              <w:jc w:val="center"/>
                              <w:rPr>
                                <w:color w:val="808080"/>
                                <w:sz w:val="18"/>
                                <w:szCs w:val="18"/>
                              </w:rPr>
                            </w:pPr>
                            <w:r>
                              <w:rPr>
                                <w:color w:val="808080"/>
                                <w:sz w:val="18"/>
                                <w:szCs w:val="18"/>
                              </w:rPr>
                              <w:t>NAFARROAKO</w:t>
                            </w:r>
                          </w:p>
                          <w:p w14:paraId="151EF659" w14:textId="77777777" w:rsidR="00B9085A" w:rsidRPr="003A7956" w:rsidRDefault="00B9085A" w:rsidP="004C3423">
                            <w:pPr>
                              <w:spacing w:after="0"/>
                              <w:ind w:firstLine="0"/>
                              <w:jc w:val="center"/>
                              <w:rPr>
                                <w:color w:val="808080"/>
                                <w:sz w:val="18"/>
                                <w:szCs w:val="18"/>
                              </w:rPr>
                            </w:pPr>
                            <w:r>
                              <w:rPr>
                                <w:color w:val="808080"/>
                                <w:sz w:val="18"/>
                                <w:szCs w:val="18"/>
                              </w:rPr>
                              <w:t>KONTUEN</w:t>
                            </w:r>
                          </w:p>
                          <w:p w14:paraId="5FDD6209" w14:textId="77777777" w:rsidR="00B9085A" w:rsidRPr="003A7956" w:rsidRDefault="00B9085A" w:rsidP="004C3423">
                            <w:pPr>
                              <w:spacing w:after="0"/>
                              <w:ind w:firstLine="0"/>
                              <w:jc w:val="center"/>
                              <w:rPr>
                                <w:color w:val="808080"/>
                                <w:sz w:val="18"/>
                                <w:szCs w:val="18"/>
                              </w:rPr>
                            </w:pPr>
                            <w:r>
                              <w:rPr>
                                <w:color w:val="808080"/>
                                <w:sz w:val="18"/>
                                <w:szCs w:val="18"/>
                              </w:rPr>
                              <w:t>GANBERA</w:t>
                            </w:r>
                          </w:p>
                          <w:p w14:paraId="4B06EBD4" w14:textId="77777777" w:rsidR="00B9085A" w:rsidRPr="002C7026" w:rsidRDefault="00B9085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56EF"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7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" stroked="f" strokecolor="white">
                <v:textbox>
                  <w:txbxContent>
                    <w:p w14:paraId="5BFAFEB5" w14:textId="77777777" w:rsidR="00B9085A" w:rsidRPr="003A7956" w:rsidRDefault="00B9085A" w:rsidP="004C3423">
                      <w:pPr>
                        <w:spacing w:after="0"/>
                        <w:ind w:firstLine="0"/>
                        <w:jc w:val="center"/>
                        <w:rPr>
                          <w:sz w:val="18"/>
                          <w:szCs w:val="18"/>
                        </w:rPr>
                      </w:pPr>
                      <w:r>
                        <w:rPr>
                          <w:sz w:val="18"/>
                          <w:szCs w:val="18"/>
                        </w:rPr>
                        <w:t>CAMARA DE</w:t>
                      </w:r>
                    </w:p>
                    <w:p w14:paraId="470A4450" w14:textId="77777777" w:rsidR="00B9085A" w:rsidRPr="003A7956" w:rsidRDefault="00B9085A" w:rsidP="004C3423">
                      <w:pPr>
                        <w:spacing w:after="0"/>
                        <w:ind w:firstLine="0"/>
                        <w:jc w:val="center"/>
                        <w:rPr>
                          <w:sz w:val="18"/>
                          <w:szCs w:val="18"/>
                        </w:rPr>
                      </w:pPr>
                      <w:r>
                        <w:rPr>
                          <w:sz w:val="18"/>
                          <w:szCs w:val="18"/>
                        </w:rPr>
                        <w:t>COMPTOS</w:t>
                      </w:r>
                    </w:p>
                    <w:p w14:paraId="6FEB93BE" w14:textId="77777777" w:rsidR="00B9085A" w:rsidRPr="003A7956" w:rsidRDefault="00B9085A" w:rsidP="004C3423">
                      <w:pPr>
                        <w:spacing w:after="0"/>
                        <w:ind w:firstLine="0"/>
                        <w:jc w:val="center"/>
                        <w:rPr>
                          <w:sz w:val="18"/>
                          <w:szCs w:val="18"/>
                        </w:rPr>
                      </w:pPr>
                      <w:r>
                        <w:rPr>
                          <w:sz w:val="18"/>
                          <w:szCs w:val="18"/>
                        </w:rPr>
                        <w:t>DE NAVARRA</w:t>
                      </w:r>
                    </w:p>
                    <w:p w14:paraId="3B8FC254" w14:textId="77777777" w:rsidR="00B9085A" w:rsidRPr="003A7956" w:rsidRDefault="00B9085A" w:rsidP="004C3423">
                      <w:pPr>
                        <w:spacing w:after="0"/>
                        <w:ind w:firstLine="0"/>
                        <w:jc w:val="center"/>
                        <w:rPr>
                          <w:color w:val="808080"/>
                          <w:sz w:val="18"/>
                          <w:szCs w:val="18"/>
                        </w:rPr>
                      </w:pPr>
                      <w:r>
                        <w:rPr>
                          <w:color w:val="808080"/>
                          <w:sz w:val="18"/>
                          <w:szCs w:val="18"/>
                        </w:rPr>
                        <w:t>NAFARROAKO</w:t>
                      </w:r>
                    </w:p>
                    <w:p w14:paraId="151EF659" w14:textId="77777777" w:rsidR="00B9085A" w:rsidRPr="003A7956" w:rsidRDefault="00B9085A" w:rsidP="004C3423">
                      <w:pPr>
                        <w:spacing w:after="0"/>
                        <w:ind w:firstLine="0"/>
                        <w:jc w:val="center"/>
                        <w:rPr>
                          <w:color w:val="808080"/>
                          <w:sz w:val="18"/>
                          <w:szCs w:val="18"/>
                        </w:rPr>
                      </w:pPr>
                      <w:r>
                        <w:rPr>
                          <w:color w:val="808080"/>
                          <w:sz w:val="18"/>
                          <w:szCs w:val="18"/>
                        </w:rPr>
                        <w:t>KONTUEN</w:t>
                      </w:r>
                    </w:p>
                    <w:p w14:paraId="5FDD6209" w14:textId="77777777" w:rsidR="00B9085A" w:rsidRPr="003A7956" w:rsidRDefault="00B9085A" w:rsidP="004C3423">
                      <w:pPr>
                        <w:spacing w:after="0"/>
                        <w:ind w:firstLine="0"/>
                        <w:jc w:val="center"/>
                        <w:rPr>
                          <w:color w:val="808080"/>
                          <w:sz w:val="18"/>
                          <w:szCs w:val="18"/>
                        </w:rPr>
                      </w:pPr>
                      <w:r>
                        <w:rPr>
                          <w:color w:val="808080"/>
                          <w:sz w:val="18"/>
                          <w:szCs w:val="18"/>
                        </w:rPr>
                        <w:t>GANBERA</w:t>
                      </w:r>
                    </w:p>
                    <w:p w14:paraId="4B06EBD4" w14:textId="77777777" w:rsidR="00B9085A" w:rsidRPr="002C7026" w:rsidRDefault="00B9085A" w:rsidP="002C7026">
                      <w:pPr>
                        <w:spacing w:after="0"/>
                        <w:ind w:firstLine="0"/>
                        <w:jc w:val="center"/>
                        <w:rPr>
                          <w:rFonts w:ascii="Trajan" w:hAnsi="Trajan"/>
                          <w:color w:val="808080"/>
                          <w:sz w:val="18"/>
                          <w:szCs w:val="18"/>
                          <w:lang w:val="es-ES"/>
                        </w:rPr>
                      </w:pPr>
                    </w:p>
                  </w:txbxContent>
                </v:textbox>
              </v:shape>
            </w:pict>
          </mc:Fallback>
        </mc:AlternateContent>
      </w:r>
      <w:r>
        <w:t>l</w:t>
      </w:r>
    </w:p>
    <w:p w14:paraId="7EB30D07" w14:textId="77777777" w:rsidR="0085380F" w:rsidRPr="009B0993" w:rsidRDefault="0085380F" w:rsidP="0085380F">
      <w:pPr>
        <w:pStyle w:val="EstiloPortada"/>
        <w:spacing w:after="320"/>
        <w:ind w:left="4111" w:right="-57" w:hanging="284"/>
        <w:rPr>
          <w:color w:val="000000" w:themeColor="text1"/>
          <w:sz w:val="30"/>
          <w:szCs w:val="30"/>
        </w:rPr>
      </w:pPr>
    </w:p>
    <w:p w14:paraId="6065A2B9" w14:textId="7CB8C7F3" w:rsidR="0085380F" w:rsidRPr="00B81E61" w:rsidRDefault="0085380F" w:rsidP="0085380F">
      <w:pPr>
        <w:pStyle w:val="EstiloPortada"/>
        <w:ind w:left="3780"/>
        <w:rPr>
          <w:color w:val="000000" w:themeColor="text1"/>
        </w:rPr>
      </w:pPr>
      <w:r>
        <w:rPr>
          <w:color w:val="000000" w:themeColor="text1"/>
        </w:rPr>
        <w:t>Nafarroako toki sektore publikoa, 2019</w:t>
      </w:r>
    </w:p>
    <w:p w14:paraId="36207643" w14:textId="77777777" w:rsidR="001C3A32" w:rsidRPr="00204979" w:rsidRDefault="001C3A32" w:rsidP="00891D73">
      <w:pPr>
        <w:pStyle w:val="texto"/>
      </w:pPr>
    </w:p>
    <w:p w14:paraId="1665C721" w14:textId="77777777" w:rsidR="001C3A32" w:rsidRPr="00204979" w:rsidRDefault="001C3A32" w:rsidP="00891D73">
      <w:pPr>
        <w:pStyle w:val="texto"/>
      </w:pPr>
    </w:p>
    <w:p w14:paraId="5994E7D9" w14:textId="77777777" w:rsidR="002F2530" w:rsidRPr="00204979" w:rsidRDefault="002F2530" w:rsidP="00891D73">
      <w:pPr>
        <w:pStyle w:val="texto"/>
      </w:pPr>
    </w:p>
    <w:p w14:paraId="408F45C6" w14:textId="77777777" w:rsidR="002F2530" w:rsidRPr="00204979" w:rsidRDefault="002F2530" w:rsidP="00891D73">
      <w:pPr>
        <w:pStyle w:val="texto"/>
      </w:pPr>
    </w:p>
    <w:p w14:paraId="5374A3E1" w14:textId="77777777" w:rsidR="001C3A32" w:rsidRPr="00204979" w:rsidRDefault="001C3A32" w:rsidP="00891D73">
      <w:pPr>
        <w:pStyle w:val="texto"/>
      </w:pPr>
    </w:p>
    <w:p w14:paraId="3CBFDE9B" w14:textId="77777777" w:rsidR="001C3A32" w:rsidRPr="00204979" w:rsidRDefault="001C3A32" w:rsidP="00891D73">
      <w:pPr>
        <w:pStyle w:val="texto"/>
      </w:pPr>
    </w:p>
    <w:p w14:paraId="27CBC16B" w14:textId="77777777" w:rsidR="001C3A32" w:rsidRPr="00204979" w:rsidRDefault="001C3A32" w:rsidP="00891D73">
      <w:pPr>
        <w:pStyle w:val="texto"/>
      </w:pPr>
    </w:p>
    <w:p w14:paraId="4EC7E8EE" w14:textId="77777777" w:rsidR="001C3A32" w:rsidRPr="00204979" w:rsidRDefault="001C3A32" w:rsidP="00891D73">
      <w:pPr>
        <w:pStyle w:val="texto"/>
      </w:pPr>
    </w:p>
    <w:p w14:paraId="663FE21A" w14:textId="77777777" w:rsidR="001C3A32" w:rsidRPr="00204979" w:rsidRDefault="001C3A32" w:rsidP="00891D73">
      <w:pPr>
        <w:pStyle w:val="texto"/>
      </w:pPr>
    </w:p>
    <w:p w14:paraId="3BD1F203" w14:textId="77777777" w:rsidR="001C3A32" w:rsidRPr="00204979" w:rsidRDefault="001C3A32" w:rsidP="00891D73">
      <w:pPr>
        <w:pStyle w:val="texto"/>
      </w:pPr>
    </w:p>
    <w:p w14:paraId="003E2C85" w14:textId="77777777" w:rsidR="001C3A32" w:rsidRPr="00204979" w:rsidRDefault="001C3A32" w:rsidP="00891D73">
      <w:pPr>
        <w:pStyle w:val="texto"/>
      </w:pPr>
    </w:p>
    <w:p w14:paraId="6C3E8C1B" w14:textId="77777777" w:rsidR="001C3A32" w:rsidRPr="00204979" w:rsidRDefault="001C3A32" w:rsidP="00891D73">
      <w:pPr>
        <w:pStyle w:val="texto"/>
      </w:pPr>
    </w:p>
    <w:p w14:paraId="3691E4F1" w14:textId="77777777" w:rsidR="001C3A32" w:rsidRPr="00204979" w:rsidRDefault="001C3A32" w:rsidP="00891D73">
      <w:pPr>
        <w:pStyle w:val="texto"/>
      </w:pPr>
    </w:p>
    <w:p w14:paraId="1608C074" w14:textId="77777777" w:rsidR="001C3A32" w:rsidRPr="00204979" w:rsidRDefault="001C3A32" w:rsidP="00891D73">
      <w:pPr>
        <w:pStyle w:val="texto"/>
      </w:pPr>
    </w:p>
    <w:p w14:paraId="68CBDFE1" w14:textId="77777777" w:rsidR="001C3A32" w:rsidRPr="00204979" w:rsidRDefault="001C3A32" w:rsidP="00891D73">
      <w:pPr>
        <w:pStyle w:val="texto"/>
      </w:pPr>
    </w:p>
    <w:p w14:paraId="7058AE5A" w14:textId="77777777" w:rsidR="001C3A32" w:rsidRPr="00204979" w:rsidRDefault="001C3A32" w:rsidP="00891D73">
      <w:pPr>
        <w:pStyle w:val="texto"/>
      </w:pPr>
    </w:p>
    <w:p w14:paraId="152596F4" w14:textId="77777777" w:rsidR="001C3A32" w:rsidRPr="00204979" w:rsidRDefault="001C3A32" w:rsidP="00891D73">
      <w:pPr>
        <w:pStyle w:val="texto"/>
      </w:pPr>
    </w:p>
    <w:p w14:paraId="5E1CC39D" w14:textId="77777777" w:rsidR="001C3A32" w:rsidRPr="00204979" w:rsidRDefault="001C3A32" w:rsidP="00891D73">
      <w:pPr>
        <w:pStyle w:val="texto"/>
      </w:pPr>
    </w:p>
    <w:p w14:paraId="108947FD" w14:textId="77777777" w:rsidR="00844F74" w:rsidRPr="00204979" w:rsidRDefault="00844F74" w:rsidP="00891D73">
      <w:pPr>
        <w:pStyle w:val="texto"/>
      </w:pPr>
    </w:p>
    <w:p w14:paraId="7D9B623D" w14:textId="77777777" w:rsidR="00844F74" w:rsidRPr="00204979" w:rsidRDefault="00844F74" w:rsidP="00891D73">
      <w:pPr>
        <w:pStyle w:val="texto"/>
      </w:pPr>
    </w:p>
    <w:p w14:paraId="4D14BA3E" w14:textId="77777777" w:rsidR="009B0993" w:rsidRDefault="009B0993" w:rsidP="009936FC">
      <w:pPr>
        <w:pStyle w:val="Fechaportada"/>
      </w:pPr>
    </w:p>
    <w:p w14:paraId="2F39AE92" w14:textId="77777777" w:rsidR="00716463" w:rsidRPr="001D4F09" w:rsidRDefault="0085380F" w:rsidP="009936FC">
      <w:pPr>
        <w:pStyle w:val="Fechaportada"/>
      </w:pPr>
      <w:r>
        <w:t>2021eko abendua</w:t>
      </w:r>
    </w:p>
    <w:p w14:paraId="52EAECE8"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198F6044" w14:textId="77777777" w:rsidR="0085380F" w:rsidRPr="00783F1C" w:rsidRDefault="0085380F" w:rsidP="0085380F">
      <w:pPr>
        <w:pStyle w:val="ndice"/>
        <w:rPr>
          <w:color w:val="auto"/>
        </w:rPr>
      </w:pPr>
      <w:r>
        <w:rPr>
          <w:color w:val="auto"/>
        </w:rPr>
        <w:lastRenderedPageBreak/>
        <w:t>Aurkibidea</w:t>
      </w:r>
    </w:p>
    <w:p w14:paraId="2C6CDE55" w14:textId="77777777" w:rsidR="0085380F" w:rsidRPr="00783F1C" w:rsidRDefault="0085380F" w:rsidP="0085380F">
      <w:pPr>
        <w:pStyle w:val="ndice"/>
        <w:ind w:right="-156"/>
        <w:jc w:val="right"/>
        <w:rPr>
          <w:b w:val="0"/>
          <w:i/>
          <w:color w:val="auto"/>
          <w:sz w:val="16"/>
          <w:szCs w:val="16"/>
        </w:rPr>
      </w:pPr>
      <w:r>
        <w:rPr>
          <w:b w:val="0"/>
          <w:i/>
          <w:color w:val="auto"/>
          <w:sz w:val="16"/>
          <w:szCs w:val="16"/>
        </w:rPr>
        <w:t>Orrialdea</w:t>
      </w:r>
    </w:p>
    <w:p w14:paraId="4F38118D" w14:textId="66FB356A" w:rsidR="00FF1E4E" w:rsidRDefault="0085380F">
      <w:pPr>
        <w:pStyle w:val="TDC1"/>
        <w:rPr>
          <w:rFonts w:asciiTheme="minorHAnsi" w:eastAsiaTheme="minorEastAsia" w:hAnsiTheme="minorHAnsi" w:cstheme="minorBidi"/>
          <w:smallCaps w:val="0"/>
          <w:noProof/>
          <w:szCs w:val="22"/>
          <w:lang w:val="es-ES" w:eastAsia="es-ES"/>
        </w:rPr>
      </w:pPr>
      <w:r w:rsidRPr="00783F1C">
        <w:fldChar w:fldCharType="begin"/>
      </w:r>
      <w:r w:rsidRPr="00783F1C">
        <w:instrText xml:space="preserve"> TOC \o "1-3" \h \z \t "atitulo1;1;atitulo2;2" </w:instrText>
      </w:r>
      <w:r w:rsidRPr="00783F1C">
        <w:fldChar w:fldCharType="separate"/>
      </w:r>
      <w:hyperlink w:anchor="_Toc94871715" w:history="1">
        <w:r w:rsidR="00FF1E4E" w:rsidRPr="00FF3430">
          <w:rPr>
            <w:rStyle w:val="Hipervnculo"/>
            <w:noProof/>
          </w:rPr>
          <w:t>I. Sarrera</w:t>
        </w:r>
        <w:r w:rsidR="00FF1E4E">
          <w:rPr>
            <w:noProof/>
            <w:webHidden/>
          </w:rPr>
          <w:tab/>
        </w:r>
        <w:r w:rsidR="00FF1E4E">
          <w:rPr>
            <w:noProof/>
            <w:webHidden/>
          </w:rPr>
          <w:fldChar w:fldCharType="begin"/>
        </w:r>
        <w:r w:rsidR="00FF1E4E">
          <w:rPr>
            <w:noProof/>
            <w:webHidden/>
          </w:rPr>
          <w:instrText xml:space="preserve"> PAGEREF _Toc94871715 \h </w:instrText>
        </w:r>
        <w:r w:rsidR="00FF1E4E">
          <w:rPr>
            <w:noProof/>
            <w:webHidden/>
          </w:rPr>
        </w:r>
        <w:r w:rsidR="00FF1E4E">
          <w:rPr>
            <w:noProof/>
            <w:webHidden/>
          </w:rPr>
          <w:fldChar w:fldCharType="separate"/>
        </w:r>
        <w:r w:rsidR="00FF1E4E">
          <w:rPr>
            <w:noProof/>
            <w:webHidden/>
          </w:rPr>
          <w:t>3</w:t>
        </w:r>
        <w:r w:rsidR="00FF1E4E">
          <w:rPr>
            <w:noProof/>
            <w:webHidden/>
          </w:rPr>
          <w:fldChar w:fldCharType="end"/>
        </w:r>
      </w:hyperlink>
    </w:p>
    <w:p w14:paraId="35061DB9" w14:textId="6603D2F3" w:rsidR="00FF1E4E" w:rsidRDefault="00FF1E4E">
      <w:pPr>
        <w:pStyle w:val="TDC1"/>
        <w:rPr>
          <w:rFonts w:asciiTheme="minorHAnsi" w:eastAsiaTheme="minorEastAsia" w:hAnsiTheme="minorHAnsi" w:cstheme="minorBidi"/>
          <w:smallCaps w:val="0"/>
          <w:noProof/>
          <w:szCs w:val="22"/>
          <w:lang w:val="es-ES" w:eastAsia="es-ES"/>
        </w:rPr>
      </w:pPr>
      <w:hyperlink w:anchor="_Toc94871716" w:history="1">
        <w:r w:rsidRPr="00FF3430">
          <w:rPr>
            <w:rStyle w:val="Hipervnculo"/>
            <w:noProof/>
          </w:rPr>
          <w:t>II. Toki sektore publikoaren antolaketa-egitura eta araudia</w:t>
        </w:r>
        <w:r>
          <w:rPr>
            <w:noProof/>
            <w:webHidden/>
          </w:rPr>
          <w:tab/>
        </w:r>
        <w:r>
          <w:rPr>
            <w:noProof/>
            <w:webHidden/>
          </w:rPr>
          <w:fldChar w:fldCharType="begin"/>
        </w:r>
        <w:r>
          <w:rPr>
            <w:noProof/>
            <w:webHidden/>
          </w:rPr>
          <w:instrText xml:space="preserve"> PAGEREF _Toc94871716 \h </w:instrText>
        </w:r>
        <w:r>
          <w:rPr>
            <w:noProof/>
            <w:webHidden/>
          </w:rPr>
        </w:r>
        <w:r>
          <w:rPr>
            <w:noProof/>
            <w:webHidden/>
          </w:rPr>
          <w:fldChar w:fldCharType="separate"/>
        </w:r>
        <w:r>
          <w:rPr>
            <w:noProof/>
            <w:webHidden/>
          </w:rPr>
          <w:t>4</w:t>
        </w:r>
        <w:r>
          <w:rPr>
            <w:noProof/>
            <w:webHidden/>
          </w:rPr>
          <w:fldChar w:fldCharType="end"/>
        </w:r>
      </w:hyperlink>
    </w:p>
    <w:p w14:paraId="46AF1155" w14:textId="7338A57E" w:rsidR="00FF1E4E" w:rsidRDefault="00FF1E4E">
      <w:pPr>
        <w:pStyle w:val="TDC2"/>
        <w:rPr>
          <w:rFonts w:asciiTheme="minorHAnsi" w:eastAsiaTheme="minorEastAsia" w:hAnsiTheme="minorHAnsi" w:cstheme="minorBidi"/>
          <w:noProof/>
          <w:szCs w:val="22"/>
          <w:lang w:val="es-ES" w:eastAsia="es-ES"/>
        </w:rPr>
      </w:pPr>
      <w:hyperlink w:anchor="_Toc94871717" w:history="1">
        <w:r w:rsidRPr="00FF3430">
          <w:rPr>
            <w:rStyle w:val="Hipervnculo"/>
            <w:noProof/>
          </w:rPr>
          <w:t>II.1. Antolaketa-egitura</w:t>
        </w:r>
        <w:r>
          <w:rPr>
            <w:noProof/>
            <w:webHidden/>
          </w:rPr>
          <w:tab/>
        </w:r>
        <w:r>
          <w:rPr>
            <w:noProof/>
            <w:webHidden/>
          </w:rPr>
          <w:fldChar w:fldCharType="begin"/>
        </w:r>
        <w:r>
          <w:rPr>
            <w:noProof/>
            <w:webHidden/>
          </w:rPr>
          <w:instrText xml:space="preserve"> PAGEREF _Toc94871717 \h </w:instrText>
        </w:r>
        <w:r>
          <w:rPr>
            <w:noProof/>
            <w:webHidden/>
          </w:rPr>
        </w:r>
        <w:r>
          <w:rPr>
            <w:noProof/>
            <w:webHidden/>
          </w:rPr>
          <w:fldChar w:fldCharType="separate"/>
        </w:r>
        <w:r>
          <w:rPr>
            <w:noProof/>
            <w:webHidden/>
          </w:rPr>
          <w:t>4</w:t>
        </w:r>
        <w:r>
          <w:rPr>
            <w:noProof/>
            <w:webHidden/>
          </w:rPr>
          <w:fldChar w:fldCharType="end"/>
        </w:r>
      </w:hyperlink>
    </w:p>
    <w:p w14:paraId="4538BC86" w14:textId="65D2698B" w:rsidR="00FF1E4E" w:rsidRDefault="00FF1E4E">
      <w:pPr>
        <w:pStyle w:val="TDC2"/>
        <w:rPr>
          <w:rFonts w:asciiTheme="minorHAnsi" w:eastAsiaTheme="minorEastAsia" w:hAnsiTheme="minorHAnsi" w:cstheme="minorBidi"/>
          <w:noProof/>
          <w:szCs w:val="22"/>
          <w:lang w:val="es-ES" w:eastAsia="es-ES"/>
        </w:rPr>
      </w:pPr>
      <w:hyperlink w:anchor="_Toc94871718" w:history="1">
        <w:r w:rsidRPr="00FF3430">
          <w:rPr>
            <w:rStyle w:val="Hipervnculo"/>
            <w:noProof/>
          </w:rPr>
          <w:t>II.2. Toki sektore publikoa arrazionalizatzeko planteatu diren lege-neurriak</w:t>
        </w:r>
        <w:r>
          <w:rPr>
            <w:noProof/>
            <w:webHidden/>
          </w:rPr>
          <w:tab/>
        </w:r>
        <w:r>
          <w:rPr>
            <w:noProof/>
            <w:webHidden/>
          </w:rPr>
          <w:fldChar w:fldCharType="begin"/>
        </w:r>
        <w:r>
          <w:rPr>
            <w:noProof/>
            <w:webHidden/>
          </w:rPr>
          <w:instrText xml:space="preserve"> PAGEREF _Toc94871718 \h </w:instrText>
        </w:r>
        <w:r>
          <w:rPr>
            <w:noProof/>
            <w:webHidden/>
          </w:rPr>
        </w:r>
        <w:r>
          <w:rPr>
            <w:noProof/>
            <w:webHidden/>
          </w:rPr>
          <w:fldChar w:fldCharType="separate"/>
        </w:r>
        <w:r>
          <w:rPr>
            <w:noProof/>
            <w:webHidden/>
          </w:rPr>
          <w:t>7</w:t>
        </w:r>
        <w:r>
          <w:rPr>
            <w:noProof/>
            <w:webHidden/>
          </w:rPr>
          <w:fldChar w:fldCharType="end"/>
        </w:r>
      </w:hyperlink>
    </w:p>
    <w:p w14:paraId="2CA547EF" w14:textId="2D661CE8" w:rsidR="00FF1E4E" w:rsidRDefault="00FF1E4E">
      <w:pPr>
        <w:pStyle w:val="TDC2"/>
        <w:rPr>
          <w:rFonts w:asciiTheme="minorHAnsi" w:eastAsiaTheme="minorEastAsia" w:hAnsiTheme="minorHAnsi" w:cstheme="minorBidi"/>
          <w:noProof/>
          <w:szCs w:val="22"/>
          <w:lang w:val="es-ES" w:eastAsia="es-ES"/>
        </w:rPr>
      </w:pPr>
      <w:hyperlink w:anchor="_Toc94871719" w:history="1">
        <w:r w:rsidRPr="00FF3430">
          <w:rPr>
            <w:rStyle w:val="Hipervnculo"/>
            <w:noProof/>
          </w:rPr>
          <w:t>II.3. 2019an onetsitako araudia</w:t>
        </w:r>
        <w:r>
          <w:rPr>
            <w:noProof/>
            <w:webHidden/>
          </w:rPr>
          <w:tab/>
        </w:r>
        <w:r>
          <w:rPr>
            <w:noProof/>
            <w:webHidden/>
          </w:rPr>
          <w:fldChar w:fldCharType="begin"/>
        </w:r>
        <w:r>
          <w:rPr>
            <w:noProof/>
            <w:webHidden/>
          </w:rPr>
          <w:instrText xml:space="preserve"> PAGEREF _Toc94871719 \h </w:instrText>
        </w:r>
        <w:r>
          <w:rPr>
            <w:noProof/>
            <w:webHidden/>
          </w:rPr>
        </w:r>
        <w:r>
          <w:rPr>
            <w:noProof/>
            <w:webHidden/>
          </w:rPr>
          <w:fldChar w:fldCharType="separate"/>
        </w:r>
        <w:r>
          <w:rPr>
            <w:noProof/>
            <w:webHidden/>
          </w:rPr>
          <w:t>7</w:t>
        </w:r>
        <w:r>
          <w:rPr>
            <w:noProof/>
            <w:webHidden/>
          </w:rPr>
          <w:fldChar w:fldCharType="end"/>
        </w:r>
      </w:hyperlink>
    </w:p>
    <w:p w14:paraId="5BC55AD6" w14:textId="6A5CAD9A" w:rsidR="00FF1E4E" w:rsidRDefault="00FF1E4E">
      <w:pPr>
        <w:pStyle w:val="TDC1"/>
        <w:rPr>
          <w:rFonts w:asciiTheme="minorHAnsi" w:eastAsiaTheme="minorEastAsia" w:hAnsiTheme="minorHAnsi" w:cstheme="minorBidi"/>
          <w:smallCaps w:val="0"/>
          <w:noProof/>
          <w:szCs w:val="22"/>
          <w:lang w:val="es-ES" w:eastAsia="es-ES"/>
        </w:rPr>
      </w:pPr>
      <w:hyperlink w:anchor="_Toc94871720" w:history="1">
        <w:r w:rsidRPr="00FF3430">
          <w:rPr>
            <w:rStyle w:val="Hipervnculo"/>
            <w:noProof/>
          </w:rPr>
          <w:t>III. Helburua, norainokoa eta mugak</w:t>
        </w:r>
        <w:r>
          <w:rPr>
            <w:noProof/>
            <w:webHidden/>
          </w:rPr>
          <w:tab/>
        </w:r>
        <w:r>
          <w:rPr>
            <w:noProof/>
            <w:webHidden/>
          </w:rPr>
          <w:fldChar w:fldCharType="begin"/>
        </w:r>
        <w:r>
          <w:rPr>
            <w:noProof/>
            <w:webHidden/>
          </w:rPr>
          <w:instrText xml:space="preserve"> PAGEREF _Toc94871720 \h </w:instrText>
        </w:r>
        <w:r>
          <w:rPr>
            <w:noProof/>
            <w:webHidden/>
          </w:rPr>
        </w:r>
        <w:r>
          <w:rPr>
            <w:noProof/>
            <w:webHidden/>
          </w:rPr>
          <w:fldChar w:fldCharType="separate"/>
        </w:r>
        <w:r>
          <w:rPr>
            <w:noProof/>
            <w:webHidden/>
          </w:rPr>
          <w:t>9</w:t>
        </w:r>
        <w:r>
          <w:rPr>
            <w:noProof/>
            <w:webHidden/>
          </w:rPr>
          <w:fldChar w:fldCharType="end"/>
        </w:r>
      </w:hyperlink>
    </w:p>
    <w:p w14:paraId="3D3ABABB" w14:textId="5FA8898C" w:rsidR="00FF1E4E" w:rsidRDefault="00FF1E4E">
      <w:pPr>
        <w:pStyle w:val="TDC1"/>
        <w:rPr>
          <w:rFonts w:asciiTheme="minorHAnsi" w:eastAsiaTheme="minorEastAsia" w:hAnsiTheme="minorHAnsi" w:cstheme="minorBidi"/>
          <w:smallCaps w:val="0"/>
          <w:noProof/>
          <w:szCs w:val="22"/>
          <w:lang w:val="es-ES" w:eastAsia="es-ES"/>
        </w:rPr>
      </w:pPr>
      <w:hyperlink w:anchor="_Toc94871721" w:history="1">
        <w:r w:rsidRPr="00FF3430">
          <w:rPr>
            <w:rStyle w:val="Hipervnculo"/>
            <w:noProof/>
          </w:rPr>
          <w:t>IV. Toki entitateen fiskalizazio-jardueren laburpen-oroitidazkia</w:t>
        </w:r>
        <w:r>
          <w:rPr>
            <w:noProof/>
            <w:webHidden/>
          </w:rPr>
          <w:tab/>
        </w:r>
        <w:r>
          <w:rPr>
            <w:noProof/>
            <w:webHidden/>
          </w:rPr>
          <w:fldChar w:fldCharType="begin"/>
        </w:r>
        <w:r>
          <w:rPr>
            <w:noProof/>
            <w:webHidden/>
          </w:rPr>
          <w:instrText xml:space="preserve"> PAGEREF _Toc94871721 \h </w:instrText>
        </w:r>
        <w:r>
          <w:rPr>
            <w:noProof/>
            <w:webHidden/>
          </w:rPr>
        </w:r>
        <w:r>
          <w:rPr>
            <w:noProof/>
            <w:webHidden/>
          </w:rPr>
          <w:fldChar w:fldCharType="separate"/>
        </w:r>
        <w:r>
          <w:rPr>
            <w:noProof/>
            <w:webHidden/>
          </w:rPr>
          <w:t>11</w:t>
        </w:r>
        <w:r>
          <w:rPr>
            <w:noProof/>
            <w:webHidden/>
          </w:rPr>
          <w:fldChar w:fldCharType="end"/>
        </w:r>
      </w:hyperlink>
    </w:p>
    <w:p w14:paraId="111A5C7F" w14:textId="7A2CD48C" w:rsidR="00FF1E4E" w:rsidRDefault="00FF1E4E">
      <w:pPr>
        <w:pStyle w:val="TDC1"/>
        <w:rPr>
          <w:rFonts w:asciiTheme="minorHAnsi" w:eastAsiaTheme="minorEastAsia" w:hAnsiTheme="minorHAnsi" w:cstheme="minorBidi"/>
          <w:smallCaps w:val="0"/>
          <w:noProof/>
          <w:szCs w:val="22"/>
          <w:lang w:val="es-ES" w:eastAsia="es-ES"/>
        </w:rPr>
      </w:pPr>
      <w:hyperlink w:anchor="_Toc94871722" w:history="1">
        <w:r w:rsidRPr="00FF3430">
          <w:rPr>
            <w:rStyle w:val="Hipervnculo"/>
            <w:noProof/>
          </w:rPr>
          <w:t>V. Toki sektore publikoaren finantza egoera</w:t>
        </w:r>
        <w:r>
          <w:rPr>
            <w:noProof/>
            <w:webHidden/>
          </w:rPr>
          <w:tab/>
        </w:r>
        <w:r>
          <w:rPr>
            <w:noProof/>
            <w:webHidden/>
          </w:rPr>
          <w:fldChar w:fldCharType="begin"/>
        </w:r>
        <w:r>
          <w:rPr>
            <w:noProof/>
            <w:webHidden/>
          </w:rPr>
          <w:instrText xml:space="preserve"> PAGEREF _Toc94871722 \h </w:instrText>
        </w:r>
        <w:r>
          <w:rPr>
            <w:noProof/>
            <w:webHidden/>
          </w:rPr>
        </w:r>
        <w:r>
          <w:rPr>
            <w:noProof/>
            <w:webHidden/>
          </w:rPr>
          <w:fldChar w:fldCharType="separate"/>
        </w:r>
        <w:r>
          <w:rPr>
            <w:noProof/>
            <w:webHidden/>
          </w:rPr>
          <w:t>15</w:t>
        </w:r>
        <w:r>
          <w:rPr>
            <w:noProof/>
            <w:webHidden/>
          </w:rPr>
          <w:fldChar w:fldCharType="end"/>
        </w:r>
      </w:hyperlink>
    </w:p>
    <w:p w14:paraId="3B5B2F55" w14:textId="3D49E146" w:rsidR="00FF1E4E" w:rsidRDefault="00FF1E4E">
      <w:pPr>
        <w:pStyle w:val="TDC2"/>
        <w:rPr>
          <w:rFonts w:asciiTheme="minorHAnsi" w:eastAsiaTheme="minorEastAsia" w:hAnsiTheme="minorHAnsi" w:cstheme="minorBidi"/>
          <w:noProof/>
          <w:szCs w:val="22"/>
          <w:lang w:val="es-ES" w:eastAsia="es-ES"/>
        </w:rPr>
      </w:pPr>
      <w:hyperlink w:anchor="_Toc94871723" w:history="1">
        <w:r w:rsidRPr="00FF3430">
          <w:rPr>
            <w:rStyle w:val="Hipervnculo"/>
            <w:noProof/>
          </w:rPr>
          <w:t>V.1. Diru-sarrerak</w:t>
        </w:r>
        <w:r>
          <w:rPr>
            <w:noProof/>
            <w:webHidden/>
          </w:rPr>
          <w:tab/>
        </w:r>
        <w:r>
          <w:rPr>
            <w:noProof/>
            <w:webHidden/>
          </w:rPr>
          <w:fldChar w:fldCharType="begin"/>
        </w:r>
        <w:r>
          <w:rPr>
            <w:noProof/>
            <w:webHidden/>
          </w:rPr>
          <w:instrText xml:space="preserve"> PAGEREF _Toc94871723 \h </w:instrText>
        </w:r>
        <w:r>
          <w:rPr>
            <w:noProof/>
            <w:webHidden/>
          </w:rPr>
        </w:r>
        <w:r>
          <w:rPr>
            <w:noProof/>
            <w:webHidden/>
          </w:rPr>
          <w:fldChar w:fldCharType="separate"/>
        </w:r>
        <w:r>
          <w:rPr>
            <w:noProof/>
            <w:webHidden/>
          </w:rPr>
          <w:t>15</w:t>
        </w:r>
        <w:r>
          <w:rPr>
            <w:noProof/>
            <w:webHidden/>
          </w:rPr>
          <w:fldChar w:fldCharType="end"/>
        </w:r>
      </w:hyperlink>
    </w:p>
    <w:p w14:paraId="34339663" w14:textId="7BE02866" w:rsidR="00FF1E4E" w:rsidRDefault="00FF1E4E">
      <w:pPr>
        <w:pStyle w:val="TDC2"/>
        <w:rPr>
          <w:rFonts w:asciiTheme="minorHAnsi" w:eastAsiaTheme="minorEastAsia" w:hAnsiTheme="minorHAnsi" w:cstheme="minorBidi"/>
          <w:noProof/>
          <w:szCs w:val="22"/>
          <w:lang w:val="es-ES" w:eastAsia="es-ES"/>
        </w:rPr>
      </w:pPr>
      <w:hyperlink w:anchor="_Toc94871724" w:history="1">
        <w:r w:rsidRPr="00FF3430">
          <w:rPr>
            <w:rStyle w:val="Hipervnculo"/>
            <w:noProof/>
          </w:rPr>
          <w:t>V.2. Gastuak</w:t>
        </w:r>
        <w:r>
          <w:rPr>
            <w:noProof/>
            <w:webHidden/>
          </w:rPr>
          <w:tab/>
        </w:r>
        <w:r>
          <w:rPr>
            <w:noProof/>
            <w:webHidden/>
          </w:rPr>
          <w:fldChar w:fldCharType="begin"/>
        </w:r>
        <w:r>
          <w:rPr>
            <w:noProof/>
            <w:webHidden/>
          </w:rPr>
          <w:instrText xml:space="preserve"> PAGEREF _Toc94871724 \h </w:instrText>
        </w:r>
        <w:r>
          <w:rPr>
            <w:noProof/>
            <w:webHidden/>
          </w:rPr>
        </w:r>
        <w:r>
          <w:rPr>
            <w:noProof/>
            <w:webHidden/>
          </w:rPr>
          <w:fldChar w:fldCharType="separate"/>
        </w:r>
        <w:r>
          <w:rPr>
            <w:noProof/>
            <w:webHidden/>
          </w:rPr>
          <w:t>16</w:t>
        </w:r>
        <w:r>
          <w:rPr>
            <w:noProof/>
            <w:webHidden/>
          </w:rPr>
          <w:fldChar w:fldCharType="end"/>
        </w:r>
      </w:hyperlink>
    </w:p>
    <w:p w14:paraId="3A1D2AE2" w14:textId="4D3DB6C2" w:rsidR="00FF1E4E" w:rsidRDefault="00FF1E4E">
      <w:pPr>
        <w:pStyle w:val="TDC2"/>
        <w:rPr>
          <w:rFonts w:asciiTheme="minorHAnsi" w:eastAsiaTheme="minorEastAsia" w:hAnsiTheme="minorHAnsi" w:cstheme="minorBidi"/>
          <w:noProof/>
          <w:szCs w:val="22"/>
          <w:lang w:val="es-ES" w:eastAsia="es-ES"/>
        </w:rPr>
      </w:pPr>
      <w:hyperlink w:anchor="_Toc94871725" w:history="1">
        <w:r w:rsidRPr="00FF3430">
          <w:rPr>
            <w:rStyle w:val="Hipervnculo"/>
            <w:noProof/>
          </w:rPr>
          <w:t>V.3. Adierazleak</w:t>
        </w:r>
        <w:r>
          <w:rPr>
            <w:noProof/>
            <w:webHidden/>
          </w:rPr>
          <w:tab/>
        </w:r>
        <w:r>
          <w:rPr>
            <w:noProof/>
            <w:webHidden/>
          </w:rPr>
          <w:fldChar w:fldCharType="begin"/>
        </w:r>
        <w:r>
          <w:rPr>
            <w:noProof/>
            <w:webHidden/>
          </w:rPr>
          <w:instrText xml:space="preserve"> PAGEREF _Toc94871725 \h </w:instrText>
        </w:r>
        <w:r>
          <w:rPr>
            <w:noProof/>
            <w:webHidden/>
          </w:rPr>
        </w:r>
        <w:r>
          <w:rPr>
            <w:noProof/>
            <w:webHidden/>
          </w:rPr>
          <w:fldChar w:fldCharType="separate"/>
        </w:r>
        <w:r>
          <w:rPr>
            <w:noProof/>
            <w:webHidden/>
          </w:rPr>
          <w:t>19</w:t>
        </w:r>
        <w:r>
          <w:rPr>
            <w:noProof/>
            <w:webHidden/>
          </w:rPr>
          <w:fldChar w:fldCharType="end"/>
        </w:r>
      </w:hyperlink>
    </w:p>
    <w:p w14:paraId="0C02EE8E" w14:textId="5E875591" w:rsidR="00FF1E4E" w:rsidRDefault="00FF1E4E">
      <w:pPr>
        <w:pStyle w:val="TDC2"/>
        <w:rPr>
          <w:rFonts w:asciiTheme="minorHAnsi" w:eastAsiaTheme="minorEastAsia" w:hAnsiTheme="minorHAnsi" w:cstheme="minorBidi"/>
          <w:noProof/>
          <w:szCs w:val="22"/>
          <w:lang w:val="es-ES" w:eastAsia="es-ES"/>
        </w:rPr>
      </w:pPr>
      <w:hyperlink w:anchor="_Toc94871726" w:history="1">
        <w:r w:rsidRPr="00FF3430">
          <w:rPr>
            <w:rStyle w:val="Hipervnculo"/>
            <w:noProof/>
          </w:rPr>
          <w:t>V.4. Aurrekontu-egonkortasuneko eta finantza-iraunkortasuneko helburuak</w:t>
        </w:r>
        <w:r>
          <w:rPr>
            <w:noProof/>
            <w:webHidden/>
          </w:rPr>
          <w:tab/>
        </w:r>
        <w:r>
          <w:rPr>
            <w:noProof/>
            <w:webHidden/>
          </w:rPr>
          <w:fldChar w:fldCharType="begin"/>
        </w:r>
        <w:r>
          <w:rPr>
            <w:noProof/>
            <w:webHidden/>
          </w:rPr>
          <w:instrText xml:space="preserve"> PAGEREF _Toc94871726 \h </w:instrText>
        </w:r>
        <w:r>
          <w:rPr>
            <w:noProof/>
            <w:webHidden/>
          </w:rPr>
        </w:r>
        <w:r>
          <w:rPr>
            <w:noProof/>
            <w:webHidden/>
          </w:rPr>
          <w:fldChar w:fldCharType="separate"/>
        </w:r>
        <w:r>
          <w:rPr>
            <w:noProof/>
            <w:webHidden/>
          </w:rPr>
          <w:t>20</w:t>
        </w:r>
        <w:r>
          <w:rPr>
            <w:noProof/>
            <w:webHidden/>
          </w:rPr>
          <w:fldChar w:fldCharType="end"/>
        </w:r>
      </w:hyperlink>
    </w:p>
    <w:p w14:paraId="678677E1" w14:textId="18CBF73F" w:rsidR="00FF1E4E" w:rsidRDefault="00FF1E4E">
      <w:pPr>
        <w:pStyle w:val="TDC1"/>
        <w:rPr>
          <w:rFonts w:asciiTheme="minorHAnsi" w:eastAsiaTheme="minorEastAsia" w:hAnsiTheme="minorHAnsi" w:cstheme="minorBidi"/>
          <w:smallCaps w:val="0"/>
          <w:noProof/>
          <w:szCs w:val="22"/>
          <w:lang w:val="es-ES" w:eastAsia="es-ES"/>
        </w:rPr>
      </w:pPr>
      <w:hyperlink w:anchor="_Toc94871727" w:history="1">
        <w:r w:rsidRPr="00FF3430">
          <w:rPr>
            <w:rStyle w:val="Hipervnculo"/>
            <w:noProof/>
          </w:rPr>
          <w:t>VI. Kontratazio administratiboa</w:t>
        </w:r>
        <w:r>
          <w:rPr>
            <w:noProof/>
            <w:webHidden/>
          </w:rPr>
          <w:tab/>
        </w:r>
        <w:r>
          <w:rPr>
            <w:noProof/>
            <w:webHidden/>
          </w:rPr>
          <w:fldChar w:fldCharType="begin"/>
        </w:r>
        <w:r>
          <w:rPr>
            <w:noProof/>
            <w:webHidden/>
          </w:rPr>
          <w:instrText xml:space="preserve"> PAGEREF _Toc94871727 \h </w:instrText>
        </w:r>
        <w:r>
          <w:rPr>
            <w:noProof/>
            <w:webHidden/>
          </w:rPr>
        </w:r>
        <w:r>
          <w:rPr>
            <w:noProof/>
            <w:webHidden/>
          </w:rPr>
          <w:fldChar w:fldCharType="separate"/>
        </w:r>
        <w:r>
          <w:rPr>
            <w:noProof/>
            <w:webHidden/>
          </w:rPr>
          <w:t>22</w:t>
        </w:r>
        <w:r>
          <w:rPr>
            <w:noProof/>
            <w:webHidden/>
          </w:rPr>
          <w:fldChar w:fldCharType="end"/>
        </w:r>
      </w:hyperlink>
    </w:p>
    <w:p w14:paraId="2CB1D8B8" w14:textId="34B1D80C" w:rsidR="00FF1E4E" w:rsidRDefault="00FF1E4E">
      <w:pPr>
        <w:pStyle w:val="TDC1"/>
        <w:rPr>
          <w:rFonts w:asciiTheme="minorHAnsi" w:eastAsiaTheme="minorEastAsia" w:hAnsiTheme="minorHAnsi" w:cstheme="minorBidi"/>
          <w:smallCaps w:val="0"/>
          <w:noProof/>
          <w:szCs w:val="22"/>
          <w:lang w:val="es-ES" w:eastAsia="es-ES"/>
        </w:rPr>
      </w:pPr>
      <w:hyperlink w:anchor="_Toc94871728" w:history="1">
        <w:r w:rsidRPr="00FF3430">
          <w:rPr>
            <w:rStyle w:val="Hipervnculo"/>
            <w:noProof/>
          </w:rPr>
          <w:t>VII. Nafarroako udalen, EAEkoen eta Estatukoen arteko konparazioa zenbait adierazleri erreparatuta</w:t>
        </w:r>
        <w:r>
          <w:rPr>
            <w:noProof/>
            <w:webHidden/>
          </w:rPr>
          <w:tab/>
        </w:r>
        <w:r>
          <w:rPr>
            <w:noProof/>
            <w:webHidden/>
          </w:rPr>
          <w:fldChar w:fldCharType="begin"/>
        </w:r>
        <w:r>
          <w:rPr>
            <w:noProof/>
            <w:webHidden/>
          </w:rPr>
          <w:instrText xml:space="preserve"> PAGEREF _Toc94871728 \h </w:instrText>
        </w:r>
        <w:r>
          <w:rPr>
            <w:noProof/>
            <w:webHidden/>
          </w:rPr>
        </w:r>
        <w:r>
          <w:rPr>
            <w:noProof/>
            <w:webHidden/>
          </w:rPr>
          <w:fldChar w:fldCharType="separate"/>
        </w:r>
        <w:r>
          <w:rPr>
            <w:noProof/>
            <w:webHidden/>
          </w:rPr>
          <w:t>25</w:t>
        </w:r>
        <w:r>
          <w:rPr>
            <w:noProof/>
            <w:webHidden/>
          </w:rPr>
          <w:fldChar w:fldCharType="end"/>
        </w:r>
      </w:hyperlink>
    </w:p>
    <w:p w14:paraId="3DD3C67D" w14:textId="79CE4AB9" w:rsidR="00FF1E4E" w:rsidRDefault="00FF1E4E">
      <w:pPr>
        <w:pStyle w:val="TDC1"/>
        <w:rPr>
          <w:rFonts w:asciiTheme="minorHAnsi" w:eastAsiaTheme="minorEastAsia" w:hAnsiTheme="minorHAnsi" w:cstheme="minorBidi"/>
          <w:smallCaps w:val="0"/>
          <w:noProof/>
          <w:szCs w:val="22"/>
          <w:lang w:val="es-ES" w:eastAsia="es-ES"/>
        </w:rPr>
      </w:pPr>
      <w:hyperlink w:anchor="_Toc94871729" w:history="1">
        <w:r w:rsidRPr="00FF3430">
          <w:rPr>
            <w:rStyle w:val="Hipervnculo"/>
            <w:noProof/>
          </w:rPr>
          <w:t>VIII. Konklusioak eta gomendioak</w:t>
        </w:r>
        <w:r>
          <w:rPr>
            <w:noProof/>
            <w:webHidden/>
          </w:rPr>
          <w:tab/>
        </w:r>
        <w:r>
          <w:rPr>
            <w:noProof/>
            <w:webHidden/>
          </w:rPr>
          <w:fldChar w:fldCharType="begin"/>
        </w:r>
        <w:r>
          <w:rPr>
            <w:noProof/>
            <w:webHidden/>
          </w:rPr>
          <w:instrText xml:space="preserve"> PAGEREF _Toc94871729 \h </w:instrText>
        </w:r>
        <w:r>
          <w:rPr>
            <w:noProof/>
            <w:webHidden/>
          </w:rPr>
        </w:r>
        <w:r>
          <w:rPr>
            <w:noProof/>
            <w:webHidden/>
          </w:rPr>
          <w:fldChar w:fldCharType="separate"/>
        </w:r>
        <w:r>
          <w:rPr>
            <w:noProof/>
            <w:webHidden/>
          </w:rPr>
          <w:t>29</w:t>
        </w:r>
        <w:r>
          <w:rPr>
            <w:noProof/>
            <w:webHidden/>
          </w:rPr>
          <w:fldChar w:fldCharType="end"/>
        </w:r>
      </w:hyperlink>
    </w:p>
    <w:p w14:paraId="0072735E" w14:textId="516D3C36" w:rsidR="00FF1E4E" w:rsidRDefault="00FF1E4E">
      <w:pPr>
        <w:pStyle w:val="TDC1"/>
        <w:rPr>
          <w:rFonts w:asciiTheme="minorHAnsi" w:eastAsiaTheme="minorEastAsia" w:hAnsiTheme="minorHAnsi" w:cstheme="minorBidi"/>
          <w:smallCaps w:val="0"/>
          <w:noProof/>
          <w:szCs w:val="22"/>
          <w:lang w:val="es-ES" w:eastAsia="es-ES"/>
        </w:rPr>
      </w:pPr>
      <w:hyperlink w:anchor="_Toc94871730" w:history="1">
        <w:r w:rsidRPr="00FF3430">
          <w:rPr>
            <w:rStyle w:val="Hipervnculo"/>
            <w:noProof/>
          </w:rPr>
          <w:t>1. eranskina Toki entitateei 2019ko ekitaldian aplikatzekoa zaien araudia</w:t>
        </w:r>
        <w:r>
          <w:rPr>
            <w:noProof/>
            <w:webHidden/>
          </w:rPr>
          <w:tab/>
        </w:r>
        <w:r>
          <w:rPr>
            <w:noProof/>
            <w:webHidden/>
          </w:rPr>
          <w:fldChar w:fldCharType="begin"/>
        </w:r>
        <w:r>
          <w:rPr>
            <w:noProof/>
            <w:webHidden/>
          </w:rPr>
          <w:instrText xml:space="preserve"> PAGEREF _Toc94871730 \h </w:instrText>
        </w:r>
        <w:r>
          <w:rPr>
            <w:noProof/>
            <w:webHidden/>
          </w:rPr>
        </w:r>
        <w:r>
          <w:rPr>
            <w:noProof/>
            <w:webHidden/>
          </w:rPr>
          <w:fldChar w:fldCharType="separate"/>
        </w:r>
        <w:r>
          <w:rPr>
            <w:noProof/>
            <w:webHidden/>
          </w:rPr>
          <w:t>34</w:t>
        </w:r>
        <w:r>
          <w:rPr>
            <w:noProof/>
            <w:webHidden/>
          </w:rPr>
          <w:fldChar w:fldCharType="end"/>
        </w:r>
      </w:hyperlink>
    </w:p>
    <w:p w14:paraId="41C09B57" w14:textId="727D1CCD" w:rsidR="00FF1E4E" w:rsidRDefault="00FF1E4E">
      <w:pPr>
        <w:pStyle w:val="TDC1"/>
        <w:rPr>
          <w:rFonts w:asciiTheme="minorHAnsi" w:eastAsiaTheme="minorEastAsia" w:hAnsiTheme="minorHAnsi" w:cstheme="minorBidi"/>
          <w:smallCaps w:val="0"/>
          <w:noProof/>
          <w:szCs w:val="22"/>
          <w:lang w:val="es-ES" w:eastAsia="es-ES"/>
        </w:rPr>
      </w:pPr>
      <w:hyperlink w:anchor="_Toc94871731" w:history="1">
        <w:r w:rsidRPr="00FF3430">
          <w:rPr>
            <w:rStyle w:val="Hipervnculo"/>
            <w:noProof/>
          </w:rPr>
          <w:t>2. eranskina Nafarroako toki sektore publikoaren finantza egoera 2019an</w:t>
        </w:r>
        <w:r>
          <w:rPr>
            <w:noProof/>
            <w:webHidden/>
          </w:rPr>
          <w:tab/>
        </w:r>
        <w:r>
          <w:rPr>
            <w:noProof/>
            <w:webHidden/>
          </w:rPr>
          <w:fldChar w:fldCharType="begin"/>
        </w:r>
        <w:r>
          <w:rPr>
            <w:noProof/>
            <w:webHidden/>
          </w:rPr>
          <w:instrText xml:space="preserve"> PAGEREF _Toc94871731 \h </w:instrText>
        </w:r>
        <w:r>
          <w:rPr>
            <w:noProof/>
            <w:webHidden/>
          </w:rPr>
        </w:r>
        <w:r>
          <w:rPr>
            <w:noProof/>
            <w:webHidden/>
          </w:rPr>
          <w:fldChar w:fldCharType="separate"/>
        </w:r>
        <w:r>
          <w:rPr>
            <w:noProof/>
            <w:webHidden/>
          </w:rPr>
          <w:t>40</w:t>
        </w:r>
        <w:r>
          <w:rPr>
            <w:noProof/>
            <w:webHidden/>
          </w:rPr>
          <w:fldChar w:fldCharType="end"/>
        </w:r>
      </w:hyperlink>
    </w:p>
    <w:p w14:paraId="69B396BC" w14:textId="1514294F" w:rsidR="00891D73" w:rsidRDefault="0085380F" w:rsidP="0085380F">
      <w:pPr>
        <w:pStyle w:val="texto"/>
      </w:pPr>
      <w:r w:rsidRPr="00783F1C">
        <w:fldChar w:fldCharType="end"/>
      </w:r>
    </w:p>
    <w:p w14:paraId="29AA99A4" w14:textId="77777777" w:rsidR="00891D73" w:rsidRPr="00E703B6" w:rsidRDefault="00891D73" w:rsidP="00E703B6"/>
    <w:p w14:paraId="10D4FF46"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5651D9F9" w14:textId="77777777" w:rsidR="0088085F" w:rsidRPr="00B81E61" w:rsidRDefault="001728D0" w:rsidP="0088085F">
      <w:pPr>
        <w:pStyle w:val="atitulo1"/>
        <w:rPr>
          <w:color w:val="000000" w:themeColor="text1"/>
        </w:rPr>
      </w:pPr>
      <w:r>
        <w:lastRenderedPageBreak/>
        <w:t xml:space="preserve"> </w:t>
      </w:r>
      <w:bookmarkStart w:id="0" w:name="_Toc291067874"/>
      <w:bookmarkStart w:id="1" w:name="_Toc121293081"/>
      <w:bookmarkStart w:id="2" w:name="_Toc121292758"/>
      <w:bookmarkStart w:id="3" w:name="_Toc399916257"/>
      <w:bookmarkStart w:id="4" w:name="_Toc465686680"/>
      <w:bookmarkStart w:id="5" w:name="_Toc529773874"/>
      <w:bookmarkStart w:id="6" w:name="_Toc24100135"/>
      <w:bookmarkStart w:id="7" w:name="_Toc52348283"/>
      <w:bookmarkStart w:id="8" w:name="_Toc89161260"/>
      <w:bookmarkStart w:id="9" w:name="_Toc94871715"/>
      <w:r>
        <w:rPr>
          <w:color w:val="000000" w:themeColor="text1"/>
        </w:rPr>
        <w:t>I. Sarrera</w:t>
      </w:r>
      <w:bookmarkEnd w:id="0"/>
      <w:bookmarkEnd w:id="1"/>
      <w:bookmarkEnd w:id="2"/>
      <w:bookmarkEnd w:id="3"/>
      <w:bookmarkEnd w:id="4"/>
      <w:bookmarkEnd w:id="5"/>
      <w:bookmarkEnd w:id="6"/>
      <w:bookmarkEnd w:id="7"/>
      <w:bookmarkEnd w:id="8"/>
      <w:bookmarkEnd w:id="9"/>
    </w:p>
    <w:p w14:paraId="1D24127B" w14:textId="77777777" w:rsidR="0088085F" w:rsidRPr="00C13CE1" w:rsidRDefault="0088085F" w:rsidP="0088085F">
      <w:pPr>
        <w:pStyle w:val="texto"/>
      </w:pPr>
      <w:r>
        <w:t>Nafarroako toki sektore publikoari buruzko txostena egin da Kontuen Ganberari buruzko abenduaren 20ko 19/1984 Foru Legearekin bat, eta Nafarroako Toki Administrazioari buruzko uztailaren 2ko 6/1990 Foru Legea betez. Hala, foru lege horren 350.2 artikuluaren arabera, nahitaezkoa da Kontuen Ganberaren kontrol eta fiskalizazio jardueren laburpen-txostena bidaltzea, urtero, Nafarroako Gobernura eta Parlamentura, Nafarroako toki entitateen eremuan.</w:t>
      </w:r>
    </w:p>
    <w:p w14:paraId="0BE5B72D" w14:textId="77777777" w:rsidR="0088085F" w:rsidRPr="009A521B" w:rsidRDefault="0088085F" w:rsidP="0088085F">
      <w:pPr>
        <w:pStyle w:val="texto"/>
        <w:rPr>
          <w:color w:val="000000" w:themeColor="text1"/>
        </w:rPr>
      </w:pPr>
      <w:r>
        <w:t xml:space="preserve">2019ko ekitaldiari buruzko txostena ezin izan da lehenago egin, Toki Ogasunei buruzko martxoaren 10eko 2/1995 Foru Legeak toki entitateek ekitaldi bakoitzeko kontu orokorra onetsi eta Gobernuari igortzeko ezarritako epeak eta </w:t>
      </w:r>
      <w:r>
        <w:rPr>
          <w:color w:val="000000" w:themeColor="text1"/>
        </w:rPr>
        <w:t>informazio horren tratamenduaren konplexutasuna direla-eta.</w:t>
      </w:r>
    </w:p>
    <w:p w14:paraId="06B0FF8F" w14:textId="77777777" w:rsidR="0088085F" w:rsidRPr="00262228" w:rsidRDefault="0088085F" w:rsidP="0088085F">
      <w:pPr>
        <w:pStyle w:val="texto"/>
      </w:pPr>
      <w:r>
        <w:t xml:space="preserve">Txostenak zortzi atal ditu, sarrera hau barne. Bigarrenean, toki sektore publikoaren antolamendu-egitura eta 2019an onetsitako arau nagusiak erakusten ditugu.  Hirugarrenean, egindako lanaren helburuak, norainokoa eta mugak erakusten ditugu. Laugarren ataletik zazpigarrenera bitartekoetan 2019. urteari buruzko honako alderdi hauek jaso dira: Kontuen Ganberak toki sektore publikoari buruz egindako fiskalizazio-jarduketen oroitidazkia, haren finantza-egoera, toki entitateen kontratazio administratiboa, eta adierazle multzo bat erabiliz Nafarroako udalak Euskal Autonomia Erkidegokoekin eta Estatuko gainerakoekin alderatzen dituen analisia. Azken epigrafeak egindako lanetik ateratako konklusioak eta gomendioak jasotzen ditu. </w:t>
      </w:r>
    </w:p>
    <w:p w14:paraId="4F48CBFE" w14:textId="77777777" w:rsidR="0088085F" w:rsidRPr="00262228" w:rsidRDefault="0088085F" w:rsidP="0088085F">
      <w:pPr>
        <w:pStyle w:val="texto"/>
      </w:pPr>
      <w:r>
        <w:t>Txostenarekin batera, gainera, bi eranskin badaude, honako hauek biltzen dituztenak: Nafarroako toki entitateei 2019an aplikatzekoa zaion araudia eta toki sektore publikoaren 2019ko finantza egoerari buruz Nafarroako Gobernuko Toki Administrazioaren eta Despopulazioaren Zuzendaritza Nagusiak egindako txostena.</w:t>
      </w:r>
    </w:p>
    <w:p w14:paraId="36C6AE35" w14:textId="77777777" w:rsidR="0088085F" w:rsidRPr="00262228" w:rsidRDefault="0088085F" w:rsidP="0088085F">
      <w:pPr>
        <w:pStyle w:val="texto"/>
      </w:pPr>
      <w:r>
        <w:t xml:space="preserve">Lana 2021eko azaroan egin zuen auditoretzako teknikari batek eta </w:t>
      </w:r>
      <w:proofErr w:type="spellStart"/>
      <w:r>
        <w:t>auditore</w:t>
      </w:r>
      <w:proofErr w:type="spellEnd"/>
      <w:r>
        <w:t xml:space="preserve"> batek osatutako lantaldeak, Kontuen Ganberaren zerbitzu juridikoekin, informatikoekin eta administratiboekin lankidetzan.</w:t>
      </w:r>
    </w:p>
    <w:p w14:paraId="7F160669" w14:textId="77777777" w:rsidR="0088085F" w:rsidRPr="00262228" w:rsidRDefault="0088085F" w:rsidP="0088085F">
      <w:pPr>
        <w:pStyle w:val="texto"/>
      </w:pPr>
      <w:r>
        <w:t xml:space="preserve">Eskerrak eman nahi dizkiegu Nafarroako toki entitateetako, Toki Administrazioaren eta Despopulazioaren Zuzendaritza Nagusiko eta Nafarroako Udal eta Kontzejuen Federazioko langileei, lan hau egiteko emandako laguntzarengatik. </w:t>
      </w:r>
    </w:p>
    <w:p w14:paraId="0B00DE36" w14:textId="77777777" w:rsidR="0088085F" w:rsidRPr="00B81E61" w:rsidRDefault="0088085F" w:rsidP="0088085F">
      <w:pPr>
        <w:autoSpaceDE w:val="0"/>
        <w:autoSpaceDN w:val="0"/>
        <w:adjustRightInd w:val="0"/>
        <w:spacing w:after="0"/>
        <w:ind w:firstLine="0"/>
        <w:rPr>
          <w:color w:val="000000" w:themeColor="text1"/>
        </w:rPr>
      </w:pPr>
      <w:r>
        <w:br w:type="page"/>
      </w:r>
    </w:p>
    <w:p w14:paraId="3B597F08" w14:textId="77777777" w:rsidR="0088085F" w:rsidRPr="00B81E61" w:rsidRDefault="0088085F" w:rsidP="0088085F">
      <w:pPr>
        <w:pStyle w:val="atitulo1"/>
        <w:rPr>
          <w:color w:val="000000" w:themeColor="text1"/>
        </w:rPr>
      </w:pPr>
      <w:bookmarkStart w:id="10" w:name="_Toc311633164"/>
      <w:bookmarkStart w:id="11" w:name="_Toc311633173"/>
      <w:bookmarkStart w:id="12" w:name="_Toc399916259"/>
      <w:bookmarkStart w:id="13" w:name="_Toc465686682"/>
      <w:bookmarkStart w:id="14" w:name="_Toc529773876"/>
      <w:bookmarkStart w:id="15" w:name="_Toc24100136"/>
      <w:bookmarkStart w:id="16" w:name="_Toc52348284"/>
      <w:bookmarkStart w:id="17" w:name="_Toc89161261"/>
      <w:bookmarkStart w:id="18" w:name="_Toc94871716"/>
      <w:r>
        <w:rPr>
          <w:color w:val="000000" w:themeColor="text1"/>
        </w:rPr>
        <w:lastRenderedPageBreak/>
        <w:t>II. Toki sektore publikoaren antolaketa-egitura eta araudia</w:t>
      </w:r>
      <w:bookmarkEnd w:id="10"/>
      <w:bookmarkEnd w:id="11"/>
      <w:bookmarkEnd w:id="12"/>
      <w:bookmarkEnd w:id="13"/>
      <w:bookmarkEnd w:id="14"/>
      <w:bookmarkEnd w:id="15"/>
      <w:bookmarkEnd w:id="16"/>
      <w:bookmarkEnd w:id="17"/>
      <w:bookmarkEnd w:id="18"/>
    </w:p>
    <w:p w14:paraId="736B1F55" w14:textId="77777777" w:rsidR="0088085F" w:rsidRPr="00B81E61" w:rsidRDefault="0088085F" w:rsidP="0088085F">
      <w:pPr>
        <w:pStyle w:val="atitulo2"/>
        <w:rPr>
          <w:color w:val="000000" w:themeColor="text1"/>
        </w:rPr>
      </w:pPr>
      <w:bookmarkStart w:id="19" w:name="_Toc291067877"/>
      <w:bookmarkStart w:id="20" w:name="_Toc399916260"/>
      <w:bookmarkStart w:id="21" w:name="_Toc465686683"/>
      <w:bookmarkStart w:id="22" w:name="_Toc529773877"/>
      <w:bookmarkStart w:id="23" w:name="_Toc531088343"/>
      <w:bookmarkStart w:id="24" w:name="_Toc24100137"/>
      <w:bookmarkStart w:id="25" w:name="_Toc52348285"/>
      <w:bookmarkStart w:id="26" w:name="_Toc89161262"/>
      <w:bookmarkStart w:id="27" w:name="_Toc94871717"/>
      <w:r>
        <w:rPr>
          <w:color w:val="000000" w:themeColor="text1"/>
        </w:rPr>
        <w:t>II.1. Antolaketa-egitura</w:t>
      </w:r>
      <w:bookmarkEnd w:id="19"/>
      <w:bookmarkEnd w:id="20"/>
      <w:bookmarkEnd w:id="21"/>
      <w:bookmarkEnd w:id="22"/>
      <w:bookmarkEnd w:id="23"/>
      <w:bookmarkEnd w:id="24"/>
      <w:bookmarkEnd w:id="25"/>
      <w:bookmarkEnd w:id="26"/>
      <w:bookmarkEnd w:id="27"/>
    </w:p>
    <w:p w14:paraId="6F9E0061" w14:textId="77777777" w:rsidR="0088085F" w:rsidRPr="00262228" w:rsidRDefault="0088085F" w:rsidP="0088085F">
      <w:pPr>
        <w:pStyle w:val="texto"/>
      </w:pPr>
      <w:r>
        <w:t>Nafarroako Toki Administrazioari buruzko uztailaren 2ko 6/1990 Foru Legean ezarritakoarekin bat antolatzen da toki sektore publikoa.</w:t>
      </w:r>
    </w:p>
    <w:p w14:paraId="1B8176DC" w14:textId="77777777" w:rsidR="0088085F" w:rsidRPr="00262228" w:rsidRDefault="0088085F" w:rsidP="0088085F">
      <w:pPr>
        <w:pStyle w:val="texto"/>
      </w:pPr>
      <w:r>
        <w:t>Udalak dira lurralde-antolamenduaren oinarrizko toki entitateak. Horiez gain, 2019. urtean toki entitatetzat jo dira honako hauek:</w:t>
      </w:r>
    </w:p>
    <w:p w14:paraId="50B9A5DF"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Kontzejuak: udal baten dermioaren barrenean kokaturiko toki entitateak dira, hark baino populazio eta lurralde esparru txikiagoa dutenak.</w:t>
      </w:r>
    </w:p>
    <w:p w14:paraId="7D1D2E9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Herri ondasunen titular edo administratzaile diren korporazio tradizionalak: Errege Bardearen Komunitatea, Aezkoa Ibarreko Komunitatea, Erronkari Ibarreko Mankomunitatea, Zaraitzu Ibarreko Unibertsitatea eta gainerako korporazioak.</w:t>
      </w:r>
    </w:p>
    <w:p w14:paraId="6390EA69" w14:textId="77777777" w:rsidR="0088085F"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Mankomunitateak edo zenbait udalen batasunak, obrak elkarrekin egiteko eta zerbitzu jakin batzuk emateko.</w:t>
      </w:r>
    </w:p>
    <w:p w14:paraId="497DA7B8" w14:textId="77777777" w:rsidR="004868B2" w:rsidRDefault="004868B2" w:rsidP="00CE5750">
      <w:pPr>
        <w:numPr>
          <w:ilvl w:val="0"/>
          <w:numId w:val="2"/>
        </w:numPr>
        <w:tabs>
          <w:tab w:val="clear" w:pos="502"/>
          <w:tab w:val="left" w:pos="480"/>
          <w:tab w:val="num" w:pos="720"/>
          <w:tab w:val="num" w:pos="6597"/>
        </w:tabs>
        <w:ind w:left="0" w:firstLine="289"/>
        <w:rPr>
          <w:spacing w:val="6"/>
          <w:sz w:val="26"/>
          <w:szCs w:val="26"/>
        </w:rPr>
      </w:pPr>
      <w:r>
        <w:rPr>
          <w:sz w:val="26"/>
          <w:szCs w:val="26"/>
        </w:rPr>
        <w:t>Eskualdeak: udalaz gaindiko toki entitateak, zerbitzuak emateko eta udalaz gaindiko eremuko jarduerak kudeatzeko.</w:t>
      </w:r>
    </w:p>
    <w:p w14:paraId="7498150F" w14:textId="77777777" w:rsidR="004868B2" w:rsidRPr="00CE5750" w:rsidRDefault="004868B2" w:rsidP="00CE5750">
      <w:pPr>
        <w:numPr>
          <w:ilvl w:val="0"/>
          <w:numId w:val="2"/>
        </w:numPr>
        <w:tabs>
          <w:tab w:val="clear" w:pos="502"/>
          <w:tab w:val="left" w:pos="480"/>
          <w:tab w:val="num" w:pos="720"/>
          <w:tab w:val="num" w:pos="6597"/>
        </w:tabs>
        <w:ind w:left="0" w:firstLine="289"/>
        <w:rPr>
          <w:spacing w:val="6"/>
          <w:sz w:val="26"/>
          <w:szCs w:val="26"/>
        </w:rPr>
      </w:pPr>
      <w:r>
        <w:rPr>
          <w:sz w:val="26"/>
          <w:szCs w:val="26"/>
        </w:rPr>
        <w:t>Plangintza orokorreko mankomunitateak, toki entitateen eskumeneko zerbitzuen ematea koordinatzeko.</w:t>
      </w:r>
    </w:p>
    <w:p w14:paraId="096CCAC7" w14:textId="77777777" w:rsidR="0088085F" w:rsidRPr="00262228" w:rsidRDefault="0088085F" w:rsidP="00262228">
      <w:pPr>
        <w:pStyle w:val="texto"/>
      </w:pPr>
      <w:r>
        <w:t>Nafarroako Toki Administrazioaren Erreformarako otsailaren 4ko 4/2019 Foru Legea onetsi izanak berekin ekarri du partzuergoak toki entitate gisa desagertzea, eta horrekin bete egin da Nafarroako Foru Komunitateak Estatuarekin 2015ean hartutako konpromisoa. Era berean, foru lege horrek administrazio barrutiak eta udal batasunak ezabatzen ditu, baina azken horiek eskualdeak sortu arte iraunen dute.</w:t>
      </w:r>
    </w:p>
    <w:p w14:paraId="2DABDE2E" w14:textId="77777777" w:rsidR="0088085F" w:rsidRPr="00B81E61" w:rsidRDefault="0088085F" w:rsidP="0088085F">
      <w:pPr>
        <w:spacing w:after="0"/>
        <w:ind w:firstLine="0"/>
        <w:jc w:val="left"/>
        <w:rPr>
          <w:color w:val="000000" w:themeColor="text1"/>
          <w:spacing w:val="6"/>
          <w:sz w:val="26"/>
          <w:szCs w:val="24"/>
        </w:rPr>
      </w:pPr>
      <w:r>
        <w:br w:type="page"/>
      </w:r>
    </w:p>
    <w:p w14:paraId="357752CB" w14:textId="77777777" w:rsidR="0088085F" w:rsidRPr="00262228" w:rsidRDefault="0088085F" w:rsidP="00C762E6">
      <w:pPr>
        <w:pStyle w:val="texto"/>
        <w:spacing w:after="240"/>
      </w:pPr>
      <w:r>
        <w:lastRenderedPageBreak/>
        <w:t>Honako hau da toki entitateen kopurua, 2019ko abenduaren 31n, aurreko urteetako toki entitateen kopuruarekin alderatuta:</w:t>
      </w:r>
    </w:p>
    <w:tbl>
      <w:tblPr>
        <w:tblW w:w="5000" w:type="pct"/>
        <w:jc w:val="center"/>
        <w:tblCellMar>
          <w:left w:w="70" w:type="dxa"/>
          <w:right w:w="70" w:type="dxa"/>
        </w:tblCellMar>
        <w:tblLook w:val="04A0" w:firstRow="1" w:lastRow="0" w:firstColumn="1" w:lastColumn="0" w:noHBand="0" w:noVBand="1"/>
      </w:tblPr>
      <w:tblGrid>
        <w:gridCol w:w="2803"/>
        <w:gridCol w:w="1600"/>
        <w:gridCol w:w="1093"/>
        <w:gridCol w:w="1079"/>
        <w:gridCol w:w="1136"/>
        <w:gridCol w:w="1078"/>
      </w:tblGrid>
      <w:tr w:rsidR="00D54D57" w:rsidRPr="00C762E6" w14:paraId="72BFD932" w14:textId="77777777" w:rsidTr="00F4617C">
        <w:trPr>
          <w:trHeight w:val="255"/>
          <w:jc w:val="center"/>
        </w:trPr>
        <w:tc>
          <w:tcPr>
            <w:tcW w:w="1595" w:type="pct"/>
            <w:tcBorders>
              <w:top w:val="single" w:sz="4" w:space="0" w:color="auto"/>
              <w:left w:val="nil"/>
              <w:bottom w:val="single" w:sz="4" w:space="0" w:color="auto"/>
              <w:right w:val="nil"/>
            </w:tcBorders>
            <w:shd w:val="clear" w:color="auto" w:fill="FABF8F" w:themeFill="accent6" w:themeFillTint="99"/>
            <w:vAlign w:val="center"/>
            <w:hideMark/>
          </w:tcPr>
          <w:p w14:paraId="3DB0058C" w14:textId="77777777" w:rsidR="0088085F" w:rsidRPr="00C762E6" w:rsidRDefault="0088085F" w:rsidP="00C762E6">
            <w:pPr>
              <w:pStyle w:val="cuadroCabe"/>
              <w:spacing w:line="240" w:lineRule="auto"/>
              <w:jc w:val="left"/>
            </w:pPr>
            <w:r>
              <w:t>Toki entitatea</w:t>
            </w:r>
          </w:p>
        </w:tc>
        <w:tc>
          <w:tcPr>
            <w:tcW w:w="910" w:type="pct"/>
            <w:tcBorders>
              <w:top w:val="single" w:sz="4" w:space="0" w:color="auto"/>
              <w:left w:val="nil"/>
              <w:bottom w:val="single" w:sz="4" w:space="0" w:color="auto"/>
              <w:right w:val="nil"/>
            </w:tcBorders>
            <w:shd w:val="clear" w:color="auto" w:fill="FABF8F" w:themeFill="accent6" w:themeFillTint="99"/>
            <w:vAlign w:val="center"/>
          </w:tcPr>
          <w:p w14:paraId="24D1907F" w14:textId="77777777" w:rsidR="0088085F" w:rsidRPr="00C762E6" w:rsidRDefault="0088085F" w:rsidP="00C762E6">
            <w:pPr>
              <w:pStyle w:val="cuadroCabe"/>
              <w:spacing w:line="240" w:lineRule="auto"/>
              <w:jc w:val="right"/>
            </w:pPr>
            <w:r>
              <w:t>2015</w:t>
            </w:r>
          </w:p>
        </w:tc>
        <w:tc>
          <w:tcPr>
            <w:tcW w:w="622" w:type="pct"/>
            <w:tcBorders>
              <w:top w:val="single" w:sz="4" w:space="0" w:color="auto"/>
              <w:left w:val="nil"/>
              <w:bottom w:val="single" w:sz="4" w:space="0" w:color="auto"/>
              <w:right w:val="nil"/>
            </w:tcBorders>
            <w:shd w:val="clear" w:color="auto" w:fill="FABF8F" w:themeFill="accent6" w:themeFillTint="99"/>
            <w:vAlign w:val="center"/>
            <w:hideMark/>
          </w:tcPr>
          <w:p w14:paraId="16A11A4D" w14:textId="77777777" w:rsidR="0088085F" w:rsidRPr="00C762E6" w:rsidRDefault="0088085F" w:rsidP="00C762E6">
            <w:pPr>
              <w:pStyle w:val="cuadroCabe"/>
              <w:spacing w:line="240" w:lineRule="auto"/>
              <w:jc w:val="right"/>
            </w:pPr>
            <w:r>
              <w:t>2016</w:t>
            </w:r>
          </w:p>
        </w:tc>
        <w:tc>
          <w:tcPr>
            <w:tcW w:w="614" w:type="pct"/>
            <w:tcBorders>
              <w:top w:val="single" w:sz="4" w:space="0" w:color="auto"/>
              <w:left w:val="nil"/>
              <w:bottom w:val="single" w:sz="4" w:space="0" w:color="auto"/>
              <w:right w:val="nil"/>
            </w:tcBorders>
            <w:shd w:val="clear" w:color="auto" w:fill="FABF8F" w:themeFill="accent6" w:themeFillTint="99"/>
            <w:vAlign w:val="center"/>
            <w:hideMark/>
          </w:tcPr>
          <w:p w14:paraId="3D7ABE5C" w14:textId="77777777" w:rsidR="0088085F" w:rsidRPr="00C762E6" w:rsidRDefault="0088085F" w:rsidP="00C762E6">
            <w:pPr>
              <w:pStyle w:val="cuadroCabe"/>
              <w:spacing w:line="240" w:lineRule="auto"/>
              <w:jc w:val="right"/>
            </w:pPr>
            <w:r>
              <w:t>2017</w:t>
            </w:r>
          </w:p>
        </w:tc>
        <w:tc>
          <w:tcPr>
            <w:tcW w:w="646" w:type="pct"/>
            <w:tcBorders>
              <w:top w:val="single" w:sz="4" w:space="0" w:color="auto"/>
              <w:left w:val="nil"/>
              <w:bottom w:val="single" w:sz="4" w:space="0" w:color="auto"/>
              <w:right w:val="nil"/>
            </w:tcBorders>
            <w:shd w:val="clear" w:color="auto" w:fill="FABF8F" w:themeFill="accent6" w:themeFillTint="99"/>
            <w:vAlign w:val="center"/>
            <w:hideMark/>
          </w:tcPr>
          <w:p w14:paraId="28E5A6B7" w14:textId="77777777" w:rsidR="0088085F" w:rsidRPr="00C762E6" w:rsidRDefault="0088085F" w:rsidP="00C762E6">
            <w:pPr>
              <w:pStyle w:val="cuadroCabe"/>
              <w:spacing w:line="240" w:lineRule="auto"/>
              <w:jc w:val="right"/>
            </w:pPr>
            <w:r>
              <w:t>2018</w:t>
            </w:r>
          </w:p>
        </w:tc>
        <w:tc>
          <w:tcPr>
            <w:tcW w:w="614" w:type="pct"/>
            <w:tcBorders>
              <w:top w:val="single" w:sz="4" w:space="0" w:color="auto"/>
              <w:left w:val="nil"/>
              <w:bottom w:val="single" w:sz="4" w:space="0" w:color="auto"/>
              <w:right w:val="nil"/>
            </w:tcBorders>
            <w:shd w:val="clear" w:color="auto" w:fill="FABF8F" w:themeFill="accent6" w:themeFillTint="99"/>
            <w:vAlign w:val="center"/>
          </w:tcPr>
          <w:p w14:paraId="0D39856A" w14:textId="77777777" w:rsidR="0088085F" w:rsidRPr="00C762E6" w:rsidRDefault="0088085F" w:rsidP="00C762E6">
            <w:pPr>
              <w:pStyle w:val="cuadroCabe"/>
              <w:spacing w:line="240" w:lineRule="auto"/>
              <w:jc w:val="right"/>
            </w:pPr>
            <w:r>
              <w:t>2019</w:t>
            </w:r>
          </w:p>
        </w:tc>
      </w:tr>
      <w:tr w:rsidR="0088085F" w:rsidRPr="00552FA9" w14:paraId="737E201D" w14:textId="77777777" w:rsidTr="00F4617C">
        <w:trPr>
          <w:trHeight w:val="198"/>
          <w:jc w:val="center"/>
        </w:trPr>
        <w:tc>
          <w:tcPr>
            <w:tcW w:w="1595" w:type="pct"/>
            <w:tcBorders>
              <w:top w:val="single" w:sz="4" w:space="0" w:color="auto"/>
              <w:left w:val="nil"/>
              <w:bottom w:val="single" w:sz="2" w:space="0" w:color="auto"/>
              <w:right w:val="nil"/>
            </w:tcBorders>
            <w:shd w:val="clear" w:color="auto" w:fill="auto"/>
            <w:vAlign w:val="center"/>
            <w:hideMark/>
          </w:tcPr>
          <w:p w14:paraId="44FC3B04" w14:textId="77777777" w:rsidR="0088085F" w:rsidRPr="00552FA9" w:rsidRDefault="0088085F" w:rsidP="00C762E6">
            <w:pPr>
              <w:pStyle w:val="cuatexto"/>
              <w:jc w:val="left"/>
              <w:rPr>
                <w:rFonts w:cs="Calibri"/>
              </w:rPr>
            </w:pPr>
            <w:r>
              <w:t>Udalak</w:t>
            </w:r>
            <w:r>
              <w:rPr>
                <w:sz w:val="22"/>
                <w:vertAlign w:val="subscript"/>
              </w:rPr>
              <w:t xml:space="preserve"> (1)</w:t>
            </w:r>
          </w:p>
        </w:tc>
        <w:tc>
          <w:tcPr>
            <w:tcW w:w="910" w:type="pct"/>
            <w:tcBorders>
              <w:top w:val="single" w:sz="4" w:space="0" w:color="auto"/>
              <w:left w:val="nil"/>
              <w:bottom w:val="single" w:sz="2" w:space="0" w:color="auto"/>
              <w:right w:val="nil"/>
            </w:tcBorders>
            <w:vAlign w:val="center"/>
          </w:tcPr>
          <w:p w14:paraId="1B70D901" w14:textId="77777777" w:rsidR="0088085F" w:rsidRPr="00552FA9" w:rsidRDefault="0088085F" w:rsidP="00C762E6">
            <w:pPr>
              <w:pStyle w:val="cuatexto"/>
              <w:jc w:val="right"/>
              <w:rPr>
                <w:rFonts w:cs="Calibri"/>
              </w:rPr>
            </w:pPr>
            <w:r>
              <w:t>272</w:t>
            </w:r>
          </w:p>
        </w:tc>
        <w:tc>
          <w:tcPr>
            <w:tcW w:w="622" w:type="pct"/>
            <w:tcBorders>
              <w:top w:val="single" w:sz="4" w:space="0" w:color="auto"/>
              <w:left w:val="nil"/>
              <w:bottom w:val="single" w:sz="2" w:space="0" w:color="auto"/>
              <w:right w:val="nil"/>
            </w:tcBorders>
            <w:shd w:val="clear" w:color="auto" w:fill="auto"/>
            <w:vAlign w:val="center"/>
            <w:hideMark/>
          </w:tcPr>
          <w:p w14:paraId="5341B8F4" w14:textId="77777777" w:rsidR="0088085F" w:rsidRPr="00552FA9" w:rsidRDefault="0088085F" w:rsidP="00C762E6">
            <w:pPr>
              <w:pStyle w:val="cuatexto"/>
              <w:jc w:val="right"/>
              <w:rPr>
                <w:rFonts w:cs="Calibri"/>
              </w:rPr>
            </w:pPr>
            <w:r>
              <w:t>272</w:t>
            </w:r>
          </w:p>
        </w:tc>
        <w:tc>
          <w:tcPr>
            <w:tcW w:w="614" w:type="pct"/>
            <w:tcBorders>
              <w:top w:val="single" w:sz="4" w:space="0" w:color="auto"/>
              <w:left w:val="nil"/>
              <w:bottom w:val="single" w:sz="2" w:space="0" w:color="auto"/>
              <w:right w:val="nil"/>
            </w:tcBorders>
            <w:shd w:val="clear" w:color="auto" w:fill="auto"/>
            <w:vAlign w:val="center"/>
            <w:hideMark/>
          </w:tcPr>
          <w:p w14:paraId="1B614E52" w14:textId="77777777" w:rsidR="0088085F" w:rsidRPr="00552FA9" w:rsidRDefault="0088085F" w:rsidP="00C762E6">
            <w:pPr>
              <w:pStyle w:val="cuatexto"/>
              <w:jc w:val="right"/>
              <w:rPr>
                <w:rFonts w:cs="Calibri"/>
              </w:rPr>
            </w:pPr>
            <w:r>
              <w:t>272</w:t>
            </w:r>
          </w:p>
        </w:tc>
        <w:tc>
          <w:tcPr>
            <w:tcW w:w="646" w:type="pct"/>
            <w:tcBorders>
              <w:top w:val="single" w:sz="4" w:space="0" w:color="auto"/>
              <w:left w:val="nil"/>
              <w:bottom w:val="single" w:sz="2" w:space="0" w:color="auto"/>
              <w:right w:val="nil"/>
            </w:tcBorders>
            <w:shd w:val="clear" w:color="auto" w:fill="auto"/>
            <w:vAlign w:val="center"/>
            <w:hideMark/>
          </w:tcPr>
          <w:p w14:paraId="7F0665EB" w14:textId="77777777" w:rsidR="0088085F" w:rsidRPr="00552FA9" w:rsidRDefault="0088085F" w:rsidP="00C762E6">
            <w:pPr>
              <w:pStyle w:val="cuatexto"/>
              <w:jc w:val="right"/>
              <w:rPr>
                <w:rFonts w:cs="Calibri"/>
              </w:rPr>
            </w:pPr>
            <w:r>
              <w:t>272</w:t>
            </w:r>
          </w:p>
        </w:tc>
        <w:tc>
          <w:tcPr>
            <w:tcW w:w="614" w:type="pct"/>
            <w:tcBorders>
              <w:top w:val="single" w:sz="4" w:space="0" w:color="auto"/>
              <w:left w:val="nil"/>
              <w:bottom w:val="single" w:sz="2" w:space="0" w:color="auto"/>
              <w:right w:val="nil"/>
            </w:tcBorders>
            <w:vAlign w:val="center"/>
          </w:tcPr>
          <w:p w14:paraId="3380E92D" w14:textId="77777777" w:rsidR="0088085F" w:rsidRPr="00552FA9" w:rsidRDefault="0088085F" w:rsidP="00C762E6">
            <w:pPr>
              <w:pStyle w:val="cuatexto"/>
              <w:jc w:val="right"/>
              <w:rPr>
                <w:rFonts w:cs="Calibri"/>
              </w:rPr>
            </w:pPr>
            <w:r>
              <w:t>272</w:t>
            </w:r>
          </w:p>
        </w:tc>
      </w:tr>
      <w:tr w:rsidR="0088085F" w:rsidRPr="00552FA9" w14:paraId="5D3771FE" w14:textId="77777777" w:rsidTr="00F4617C">
        <w:trPr>
          <w:trHeight w:val="198"/>
          <w:jc w:val="center"/>
        </w:trPr>
        <w:tc>
          <w:tcPr>
            <w:tcW w:w="1595" w:type="pct"/>
            <w:tcBorders>
              <w:top w:val="single" w:sz="2" w:space="0" w:color="auto"/>
              <w:left w:val="nil"/>
              <w:bottom w:val="single" w:sz="2" w:space="0" w:color="auto"/>
              <w:right w:val="nil"/>
            </w:tcBorders>
            <w:shd w:val="clear" w:color="auto" w:fill="auto"/>
            <w:vAlign w:val="center"/>
            <w:hideMark/>
          </w:tcPr>
          <w:p w14:paraId="48A2DE4A" w14:textId="77777777" w:rsidR="0088085F" w:rsidRPr="00552FA9" w:rsidRDefault="0088085F" w:rsidP="00C762E6">
            <w:pPr>
              <w:pStyle w:val="cuatexto"/>
              <w:jc w:val="left"/>
              <w:rPr>
                <w:rFonts w:cs="Calibri"/>
              </w:rPr>
            </w:pPr>
            <w:r>
              <w:t>Kontzejuak</w:t>
            </w:r>
          </w:p>
        </w:tc>
        <w:tc>
          <w:tcPr>
            <w:tcW w:w="910" w:type="pct"/>
            <w:tcBorders>
              <w:top w:val="single" w:sz="2" w:space="0" w:color="auto"/>
              <w:left w:val="nil"/>
              <w:bottom w:val="single" w:sz="2" w:space="0" w:color="auto"/>
              <w:right w:val="nil"/>
            </w:tcBorders>
            <w:vAlign w:val="center"/>
          </w:tcPr>
          <w:p w14:paraId="2B368A23" w14:textId="77777777" w:rsidR="0088085F" w:rsidRPr="00552FA9" w:rsidRDefault="0088085F" w:rsidP="00C762E6">
            <w:pPr>
              <w:pStyle w:val="cuatexto"/>
              <w:jc w:val="right"/>
              <w:rPr>
                <w:rFonts w:cs="Calibri"/>
              </w:rPr>
            </w:pPr>
            <w:r>
              <w:t>347</w:t>
            </w:r>
          </w:p>
        </w:tc>
        <w:tc>
          <w:tcPr>
            <w:tcW w:w="622" w:type="pct"/>
            <w:tcBorders>
              <w:top w:val="single" w:sz="2" w:space="0" w:color="auto"/>
              <w:left w:val="nil"/>
              <w:bottom w:val="single" w:sz="2" w:space="0" w:color="auto"/>
              <w:right w:val="nil"/>
            </w:tcBorders>
            <w:shd w:val="clear" w:color="auto" w:fill="auto"/>
            <w:vAlign w:val="center"/>
            <w:hideMark/>
          </w:tcPr>
          <w:p w14:paraId="665E1E9B" w14:textId="77777777" w:rsidR="0088085F" w:rsidRPr="00552FA9" w:rsidRDefault="0088085F" w:rsidP="00C762E6">
            <w:pPr>
              <w:pStyle w:val="cuatexto"/>
              <w:jc w:val="right"/>
              <w:rPr>
                <w:rFonts w:cs="Calibri"/>
              </w:rPr>
            </w:pPr>
            <w:r>
              <w:t>346</w:t>
            </w:r>
          </w:p>
        </w:tc>
        <w:tc>
          <w:tcPr>
            <w:tcW w:w="614" w:type="pct"/>
            <w:tcBorders>
              <w:top w:val="single" w:sz="2" w:space="0" w:color="auto"/>
              <w:left w:val="nil"/>
              <w:bottom w:val="single" w:sz="2" w:space="0" w:color="auto"/>
              <w:right w:val="nil"/>
            </w:tcBorders>
            <w:shd w:val="clear" w:color="auto" w:fill="auto"/>
            <w:vAlign w:val="center"/>
            <w:hideMark/>
          </w:tcPr>
          <w:p w14:paraId="43C8FB7F" w14:textId="77777777" w:rsidR="0088085F" w:rsidRPr="00552FA9" w:rsidRDefault="0088085F" w:rsidP="00C762E6">
            <w:pPr>
              <w:pStyle w:val="cuatexto"/>
              <w:jc w:val="right"/>
              <w:rPr>
                <w:rFonts w:cs="Calibri"/>
              </w:rPr>
            </w:pPr>
            <w:r>
              <w:t>346</w:t>
            </w:r>
          </w:p>
        </w:tc>
        <w:tc>
          <w:tcPr>
            <w:tcW w:w="646" w:type="pct"/>
            <w:tcBorders>
              <w:top w:val="single" w:sz="2" w:space="0" w:color="auto"/>
              <w:left w:val="nil"/>
              <w:bottom w:val="single" w:sz="2" w:space="0" w:color="auto"/>
              <w:right w:val="nil"/>
            </w:tcBorders>
            <w:shd w:val="clear" w:color="auto" w:fill="auto"/>
            <w:vAlign w:val="center"/>
            <w:hideMark/>
          </w:tcPr>
          <w:p w14:paraId="10651327" w14:textId="77777777" w:rsidR="0088085F" w:rsidRPr="00552FA9" w:rsidRDefault="0088085F" w:rsidP="00C762E6">
            <w:pPr>
              <w:pStyle w:val="cuatexto"/>
              <w:jc w:val="right"/>
              <w:rPr>
                <w:rFonts w:cs="Calibri"/>
              </w:rPr>
            </w:pPr>
            <w:r>
              <w:t>346</w:t>
            </w:r>
          </w:p>
        </w:tc>
        <w:tc>
          <w:tcPr>
            <w:tcW w:w="614" w:type="pct"/>
            <w:tcBorders>
              <w:top w:val="single" w:sz="2" w:space="0" w:color="auto"/>
              <w:left w:val="nil"/>
              <w:bottom w:val="single" w:sz="2" w:space="0" w:color="auto"/>
              <w:right w:val="nil"/>
            </w:tcBorders>
            <w:vAlign w:val="center"/>
          </w:tcPr>
          <w:p w14:paraId="109C74BF" w14:textId="77777777" w:rsidR="0088085F" w:rsidRPr="00552FA9" w:rsidRDefault="0088085F" w:rsidP="00C762E6">
            <w:pPr>
              <w:pStyle w:val="cuatexto"/>
              <w:jc w:val="right"/>
              <w:rPr>
                <w:rFonts w:cs="Calibri"/>
              </w:rPr>
            </w:pPr>
            <w:r>
              <w:t>346</w:t>
            </w:r>
          </w:p>
        </w:tc>
      </w:tr>
      <w:tr w:rsidR="0088085F" w:rsidRPr="00552FA9" w14:paraId="5342F2A0" w14:textId="77777777" w:rsidTr="00F4617C">
        <w:trPr>
          <w:trHeight w:val="198"/>
          <w:jc w:val="center"/>
        </w:trPr>
        <w:tc>
          <w:tcPr>
            <w:tcW w:w="1595" w:type="pct"/>
            <w:tcBorders>
              <w:top w:val="single" w:sz="2" w:space="0" w:color="auto"/>
              <w:left w:val="nil"/>
              <w:bottom w:val="single" w:sz="2" w:space="0" w:color="auto"/>
              <w:right w:val="nil"/>
            </w:tcBorders>
            <w:shd w:val="clear" w:color="auto" w:fill="auto"/>
            <w:vAlign w:val="center"/>
            <w:hideMark/>
          </w:tcPr>
          <w:p w14:paraId="331CF65D" w14:textId="77777777" w:rsidR="0088085F" w:rsidRPr="00552FA9" w:rsidRDefault="0088085F" w:rsidP="00C762E6">
            <w:pPr>
              <w:pStyle w:val="cuatexto"/>
              <w:jc w:val="left"/>
              <w:rPr>
                <w:rFonts w:cs="Calibri"/>
              </w:rPr>
            </w:pPr>
            <w:r>
              <w:t xml:space="preserve">Mankomunitateak </w:t>
            </w:r>
            <w:r>
              <w:rPr>
                <w:sz w:val="22"/>
                <w:vertAlign w:val="subscript"/>
              </w:rPr>
              <w:t>(2)</w:t>
            </w:r>
          </w:p>
        </w:tc>
        <w:tc>
          <w:tcPr>
            <w:tcW w:w="910" w:type="pct"/>
            <w:tcBorders>
              <w:top w:val="single" w:sz="2" w:space="0" w:color="auto"/>
              <w:left w:val="nil"/>
              <w:bottom w:val="single" w:sz="2" w:space="0" w:color="auto"/>
              <w:right w:val="nil"/>
            </w:tcBorders>
            <w:vAlign w:val="center"/>
          </w:tcPr>
          <w:p w14:paraId="7924267F" w14:textId="77777777" w:rsidR="0088085F" w:rsidRPr="00552FA9" w:rsidRDefault="0088085F" w:rsidP="00C762E6">
            <w:pPr>
              <w:pStyle w:val="cuatexto"/>
              <w:jc w:val="right"/>
              <w:rPr>
                <w:rFonts w:cs="Calibri"/>
              </w:rPr>
            </w:pPr>
            <w:r>
              <w:t>63</w:t>
            </w:r>
          </w:p>
        </w:tc>
        <w:tc>
          <w:tcPr>
            <w:tcW w:w="622" w:type="pct"/>
            <w:tcBorders>
              <w:top w:val="single" w:sz="2" w:space="0" w:color="auto"/>
              <w:left w:val="nil"/>
              <w:bottom w:val="single" w:sz="2" w:space="0" w:color="auto"/>
              <w:right w:val="nil"/>
            </w:tcBorders>
            <w:shd w:val="clear" w:color="auto" w:fill="auto"/>
            <w:vAlign w:val="center"/>
            <w:hideMark/>
          </w:tcPr>
          <w:p w14:paraId="7AE5D8BC" w14:textId="77777777" w:rsidR="0088085F" w:rsidRPr="00552FA9" w:rsidRDefault="0088085F" w:rsidP="00C762E6">
            <w:pPr>
              <w:pStyle w:val="cuatexto"/>
              <w:jc w:val="right"/>
              <w:rPr>
                <w:rFonts w:cs="Calibri"/>
              </w:rPr>
            </w:pPr>
            <w:r>
              <w:t>63</w:t>
            </w:r>
          </w:p>
        </w:tc>
        <w:tc>
          <w:tcPr>
            <w:tcW w:w="614" w:type="pct"/>
            <w:tcBorders>
              <w:top w:val="single" w:sz="2" w:space="0" w:color="auto"/>
              <w:left w:val="nil"/>
              <w:bottom w:val="single" w:sz="2" w:space="0" w:color="auto"/>
              <w:right w:val="nil"/>
            </w:tcBorders>
            <w:shd w:val="clear" w:color="auto" w:fill="auto"/>
            <w:vAlign w:val="center"/>
            <w:hideMark/>
          </w:tcPr>
          <w:p w14:paraId="5EB89536" w14:textId="77777777" w:rsidR="0088085F" w:rsidRPr="00552FA9" w:rsidRDefault="0088085F" w:rsidP="00C762E6">
            <w:pPr>
              <w:pStyle w:val="cuatexto"/>
              <w:jc w:val="right"/>
              <w:rPr>
                <w:rFonts w:cs="Calibri"/>
              </w:rPr>
            </w:pPr>
            <w:r>
              <w:t>62</w:t>
            </w:r>
          </w:p>
        </w:tc>
        <w:tc>
          <w:tcPr>
            <w:tcW w:w="646" w:type="pct"/>
            <w:tcBorders>
              <w:top w:val="single" w:sz="2" w:space="0" w:color="auto"/>
              <w:left w:val="nil"/>
              <w:bottom w:val="single" w:sz="2" w:space="0" w:color="auto"/>
              <w:right w:val="nil"/>
            </w:tcBorders>
            <w:shd w:val="clear" w:color="auto" w:fill="auto"/>
            <w:vAlign w:val="center"/>
            <w:hideMark/>
          </w:tcPr>
          <w:p w14:paraId="6A412EA1" w14:textId="77777777" w:rsidR="0088085F" w:rsidRPr="00552FA9" w:rsidRDefault="0088085F" w:rsidP="00C762E6">
            <w:pPr>
              <w:pStyle w:val="cuatexto"/>
              <w:jc w:val="right"/>
              <w:rPr>
                <w:rFonts w:cs="Calibri"/>
              </w:rPr>
            </w:pPr>
            <w:r>
              <w:t>62</w:t>
            </w:r>
          </w:p>
        </w:tc>
        <w:tc>
          <w:tcPr>
            <w:tcW w:w="614" w:type="pct"/>
            <w:tcBorders>
              <w:top w:val="single" w:sz="2" w:space="0" w:color="auto"/>
              <w:left w:val="nil"/>
              <w:bottom w:val="single" w:sz="2" w:space="0" w:color="auto"/>
              <w:right w:val="nil"/>
            </w:tcBorders>
            <w:vAlign w:val="center"/>
          </w:tcPr>
          <w:p w14:paraId="61A6B38C" w14:textId="77777777" w:rsidR="0088085F" w:rsidRPr="00552FA9" w:rsidRDefault="0088085F" w:rsidP="00C762E6">
            <w:pPr>
              <w:pStyle w:val="cuatexto"/>
              <w:jc w:val="right"/>
              <w:rPr>
                <w:rFonts w:cs="Calibri"/>
              </w:rPr>
            </w:pPr>
            <w:r>
              <w:t>62</w:t>
            </w:r>
          </w:p>
        </w:tc>
      </w:tr>
      <w:tr w:rsidR="0088085F" w:rsidRPr="00552FA9" w14:paraId="0D752290" w14:textId="77777777" w:rsidTr="00F4617C">
        <w:trPr>
          <w:trHeight w:val="198"/>
          <w:jc w:val="center"/>
        </w:trPr>
        <w:tc>
          <w:tcPr>
            <w:tcW w:w="1595" w:type="pct"/>
            <w:tcBorders>
              <w:top w:val="single" w:sz="2" w:space="0" w:color="auto"/>
              <w:left w:val="nil"/>
              <w:bottom w:val="single" w:sz="4" w:space="0" w:color="auto"/>
              <w:right w:val="nil"/>
            </w:tcBorders>
            <w:shd w:val="clear" w:color="auto" w:fill="auto"/>
            <w:vAlign w:val="center"/>
            <w:hideMark/>
          </w:tcPr>
          <w:p w14:paraId="4A62CC20" w14:textId="77777777" w:rsidR="0088085F" w:rsidRPr="00552FA9" w:rsidRDefault="0088085F" w:rsidP="00C762E6">
            <w:pPr>
              <w:pStyle w:val="cuatexto"/>
              <w:jc w:val="left"/>
              <w:rPr>
                <w:rFonts w:cs="Calibri"/>
              </w:rPr>
            </w:pPr>
            <w:r>
              <w:t>Udal batasunak</w:t>
            </w:r>
          </w:p>
        </w:tc>
        <w:tc>
          <w:tcPr>
            <w:tcW w:w="910" w:type="pct"/>
            <w:tcBorders>
              <w:top w:val="single" w:sz="2" w:space="0" w:color="auto"/>
              <w:left w:val="nil"/>
              <w:bottom w:val="single" w:sz="4" w:space="0" w:color="auto"/>
              <w:right w:val="nil"/>
            </w:tcBorders>
            <w:vAlign w:val="center"/>
          </w:tcPr>
          <w:p w14:paraId="4B3DC5F6" w14:textId="77777777" w:rsidR="0088085F" w:rsidRPr="00552FA9" w:rsidRDefault="0088085F" w:rsidP="00C762E6">
            <w:pPr>
              <w:pStyle w:val="cuatexto"/>
              <w:jc w:val="right"/>
              <w:rPr>
                <w:rFonts w:cs="Calibri"/>
              </w:rPr>
            </w:pPr>
            <w:r>
              <w:t>19</w:t>
            </w:r>
          </w:p>
        </w:tc>
        <w:tc>
          <w:tcPr>
            <w:tcW w:w="622" w:type="pct"/>
            <w:tcBorders>
              <w:top w:val="single" w:sz="2" w:space="0" w:color="auto"/>
              <w:left w:val="nil"/>
              <w:bottom w:val="single" w:sz="4" w:space="0" w:color="auto"/>
              <w:right w:val="nil"/>
            </w:tcBorders>
            <w:shd w:val="clear" w:color="auto" w:fill="auto"/>
            <w:vAlign w:val="center"/>
            <w:hideMark/>
          </w:tcPr>
          <w:p w14:paraId="1BE03C25" w14:textId="77777777" w:rsidR="0088085F" w:rsidRPr="00552FA9" w:rsidRDefault="0088085F" w:rsidP="00C762E6">
            <w:pPr>
              <w:pStyle w:val="cuatexto"/>
              <w:jc w:val="right"/>
              <w:rPr>
                <w:rFonts w:cs="Calibri"/>
              </w:rPr>
            </w:pPr>
            <w:r>
              <w:t>20</w:t>
            </w:r>
          </w:p>
        </w:tc>
        <w:tc>
          <w:tcPr>
            <w:tcW w:w="614" w:type="pct"/>
            <w:tcBorders>
              <w:top w:val="single" w:sz="2" w:space="0" w:color="auto"/>
              <w:left w:val="nil"/>
              <w:bottom w:val="single" w:sz="4" w:space="0" w:color="auto"/>
              <w:right w:val="nil"/>
            </w:tcBorders>
            <w:shd w:val="clear" w:color="auto" w:fill="auto"/>
            <w:vAlign w:val="center"/>
            <w:hideMark/>
          </w:tcPr>
          <w:p w14:paraId="04701FC0" w14:textId="77777777" w:rsidR="0088085F" w:rsidRPr="00552FA9" w:rsidRDefault="0088085F" w:rsidP="00C762E6">
            <w:pPr>
              <w:pStyle w:val="cuatexto"/>
              <w:jc w:val="right"/>
              <w:rPr>
                <w:rFonts w:cs="Calibri"/>
              </w:rPr>
            </w:pPr>
            <w:r>
              <w:t>23</w:t>
            </w:r>
          </w:p>
        </w:tc>
        <w:tc>
          <w:tcPr>
            <w:tcW w:w="646" w:type="pct"/>
            <w:tcBorders>
              <w:top w:val="single" w:sz="2" w:space="0" w:color="auto"/>
              <w:left w:val="nil"/>
              <w:bottom w:val="single" w:sz="4" w:space="0" w:color="auto"/>
              <w:right w:val="nil"/>
            </w:tcBorders>
            <w:shd w:val="clear" w:color="auto" w:fill="auto"/>
            <w:vAlign w:val="center"/>
            <w:hideMark/>
          </w:tcPr>
          <w:p w14:paraId="5C7EC717" w14:textId="77777777" w:rsidR="0088085F" w:rsidRPr="00552FA9" w:rsidRDefault="0088085F" w:rsidP="00C762E6">
            <w:pPr>
              <w:pStyle w:val="cuatexto"/>
              <w:jc w:val="right"/>
              <w:rPr>
                <w:rFonts w:cs="Calibri"/>
              </w:rPr>
            </w:pPr>
            <w:r>
              <w:t>22</w:t>
            </w:r>
          </w:p>
        </w:tc>
        <w:tc>
          <w:tcPr>
            <w:tcW w:w="614" w:type="pct"/>
            <w:tcBorders>
              <w:top w:val="single" w:sz="2" w:space="0" w:color="auto"/>
              <w:left w:val="nil"/>
              <w:bottom w:val="single" w:sz="4" w:space="0" w:color="auto"/>
              <w:right w:val="nil"/>
            </w:tcBorders>
            <w:vAlign w:val="center"/>
          </w:tcPr>
          <w:p w14:paraId="06A89BFE" w14:textId="77777777" w:rsidR="0088085F" w:rsidRPr="00552FA9" w:rsidRDefault="0088085F" w:rsidP="00C762E6">
            <w:pPr>
              <w:pStyle w:val="cuatexto"/>
              <w:jc w:val="right"/>
              <w:rPr>
                <w:rFonts w:cs="Calibri"/>
              </w:rPr>
            </w:pPr>
            <w:r>
              <w:t>22</w:t>
            </w:r>
          </w:p>
        </w:tc>
      </w:tr>
      <w:tr w:rsidR="00D54D57" w:rsidRPr="00552FA9" w14:paraId="168BCE36" w14:textId="77777777" w:rsidTr="00F4617C">
        <w:trPr>
          <w:trHeight w:val="255"/>
          <w:jc w:val="center"/>
        </w:trPr>
        <w:tc>
          <w:tcPr>
            <w:tcW w:w="1595" w:type="pct"/>
            <w:tcBorders>
              <w:top w:val="nil"/>
              <w:left w:val="nil"/>
              <w:bottom w:val="single" w:sz="4" w:space="0" w:color="auto"/>
              <w:right w:val="nil"/>
            </w:tcBorders>
            <w:shd w:val="clear" w:color="auto" w:fill="FABF8F" w:themeFill="accent6" w:themeFillTint="99"/>
            <w:vAlign w:val="center"/>
            <w:hideMark/>
          </w:tcPr>
          <w:p w14:paraId="61BBA622" w14:textId="77777777" w:rsidR="0088085F" w:rsidRPr="00552FA9" w:rsidRDefault="0088085F" w:rsidP="00C762E6">
            <w:pPr>
              <w:pStyle w:val="cuadroCabe"/>
              <w:jc w:val="left"/>
            </w:pPr>
            <w:r>
              <w:t>Guztira</w:t>
            </w:r>
          </w:p>
        </w:tc>
        <w:tc>
          <w:tcPr>
            <w:tcW w:w="910" w:type="pct"/>
            <w:tcBorders>
              <w:top w:val="nil"/>
              <w:left w:val="nil"/>
              <w:bottom w:val="single" w:sz="4" w:space="0" w:color="auto"/>
              <w:right w:val="nil"/>
            </w:tcBorders>
            <w:shd w:val="clear" w:color="auto" w:fill="FABF8F" w:themeFill="accent6" w:themeFillTint="99"/>
            <w:vAlign w:val="center"/>
          </w:tcPr>
          <w:p w14:paraId="76E14C8D" w14:textId="77777777" w:rsidR="0088085F" w:rsidRPr="00552FA9" w:rsidRDefault="0088085F" w:rsidP="00C762E6">
            <w:pPr>
              <w:pStyle w:val="cuadroCabe"/>
              <w:jc w:val="right"/>
            </w:pPr>
            <w:r>
              <w:t>701</w:t>
            </w:r>
          </w:p>
        </w:tc>
        <w:tc>
          <w:tcPr>
            <w:tcW w:w="622" w:type="pct"/>
            <w:tcBorders>
              <w:top w:val="nil"/>
              <w:left w:val="nil"/>
              <w:bottom w:val="single" w:sz="4" w:space="0" w:color="auto"/>
              <w:right w:val="nil"/>
            </w:tcBorders>
            <w:shd w:val="clear" w:color="auto" w:fill="FABF8F" w:themeFill="accent6" w:themeFillTint="99"/>
            <w:vAlign w:val="center"/>
            <w:hideMark/>
          </w:tcPr>
          <w:p w14:paraId="3C42B422" w14:textId="77777777" w:rsidR="0088085F" w:rsidRPr="00552FA9" w:rsidRDefault="0088085F" w:rsidP="00C762E6">
            <w:pPr>
              <w:pStyle w:val="cuadroCabe"/>
              <w:jc w:val="right"/>
            </w:pPr>
            <w:r>
              <w:t>701</w:t>
            </w:r>
          </w:p>
        </w:tc>
        <w:tc>
          <w:tcPr>
            <w:tcW w:w="614" w:type="pct"/>
            <w:tcBorders>
              <w:top w:val="nil"/>
              <w:left w:val="nil"/>
              <w:bottom w:val="single" w:sz="4" w:space="0" w:color="auto"/>
              <w:right w:val="nil"/>
            </w:tcBorders>
            <w:shd w:val="clear" w:color="auto" w:fill="FABF8F" w:themeFill="accent6" w:themeFillTint="99"/>
            <w:vAlign w:val="center"/>
            <w:hideMark/>
          </w:tcPr>
          <w:p w14:paraId="66056061" w14:textId="77777777" w:rsidR="0088085F" w:rsidRPr="00552FA9" w:rsidRDefault="0088085F" w:rsidP="00C762E6">
            <w:pPr>
              <w:pStyle w:val="cuadroCabe"/>
              <w:jc w:val="right"/>
            </w:pPr>
            <w:r>
              <w:t>703</w:t>
            </w:r>
          </w:p>
        </w:tc>
        <w:tc>
          <w:tcPr>
            <w:tcW w:w="646" w:type="pct"/>
            <w:tcBorders>
              <w:top w:val="nil"/>
              <w:left w:val="nil"/>
              <w:bottom w:val="single" w:sz="4" w:space="0" w:color="auto"/>
              <w:right w:val="nil"/>
            </w:tcBorders>
            <w:shd w:val="clear" w:color="auto" w:fill="FABF8F" w:themeFill="accent6" w:themeFillTint="99"/>
            <w:vAlign w:val="center"/>
            <w:hideMark/>
          </w:tcPr>
          <w:p w14:paraId="774F55E2" w14:textId="77777777" w:rsidR="0088085F" w:rsidRPr="00552FA9" w:rsidRDefault="0088085F" w:rsidP="00C762E6">
            <w:pPr>
              <w:pStyle w:val="cuadroCabe"/>
              <w:jc w:val="right"/>
            </w:pPr>
            <w:r>
              <w:t>702</w:t>
            </w:r>
          </w:p>
        </w:tc>
        <w:tc>
          <w:tcPr>
            <w:tcW w:w="614" w:type="pct"/>
            <w:tcBorders>
              <w:top w:val="nil"/>
              <w:left w:val="nil"/>
              <w:bottom w:val="single" w:sz="4" w:space="0" w:color="auto"/>
              <w:right w:val="nil"/>
            </w:tcBorders>
            <w:shd w:val="clear" w:color="auto" w:fill="FABF8F" w:themeFill="accent6" w:themeFillTint="99"/>
            <w:vAlign w:val="center"/>
          </w:tcPr>
          <w:p w14:paraId="399EA77A" w14:textId="77777777" w:rsidR="0088085F" w:rsidRPr="00552FA9" w:rsidRDefault="0088085F" w:rsidP="00C762E6">
            <w:pPr>
              <w:pStyle w:val="cuadroCabe"/>
              <w:jc w:val="right"/>
            </w:pPr>
            <w:r>
              <w:t>702</w:t>
            </w:r>
          </w:p>
        </w:tc>
      </w:tr>
    </w:tbl>
    <w:p w14:paraId="0C72ADC2" w14:textId="77777777" w:rsidR="0088085F" w:rsidRPr="00C762E6" w:rsidRDefault="00C762E6" w:rsidP="00C762E6">
      <w:pPr>
        <w:pStyle w:val="recomen"/>
        <w:numPr>
          <w:ilvl w:val="0"/>
          <w:numId w:val="0"/>
        </w:numPr>
        <w:spacing w:before="80" w:after="60"/>
        <w:rPr>
          <w:rFonts w:ascii="Arial" w:hAnsi="Arial" w:cs="Arial"/>
          <w:i w:val="0"/>
          <w:color w:val="000000" w:themeColor="text1"/>
          <w:sz w:val="16"/>
          <w:szCs w:val="16"/>
        </w:rPr>
      </w:pPr>
      <w:r>
        <w:rPr>
          <w:rFonts w:ascii="Arial" w:hAnsi="Arial"/>
          <w:i w:val="0"/>
          <w:color w:val="000000" w:themeColor="text1"/>
          <w:sz w:val="14"/>
          <w:szCs w:val="14"/>
        </w:rPr>
        <w:t xml:space="preserve">  (1)</w:t>
      </w:r>
      <w:r>
        <w:rPr>
          <w:rFonts w:ascii="Arial" w:hAnsi="Arial"/>
          <w:i w:val="0"/>
          <w:color w:val="000000" w:themeColor="text1"/>
        </w:rPr>
        <w:t xml:space="preserve"> </w:t>
      </w:r>
      <w:r>
        <w:rPr>
          <w:rFonts w:ascii="Arial" w:hAnsi="Arial"/>
          <w:i w:val="0"/>
          <w:color w:val="000000" w:themeColor="text1"/>
          <w:sz w:val="16"/>
          <w:szCs w:val="16"/>
        </w:rPr>
        <w:t xml:space="preserve">60 udal konposatuak dira. </w:t>
      </w:r>
    </w:p>
    <w:p w14:paraId="2680B189" w14:textId="77777777" w:rsidR="0088085F" w:rsidRPr="00C762E6" w:rsidRDefault="00C762E6" w:rsidP="00C762E6">
      <w:pPr>
        <w:pStyle w:val="recomen"/>
        <w:numPr>
          <w:ilvl w:val="0"/>
          <w:numId w:val="0"/>
        </w:numPr>
        <w:spacing w:after="0"/>
        <w:rPr>
          <w:rFonts w:ascii="Arial" w:hAnsi="Arial" w:cs="Arial"/>
          <w:i w:val="0"/>
          <w:color w:val="000000" w:themeColor="text1"/>
          <w:sz w:val="16"/>
          <w:szCs w:val="16"/>
        </w:rPr>
      </w:pPr>
      <w:r>
        <w:rPr>
          <w:rFonts w:ascii="Arial" w:hAnsi="Arial"/>
          <w:i w:val="0"/>
          <w:color w:val="000000" w:themeColor="text1"/>
          <w:sz w:val="14"/>
          <w:szCs w:val="14"/>
        </w:rPr>
        <w:t xml:space="preserve">  (2</w:t>
      </w:r>
      <w:r>
        <w:rPr>
          <w:rFonts w:ascii="Arial" w:hAnsi="Arial"/>
          <w:i w:val="0"/>
          <w:color w:val="000000" w:themeColor="text1"/>
          <w:sz w:val="16"/>
          <w:szCs w:val="14"/>
        </w:rPr>
        <w:t>) bi</w:t>
      </w:r>
      <w:r>
        <w:rPr>
          <w:rFonts w:ascii="Arial" w:hAnsi="Arial"/>
          <w:i w:val="0"/>
          <w:color w:val="000000" w:themeColor="text1"/>
          <w:sz w:val="16"/>
          <w:szCs w:val="16"/>
        </w:rPr>
        <w:t xml:space="preserve"> mankomunitatek ez dute jarduerarik.</w:t>
      </w:r>
    </w:p>
    <w:p w14:paraId="3227A83E" w14:textId="77777777" w:rsidR="0088085F" w:rsidRPr="00262228" w:rsidRDefault="0088085F" w:rsidP="00C762E6">
      <w:pPr>
        <w:pStyle w:val="texto"/>
        <w:spacing w:before="220"/>
      </w:pPr>
      <w:r>
        <w:t>Datuak 2018koekin alderatuta, ikus dezakegu ez dagoela inolako aldaketarik.</w:t>
      </w:r>
    </w:p>
    <w:p w14:paraId="366E1356" w14:textId="77777777" w:rsidR="0088085F" w:rsidRPr="00262228" w:rsidRDefault="0088085F" w:rsidP="00C762E6">
      <w:pPr>
        <w:pStyle w:val="texto"/>
        <w:spacing w:after="240"/>
      </w:pPr>
      <w:r>
        <w:t>2015etik 2019ra doan aldian, honako hau da erakunde autonomoen, tokiko enpresa publikoen, tokiko fundazio publikoen eta partzuergoen kopurua:</w:t>
      </w:r>
    </w:p>
    <w:tbl>
      <w:tblPr>
        <w:tblW w:w="4984" w:type="pct"/>
        <w:jc w:val="center"/>
        <w:tblCellMar>
          <w:left w:w="70" w:type="dxa"/>
          <w:right w:w="70" w:type="dxa"/>
        </w:tblCellMar>
        <w:tblLook w:val="04A0" w:firstRow="1" w:lastRow="0" w:firstColumn="1" w:lastColumn="0" w:noHBand="0" w:noVBand="1"/>
      </w:tblPr>
      <w:tblGrid>
        <w:gridCol w:w="2253"/>
        <w:gridCol w:w="1187"/>
        <w:gridCol w:w="902"/>
        <w:gridCol w:w="1158"/>
        <w:gridCol w:w="1065"/>
        <w:gridCol w:w="1134"/>
        <w:gridCol w:w="1062"/>
      </w:tblGrid>
      <w:tr w:rsidR="00D54D57" w:rsidRPr="006E66F8" w14:paraId="1228E120" w14:textId="77777777" w:rsidTr="00F4617C">
        <w:trPr>
          <w:trHeight w:val="255"/>
          <w:jc w:val="center"/>
        </w:trPr>
        <w:tc>
          <w:tcPr>
            <w:tcW w:w="1285" w:type="pct"/>
            <w:tcBorders>
              <w:top w:val="single" w:sz="4" w:space="0" w:color="auto"/>
              <w:left w:val="nil"/>
              <w:bottom w:val="single" w:sz="4" w:space="0" w:color="auto"/>
              <w:right w:val="nil"/>
            </w:tcBorders>
            <w:shd w:val="clear" w:color="auto" w:fill="FABF8F" w:themeFill="accent6" w:themeFillTint="99"/>
            <w:vAlign w:val="center"/>
            <w:hideMark/>
          </w:tcPr>
          <w:p w14:paraId="37E8A8A7" w14:textId="77777777" w:rsidR="0088085F" w:rsidRPr="006E66F8" w:rsidRDefault="0088085F" w:rsidP="00C762E6">
            <w:pPr>
              <w:pStyle w:val="cuadroCabe"/>
              <w:jc w:val="left"/>
            </w:pPr>
            <w:r>
              <w:t>Entitatea</w:t>
            </w:r>
          </w:p>
        </w:tc>
        <w:tc>
          <w:tcPr>
            <w:tcW w:w="677" w:type="pct"/>
            <w:tcBorders>
              <w:top w:val="single" w:sz="4" w:space="0" w:color="auto"/>
              <w:left w:val="nil"/>
              <w:bottom w:val="single" w:sz="4" w:space="0" w:color="auto"/>
              <w:right w:val="nil"/>
            </w:tcBorders>
            <w:shd w:val="clear" w:color="auto" w:fill="FABF8F" w:themeFill="accent6" w:themeFillTint="99"/>
            <w:vAlign w:val="center"/>
          </w:tcPr>
          <w:p w14:paraId="739AE369" w14:textId="77777777" w:rsidR="0088085F" w:rsidRPr="006E66F8" w:rsidRDefault="0088085F" w:rsidP="00C762E6">
            <w:pPr>
              <w:pStyle w:val="cuadroCabe"/>
              <w:rPr>
                <w:lang w:val="es-ES" w:eastAsia="es-ES"/>
              </w:rPr>
            </w:pPr>
          </w:p>
        </w:tc>
        <w:tc>
          <w:tcPr>
            <w:tcW w:w="515" w:type="pct"/>
            <w:tcBorders>
              <w:top w:val="single" w:sz="4" w:space="0" w:color="auto"/>
              <w:left w:val="nil"/>
              <w:bottom w:val="single" w:sz="4" w:space="0" w:color="auto"/>
              <w:right w:val="nil"/>
            </w:tcBorders>
            <w:shd w:val="clear" w:color="auto" w:fill="FABF8F" w:themeFill="accent6" w:themeFillTint="99"/>
            <w:vAlign w:val="center"/>
            <w:hideMark/>
          </w:tcPr>
          <w:p w14:paraId="18131DB2" w14:textId="77777777" w:rsidR="0088085F" w:rsidRPr="006E66F8" w:rsidRDefault="0088085F" w:rsidP="00C762E6">
            <w:pPr>
              <w:pStyle w:val="cuadroCabe"/>
              <w:jc w:val="right"/>
            </w:pPr>
            <w:r>
              <w:t>2015</w:t>
            </w:r>
          </w:p>
        </w:tc>
        <w:tc>
          <w:tcPr>
            <w:tcW w:w="661" w:type="pct"/>
            <w:tcBorders>
              <w:top w:val="single" w:sz="4" w:space="0" w:color="auto"/>
              <w:left w:val="nil"/>
              <w:bottom w:val="single" w:sz="4" w:space="0" w:color="auto"/>
              <w:right w:val="nil"/>
            </w:tcBorders>
            <w:shd w:val="clear" w:color="auto" w:fill="FABF8F" w:themeFill="accent6" w:themeFillTint="99"/>
            <w:vAlign w:val="center"/>
            <w:hideMark/>
          </w:tcPr>
          <w:p w14:paraId="3066F488" w14:textId="77777777" w:rsidR="0088085F" w:rsidRPr="006E66F8" w:rsidRDefault="0088085F" w:rsidP="00C762E6">
            <w:pPr>
              <w:pStyle w:val="cuadroCabe"/>
              <w:jc w:val="right"/>
            </w:pPr>
            <w:r>
              <w:t>2016</w:t>
            </w:r>
          </w:p>
        </w:tc>
        <w:tc>
          <w:tcPr>
            <w:tcW w:w="608" w:type="pct"/>
            <w:tcBorders>
              <w:top w:val="single" w:sz="4" w:space="0" w:color="auto"/>
              <w:left w:val="nil"/>
              <w:bottom w:val="single" w:sz="4" w:space="0" w:color="auto"/>
              <w:right w:val="nil"/>
            </w:tcBorders>
            <w:shd w:val="clear" w:color="auto" w:fill="FABF8F" w:themeFill="accent6" w:themeFillTint="99"/>
            <w:vAlign w:val="center"/>
            <w:hideMark/>
          </w:tcPr>
          <w:p w14:paraId="78BFC817" w14:textId="77777777" w:rsidR="0088085F" w:rsidRPr="006E66F8" w:rsidRDefault="0088085F" w:rsidP="00C762E6">
            <w:pPr>
              <w:pStyle w:val="cuadroCabe"/>
              <w:jc w:val="right"/>
            </w:pPr>
            <w:r>
              <w:t>2017</w:t>
            </w:r>
          </w:p>
        </w:tc>
        <w:tc>
          <w:tcPr>
            <w:tcW w:w="647" w:type="pct"/>
            <w:tcBorders>
              <w:top w:val="single" w:sz="4" w:space="0" w:color="auto"/>
              <w:left w:val="nil"/>
              <w:bottom w:val="single" w:sz="4" w:space="0" w:color="auto"/>
              <w:right w:val="nil"/>
            </w:tcBorders>
            <w:shd w:val="clear" w:color="auto" w:fill="FABF8F" w:themeFill="accent6" w:themeFillTint="99"/>
            <w:vAlign w:val="center"/>
            <w:hideMark/>
          </w:tcPr>
          <w:p w14:paraId="706C0D85" w14:textId="77777777" w:rsidR="0088085F" w:rsidRPr="006E66F8" w:rsidRDefault="0088085F" w:rsidP="00C762E6">
            <w:pPr>
              <w:pStyle w:val="cuadroCabe"/>
              <w:jc w:val="right"/>
            </w:pPr>
            <w:r>
              <w:t>2018</w:t>
            </w:r>
          </w:p>
        </w:tc>
        <w:tc>
          <w:tcPr>
            <w:tcW w:w="606" w:type="pct"/>
            <w:tcBorders>
              <w:top w:val="single" w:sz="4" w:space="0" w:color="auto"/>
              <w:left w:val="nil"/>
              <w:bottom w:val="single" w:sz="4" w:space="0" w:color="auto"/>
              <w:right w:val="nil"/>
            </w:tcBorders>
            <w:shd w:val="clear" w:color="auto" w:fill="FABF8F" w:themeFill="accent6" w:themeFillTint="99"/>
            <w:vAlign w:val="center"/>
          </w:tcPr>
          <w:p w14:paraId="7C4F8832" w14:textId="77777777" w:rsidR="0088085F" w:rsidRDefault="0088085F" w:rsidP="00C762E6">
            <w:pPr>
              <w:pStyle w:val="cuadroCabe"/>
              <w:jc w:val="right"/>
            </w:pPr>
            <w:r>
              <w:t>2019</w:t>
            </w:r>
          </w:p>
        </w:tc>
      </w:tr>
      <w:tr w:rsidR="00D54D57" w:rsidRPr="006E66F8" w14:paraId="7D126D05" w14:textId="77777777" w:rsidTr="00F4617C">
        <w:trPr>
          <w:trHeight w:val="198"/>
          <w:jc w:val="center"/>
        </w:trPr>
        <w:tc>
          <w:tcPr>
            <w:tcW w:w="1285" w:type="pct"/>
            <w:tcBorders>
              <w:top w:val="single" w:sz="4" w:space="0" w:color="auto"/>
              <w:left w:val="nil"/>
              <w:bottom w:val="single" w:sz="2" w:space="0" w:color="auto"/>
              <w:right w:val="nil"/>
            </w:tcBorders>
            <w:shd w:val="clear" w:color="auto" w:fill="auto"/>
            <w:vAlign w:val="center"/>
            <w:hideMark/>
          </w:tcPr>
          <w:p w14:paraId="45513EF3" w14:textId="77777777" w:rsidR="0088085F" w:rsidRPr="006E66F8" w:rsidRDefault="0088085F" w:rsidP="00C762E6">
            <w:pPr>
              <w:pStyle w:val="cuatexto"/>
              <w:jc w:val="left"/>
            </w:pPr>
            <w:r>
              <w:t xml:space="preserve">Erakunde autonomoak </w:t>
            </w:r>
            <w:r>
              <w:rPr>
                <w:vertAlign w:val="subscript"/>
              </w:rPr>
              <w:t>(1)</w:t>
            </w:r>
          </w:p>
        </w:tc>
        <w:tc>
          <w:tcPr>
            <w:tcW w:w="677" w:type="pct"/>
            <w:tcBorders>
              <w:top w:val="single" w:sz="4" w:space="0" w:color="auto"/>
              <w:left w:val="nil"/>
              <w:bottom w:val="single" w:sz="2" w:space="0" w:color="auto"/>
              <w:right w:val="nil"/>
            </w:tcBorders>
            <w:shd w:val="clear" w:color="auto" w:fill="auto"/>
            <w:vAlign w:val="center"/>
          </w:tcPr>
          <w:p w14:paraId="58E8BE34" w14:textId="77777777" w:rsidR="0088085F" w:rsidRPr="006E66F8" w:rsidRDefault="0088085F" w:rsidP="00D54D57">
            <w:pPr>
              <w:pStyle w:val="cuatexto"/>
              <w:tabs>
                <w:tab w:val="clear" w:pos="5103"/>
                <w:tab w:val="right" w:pos="1056"/>
              </w:tabs>
              <w:rPr>
                <w:lang w:val="es-ES" w:eastAsia="es-ES"/>
              </w:rPr>
            </w:pPr>
          </w:p>
        </w:tc>
        <w:tc>
          <w:tcPr>
            <w:tcW w:w="515" w:type="pct"/>
            <w:tcBorders>
              <w:top w:val="single" w:sz="4" w:space="0" w:color="auto"/>
              <w:left w:val="nil"/>
              <w:bottom w:val="single" w:sz="2" w:space="0" w:color="auto"/>
              <w:right w:val="nil"/>
            </w:tcBorders>
            <w:shd w:val="clear" w:color="auto" w:fill="auto"/>
            <w:vAlign w:val="center"/>
            <w:hideMark/>
          </w:tcPr>
          <w:p w14:paraId="73D5A721" w14:textId="77777777" w:rsidR="0088085F" w:rsidRPr="006E66F8" w:rsidRDefault="0088085F" w:rsidP="00C762E6">
            <w:pPr>
              <w:pStyle w:val="cuatexto"/>
              <w:jc w:val="right"/>
            </w:pPr>
            <w:r>
              <w:t>65</w:t>
            </w:r>
          </w:p>
        </w:tc>
        <w:tc>
          <w:tcPr>
            <w:tcW w:w="661" w:type="pct"/>
            <w:tcBorders>
              <w:top w:val="single" w:sz="4" w:space="0" w:color="auto"/>
              <w:left w:val="nil"/>
              <w:bottom w:val="single" w:sz="2" w:space="0" w:color="auto"/>
              <w:right w:val="nil"/>
            </w:tcBorders>
            <w:shd w:val="clear" w:color="auto" w:fill="auto"/>
            <w:vAlign w:val="center"/>
            <w:hideMark/>
          </w:tcPr>
          <w:p w14:paraId="66799FD0" w14:textId="77777777" w:rsidR="0088085F" w:rsidRPr="006E66F8" w:rsidRDefault="0088085F" w:rsidP="00C762E6">
            <w:pPr>
              <w:pStyle w:val="cuatexto"/>
              <w:jc w:val="right"/>
            </w:pPr>
            <w:r>
              <w:t>64</w:t>
            </w:r>
          </w:p>
        </w:tc>
        <w:tc>
          <w:tcPr>
            <w:tcW w:w="608" w:type="pct"/>
            <w:tcBorders>
              <w:top w:val="single" w:sz="4" w:space="0" w:color="auto"/>
              <w:left w:val="nil"/>
              <w:bottom w:val="single" w:sz="2" w:space="0" w:color="auto"/>
              <w:right w:val="nil"/>
            </w:tcBorders>
            <w:shd w:val="clear" w:color="auto" w:fill="auto"/>
            <w:vAlign w:val="center"/>
            <w:hideMark/>
          </w:tcPr>
          <w:p w14:paraId="62F4CE18" w14:textId="77777777" w:rsidR="0088085F" w:rsidRPr="006E66F8" w:rsidRDefault="0088085F" w:rsidP="00C762E6">
            <w:pPr>
              <w:pStyle w:val="cuatexto"/>
              <w:jc w:val="right"/>
            </w:pPr>
            <w:r>
              <w:t>63</w:t>
            </w:r>
          </w:p>
        </w:tc>
        <w:tc>
          <w:tcPr>
            <w:tcW w:w="647" w:type="pct"/>
            <w:tcBorders>
              <w:top w:val="single" w:sz="4" w:space="0" w:color="auto"/>
              <w:left w:val="nil"/>
              <w:bottom w:val="single" w:sz="2" w:space="0" w:color="auto"/>
              <w:right w:val="nil"/>
            </w:tcBorders>
            <w:shd w:val="clear" w:color="auto" w:fill="auto"/>
            <w:vAlign w:val="center"/>
            <w:hideMark/>
          </w:tcPr>
          <w:p w14:paraId="64935F42" w14:textId="77777777" w:rsidR="0088085F" w:rsidRPr="006E66F8" w:rsidRDefault="0088085F" w:rsidP="00C762E6">
            <w:pPr>
              <w:pStyle w:val="cuatexto"/>
              <w:jc w:val="right"/>
            </w:pPr>
            <w:r>
              <w:t>60</w:t>
            </w:r>
          </w:p>
        </w:tc>
        <w:tc>
          <w:tcPr>
            <w:tcW w:w="606" w:type="pct"/>
            <w:tcBorders>
              <w:top w:val="single" w:sz="4" w:space="0" w:color="auto"/>
              <w:left w:val="nil"/>
              <w:bottom w:val="single" w:sz="2" w:space="0" w:color="auto"/>
              <w:right w:val="nil"/>
            </w:tcBorders>
            <w:vAlign w:val="center"/>
          </w:tcPr>
          <w:p w14:paraId="04BA6070" w14:textId="77777777" w:rsidR="0088085F" w:rsidRPr="006E66F8" w:rsidRDefault="0088085F" w:rsidP="00C762E6">
            <w:pPr>
              <w:pStyle w:val="cuatexto"/>
              <w:jc w:val="right"/>
            </w:pPr>
            <w:r>
              <w:t>58</w:t>
            </w:r>
          </w:p>
        </w:tc>
      </w:tr>
      <w:tr w:rsidR="00D54D57" w:rsidRPr="006E66F8" w14:paraId="0B419D9A" w14:textId="77777777" w:rsidTr="00F4617C">
        <w:trPr>
          <w:trHeight w:val="198"/>
          <w:jc w:val="center"/>
        </w:trPr>
        <w:tc>
          <w:tcPr>
            <w:tcW w:w="1285" w:type="pct"/>
            <w:tcBorders>
              <w:top w:val="single" w:sz="2" w:space="0" w:color="auto"/>
              <w:left w:val="nil"/>
              <w:bottom w:val="single" w:sz="2" w:space="0" w:color="auto"/>
              <w:right w:val="nil"/>
            </w:tcBorders>
            <w:shd w:val="clear" w:color="auto" w:fill="auto"/>
            <w:vAlign w:val="center"/>
            <w:hideMark/>
          </w:tcPr>
          <w:p w14:paraId="46ED4BD5" w14:textId="77777777" w:rsidR="0088085F" w:rsidRPr="006E66F8" w:rsidRDefault="0088085F" w:rsidP="00C762E6">
            <w:pPr>
              <w:pStyle w:val="cuatexto"/>
              <w:jc w:val="left"/>
            </w:pPr>
            <w:r>
              <w:t>Enpresa publikoak</w:t>
            </w:r>
          </w:p>
        </w:tc>
        <w:tc>
          <w:tcPr>
            <w:tcW w:w="677" w:type="pct"/>
            <w:tcBorders>
              <w:top w:val="single" w:sz="2" w:space="0" w:color="auto"/>
              <w:left w:val="nil"/>
              <w:bottom w:val="single" w:sz="2" w:space="0" w:color="auto"/>
              <w:right w:val="nil"/>
            </w:tcBorders>
            <w:shd w:val="clear" w:color="auto" w:fill="auto"/>
            <w:vAlign w:val="center"/>
          </w:tcPr>
          <w:p w14:paraId="1882FD54"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2" w:space="0" w:color="auto"/>
              <w:right w:val="nil"/>
            </w:tcBorders>
            <w:shd w:val="clear" w:color="auto" w:fill="auto"/>
            <w:vAlign w:val="center"/>
            <w:hideMark/>
          </w:tcPr>
          <w:p w14:paraId="743D35E9" w14:textId="77777777" w:rsidR="0088085F" w:rsidRPr="006E66F8" w:rsidRDefault="0088085F" w:rsidP="00C762E6">
            <w:pPr>
              <w:pStyle w:val="cuatexto"/>
              <w:jc w:val="right"/>
            </w:pPr>
            <w:r>
              <w:t>55</w:t>
            </w:r>
          </w:p>
        </w:tc>
        <w:tc>
          <w:tcPr>
            <w:tcW w:w="661" w:type="pct"/>
            <w:tcBorders>
              <w:top w:val="single" w:sz="2" w:space="0" w:color="auto"/>
              <w:left w:val="nil"/>
              <w:bottom w:val="single" w:sz="2" w:space="0" w:color="auto"/>
              <w:right w:val="nil"/>
            </w:tcBorders>
            <w:shd w:val="clear" w:color="auto" w:fill="auto"/>
            <w:vAlign w:val="center"/>
            <w:hideMark/>
          </w:tcPr>
          <w:p w14:paraId="6B4A26E6" w14:textId="77777777" w:rsidR="0088085F" w:rsidRPr="006E66F8" w:rsidRDefault="0088085F" w:rsidP="00C762E6">
            <w:pPr>
              <w:pStyle w:val="cuatexto"/>
              <w:jc w:val="right"/>
            </w:pPr>
            <w:r>
              <w:t>54</w:t>
            </w:r>
          </w:p>
        </w:tc>
        <w:tc>
          <w:tcPr>
            <w:tcW w:w="608" w:type="pct"/>
            <w:tcBorders>
              <w:top w:val="single" w:sz="2" w:space="0" w:color="auto"/>
              <w:left w:val="nil"/>
              <w:bottom w:val="single" w:sz="2" w:space="0" w:color="auto"/>
              <w:right w:val="nil"/>
            </w:tcBorders>
            <w:shd w:val="clear" w:color="auto" w:fill="auto"/>
            <w:vAlign w:val="center"/>
            <w:hideMark/>
          </w:tcPr>
          <w:p w14:paraId="16C33E1E" w14:textId="77777777" w:rsidR="0088085F" w:rsidRPr="006E66F8" w:rsidRDefault="0088085F" w:rsidP="00C762E6">
            <w:pPr>
              <w:pStyle w:val="cuatexto"/>
              <w:jc w:val="right"/>
            </w:pPr>
            <w:r>
              <w:t>53</w:t>
            </w:r>
          </w:p>
        </w:tc>
        <w:tc>
          <w:tcPr>
            <w:tcW w:w="647" w:type="pct"/>
            <w:tcBorders>
              <w:top w:val="single" w:sz="2" w:space="0" w:color="auto"/>
              <w:left w:val="nil"/>
              <w:bottom w:val="single" w:sz="2" w:space="0" w:color="auto"/>
              <w:right w:val="nil"/>
            </w:tcBorders>
            <w:shd w:val="clear" w:color="auto" w:fill="auto"/>
            <w:vAlign w:val="center"/>
            <w:hideMark/>
          </w:tcPr>
          <w:p w14:paraId="5B32C26A" w14:textId="77777777" w:rsidR="0088085F" w:rsidRPr="006E66F8" w:rsidRDefault="0088085F" w:rsidP="00C762E6">
            <w:pPr>
              <w:pStyle w:val="cuatexto"/>
              <w:jc w:val="right"/>
            </w:pPr>
            <w:r>
              <w:t>57</w:t>
            </w:r>
          </w:p>
        </w:tc>
        <w:tc>
          <w:tcPr>
            <w:tcW w:w="606" w:type="pct"/>
            <w:tcBorders>
              <w:top w:val="single" w:sz="2" w:space="0" w:color="auto"/>
              <w:left w:val="nil"/>
              <w:bottom w:val="single" w:sz="2" w:space="0" w:color="auto"/>
              <w:right w:val="nil"/>
            </w:tcBorders>
            <w:vAlign w:val="center"/>
          </w:tcPr>
          <w:p w14:paraId="45593B38" w14:textId="77777777" w:rsidR="0088085F" w:rsidRPr="006E66F8" w:rsidRDefault="0088085F" w:rsidP="00C762E6">
            <w:pPr>
              <w:pStyle w:val="cuatexto"/>
              <w:jc w:val="right"/>
            </w:pPr>
            <w:r>
              <w:t>56</w:t>
            </w:r>
          </w:p>
        </w:tc>
      </w:tr>
      <w:tr w:rsidR="00D54D57" w:rsidRPr="006E66F8" w14:paraId="51E2CB1C" w14:textId="77777777" w:rsidTr="00F4617C">
        <w:trPr>
          <w:trHeight w:val="198"/>
          <w:jc w:val="center"/>
        </w:trPr>
        <w:tc>
          <w:tcPr>
            <w:tcW w:w="1285" w:type="pct"/>
            <w:tcBorders>
              <w:top w:val="single" w:sz="2" w:space="0" w:color="auto"/>
              <w:left w:val="nil"/>
              <w:bottom w:val="single" w:sz="2" w:space="0" w:color="auto"/>
              <w:right w:val="nil"/>
            </w:tcBorders>
            <w:shd w:val="clear" w:color="auto" w:fill="auto"/>
            <w:vAlign w:val="center"/>
            <w:hideMark/>
          </w:tcPr>
          <w:p w14:paraId="6F47D0A5" w14:textId="77777777" w:rsidR="0088085F" w:rsidRPr="006E66F8" w:rsidRDefault="0088085F" w:rsidP="00C762E6">
            <w:pPr>
              <w:pStyle w:val="cuatexto"/>
              <w:jc w:val="left"/>
            </w:pPr>
            <w:r>
              <w:t>Fundazio publikoak</w:t>
            </w:r>
          </w:p>
        </w:tc>
        <w:tc>
          <w:tcPr>
            <w:tcW w:w="677" w:type="pct"/>
            <w:tcBorders>
              <w:top w:val="single" w:sz="2" w:space="0" w:color="auto"/>
              <w:left w:val="nil"/>
              <w:bottom w:val="single" w:sz="2" w:space="0" w:color="auto"/>
              <w:right w:val="nil"/>
            </w:tcBorders>
            <w:shd w:val="clear" w:color="auto" w:fill="auto"/>
            <w:vAlign w:val="center"/>
          </w:tcPr>
          <w:p w14:paraId="311C3085"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2" w:space="0" w:color="auto"/>
              <w:right w:val="nil"/>
            </w:tcBorders>
            <w:shd w:val="clear" w:color="auto" w:fill="auto"/>
            <w:vAlign w:val="center"/>
            <w:hideMark/>
          </w:tcPr>
          <w:p w14:paraId="217E2B6B" w14:textId="77777777" w:rsidR="0088085F" w:rsidRPr="006E66F8" w:rsidRDefault="0088085F" w:rsidP="00C762E6">
            <w:pPr>
              <w:pStyle w:val="cuatexto"/>
              <w:jc w:val="right"/>
            </w:pPr>
            <w:r>
              <w:t>9</w:t>
            </w:r>
          </w:p>
        </w:tc>
        <w:tc>
          <w:tcPr>
            <w:tcW w:w="661" w:type="pct"/>
            <w:tcBorders>
              <w:top w:val="single" w:sz="2" w:space="0" w:color="auto"/>
              <w:left w:val="nil"/>
              <w:bottom w:val="single" w:sz="2" w:space="0" w:color="auto"/>
              <w:right w:val="nil"/>
            </w:tcBorders>
            <w:shd w:val="clear" w:color="auto" w:fill="auto"/>
            <w:vAlign w:val="center"/>
            <w:hideMark/>
          </w:tcPr>
          <w:p w14:paraId="00547E31" w14:textId="77777777" w:rsidR="0088085F" w:rsidRPr="006E66F8" w:rsidRDefault="0088085F" w:rsidP="00C762E6">
            <w:pPr>
              <w:pStyle w:val="cuatexto"/>
              <w:jc w:val="right"/>
            </w:pPr>
            <w:r>
              <w:t>9</w:t>
            </w:r>
          </w:p>
        </w:tc>
        <w:tc>
          <w:tcPr>
            <w:tcW w:w="608" w:type="pct"/>
            <w:tcBorders>
              <w:top w:val="single" w:sz="2" w:space="0" w:color="auto"/>
              <w:left w:val="nil"/>
              <w:bottom w:val="single" w:sz="2" w:space="0" w:color="auto"/>
              <w:right w:val="nil"/>
            </w:tcBorders>
            <w:shd w:val="clear" w:color="auto" w:fill="auto"/>
            <w:vAlign w:val="center"/>
            <w:hideMark/>
          </w:tcPr>
          <w:p w14:paraId="4479DADE" w14:textId="77777777" w:rsidR="0088085F" w:rsidRPr="006E66F8" w:rsidRDefault="0088085F" w:rsidP="00C762E6">
            <w:pPr>
              <w:pStyle w:val="cuatexto"/>
              <w:jc w:val="right"/>
            </w:pPr>
            <w:r>
              <w:t>8</w:t>
            </w:r>
          </w:p>
        </w:tc>
        <w:tc>
          <w:tcPr>
            <w:tcW w:w="647" w:type="pct"/>
            <w:tcBorders>
              <w:top w:val="single" w:sz="2" w:space="0" w:color="auto"/>
              <w:left w:val="nil"/>
              <w:bottom w:val="single" w:sz="2" w:space="0" w:color="auto"/>
              <w:right w:val="nil"/>
            </w:tcBorders>
            <w:shd w:val="clear" w:color="auto" w:fill="auto"/>
            <w:vAlign w:val="center"/>
            <w:hideMark/>
          </w:tcPr>
          <w:p w14:paraId="11CE51EA" w14:textId="77777777" w:rsidR="0088085F" w:rsidRPr="006E66F8" w:rsidRDefault="0088085F" w:rsidP="00C762E6">
            <w:pPr>
              <w:pStyle w:val="cuatexto"/>
              <w:jc w:val="right"/>
            </w:pPr>
            <w:r>
              <w:t>8</w:t>
            </w:r>
          </w:p>
        </w:tc>
        <w:tc>
          <w:tcPr>
            <w:tcW w:w="606" w:type="pct"/>
            <w:tcBorders>
              <w:top w:val="single" w:sz="2" w:space="0" w:color="auto"/>
              <w:left w:val="nil"/>
              <w:bottom w:val="single" w:sz="2" w:space="0" w:color="auto"/>
              <w:right w:val="nil"/>
            </w:tcBorders>
            <w:vAlign w:val="center"/>
          </w:tcPr>
          <w:p w14:paraId="33294903" w14:textId="77777777" w:rsidR="0088085F" w:rsidRPr="006E66F8" w:rsidRDefault="0088085F" w:rsidP="00C762E6">
            <w:pPr>
              <w:pStyle w:val="cuatexto"/>
              <w:jc w:val="right"/>
            </w:pPr>
            <w:r>
              <w:t>8</w:t>
            </w:r>
          </w:p>
        </w:tc>
      </w:tr>
      <w:tr w:rsidR="00D54D57" w:rsidRPr="006E66F8" w14:paraId="7389EB93" w14:textId="77777777" w:rsidTr="00F4617C">
        <w:trPr>
          <w:trHeight w:val="198"/>
          <w:jc w:val="center"/>
        </w:trPr>
        <w:tc>
          <w:tcPr>
            <w:tcW w:w="1285" w:type="pct"/>
            <w:tcBorders>
              <w:top w:val="single" w:sz="2" w:space="0" w:color="auto"/>
              <w:left w:val="nil"/>
              <w:bottom w:val="single" w:sz="4" w:space="0" w:color="auto"/>
              <w:right w:val="nil"/>
            </w:tcBorders>
            <w:shd w:val="clear" w:color="auto" w:fill="auto"/>
            <w:vAlign w:val="center"/>
            <w:hideMark/>
          </w:tcPr>
          <w:p w14:paraId="0496D4E8" w14:textId="77777777" w:rsidR="0088085F" w:rsidRPr="006E66F8" w:rsidRDefault="0088085F" w:rsidP="00C762E6">
            <w:pPr>
              <w:pStyle w:val="cuatexto"/>
              <w:jc w:val="left"/>
            </w:pPr>
            <w:r>
              <w:t xml:space="preserve">Partzuergoak </w:t>
            </w:r>
            <w:r>
              <w:rPr>
                <w:vertAlign w:val="subscript"/>
              </w:rPr>
              <w:t>(2)</w:t>
            </w:r>
          </w:p>
        </w:tc>
        <w:tc>
          <w:tcPr>
            <w:tcW w:w="677" w:type="pct"/>
            <w:tcBorders>
              <w:top w:val="single" w:sz="2" w:space="0" w:color="auto"/>
              <w:left w:val="nil"/>
              <w:bottom w:val="single" w:sz="4" w:space="0" w:color="auto"/>
              <w:right w:val="nil"/>
            </w:tcBorders>
            <w:shd w:val="clear" w:color="auto" w:fill="auto"/>
            <w:vAlign w:val="center"/>
          </w:tcPr>
          <w:p w14:paraId="297272B1" w14:textId="77777777" w:rsidR="0088085F" w:rsidRPr="006E66F8" w:rsidRDefault="0088085F" w:rsidP="00C762E6">
            <w:pPr>
              <w:pStyle w:val="cuatexto"/>
              <w:rPr>
                <w:lang w:val="es-ES" w:eastAsia="es-ES"/>
              </w:rPr>
            </w:pPr>
          </w:p>
        </w:tc>
        <w:tc>
          <w:tcPr>
            <w:tcW w:w="515" w:type="pct"/>
            <w:tcBorders>
              <w:top w:val="single" w:sz="2" w:space="0" w:color="auto"/>
              <w:left w:val="nil"/>
              <w:bottom w:val="single" w:sz="4" w:space="0" w:color="auto"/>
              <w:right w:val="nil"/>
            </w:tcBorders>
            <w:shd w:val="clear" w:color="auto" w:fill="auto"/>
            <w:vAlign w:val="center"/>
            <w:hideMark/>
          </w:tcPr>
          <w:p w14:paraId="26A6C2CC" w14:textId="77777777" w:rsidR="0088085F" w:rsidRPr="006E66F8" w:rsidRDefault="0088085F" w:rsidP="00C762E6">
            <w:pPr>
              <w:pStyle w:val="cuatexto"/>
              <w:jc w:val="right"/>
            </w:pPr>
            <w:r>
              <w:t>15</w:t>
            </w:r>
          </w:p>
        </w:tc>
        <w:tc>
          <w:tcPr>
            <w:tcW w:w="661" w:type="pct"/>
            <w:tcBorders>
              <w:top w:val="single" w:sz="2" w:space="0" w:color="auto"/>
              <w:left w:val="nil"/>
              <w:bottom w:val="single" w:sz="4" w:space="0" w:color="auto"/>
              <w:right w:val="nil"/>
            </w:tcBorders>
            <w:shd w:val="clear" w:color="auto" w:fill="auto"/>
            <w:vAlign w:val="center"/>
            <w:hideMark/>
          </w:tcPr>
          <w:p w14:paraId="668BE56C" w14:textId="77777777" w:rsidR="0088085F" w:rsidRPr="006E66F8" w:rsidRDefault="0088085F" w:rsidP="00C762E6">
            <w:pPr>
              <w:pStyle w:val="cuatexto"/>
              <w:jc w:val="right"/>
            </w:pPr>
            <w:r>
              <w:t>15</w:t>
            </w:r>
          </w:p>
        </w:tc>
        <w:tc>
          <w:tcPr>
            <w:tcW w:w="608" w:type="pct"/>
            <w:tcBorders>
              <w:top w:val="single" w:sz="2" w:space="0" w:color="auto"/>
              <w:left w:val="nil"/>
              <w:bottom w:val="single" w:sz="4" w:space="0" w:color="auto"/>
              <w:right w:val="nil"/>
            </w:tcBorders>
            <w:shd w:val="clear" w:color="auto" w:fill="auto"/>
            <w:vAlign w:val="center"/>
            <w:hideMark/>
          </w:tcPr>
          <w:p w14:paraId="1FED4DDB" w14:textId="77777777" w:rsidR="0088085F" w:rsidRPr="006E66F8" w:rsidRDefault="0088085F" w:rsidP="00C762E6">
            <w:pPr>
              <w:pStyle w:val="cuatexto"/>
              <w:jc w:val="right"/>
            </w:pPr>
            <w:r>
              <w:t>17</w:t>
            </w:r>
          </w:p>
        </w:tc>
        <w:tc>
          <w:tcPr>
            <w:tcW w:w="647" w:type="pct"/>
            <w:tcBorders>
              <w:top w:val="single" w:sz="2" w:space="0" w:color="auto"/>
              <w:left w:val="nil"/>
              <w:bottom w:val="single" w:sz="4" w:space="0" w:color="auto"/>
              <w:right w:val="nil"/>
            </w:tcBorders>
            <w:shd w:val="clear" w:color="auto" w:fill="auto"/>
            <w:vAlign w:val="center"/>
            <w:hideMark/>
          </w:tcPr>
          <w:p w14:paraId="6DD09A6E" w14:textId="77777777" w:rsidR="0088085F" w:rsidRPr="006E66F8" w:rsidRDefault="0088085F" w:rsidP="00C762E6">
            <w:pPr>
              <w:pStyle w:val="cuatexto"/>
              <w:jc w:val="right"/>
            </w:pPr>
            <w:r>
              <w:t>17</w:t>
            </w:r>
          </w:p>
        </w:tc>
        <w:tc>
          <w:tcPr>
            <w:tcW w:w="606" w:type="pct"/>
            <w:tcBorders>
              <w:top w:val="single" w:sz="2" w:space="0" w:color="auto"/>
              <w:left w:val="nil"/>
              <w:bottom w:val="single" w:sz="4" w:space="0" w:color="auto"/>
              <w:right w:val="nil"/>
            </w:tcBorders>
            <w:vAlign w:val="center"/>
          </w:tcPr>
          <w:p w14:paraId="76C15FED" w14:textId="77777777" w:rsidR="0088085F" w:rsidRPr="006E66F8" w:rsidRDefault="0088085F" w:rsidP="00C762E6">
            <w:pPr>
              <w:pStyle w:val="cuatexto"/>
              <w:jc w:val="right"/>
            </w:pPr>
            <w:r>
              <w:t>17</w:t>
            </w:r>
          </w:p>
        </w:tc>
      </w:tr>
      <w:tr w:rsidR="00D54D57" w:rsidRPr="006E66F8" w14:paraId="7AA79FBA" w14:textId="77777777" w:rsidTr="00F4617C">
        <w:trPr>
          <w:trHeight w:val="255"/>
          <w:jc w:val="center"/>
        </w:trPr>
        <w:tc>
          <w:tcPr>
            <w:tcW w:w="1285" w:type="pct"/>
            <w:tcBorders>
              <w:top w:val="nil"/>
              <w:left w:val="nil"/>
              <w:bottom w:val="single" w:sz="4" w:space="0" w:color="auto"/>
              <w:right w:val="nil"/>
            </w:tcBorders>
            <w:shd w:val="clear" w:color="auto" w:fill="FABF8F" w:themeFill="accent6" w:themeFillTint="99"/>
            <w:vAlign w:val="center"/>
            <w:hideMark/>
          </w:tcPr>
          <w:p w14:paraId="0D1F5693" w14:textId="77777777" w:rsidR="0088085F" w:rsidRPr="006E66F8" w:rsidRDefault="0088085F" w:rsidP="00C762E6">
            <w:pPr>
              <w:pStyle w:val="cuadroCabe"/>
              <w:jc w:val="left"/>
            </w:pPr>
            <w:r>
              <w:t>Guztira</w:t>
            </w:r>
          </w:p>
        </w:tc>
        <w:tc>
          <w:tcPr>
            <w:tcW w:w="677" w:type="pct"/>
            <w:tcBorders>
              <w:top w:val="nil"/>
              <w:left w:val="nil"/>
              <w:bottom w:val="single" w:sz="4" w:space="0" w:color="auto"/>
              <w:right w:val="nil"/>
            </w:tcBorders>
            <w:shd w:val="clear" w:color="auto" w:fill="FABF8F" w:themeFill="accent6" w:themeFillTint="99"/>
            <w:vAlign w:val="center"/>
          </w:tcPr>
          <w:p w14:paraId="0648F5BC" w14:textId="77777777" w:rsidR="0088085F" w:rsidRPr="006E66F8" w:rsidRDefault="0088085F" w:rsidP="00C762E6">
            <w:pPr>
              <w:pStyle w:val="cuadroCabe"/>
              <w:rPr>
                <w:lang w:val="es-ES" w:eastAsia="es-ES"/>
              </w:rPr>
            </w:pPr>
          </w:p>
        </w:tc>
        <w:tc>
          <w:tcPr>
            <w:tcW w:w="515" w:type="pct"/>
            <w:tcBorders>
              <w:top w:val="nil"/>
              <w:left w:val="nil"/>
              <w:bottom w:val="single" w:sz="4" w:space="0" w:color="auto"/>
              <w:right w:val="nil"/>
            </w:tcBorders>
            <w:shd w:val="clear" w:color="auto" w:fill="FABF8F" w:themeFill="accent6" w:themeFillTint="99"/>
            <w:vAlign w:val="center"/>
            <w:hideMark/>
          </w:tcPr>
          <w:p w14:paraId="3807E6D8" w14:textId="77777777" w:rsidR="0088085F" w:rsidRPr="006E66F8" w:rsidRDefault="0088085F" w:rsidP="00C762E6">
            <w:pPr>
              <w:pStyle w:val="cuadroCabe"/>
              <w:jc w:val="right"/>
            </w:pPr>
            <w:r>
              <w:t>144</w:t>
            </w:r>
          </w:p>
        </w:tc>
        <w:tc>
          <w:tcPr>
            <w:tcW w:w="661" w:type="pct"/>
            <w:tcBorders>
              <w:top w:val="nil"/>
              <w:left w:val="nil"/>
              <w:bottom w:val="single" w:sz="4" w:space="0" w:color="auto"/>
              <w:right w:val="nil"/>
            </w:tcBorders>
            <w:shd w:val="clear" w:color="auto" w:fill="FABF8F" w:themeFill="accent6" w:themeFillTint="99"/>
            <w:vAlign w:val="center"/>
            <w:hideMark/>
          </w:tcPr>
          <w:p w14:paraId="222FB321" w14:textId="77777777" w:rsidR="0088085F" w:rsidRPr="006E66F8" w:rsidRDefault="0088085F" w:rsidP="00C762E6">
            <w:pPr>
              <w:pStyle w:val="cuadroCabe"/>
              <w:jc w:val="right"/>
            </w:pPr>
            <w:r>
              <w:t>142</w:t>
            </w:r>
          </w:p>
        </w:tc>
        <w:tc>
          <w:tcPr>
            <w:tcW w:w="608" w:type="pct"/>
            <w:tcBorders>
              <w:top w:val="nil"/>
              <w:left w:val="nil"/>
              <w:bottom w:val="single" w:sz="4" w:space="0" w:color="auto"/>
              <w:right w:val="nil"/>
            </w:tcBorders>
            <w:shd w:val="clear" w:color="auto" w:fill="FABF8F" w:themeFill="accent6" w:themeFillTint="99"/>
            <w:vAlign w:val="center"/>
            <w:hideMark/>
          </w:tcPr>
          <w:p w14:paraId="1AF7B77B" w14:textId="77777777" w:rsidR="0088085F" w:rsidRPr="006E66F8" w:rsidRDefault="0088085F" w:rsidP="00C762E6">
            <w:pPr>
              <w:pStyle w:val="cuadroCabe"/>
              <w:jc w:val="right"/>
            </w:pPr>
            <w:r>
              <w:t>141</w:t>
            </w:r>
          </w:p>
        </w:tc>
        <w:tc>
          <w:tcPr>
            <w:tcW w:w="647" w:type="pct"/>
            <w:tcBorders>
              <w:top w:val="nil"/>
              <w:left w:val="nil"/>
              <w:bottom w:val="single" w:sz="4" w:space="0" w:color="auto"/>
              <w:right w:val="nil"/>
            </w:tcBorders>
            <w:shd w:val="clear" w:color="auto" w:fill="FABF8F" w:themeFill="accent6" w:themeFillTint="99"/>
            <w:vAlign w:val="center"/>
            <w:hideMark/>
          </w:tcPr>
          <w:p w14:paraId="2C46AFE5" w14:textId="77777777" w:rsidR="0088085F" w:rsidRPr="006E66F8" w:rsidRDefault="0088085F" w:rsidP="00C762E6">
            <w:pPr>
              <w:pStyle w:val="cuadroCabe"/>
              <w:jc w:val="right"/>
            </w:pPr>
            <w:r>
              <w:t>142</w:t>
            </w:r>
          </w:p>
        </w:tc>
        <w:tc>
          <w:tcPr>
            <w:tcW w:w="606" w:type="pct"/>
            <w:tcBorders>
              <w:top w:val="nil"/>
              <w:left w:val="nil"/>
              <w:bottom w:val="single" w:sz="4" w:space="0" w:color="auto"/>
              <w:right w:val="nil"/>
            </w:tcBorders>
            <w:shd w:val="clear" w:color="auto" w:fill="FABF8F" w:themeFill="accent6" w:themeFillTint="99"/>
            <w:vAlign w:val="center"/>
          </w:tcPr>
          <w:p w14:paraId="2ED69F3C" w14:textId="77777777" w:rsidR="0088085F" w:rsidRPr="006E66F8" w:rsidRDefault="0088085F" w:rsidP="00C762E6">
            <w:pPr>
              <w:pStyle w:val="cuadroCabe"/>
              <w:jc w:val="right"/>
            </w:pPr>
            <w:r>
              <w:t>139</w:t>
            </w:r>
          </w:p>
        </w:tc>
      </w:tr>
    </w:tbl>
    <w:p w14:paraId="0BA7A819" w14:textId="77777777" w:rsidR="0088085F" w:rsidRPr="00F4617C" w:rsidRDefault="00C762E6" w:rsidP="00C762E6">
      <w:pPr>
        <w:pStyle w:val="texto"/>
        <w:spacing w:before="80" w:after="40"/>
        <w:ind w:firstLine="0"/>
        <w:rPr>
          <w:rFonts w:ascii="Arial" w:hAnsi="Arial" w:cs="Arial"/>
          <w:sz w:val="16"/>
          <w:szCs w:val="16"/>
        </w:rPr>
      </w:pPr>
      <w:r>
        <w:rPr>
          <w:rFonts w:ascii="Arial" w:hAnsi="Arial"/>
          <w:sz w:val="16"/>
          <w:szCs w:val="16"/>
        </w:rPr>
        <w:t xml:space="preserve">  (1) Erakunde autonomoetan sartu dugu Toki Entitateen Erregistroan alta emanda ez dagoen bat (Zaraitzuko Musika Eskola).</w:t>
      </w:r>
    </w:p>
    <w:p w14:paraId="39E86E92" w14:textId="77777777" w:rsidR="0088085F" w:rsidRPr="00F4617C" w:rsidRDefault="00C762E6" w:rsidP="00C762E6">
      <w:pPr>
        <w:pStyle w:val="texto"/>
        <w:spacing w:after="0"/>
        <w:ind w:firstLine="0"/>
        <w:rPr>
          <w:rFonts w:ascii="Arial" w:hAnsi="Arial" w:cs="Arial"/>
          <w:sz w:val="16"/>
          <w:szCs w:val="16"/>
        </w:rPr>
      </w:pPr>
      <w:r>
        <w:rPr>
          <w:rFonts w:ascii="Arial" w:hAnsi="Arial"/>
          <w:sz w:val="16"/>
          <w:szCs w:val="16"/>
        </w:rPr>
        <w:t xml:space="preserve">  (2) Dauden partzuergo guztiak sartu ditugu.</w:t>
      </w:r>
    </w:p>
    <w:p w14:paraId="24E6A651" w14:textId="77777777" w:rsidR="0088085F" w:rsidRPr="00262228" w:rsidRDefault="0088085F" w:rsidP="00C762E6">
      <w:pPr>
        <w:pStyle w:val="texto"/>
        <w:spacing w:before="220"/>
      </w:pPr>
      <w:r>
        <w:t>2018ko aldean, erakunde autonomoei dagokienez, azkendu egin dira Tafallako Udalaren Kirol Patronatua eta Oltza Zendeako Musika Eskolaren Patronatua. Erakunde autonomo guztietatik, udalen menpekoak 55 dira, eta mankomunitateen menpekoak hiru.</w:t>
      </w:r>
    </w:p>
    <w:p w14:paraId="3F872BA5" w14:textId="77777777" w:rsidR="0088085F" w:rsidRPr="00262228" w:rsidRDefault="0088085F" w:rsidP="00262228">
      <w:pPr>
        <w:pStyle w:val="texto"/>
      </w:pPr>
      <w:r>
        <w:t xml:space="preserve">Enpresa publikoei dagokienez, alta eman zaio bati (Ezka Ibaia Energia SL), eta baja eman zaie bi enpresari (Cintruénigo </w:t>
      </w:r>
      <w:proofErr w:type="spellStart"/>
      <w:r>
        <w:t>Servicios</w:t>
      </w:r>
      <w:proofErr w:type="spellEnd"/>
      <w:r>
        <w:t xml:space="preserve"> </w:t>
      </w:r>
      <w:proofErr w:type="spellStart"/>
      <w:r>
        <w:t>Municipales</w:t>
      </w:r>
      <w:proofErr w:type="spellEnd"/>
      <w:r>
        <w:t xml:space="preserve"> SRL eta </w:t>
      </w:r>
      <w:proofErr w:type="spellStart"/>
      <w:r>
        <w:t>Orbalan</w:t>
      </w:r>
      <w:proofErr w:type="spellEnd"/>
      <w:r>
        <w:t xml:space="preserve"> SL).</w:t>
      </w:r>
    </w:p>
    <w:p w14:paraId="3FA237F3" w14:textId="77777777" w:rsidR="00C762E6" w:rsidRDefault="00C762E6">
      <w:pPr>
        <w:spacing w:after="0"/>
        <w:ind w:firstLine="0"/>
        <w:jc w:val="left"/>
        <w:rPr>
          <w:spacing w:val="6"/>
          <w:sz w:val="26"/>
          <w:szCs w:val="24"/>
        </w:rPr>
      </w:pPr>
      <w:r>
        <w:br w:type="page"/>
      </w:r>
    </w:p>
    <w:p w14:paraId="4D494B67" w14:textId="77777777" w:rsidR="0088085F" w:rsidRPr="00262228" w:rsidRDefault="0088085F" w:rsidP="007E5A67">
      <w:pPr>
        <w:pStyle w:val="texto"/>
        <w:spacing w:after="360"/>
      </w:pPr>
      <w:r>
        <w:lastRenderedPageBreak/>
        <w:t>Aurreko datuak kontuan hartuta, hona hemen Nafarroako toki sektore publikoaren egitura 2019ko abenduaren 31n:</w:t>
      </w:r>
    </w:p>
    <w:p w14:paraId="0FDE9E5D"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b/>
          <w:bCs/>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65920" behindDoc="0" locked="0" layoutInCell="1" allowOverlap="1" wp14:anchorId="6D4EAC42" wp14:editId="7E335157">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14:paraId="7442DB07" w14:textId="77777777" w:rsidR="00B9085A" w:rsidRDefault="00B9085A" w:rsidP="0088085F">
                            <w:pPr>
                              <w:spacing w:after="0"/>
                              <w:ind w:firstLine="0"/>
                              <w:jc w:val="center"/>
                              <w:rPr>
                                <w:rFonts w:ascii="Arial" w:hAnsi="Arial" w:cs="Arial"/>
                                <w:sz w:val="16"/>
                                <w:szCs w:val="16"/>
                                <w:lang w:val="es-ES"/>
                              </w:rPr>
                            </w:pPr>
                          </w:p>
                          <w:p w14:paraId="43D99048"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Toki Sektore Publikoa</w:t>
                            </w:r>
                          </w:p>
                          <w:p w14:paraId="0C80F400"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toki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AC42"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" strokeweight=".25pt">
                <v:textbox inset="1pt,1pt,1pt,1pt">
                  <w:txbxContent>
                    <w:p w14:paraId="7442DB07" w14:textId="77777777" w:rsidR="00B9085A" w:rsidRDefault="00B9085A" w:rsidP="0088085F">
                      <w:pPr>
                        <w:spacing w:after="0"/>
                        <w:ind w:firstLine="0"/>
                        <w:jc w:val="center"/>
                        <w:rPr>
                          <w:rFonts w:ascii="Arial" w:hAnsi="Arial" w:cs="Arial"/>
                          <w:sz w:val="16"/>
                          <w:szCs w:val="16"/>
                          <w:lang w:val="es-ES"/>
                        </w:rPr>
                      </w:pPr>
                    </w:p>
                    <w:p w14:paraId="43D99048"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Toki Sektore Publikoa</w:t>
                      </w:r>
                    </w:p>
                    <w:p w14:paraId="0C80F400"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toki sektore publikoa</w:t>
                      </w:r>
                    </w:p>
                  </w:txbxContent>
                </v:textbox>
              </v:rect>
            </w:pict>
          </mc:Fallback>
        </mc:AlternateContent>
      </w:r>
    </w:p>
    <w:p w14:paraId="6A6E177F"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60800" behindDoc="0" locked="0" layoutInCell="1" allowOverlap="1" wp14:anchorId="11C47011" wp14:editId="380C0096">
                <wp:simplePos x="0" y="0"/>
                <wp:positionH relativeFrom="column">
                  <wp:posOffset>3053715</wp:posOffset>
                </wp:positionH>
                <wp:positionV relativeFrom="paragraph">
                  <wp:posOffset>133985</wp:posOffset>
                </wp:positionV>
                <wp:extent cx="0" cy="1188720"/>
                <wp:effectExtent l="0" t="0" r="19050" b="3048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EB7D"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0.55pt" to="240.4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" strokeweight=".25pt">
                <v:stroke startarrowwidth="narrow" startarrowlength="short" endarrowwidth="narrow" endarrowlength="short"/>
              </v:line>
            </w:pict>
          </mc:Fallback>
        </mc:AlternateContent>
      </w:r>
    </w:p>
    <w:p w14:paraId="1C884871"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299" distR="114299" simplePos="0" relativeHeight="251662848" behindDoc="0" locked="0" layoutInCell="1" allowOverlap="1" wp14:anchorId="3F7F4E1D" wp14:editId="11E47D4A">
                <wp:simplePos x="0" y="0"/>
                <wp:positionH relativeFrom="column">
                  <wp:posOffset>768350</wp:posOffset>
                </wp:positionH>
                <wp:positionV relativeFrom="paragraph">
                  <wp:posOffset>242570</wp:posOffset>
                </wp:positionV>
                <wp:extent cx="3810" cy="1000760"/>
                <wp:effectExtent l="0" t="0" r="34290" b="2794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00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7343" id="Line 10"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pt,19.1pt" to="60.8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" strokeweight=".25pt"/>
            </w:pict>
          </mc:Fallback>
        </mc:AlternateContent>
      </w:r>
      <w:r>
        <w:rPr>
          <w:noProof/>
          <w:color w:val="000000" w:themeColor="text1"/>
        </w:rPr>
        <mc:AlternateContent>
          <mc:Choice Requires="wps">
            <w:drawing>
              <wp:anchor distT="0" distB="0" distL="114300" distR="114300" simplePos="0" relativeHeight="251663872" behindDoc="0" locked="0" layoutInCell="1" allowOverlap="1" wp14:anchorId="05A72FB1" wp14:editId="79DD486D">
                <wp:simplePos x="0" y="0"/>
                <wp:positionH relativeFrom="column">
                  <wp:posOffset>5198745</wp:posOffset>
                </wp:positionH>
                <wp:positionV relativeFrom="paragraph">
                  <wp:posOffset>240030</wp:posOffset>
                </wp:positionV>
                <wp:extent cx="6985" cy="388620"/>
                <wp:effectExtent l="0" t="0" r="31115" b="1143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862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8231"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pt" to="409.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4294967295" distB="4294967295" distL="114300" distR="114300" simplePos="0" relativeHeight="251661824" behindDoc="0" locked="0" layoutInCell="1" allowOverlap="1" wp14:anchorId="39308777" wp14:editId="15C9C277">
                <wp:simplePos x="0" y="0"/>
                <wp:positionH relativeFrom="column">
                  <wp:posOffset>772160</wp:posOffset>
                </wp:positionH>
                <wp:positionV relativeFrom="paragraph">
                  <wp:posOffset>244474</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35B5" id="Line 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14:paraId="334FE0B5"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68992" behindDoc="0" locked="0" layoutInCell="1" allowOverlap="1" wp14:anchorId="783607B9" wp14:editId="4BD342C3">
                <wp:simplePos x="0" y="0"/>
                <wp:positionH relativeFrom="column">
                  <wp:posOffset>342881</wp:posOffset>
                </wp:positionH>
                <wp:positionV relativeFrom="paragraph">
                  <wp:posOffset>273685</wp:posOffset>
                </wp:positionV>
                <wp:extent cx="841375" cy="370840"/>
                <wp:effectExtent l="0" t="0" r="15875" b="1016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14:paraId="61786316" w14:textId="77777777" w:rsidR="00B9085A" w:rsidRDefault="00B9085A" w:rsidP="0088085F">
                            <w:pPr>
                              <w:spacing w:after="0"/>
                              <w:ind w:firstLine="0"/>
                              <w:jc w:val="center"/>
                              <w:rPr>
                                <w:rFonts w:ascii="Arial" w:hAnsi="Arial" w:cs="Arial"/>
                                <w:sz w:val="16"/>
                                <w:szCs w:val="16"/>
                                <w:lang w:val="es-ES"/>
                              </w:rPr>
                            </w:pPr>
                          </w:p>
                          <w:p w14:paraId="627E3794"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Udalak: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07B9" id="Rectangle 18" o:spid="_x0000_s1028" style="position:absolute;left:0;text-align:left;margin-left: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" strokeweight=".25pt">
                <v:textbox inset="1pt,1pt,1pt,1pt">
                  <w:txbxContent>
                    <w:p w14:paraId="61786316" w14:textId="77777777" w:rsidR="00B9085A" w:rsidRDefault="00B9085A" w:rsidP="0088085F">
                      <w:pPr>
                        <w:spacing w:after="0"/>
                        <w:ind w:firstLine="0"/>
                        <w:jc w:val="center"/>
                        <w:rPr>
                          <w:rFonts w:ascii="Arial" w:hAnsi="Arial" w:cs="Arial"/>
                          <w:sz w:val="16"/>
                          <w:szCs w:val="16"/>
                          <w:lang w:val="es-ES"/>
                        </w:rPr>
                      </w:pPr>
                    </w:p>
                    <w:p w14:paraId="627E3794"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Udalak: 272</w:t>
                      </w:r>
                    </w:p>
                  </w:txbxContent>
                </v:textbox>
              </v:rect>
            </w:pict>
          </mc:Fallback>
        </mc:AlternateContent>
      </w:r>
    </w:p>
    <w:p w14:paraId="1A6C4870"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10"/>
          <w:szCs w:val="10"/>
          <w:highlight w:val="yellow"/>
        </w:rPr>
      </w:pPr>
      <w:r>
        <w:rPr>
          <w:noProof/>
          <w:color w:val="000000" w:themeColor="text1"/>
        </w:rPr>
        <mc:AlternateContent>
          <mc:Choice Requires="wps">
            <w:drawing>
              <wp:anchor distT="0" distB="0" distL="114300" distR="114300" simplePos="0" relativeHeight="251667968" behindDoc="0" locked="0" layoutInCell="1" allowOverlap="1" wp14:anchorId="02B504BE" wp14:editId="75838E97">
                <wp:simplePos x="0" y="0"/>
                <wp:positionH relativeFrom="column">
                  <wp:posOffset>2566035</wp:posOffset>
                </wp:positionH>
                <wp:positionV relativeFrom="paragraph">
                  <wp:posOffset>12700</wp:posOffset>
                </wp:positionV>
                <wp:extent cx="1019175" cy="370205"/>
                <wp:effectExtent l="0" t="0" r="28575" b="1079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14:paraId="3A3F1C14"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 xml:space="preserve">Udalaz </w:t>
                            </w:r>
                          </w:p>
                          <w:p w14:paraId="22250C26" w14:textId="77777777" w:rsidR="00B9085A" w:rsidRPr="00D05EAF" w:rsidRDefault="00B9085A" w:rsidP="0088085F">
                            <w:pPr>
                              <w:spacing w:after="0"/>
                              <w:ind w:firstLine="0"/>
                              <w:jc w:val="center"/>
                              <w:rPr>
                                <w:rFonts w:ascii="Arial Narrow" w:hAnsi="Arial Narrow" w:cs="GillSans"/>
                                <w:sz w:val="18"/>
                                <w:szCs w:val="18"/>
                              </w:rPr>
                            </w:pPr>
                            <w:r>
                              <w:rPr>
                                <w:rFonts w:ascii="Arial" w:hAnsi="Arial"/>
                                <w:sz w:val="16"/>
                                <w:szCs w:val="16"/>
                              </w:rPr>
                              <w:t xml:space="preserve"> gaindiko</w:t>
                            </w:r>
                            <w:r>
                              <w:rPr>
                                <w:rFonts w:ascii="Arial Narrow" w:hAnsi="Arial Narrow"/>
                                <w:sz w:val="18"/>
                                <w:szCs w:val="18"/>
                              </w:rPr>
                              <w:t xml:space="preserve"> entitateak: </w:t>
                            </w:r>
                            <w:r>
                              <w:rPr>
                                <w:rFonts w:ascii="Arial Narrow" w:hAnsi="Arial Narrow"/>
                                <w:sz w:val="16"/>
                                <w:szCs w:val="16"/>
                              </w:rPr>
                              <w:t>84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04BE"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" strokeweight=".25pt">
                <v:textbox inset="1pt,1pt,1pt,1pt">
                  <w:txbxContent>
                    <w:p w14:paraId="3A3F1C14"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 xml:space="preserve">Udalaz </w:t>
                      </w:r>
                    </w:p>
                    <w:p w14:paraId="22250C26" w14:textId="77777777" w:rsidR="00B9085A" w:rsidRPr="00D05EAF" w:rsidRDefault="00B9085A" w:rsidP="0088085F">
                      <w:pPr>
                        <w:spacing w:after="0"/>
                        <w:ind w:firstLine="0"/>
                        <w:jc w:val="center"/>
                        <w:rPr>
                          <w:rFonts w:ascii="Arial Narrow" w:hAnsi="Arial Narrow" w:cs="GillSans"/>
                          <w:sz w:val="18"/>
                          <w:szCs w:val="18"/>
                        </w:rPr>
                      </w:pPr>
                      <w:r>
                        <w:rPr>
                          <w:rFonts w:ascii="Arial" w:hAnsi="Arial"/>
                          <w:sz w:val="16"/>
                          <w:szCs w:val="16"/>
                        </w:rPr>
                        <w:t xml:space="preserve"> gaindiko</w:t>
                      </w:r>
                      <w:r>
                        <w:rPr>
                          <w:rFonts w:ascii="Arial Narrow" w:hAnsi="Arial Narrow"/>
                          <w:sz w:val="18"/>
                          <w:szCs w:val="18"/>
                        </w:rPr>
                        <w:t xml:space="preserve"> entitateak: </w:t>
                      </w:r>
                      <w:r>
                        <w:rPr>
                          <w:rFonts w:ascii="Arial Narrow" w:hAnsi="Arial Narrow"/>
                          <w:sz w:val="16"/>
                          <w:szCs w:val="16"/>
                        </w:rPr>
                        <w:t>84</w:t>
                      </w:r>
                    </w:p>
                  </w:txbxContent>
                </v:textbox>
              </v:rect>
            </w:pict>
          </mc:Fallback>
        </mc:AlternateContent>
      </w:r>
      <w:r>
        <w:rPr>
          <w:noProof/>
          <w:color w:val="000000" w:themeColor="text1"/>
        </w:rPr>
        <mc:AlternateContent>
          <mc:Choice Requires="wps">
            <w:drawing>
              <wp:anchor distT="0" distB="0" distL="114300" distR="114300" simplePos="0" relativeHeight="251666944" behindDoc="0" locked="0" layoutInCell="1" allowOverlap="1" wp14:anchorId="53021F15" wp14:editId="136F4C83">
                <wp:simplePos x="0" y="0"/>
                <wp:positionH relativeFrom="column">
                  <wp:posOffset>4740910</wp:posOffset>
                </wp:positionH>
                <wp:positionV relativeFrom="paragraph">
                  <wp:posOffset>8890</wp:posOffset>
                </wp:positionV>
                <wp:extent cx="842010" cy="369570"/>
                <wp:effectExtent l="0" t="0" r="15240" b="1143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14:paraId="4DAA5FCB" w14:textId="77777777" w:rsidR="00B9085A" w:rsidRDefault="00B9085A" w:rsidP="0088085F">
                            <w:pPr>
                              <w:spacing w:after="0"/>
                              <w:ind w:firstLine="0"/>
                              <w:jc w:val="center"/>
                              <w:rPr>
                                <w:rFonts w:ascii="Arial" w:hAnsi="Arial" w:cs="Arial"/>
                                <w:sz w:val="16"/>
                                <w:szCs w:val="16"/>
                                <w:lang w:val="es-ES"/>
                              </w:rPr>
                            </w:pPr>
                          </w:p>
                          <w:p w14:paraId="1C29E031"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Kontzejuak: 346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1F15"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" strokeweight=".25pt">
                <v:textbox inset="1pt,1pt,1pt,1pt">
                  <w:txbxContent>
                    <w:p w14:paraId="4DAA5FCB" w14:textId="77777777" w:rsidR="00B9085A" w:rsidRDefault="00B9085A" w:rsidP="0088085F">
                      <w:pPr>
                        <w:spacing w:after="0"/>
                        <w:ind w:firstLine="0"/>
                        <w:jc w:val="center"/>
                        <w:rPr>
                          <w:rFonts w:ascii="Arial" w:hAnsi="Arial" w:cs="Arial"/>
                          <w:sz w:val="16"/>
                          <w:szCs w:val="16"/>
                          <w:lang w:val="es-ES"/>
                        </w:rPr>
                      </w:pPr>
                    </w:p>
                    <w:p w14:paraId="1C29E031"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Kontzejuak: 346</w:t>
                      </w:r>
                    </w:p>
                  </w:txbxContent>
                </v:textbox>
              </v:rect>
            </w:pict>
          </mc:Fallback>
        </mc:AlternateContent>
      </w:r>
    </w:p>
    <w:p w14:paraId="4723AB82"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3E776442"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70016" behindDoc="0" locked="0" layoutInCell="1" allowOverlap="1" wp14:anchorId="2FD6F5F0" wp14:editId="64A5C271">
                <wp:simplePos x="0" y="0"/>
                <wp:positionH relativeFrom="column">
                  <wp:posOffset>61595</wp:posOffset>
                </wp:positionH>
                <wp:positionV relativeFrom="paragraph">
                  <wp:posOffset>144780</wp:posOffset>
                </wp:positionV>
                <wp:extent cx="1433195" cy="623570"/>
                <wp:effectExtent l="0" t="0" r="14605" b="241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623570"/>
                        </a:xfrm>
                        <a:prstGeom prst="rect">
                          <a:avLst/>
                        </a:prstGeom>
                        <a:solidFill>
                          <a:srgbClr val="FFFFFF"/>
                        </a:solidFill>
                        <a:ln w="3175">
                          <a:solidFill>
                            <a:srgbClr val="000000"/>
                          </a:solidFill>
                          <a:miter lim="800000"/>
                          <a:headEnd/>
                          <a:tailEnd/>
                        </a:ln>
                      </wps:spPr>
                      <wps:txbx>
                        <w:txbxContent>
                          <w:p w14:paraId="15BA8C82" w14:textId="77777777" w:rsidR="00B9085A" w:rsidRPr="000035AC" w:rsidRDefault="00B9085A" w:rsidP="0088085F">
                            <w:pPr>
                              <w:spacing w:before="60" w:after="0"/>
                              <w:ind w:firstLine="0"/>
                              <w:jc w:val="center"/>
                              <w:rPr>
                                <w:rFonts w:ascii="Arial" w:hAnsi="Arial" w:cs="Arial"/>
                                <w:sz w:val="16"/>
                                <w:szCs w:val="16"/>
                              </w:rPr>
                            </w:pPr>
                            <w:r>
                              <w:rPr>
                                <w:rFonts w:ascii="Arial" w:hAnsi="Arial"/>
                                <w:sz w:val="16"/>
                                <w:szCs w:val="16"/>
                              </w:rPr>
                              <w:t>Erakunde autonomoak: 55</w:t>
                            </w:r>
                          </w:p>
                          <w:p w14:paraId="30AD02D6"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 46</w:t>
                            </w:r>
                          </w:p>
                          <w:p w14:paraId="78529AA3" w14:textId="77777777" w:rsidR="00B9085A" w:rsidRPr="000035AC" w:rsidRDefault="00B9085A" w:rsidP="005B091A">
                            <w:pPr>
                              <w:spacing w:after="0"/>
                              <w:ind w:firstLine="0"/>
                              <w:rPr>
                                <w:rFonts w:ascii="Arial" w:hAnsi="Arial" w:cs="Arial"/>
                                <w:sz w:val="16"/>
                                <w:szCs w:val="16"/>
                              </w:rPr>
                            </w:pPr>
                            <w:r>
                              <w:rPr>
                                <w:rFonts w:ascii="Arial" w:hAnsi="Arial"/>
                                <w:sz w:val="16"/>
                                <w:szCs w:val="16"/>
                              </w:rPr>
                              <w:t xml:space="preserve">   Fundazioak: 8</w:t>
                            </w:r>
                          </w:p>
                          <w:p w14:paraId="140369AF" w14:textId="77777777" w:rsidR="00B9085A" w:rsidRPr="000035AC" w:rsidRDefault="00B9085A" w:rsidP="005B091A">
                            <w:pPr>
                              <w:spacing w:after="0"/>
                              <w:ind w:firstLine="0"/>
                              <w:rPr>
                                <w:rFonts w:ascii="Arial" w:hAnsi="Arial" w:cs="Arial"/>
                                <w:sz w:val="16"/>
                                <w:szCs w:val="16"/>
                              </w:rPr>
                            </w:pPr>
                            <w:r>
                              <w:rPr>
                                <w:rFonts w:ascii="Arial" w:hAnsi="Arial"/>
                                <w:sz w:val="16"/>
                                <w:szCs w:val="16"/>
                              </w:rPr>
                              <w:t xml:space="preserve">   Partzuergoak: 17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F5F0" id="Rectangle 19" o:spid="_x0000_s1031" style="position:absolute;left:0;text-align:left;margin-left:4.85pt;margin-top:11.4pt;width:112.85pt;height:4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" strokeweight=".25pt">
                <v:textbox inset="1pt,1pt,1pt,1pt">
                  <w:txbxContent>
                    <w:p w14:paraId="15BA8C82" w14:textId="77777777" w:rsidR="00B9085A" w:rsidRPr="000035AC" w:rsidRDefault="00B9085A" w:rsidP="0088085F">
                      <w:pPr>
                        <w:spacing w:before="60" w:after="0"/>
                        <w:ind w:firstLine="0"/>
                        <w:jc w:val="center"/>
                        <w:rPr>
                          <w:rFonts w:ascii="Arial" w:hAnsi="Arial" w:cs="Arial"/>
                          <w:sz w:val="16"/>
                          <w:szCs w:val="16"/>
                        </w:rPr>
                      </w:pPr>
                      <w:r>
                        <w:rPr>
                          <w:rFonts w:ascii="Arial" w:hAnsi="Arial"/>
                          <w:sz w:val="16"/>
                          <w:szCs w:val="16"/>
                        </w:rPr>
                        <w:t>Erakunde autonomoak: 55</w:t>
                      </w:r>
                    </w:p>
                    <w:p w14:paraId="30AD02D6"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 46</w:t>
                      </w:r>
                    </w:p>
                    <w:p w14:paraId="78529AA3" w14:textId="77777777" w:rsidR="00B9085A" w:rsidRPr="000035AC" w:rsidRDefault="00B9085A" w:rsidP="005B091A">
                      <w:pPr>
                        <w:spacing w:after="0"/>
                        <w:ind w:firstLine="0"/>
                        <w:rPr>
                          <w:rFonts w:ascii="Arial" w:hAnsi="Arial" w:cs="Arial"/>
                          <w:sz w:val="16"/>
                          <w:szCs w:val="16"/>
                        </w:rPr>
                      </w:pPr>
                      <w:r>
                        <w:rPr>
                          <w:rFonts w:ascii="Arial" w:hAnsi="Arial"/>
                          <w:sz w:val="16"/>
                          <w:szCs w:val="16"/>
                        </w:rPr>
                        <w:t xml:space="preserve">   Fundazioak: 8</w:t>
                      </w:r>
                    </w:p>
                    <w:p w14:paraId="140369AF" w14:textId="77777777" w:rsidR="00B9085A" w:rsidRPr="000035AC" w:rsidRDefault="00B9085A" w:rsidP="005B091A">
                      <w:pPr>
                        <w:spacing w:after="0"/>
                        <w:ind w:firstLine="0"/>
                        <w:rPr>
                          <w:rFonts w:ascii="Arial" w:hAnsi="Arial" w:cs="Arial"/>
                          <w:sz w:val="16"/>
                          <w:szCs w:val="16"/>
                        </w:rPr>
                      </w:pPr>
                      <w:r>
                        <w:rPr>
                          <w:rFonts w:ascii="Arial" w:hAnsi="Arial"/>
                          <w:sz w:val="16"/>
                          <w:szCs w:val="16"/>
                        </w:rPr>
                        <w:t xml:space="preserve">   Partzuergoak: 17</w:t>
                      </w:r>
                    </w:p>
                  </w:txbxContent>
                </v:textbox>
              </v:rect>
            </w:pict>
          </mc:Fallback>
        </mc:AlternateContent>
      </w:r>
      <w:r>
        <w:rPr>
          <w:noProof/>
          <w:color w:val="000000" w:themeColor="text1"/>
        </w:rPr>
        <mc:AlternateContent>
          <mc:Choice Requires="wps">
            <w:drawing>
              <wp:anchor distT="4294967295" distB="4294967295" distL="114300" distR="114300" simplePos="0" relativeHeight="251664896" behindDoc="0" locked="0" layoutInCell="1" allowOverlap="1" wp14:anchorId="4621431D" wp14:editId="0518961E">
                <wp:simplePos x="0" y="0"/>
                <wp:positionH relativeFrom="column">
                  <wp:posOffset>2292350</wp:posOffset>
                </wp:positionH>
                <wp:positionV relativeFrom="paragraph">
                  <wp:posOffset>2540</wp:posOffset>
                </wp:positionV>
                <wp:extent cx="1560830" cy="5080"/>
                <wp:effectExtent l="0" t="0" r="20320" b="3302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508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3F70" id="Line 14"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2pt" to="30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59776" behindDoc="0" locked="0" layoutInCell="1" allowOverlap="1" wp14:anchorId="1B43A390" wp14:editId="0CE69AAA">
                <wp:simplePos x="0" y="0"/>
                <wp:positionH relativeFrom="column">
                  <wp:posOffset>2290445</wp:posOffset>
                </wp:positionH>
                <wp:positionV relativeFrom="paragraph">
                  <wp:posOffset>7620</wp:posOffset>
                </wp:positionV>
                <wp:extent cx="0" cy="859790"/>
                <wp:effectExtent l="0" t="0" r="19050" b="1651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979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0286"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6pt" to="180.3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72064" behindDoc="0" locked="0" layoutInCell="1" allowOverlap="1" wp14:anchorId="05C82CF3" wp14:editId="6B711ACD">
                <wp:simplePos x="0" y="0"/>
                <wp:positionH relativeFrom="column">
                  <wp:posOffset>3848735</wp:posOffset>
                </wp:positionH>
                <wp:positionV relativeFrom="paragraph">
                  <wp:posOffset>4445</wp:posOffset>
                </wp:positionV>
                <wp:extent cx="6350" cy="409575"/>
                <wp:effectExtent l="0" t="0" r="31750" b="2857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CD7D6"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BcCxpY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Pr>
          <w:noProof/>
          <w:color w:val="000000" w:themeColor="text1"/>
        </w:rPr>
        <mc:AlternateContent>
          <mc:Choice Requires="wps">
            <w:drawing>
              <wp:anchor distT="0" distB="0" distL="114300" distR="114300" simplePos="0" relativeHeight="251674112" behindDoc="0" locked="0" layoutInCell="1" allowOverlap="1" wp14:anchorId="6D1E10F9" wp14:editId="357E0CE1">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14:paraId="557021E8" w14:textId="77777777" w:rsidR="00B9085A" w:rsidRDefault="00B9085A" w:rsidP="0088085F">
                            <w:pPr>
                              <w:spacing w:after="0"/>
                              <w:ind w:firstLine="0"/>
                              <w:jc w:val="center"/>
                              <w:rPr>
                                <w:rFonts w:ascii="Arial" w:hAnsi="Arial" w:cs="Arial"/>
                                <w:sz w:val="16"/>
                                <w:szCs w:val="16"/>
                                <w:lang w:val="es-ES"/>
                              </w:rPr>
                            </w:pPr>
                          </w:p>
                          <w:p w14:paraId="49D19C78" w14:textId="77777777" w:rsidR="00B9085A" w:rsidRPr="000035AC" w:rsidRDefault="00B9085A" w:rsidP="0088085F">
                            <w:pPr>
                              <w:spacing w:after="0"/>
                              <w:ind w:firstLine="0"/>
                              <w:jc w:val="center"/>
                              <w:rPr>
                                <w:rFonts w:ascii="Arial" w:hAnsi="Arial" w:cs="Arial"/>
                                <w:sz w:val="14"/>
                                <w:szCs w:val="14"/>
                              </w:rPr>
                            </w:pPr>
                            <w:r>
                              <w:rPr>
                                <w:rFonts w:ascii="Arial" w:hAnsi="Arial"/>
                                <w:sz w:val="14"/>
                                <w:szCs w:val="14"/>
                              </w:rPr>
                              <w:t>Udalen batasunak: 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E10F9" id="Rectangle 24" o:spid="_x0000_s1032" style="position:absolute;left:0;text-align:left;margin-left:257.2pt;margin-top:13.15pt;width:96.85pt;height:2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" strokeweight=".25pt">
                <v:textbox inset="1pt,1pt,1pt,1pt">
                  <w:txbxContent>
                    <w:p w14:paraId="557021E8" w14:textId="77777777" w:rsidR="00B9085A" w:rsidRDefault="00B9085A" w:rsidP="0088085F">
                      <w:pPr>
                        <w:spacing w:after="0"/>
                        <w:ind w:firstLine="0"/>
                        <w:jc w:val="center"/>
                        <w:rPr>
                          <w:rFonts w:ascii="Arial" w:hAnsi="Arial" w:cs="Arial"/>
                          <w:sz w:val="16"/>
                          <w:szCs w:val="16"/>
                          <w:lang w:val="es-ES"/>
                        </w:rPr>
                      </w:pPr>
                    </w:p>
                    <w:p w14:paraId="49D19C78" w14:textId="77777777" w:rsidR="00B9085A" w:rsidRPr="000035AC" w:rsidRDefault="00B9085A" w:rsidP="0088085F">
                      <w:pPr>
                        <w:spacing w:after="0"/>
                        <w:ind w:firstLine="0"/>
                        <w:jc w:val="center"/>
                        <w:rPr>
                          <w:rFonts w:ascii="Arial" w:hAnsi="Arial" w:cs="Arial"/>
                          <w:sz w:val="14"/>
                          <w:szCs w:val="14"/>
                        </w:rPr>
                      </w:pPr>
                      <w:r>
                        <w:rPr>
                          <w:rFonts w:ascii="Arial" w:hAnsi="Arial"/>
                          <w:sz w:val="14"/>
                          <w:szCs w:val="14"/>
                        </w:rPr>
                        <w:t>Udalen batasunak: 22</w:t>
                      </w:r>
                    </w:p>
                  </w:txbxContent>
                </v:textbox>
              </v:rect>
            </w:pict>
          </mc:Fallback>
        </mc:AlternateContent>
      </w:r>
      <w:r>
        <w:rPr>
          <w:noProof/>
          <w:color w:val="000000" w:themeColor="text1"/>
        </w:rPr>
        <mc:AlternateContent>
          <mc:Choice Requires="wps">
            <w:drawing>
              <wp:anchor distT="0" distB="0" distL="114300" distR="114300" simplePos="0" relativeHeight="251673088" behindDoc="0" locked="0" layoutInCell="1" allowOverlap="1" wp14:anchorId="3FC0E749" wp14:editId="6675A34C">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14:paraId="2301AD3F" w14:textId="77777777" w:rsidR="00B9085A" w:rsidRDefault="00B9085A" w:rsidP="0088085F">
                            <w:pPr>
                              <w:spacing w:after="0"/>
                              <w:ind w:firstLine="0"/>
                              <w:jc w:val="center"/>
                              <w:rPr>
                                <w:rFonts w:ascii="Arial" w:hAnsi="Arial" w:cs="Arial"/>
                                <w:sz w:val="16"/>
                                <w:szCs w:val="16"/>
                                <w:lang w:val="es-ES"/>
                              </w:rPr>
                            </w:pPr>
                          </w:p>
                          <w:p w14:paraId="12601EDC"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Mankomunitateak: 62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E749" id="Rectangle 23" o:spid="_x0000_s1033" style="position:absolute;left:0;text-align:left;margin-left:140.5pt;margin-top:13pt;width:93.9pt;height:2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" strokeweight=".25pt">
                <v:textbox inset="1pt,1pt,1pt,1pt">
                  <w:txbxContent>
                    <w:p w14:paraId="2301AD3F" w14:textId="77777777" w:rsidR="00B9085A" w:rsidRDefault="00B9085A" w:rsidP="0088085F">
                      <w:pPr>
                        <w:spacing w:after="0"/>
                        <w:ind w:firstLine="0"/>
                        <w:jc w:val="center"/>
                        <w:rPr>
                          <w:rFonts w:ascii="Arial" w:hAnsi="Arial" w:cs="Arial"/>
                          <w:sz w:val="16"/>
                          <w:szCs w:val="16"/>
                          <w:lang w:val="es-ES"/>
                        </w:rPr>
                      </w:pPr>
                    </w:p>
                    <w:p w14:paraId="12601EDC"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Mankomunitateak: 62</w:t>
                      </w:r>
                    </w:p>
                  </w:txbxContent>
                </v:textbox>
              </v:rect>
            </w:pict>
          </mc:Fallback>
        </mc:AlternateContent>
      </w:r>
    </w:p>
    <w:p w14:paraId="054DFD24"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76160" behindDoc="1" locked="0" layoutInCell="1" allowOverlap="1" wp14:anchorId="4A069B43" wp14:editId="7A7F2E75">
                <wp:simplePos x="0" y="0"/>
                <wp:positionH relativeFrom="column">
                  <wp:posOffset>3829685</wp:posOffset>
                </wp:positionH>
                <wp:positionV relativeFrom="paragraph">
                  <wp:posOffset>254635</wp:posOffset>
                </wp:positionV>
                <wp:extent cx="0" cy="334800"/>
                <wp:effectExtent l="0" t="0" r="19050" b="2730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480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49AE" id="Line 22"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20.05pt" to="301.5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" strokeweight=".25pt">
                <v:stroke startarrowwidth="narrow" startarrowlength="short" endarrowwidth="narrow" endarrowlength="short"/>
              </v:line>
            </w:pict>
          </mc:Fallback>
        </mc:AlternateContent>
      </w:r>
    </w:p>
    <w:p w14:paraId="1BF4F44B"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r>
        <w:rPr>
          <w:noProof/>
          <w:color w:val="000000" w:themeColor="text1"/>
        </w:rPr>
        <mc:AlternateContent>
          <mc:Choice Requires="wps">
            <w:drawing>
              <wp:anchor distT="0" distB="0" distL="114300" distR="114300" simplePos="0" relativeHeight="251675136" behindDoc="0" locked="0" layoutInCell="1" allowOverlap="1" wp14:anchorId="7C262587" wp14:editId="5E7AA2F4">
                <wp:simplePos x="0" y="0"/>
                <wp:positionH relativeFrom="column">
                  <wp:posOffset>3267710</wp:posOffset>
                </wp:positionH>
                <wp:positionV relativeFrom="paragraph">
                  <wp:posOffset>250190</wp:posOffset>
                </wp:positionV>
                <wp:extent cx="1409700" cy="345440"/>
                <wp:effectExtent l="0" t="0" r="19050" b="1651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345440"/>
                        </a:xfrm>
                        <a:prstGeom prst="rect">
                          <a:avLst/>
                        </a:prstGeom>
                        <a:solidFill>
                          <a:srgbClr val="FFFFFF"/>
                        </a:solidFill>
                        <a:ln w="3175">
                          <a:solidFill>
                            <a:srgbClr val="000000"/>
                          </a:solidFill>
                          <a:miter lim="800000"/>
                          <a:headEnd/>
                          <a:tailEnd/>
                        </a:ln>
                      </wps:spPr>
                      <wps:txbx>
                        <w:txbxContent>
                          <w:p w14:paraId="07960906" w14:textId="77777777" w:rsidR="00B9085A" w:rsidRDefault="00B9085A" w:rsidP="0088085F">
                            <w:pPr>
                              <w:spacing w:after="0"/>
                              <w:ind w:firstLine="0"/>
                              <w:jc w:val="center"/>
                              <w:rPr>
                                <w:rFonts w:ascii="Arial" w:hAnsi="Arial" w:cs="Arial"/>
                                <w:sz w:val="16"/>
                                <w:szCs w:val="16"/>
                                <w:lang w:val="es-ES"/>
                              </w:rPr>
                            </w:pPr>
                          </w:p>
                          <w:p w14:paraId="21E4E10E"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2</w:t>
                            </w:r>
                          </w:p>
                          <w:p w14:paraId="649AA090" w14:textId="77777777" w:rsidR="00B9085A" w:rsidRPr="000035AC" w:rsidRDefault="00B9085A" w:rsidP="0088085F">
                            <w:pPr>
                              <w:spacing w:after="0"/>
                              <w:ind w:firstLine="0"/>
                              <w:jc w:val="center"/>
                              <w:rPr>
                                <w:rFonts w:ascii="Arial" w:hAnsi="Arial" w:cs="Arial"/>
                                <w:sz w:val="16"/>
                                <w:szCs w:val="16"/>
                                <w:lang w:val="es-E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2587" id="_x0000_s1034" style="position:absolute;left:0;text-align:left;margin-left:257.3pt;margin-top:19.7pt;width:111pt;height:2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" strokeweight=".25pt">
                <v:textbox inset="1pt,1pt,1pt,1pt">
                  <w:txbxContent>
                    <w:p w14:paraId="07960906" w14:textId="77777777" w:rsidR="00B9085A" w:rsidRDefault="00B9085A" w:rsidP="0088085F">
                      <w:pPr>
                        <w:spacing w:after="0"/>
                        <w:ind w:firstLine="0"/>
                        <w:jc w:val="center"/>
                        <w:rPr>
                          <w:rFonts w:ascii="Arial" w:hAnsi="Arial" w:cs="Arial"/>
                          <w:sz w:val="16"/>
                          <w:szCs w:val="16"/>
                          <w:lang w:val="es-ES"/>
                        </w:rPr>
                      </w:pPr>
                    </w:p>
                    <w:p w14:paraId="21E4E10E"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2</w:t>
                      </w:r>
                    </w:p>
                    <w:p w14:paraId="649AA090" w14:textId="77777777" w:rsidR="00B9085A" w:rsidRPr="000035AC" w:rsidRDefault="00B9085A" w:rsidP="0088085F">
                      <w:pPr>
                        <w:spacing w:after="0"/>
                        <w:ind w:firstLine="0"/>
                        <w:jc w:val="center"/>
                        <w:rPr>
                          <w:rFonts w:ascii="Arial" w:hAnsi="Arial" w:cs="Arial"/>
                          <w:sz w:val="16"/>
                          <w:szCs w:val="16"/>
                          <w:lang w:val="es-ES"/>
                        </w:rPr>
                      </w:pPr>
                    </w:p>
                  </w:txbxContent>
                </v:textbox>
              </v:rect>
            </w:pict>
          </mc:Fallback>
        </mc:AlternateContent>
      </w:r>
      <w:r>
        <w:rPr>
          <w:noProof/>
          <w:color w:val="000000" w:themeColor="text1"/>
        </w:rPr>
        <mc:AlternateContent>
          <mc:Choice Requires="wps">
            <w:drawing>
              <wp:anchor distT="0" distB="0" distL="114300" distR="114300" simplePos="0" relativeHeight="251671040" behindDoc="0" locked="0" layoutInCell="1" allowOverlap="1" wp14:anchorId="21CA4EAC" wp14:editId="6938E2C4">
                <wp:simplePos x="0" y="0"/>
                <wp:positionH relativeFrom="column">
                  <wp:posOffset>1657702</wp:posOffset>
                </wp:positionH>
                <wp:positionV relativeFrom="paragraph">
                  <wp:posOffset>247242</wp:posOffset>
                </wp:positionV>
                <wp:extent cx="1413974" cy="345440"/>
                <wp:effectExtent l="0" t="0" r="15240" b="1651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974" cy="345440"/>
                        </a:xfrm>
                        <a:prstGeom prst="rect">
                          <a:avLst/>
                        </a:prstGeom>
                        <a:solidFill>
                          <a:srgbClr val="FFFFFF"/>
                        </a:solidFill>
                        <a:ln w="3175">
                          <a:solidFill>
                            <a:srgbClr val="000000"/>
                          </a:solidFill>
                          <a:miter lim="800000"/>
                          <a:headEnd/>
                          <a:tailEnd/>
                        </a:ln>
                      </wps:spPr>
                      <wps:txbx>
                        <w:txbxContent>
                          <w:p w14:paraId="1B9ADB5F" w14:textId="77777777" w:rsidR="00B9085A" w:rsidRPr="000035AC" w:rsidRDefault="00B9085A" w:rsidP="0088085F">
                            <w:pPr>
                              <w:spacing w:before="60" w:after="0"/>
                              <w:ind w:firstLine="0"/>
                              <w:jc w:val="center"/>
                              <w:rPr>
                                <w:rFonts w:ascii="Arial" w:hAnsi="Arial" w:cs="Arial"/>
                                <w:sz w:val="16"/>
                                <w:szCs w:val="16"/>
                              </w:rPr>
                            </w:pPr>
                            <w:r>
                              <w:rPr>
                                <w:rFonts w:ascii="Arial" w:hAnsi="Arial"/>
                                <w:sz w:val="16"/>
                                <w:szCs w:val="16"/>
                              </w:rPr>
                              <w:t>Erakunde autonomoak: 3</w:t>
                            </w:r>
                          </w:p>
                          <w:p w14:paraId="1EDE99AA"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8</w:t>
                            </w:r>
                          </w:p>
                          <w:p w14:paraId="5CB9D38A" w14:textId="77777777" w:rsidR="00B9085A" w:rsidRPr="00D05EAF" w:rsidRDefault="00B9085A" w:rsidP="0088085F">
                            <w:pPr>
                              <w:spacing w:before="140" w:after="100"/>
                              <w:jc w:val="center"/>
                              <w:rPr>
                                <w:rFonts w:ascii="Gill Sans MT" w:hAnsi="Gill Sans MT" w:cs="GillSans"/>
                                <w:sz w:val="18"/>
                                <w:szCs w:val="18"/>
                              </w:rPr>
                            </w:pPr>
                          </w:p>
                          <w:p w14:paraId="5FF54B98" w14:textId="77777777" w:rsidR="00B9085A" w:rsidRPr="00725B83" w:rsidRDefault="00B9085A" w:rsidP="0088085F">
                            <w:pPr>
                              <w:spacing w:before="140" w:after="100"/>
                              <w:jc w:val="center"/>
                              <w:rPr>
                                <w:rFonts w:ascii="Gill Sans MT" w:hAnsi="Gill Sans MT" w:cs="GillSans"/>
                                <w:sz w:val="16"/>
                                <w:szCs w:val="16"/>
                              </w:rPr>
                            </w:pPr>
                            <w:r>
                              <w:rPr>
                                <w:rFonts w:ascii="Gill Sans MT" w:hAnsi="Gill Sans MT"/>
                                <w:sz w:val="14"/>
                                <w:szCs w:val="14"/>
                              </w:rPr>
                              <w:t>Merkat. sozietateak: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4EAC" id="Rectangle 20" o:spid="_x0000_s1035" style="position:absolute;left:0;text-align:left;margin-left:130.55pt;margin-top:19.45pt;width:111.3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" strokeweight=".25pt">
                <v:textbox inset="1pt,1pt,1pt,1pt">
                  <w:txbxContent>
                    <w:p w14:paraId="1B9ADB5F" w14:textId="77777777" w:rsidR="00B9085A" w:rsidRPr="000035AC" w:rsidRDefault="00B9085A" w:rsidP="0088085F">
                      <w:pPr>
                        <w:spacing w:before="60" w:after="0"/>
                        <w:ind w:firstLine="0"/>
                        <w:jc w:val="center"/>
                        <w:rPr>
                          <w:rFonts w:ascii="Arial" w:hAnsi="Arial" w:cs="Arial"/>
                          <w:sz w:val="16"/>
                          <w:szCs w:val="16"/>
                        </w:rPr>
                      </w:pPr>
                      <w:r>
                        <w:rPr>
                          <w:rFonts w:ascii="Arial" w:hAnsi="Arial"/>
                          <w:sz w:val="16"/>
                          <w:szCs w:val="16"/>
                        </w:rPr>
                        <w:t>Erakunde autonomoak: 3</w:t>
                      </w:r>
                    </w:p>
                    <w:p w14:paraId="1EDE99AA" w14:textId="77777777" w:rsidR="00B9085A" w:rsidRPr="000035AC" w:rsidRDefault="00B9085A" w:rsidP="0088085F">
                      <w:pPr>
                        <w:spacing w:after="0"/>
                        <w:ind w:firstLine="0"/>
                        <w:jc w:val="center"/>
                        <w:rPr>
                          <w:rFonts w:ascii="Arial" w:hAnsi="Arial" w:cs="Arial"/>
                          <w:sz w:val="16"/>
                          <w:szCs w:val="16"/>
                        </w:rPr>
                      </w:pPr>
                      <w:r>
                        <w:rPr>
                          <w:rFonts w:ascii="Arial" w:hAnsi="Arial"/>
                          <w:sz w:val="16"/>
                          <w:szCs w:val="16"/>
                        </w:rPr>
                        <w:t>Merkataritza sozietateak:</w:t>
                      </w:r>
                      <w:r>
                        <w:rPr>
                          <w:rFonts w:ascii="Arial Narrow" w:hAnsi="Arial Narrow"/>
                          <w:sz w:val="18"/>
                          <w:szCs w:val="18"/>
                        </w:rPr>
                        <w:t xml:space="preserve"> </w:t>
                      </w:r>
                      <w:r>
                        <w:rPr>
                          <w:rFonts w:ascii="Arial" w:hAnsi="Arial"/>
                          <w:sz w:val="16"/>
                          <w:szCs w:val="16"/>
                        </w:rPr>
                        <w:t>8</w:t>
                      </w:r>
                    </w:p>
                    <w:p w14:paraId="5CB9D38A" w14:textId="77777777" w:rsidR="00B9085A" w:rsidRPr="00D05EAF" w:rsidRDefault="00B9085A" w:rsidP="0088085F">
                      <w:pPr>
                        <w:spacing w:before="140" w:after="100"/>
                        <w:jc w:val="center"/>
                        <w:rPr>
                          <w:rFonts w:ascii="Gill Sans MT" w:hAnsi="Gill Sans MT" w:cs="GillSans"/>
                          <w:sz w:val="18"/>
                          <w:szCs w:val="18"/>
                        </w:rPr>
                      </w:pPr>
                    </w:p>
                    <w:p w14:paraId="5FF54B98" w14:textId="77777777" w:rsidR="00B9085A" w:rsidRPr="00725B83" w:rsidRDefault="00B9085A" w:rsidP="0088085F">
                      <w:pPr>
                        <w:spacing w:before="140" w:after="100"/>
                        <w:jc w:val="center"/>
                        <w:rPr>
                          <w:rFonts w:ascii="Gill Sans MT" w:hAnsi="Gill Sans MT" w:cs="GillSans"/>
                          <w:sz w:val="16"/>
                          <w:szCs w:val="16"/>
                        </w:rPr>
                      </w:pPr>
                      <w:r>
                        <w:rPr>
                          <w:rFonts w:ascii="Gill Sans MT" w:hAnsi="Gill Sans MT"/>
                          <w:sz w:val="14"/>
                          <w:szCs w:val="14"/>
                        </w:rPr>
                        <w:t>Merkat. sozietateak: 5</w:t>
                      </w:r>
                    </w:p>
                  </w:txbxContent>
                </v:textbox>
              </v:rect>
            </w:pict>
          </mc:Fallback>
        </mc:AlternateContent>
      </w:r>
    </w:p>
    <w:p w14:paraId="1F4CAD27" w14:textId="77777777" w:rsidR="0088085F" w:rsidRPr="00B81E61" w:rsidRDefault="0088085F" w:rsidP="0088085F">
      <w:pPr>
        <w:tabs>
          <w:tab w:val="center" w:pos="2835"/>
          <w:tab w:val="center" w:pos="3969"/>
          <w:tab w:val="center" w:pos="5103"/>
          <w:tab w:val="center" w:pos="6237"/>
          <w:tab w:val="center" w:pos="7371"/>
        </w:tabs>
        <w:suppressAutoHyphens/>
        <w:ind w:left="-378" w:firstLine="284"/>
        <w:rPr>
          <w:rFonts w:ascii="Gill Sans MT" w:hAnsi="Gill Sans MT"/>
          <w:color w:val="000000" w:themeColor="text1"/>
          <w:spacing w:val="6"/>
          <w:sz w:val="26"/>
          <w:szCs w:val="24"/>
          <w:highlight w:val="yellow"/>
        </w:rPr>
      </w:pPr>
    </w:p>
    <w:p w14:paraId="5B9B64B8" w14:textId="77777777" w:rsidR="0088085F" w:rsidRPr="00B81E61" w:rsidRDefault="0088085F" w:rsidP="0088085F">
      <w:pPr>
        <w:tabs>
          <w:tab w:val="center" w:pos="2835"/>
          <w:tab w:val="center" w:pos="3969"/>
          <w:tab w:val="center" w:pos="5103"/>
          <w:tab w:val="center" w:pos="6237"/>
          <w:tab w:val="center" w:pos="7371"/>
        </w:tabs>
        <w:suppressAutoHyphens/>
        <w:spacing w:after="100"/>
        <w:ind w:left="-378" w:firstLine="284"/>
        <w:rPr>
          <w:rFonts w:ascii="Gill Sans MT" w:hAnsi="Gill Sans MT"/>
          <w:color w:val="000000" w:themeColor="text1"/>
          <w:spacing w:val="6"/>
          <w:sz w:val="16"/>
          <w:szCs w:val="16"/>
          <w:highlight w:val="yellow"/>
        </w:rPr>
      </w:pPr>
    </w:p>
    <w:p w14:paraId="7373BF7B" w14:textId="77777777" w:rsidR="0088085F" w:rsidRPr="00B81E61" w:rsidRDefault="0088085F" w:rsidP="0088085F">
      <w:pPr>
        <w:spacing w:after="0"/>
        <w:rPr>
          <w:color w:val="000000" w:themeColor="text1"/>
          <w:spacing w:val="6"/>
          <w:sz w:val="26"/>
          <w:szCs w:val="24"/>
        </w:rPr>
      </w:pPr>
    </w:p>
    <w:p w14:paraId="3A85CD51" w14:textId="77777777" w:rsidR="0088085F" w:rsidRPr="00262228" w:rsidRDefault="0088085F" w:rsidP="007E5A67">
      <w:pPr>
        <w:pStyle w:val="texto"/>
        <w:spacing w:after="240"/>
      </w:pPr>
      <w:r>
        <w:t>Nafarroako 272 udaletako biztanleria, 2019ko urtarrilaren 1ean, 654.214 biztanlekoa izan da, errolda ofizialeko datuen arabera. Bertan, honako banaketa hau ageri zen:</w:t>
      </w:r>
    </w:p>
    <w:tbl>
      <w:tblPr>
        <w:tblW w:w="5000" w:type="pct"/>
        <w:jc w:val="center"/>
        <w:tblCellMar>
          <w:left w:w="70" w:type="dxa"/>
          <w:right w:w="70" w:type="dxa"/>
        </w:tblCellMar>
        <w:tblLook w:val="04A0" w:firstRow="1" w:lastRow="0" w:firstColumn="1" w:lastColumn="0" w:noHBand="0" w:noVBand="1"/>
      </w:tblPr>
      <w:tblGrid>
        <w:gridCol w:w="3367"/>
        <w:gridCol w:w="1356"/>
        <w:gridCol w:w="1356"/>
        <w:gridCol w:w="1355"/>
        <w:gridCol w:w="1355"/>
      </w:tblGrid>
      <w:tr w:rsidR="0088085F" w:rsidRPr="00B81E61" w14:paraId="4936B3CE" w14:textId="77777777" w:rsidTr="004540DF">
        <w:trPr>
          <w:trHeight w:val="255"/>
          <w:jc w:val="center"/>
        </w:trPr>
        <w:tc>
          <w:tcPr>
            <w:tcW w:w="1915" w:type="pct"/>
            <w:tcBorders>
              <w:top w:val="single" w:sz="4" w:space="0" w:color="auto"/>
              <w:left w:val="nil"/>
              <w:bottom w:val="single" w:sz="4" w:space="0" w:color="auto"/>
              <w:right w:val="nil"/>
            </w:tcBorders>
            <w:shd w:val="clear" w:color="auto" w:fill="FABF8F" w:themeFill="accent6" w:themeFillTint="99"/>
            <w:vAlign w:val="center"/>
            <w:hideMark/>
          </w:tcPr>
          <w:p w14:paraId="3A226B2D" w14:textId="77777777" w:rsidR="0088085F" w:rsidRPr="00B81E61" w:rsidRDefault="0088085F" w:rsidP="007E5A67">
            <w:pPr>
              <w:pStyle w:val="cuadroCabe"/>
              <w:jc w:val="left"/>
              <w:rPr>
                <w:color w:val="000000" w:themeColor="text1"/>
              </w:rPr>
            </w:pPr>
            <w:r>
              <w:rPr>
                <w:color w:val="000000" w:themeColor="text1"/>
              </w:rPr>
              <w:t>Biztanleria-tartea</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55767384" w14:textId="77777777" w:rsidR="0088085F" w:rsidRPr="00B81E61" w:rsidRDefault="0088085F" w:rsidP="007E5A67">
            <w:pPr>
              <w:pStyle w:val="cuadroCabe"/>
              <w:jc w:val="right"/>
              <w:rPr>
                <w:color w:val="000000" w:themeColor="text1"/>
              </w:rPr>
            </w:pPr>
            <w:r>
              <w:rPr>
                <w:color w:val="000000" w:themeColor="text1"/>
              </w:rPr>
              <w:t>Udalen kopurua</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3C3A6472" w14:textId="77777777" w:rsidR="0088085F" w:rsidRPr="00B81E61" w:rsidRDefault="0088085F" w:rsidP="007E5A67">
            <w:pPr>
              <w:pStyle w:val="cuadroCabe"/>
              <w:jc w:val="right"/>
              <w:rPr>
                <w:color w:val="000000" w:themeColor="text1"/>
              </w:rPr>
            </w:pPr>
            <w:r>
              <w:rPr>
                <w:color w:val="000000" w:themeColor="text1"/>
              </w:rPr>
              <w:t>Udalak, guztizkoaren gainean (%)</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272C4CEC" w14:textId="77777777" w:rsidR="0088085F" w:rsidRPr="00B81E61" w:rsidRDefault="0088085F" w:rsidP="007E5A67">
            <w:pPr>
              <w:pStyle w:val="cuadroCabe"/>
              <w:jc w:val="right"/>
              <w:rPr>
                <w:color w:val="000000" w:themeColor="text1"/>
              </w:rPr>
            </w:pPr>
            <w:r>
              <w:rPr>
                <w:color w:val="000000" w:themeColor="text1"/>
              </w:rPr>
              <w:t>Biztanleria</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698FB59A" w14:textId="77777777" w:rsidR="0088085F" w:rsidRPr="00B81E61" w:rsidRDefault="0088085F" w:rsidP="007E5A67">
            <w:pPr>
              <w:pStyle w:val="cuadroCabe"/>
              <w:jc w:val="right"/>
              <w:rPr>
                <w:color w:val="000000" w:themeColor="text1"/>
              </w:rPr>
            </w:pPr>
            <w:r>
              <w:rPr>
                <w:color w:val="000000" w:themeColor="text1"/>
              </w:rPr>
              <w:t>Biztanleria, guztizkoaren gainean (%)</w:t>
            </w:r>
          </w:p>
        </w:tc>
      </w:tr>
      <w:tr w:rsidR="0088085F" w:rsidRPr="00B81E61" w14:paraId="7108B438" w14:textId="77777777" w:rsidTr="004540DF">
        <w:trPr>
          <w:trHeight w:val="198"/>
          <w:jc w:val="center"/>
        </w:trPr>
        <w:tc>
          <w:tcPr>
            <w:tcW w:w="1915" w:type="pct"/>
            <w:tcBorders>
              <w:top w:val="single" w:sz="4" w:space="0" w:color="auto"/>
              <w:left w:val="nil"/>
              <w:bottom w:val="single" w:sz="2" w:space="0" w:color="auto"/>
              <w:right w:val="nil"/>
            </w:tcBorders>
            <w:shd w:val="clear" w:color="000000" w:fill="FFFFFF"/>
            <w:vAlign w:val="center"/>
            <w:hideMark/>
          </w:tcPr>
          <w:p w14:paraId="529CBE07" w14:textId="77777777" w:rsidR="0088085F" w:rsidRPr="00B81E61" w:rsidRDefault="0088085F" w:rsidP="007E5A67">
            <w:pPr>
              <w:pStyle w:val="cuatexto"/>
              <w:jc w:val="left"/>
              <w:rPr>
                <w:color w:val="000000" w:themeColor="text1"/>
              </w:rPr>
            </w:pPr>
            <w:r>
              <w:rPr>
                <w:color w:val="000000" w:themeColor="text1"/>
              </w:rPr>
              <w:t>&lt;101</w:t>
            </w:r>
          </w:p>
        </w:tc>
        <w:tc>
          <w:tcPr>
            <w:tcW w:w="771" w:type="pct"/>
            <w:tcBorders>
              <w:top w:val="single" w:sz="4" w:space="0" w:color="auto"/>
              <w:left w:val="nil"/>
              <w:bottom w:val="single" w:sz="2" w:space="0" w:color="auto"/>
              <w:right w:val="nil"/>
            </w:tcBorders>
            <w:shd w:val="clear" w:color="000000" w:fill="FFFFFF"/>
            <w:vAlign w:val="center"/>
            <w:hideMark/>
          </w:tcPr>
          <w:p w14:paraId="6232E45D" w14:textId="77777777" w:rsidR="0088085F" w:rsidRPr="00B81E61" w:rsidRDefault="0088085F" w:rsidP="007E5A67">
            <w:pPr>
              <w:pStyle w:val="cuatexto"/>
              <w:jc w:val="right"/>
              <w:rPr>
                <w:color w:val="000000" w:themeColor="text1"/>
              </w:rPr>
            </w:pPr>
            <w:r>
              <w:rPr>
                <w:color w:val="000000" w:themeColor="text1"/>
              </w:rPr>
              <w:t>43</w:t>
            </w:r>
          </w:p>
        </w:tc>
        <w:tc>
          <w:tcPr>
            <w:tcW w:w="771" w:type="pct"/>
            <w:tcBorders>
              <w:top w:val="single" w:sz="4" w:space="0" w:color="auto"/>
              <w:left w:val="nil"/>
              <w:bottom w:val="single" w:sz="2" w:space="0" w:color="auto"/>
              <w:right w:val="nil"/>
            </w:tcBorders>
            <w:shd w:val="clear" w:color="000000" w:fill="FFFFFF"/>
            <w:vAlign w:val="center"/>
            <w:hideMark/>
          </w:tcPr>
          <w:p w14:paraId="556FAB1C" w14:textId="77777777" w:rsidR="0088085F" w:rsidRPr="00B81E61" w:rsidRDefault="0088085F" w:rsidP="007E5A67">
            <w:pPr>
              <w:pStyle w:val="cuatexto"/>
              <w:jc w:val="right"/>
              <w:rPr>
                <w:color w:val="000000" w:themeColor="text1"/>
              </w:rPr>
            </w:pPr>
            <w:r>
              <w:rPr>
                <w:color w:val="000000" w:themeColor="text1"/>
              </w:rPr>
              <w:t>15,8</w:t>
            </w:r>
          </w:p>
        </w:tc>
        <w:tc>
          <w:tcPr>
            <w:tcW w:w="771" w:type="pct"/>
            <w:tcBorders>
              <w:top w:val="single" w:sz="4" w:space="0" w:color="auto"/>
              <w:left w:val="nil"/>
              <w:bottom w:val="single" w:sz="2" w:space="0" w:color="auto"/>
              <w:right w:val="nil"/>
            </w:tcBorders>
            <w:shd w:val="clear" w:color="000000" w:fill="FFFFFF"/>
            <w:vAlign w:val="center"/>
            <w:hideMark/>
          </w:tcPr>
          <w:p w14:paraId="38043D85" w14:textId="77777777" w:rsidR="0088085F" w:rsidRPr="00B81E61" w:rsidRDefault="0088085F" w:rsidP="007E5A67">
            <w:pPr>
              <w:pStyle w:val="cuatexto"/>
              <w:jc w:val="right"/>
              <w:rPr>
                <w:color w:val="000000" w:themeColor="text1"/>
              </w:rPr>
            </w:pPr>
            <w:r>
              <w:rPr>
                <w:color w:val="000000" w:themeColor="text1"/>
              </w:rPr>
              <w:t>2.485</w:t>
            </w:r>
          </w:p>
        </w:tc>
        <w:tc>
          <w:tcPr>
            <w:tcW w:w="771" w:type="pct"/>
            <w:tcBorders>
              <w:top w:val="single" w:sz="4" w:space="0" w:color="auto"/>
              <w:left w:val="nil"/>
              <w:bottom w:val="single" w:sz="2" w:space="0" w:color="auto"/>
              <w:right w:val="nil"/>
            </w:tcBorders>
            <w:shd w:val="clear" w:color="000000" w:fill="FFFFFF"/>
            <w:vAlign w:val="center"/>
            <w:hideMark/>
          </w:tcPr>
          <w:p w14:paraId="15B8E3D2" w14:textId="77777777" w:rsidR="0088085F" w:rsidRPr="00B81E61" w:rsidRDefault="0088085F" w:rsidP="007E5A67">
            <w:pPr>
              <w:pStyle w:val="cuatexto"/>
              <w:jc w:val="right"/>
              <w:rPr>
                <w:color w:val="000000" w:themeColor="text1"/>
              </w:rPr>
            </w:pPr>
            <w:r>
              <w:rPr>
                <w:color w:val="000000" w:themeColor="text1"/>
              </w:rPr>
              <w:t>0,4</w:t>
            </w:r>
          </w:p>
        </w:tc>
      </w:tr>
      <w:tr w:rsidR="0088085F" w:rsidRPr="00B81E61" w14:paraId="098E3906"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5F6CCBD" w14:textId="77777777" w:rsidR="0088085F" w:rsidRPr="00B81E61" w:rsidRDefault="0088085F" w:rsidP="007E5A67">
            <w:pPr>
              <w:pStyle w:val="cuatexto"/>
              <w:jc w:val="left"/>
              <w:rPr>
                <w:color w:val="000000" w:themeColor="text1"/>
              </w:rPr>
            </w:pPr>
            <w:r>
              <w:rPr>
                <w:color w:val="000000" w:themeColor="text1"/>
              </w:rPr>
              <w:t>101-200</w:t>
            </w:r>
          </w:p>
        </w:tc>
        <w:tc>
          <w:tcPr>
            <w:tcW w:w="771" w:type="pct"/>
            <w:tcBorders>
              <w:top w:val="single" w:sz="2" w:space="0" w:color="auto"/>
              <w:left w:val="nil"/>
              <w:bottom w:val="single" w:sz="2" w:space="0" w:color="auto"/>
              <w:right w:val="nil"/>
            </w:tcBorders>
            <w:shd w:val="clear" w:color="000000" w:fill="FFFFFF"/>
            <w:vAlign w:val="center"/>
            <w:hideMark/>
          </w:tcPr>
          <w:p w14:paraId="18196D5E" w14:textId="77777777" w:rsidR="0088085F" w:rsidRPr="00B81E61" w:rsidRDefault="0088085F" w:rsidP="007E5A67">
            <w:pPr>
              <w:pStyle w:val="cuatexto"/>
              <w:jc w:val="right"/>
              <w:rPr>
                <w:color w:val="000000" w:themeColor="text1"/>
              </w:rPr>
            </w:pPr>
            <w:r>
              <w:rPr>
                <w:color w:val="000000" w:themeColor="text1"/>
              </w:rPr>
              <w:t>52</w:t>
            </w:r>
          </w:p>
        </w:tc>
        <w:tc>
          <w:tcPr>
            <w:tcW w:w="771" w:type="pct"/>
            <w:tcBorders>
              <w:top w:val="single" w:sz="2" w:space="0" w:color="auto"/>
              <w:left w:val="nil"/>
              <w:bottom w:val="single" w:sz="2" w:space="0" w:color="auto"/>
              <w:right w:val="nil"/>
            </w:tcBorders>
            <w:shd w:val="clear" w:color="000000" w:fill="FFFFFF"/>
            <w:vAlign w:val="center"/>
            <w:hideMark/>
          </w:tcPr>
          <w:p w14:paraId="2285689F" w14:textId="77777777" w:rsidR="0088085F" w:rsidRPr="00B81E61" w:rsidRDefault="0088085F" w:rsidP="007E5A67">
            <w:pPr>
              <w:pStyle w:val="cuatexto"/>
              <w:jc w:val="right"/>
              <w:rPr>
                <w:color w:val="000000" w:themeColor="text1"/>
              </w:rPr>
            </w:pPr>
            <w:r>
              <w:rPr>
                <w:color w:val="000000" w:themeColor="text1"/>
              </w:rPr>
              <w:t>19,1</w:t>
            </w:r>
          </w:p>
        </w:tc>
        <w:tc>
          <w:tcPr>
            <w:tcW w:w="771" w:type="pct"/>
            <w:tcBorders>
              <w:top w:val="single" w:sz="2" w:space="0" w:color="auto"/>
              <w:left w:val="nil"/>
              <w:bottom w:val="single" w:sz="2" w:space="0" w:color="auto"/>
              <w:right w:val="nil"/>
            </w:tcBorders>
            <w:shd w:val="clear" w:color="000000" w:fill="FFFFFF"/>
            <w:vAlign w:val="center"/>
            <w:hideMark/>
          </w:tcPr>
          <w:p w14:paraId="730B5B73" w14:textId="77777777" w:rsidR="0088085F" w:rsidRPr="00B81E61" w:rsidRDefault="0088085F" w:rsidP="007E5A67">
            <w:pPr>
              <w:pStyle w:val="cuatexto"/>
              <w:jc w:val="right"/>
              <w:rPr>
                <w:color w:val="000000" w:themeColor="text1"/>
              </w:rPr>
            </w:pPr>
            <w:r>
              <w:rPr>
                <w:color w:val="000000" w:themeColor="text1"/>
              </w:rPr>
              <w:t>7.296</w:t>
            </w:r>
          </w:p>
        </w:tc>
        <w:tc>
          <w:tcPr>
            <w:tcW w:w="771" w:type="pct"/>
            <w:tcBorders>
              <w:top w:val="single" w:sz="2" w:space="0" w:color="auto"/>
              <w:left w:val="nil"/>
              <w:bottom w:val="single" w:sz="2" w:space="0" w:color="auto"/>
              <w:right w:val="nil"/>
            </w:tcBorders>
            <w:shd w:val="clear" w:color="000000" w:fill="FFFFFF"/>
            <w:vAlign w:val="center"/>
            <w:hideMark/>
          </w:tcPr>
          <w:p w14:paraId="15C033C1" w14:textId="77777777" w:rsidR="0088085F" w:rsidRPr="00B81E61" w:rsidRDefault="0088085F" w:rsidP="007E5A67">
            <w:pPr>
              <w:pStyle w:val="cuatexto"/>
              <w:jc w:val="right"/>
              <w:rPr>
                <w:color w:val="000000" w:themeColor="text1"/>
              </w:rPr>
            </w:pPr>
            <w:r>
              <w:rPr>
                <w:color w:val="000000" w:themeColor="text1"/>
              </w:rPr>
              <w:t>1,1</w:t>
            </w:r>
          </w:p>
        </w:tc>
      </w:tr>
      <w:tr w:rsidR="0088085F" w:rsidRPr="00B81E61" w14:paraId="1CFFF6C6"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302E60B7" w14:textId="77777777" w:rsidR="0088085F" w:rsidRPr="00B81E61" w:rsidRDefault="0088085F" w:rsidP="007E5A67">
            <w:pPr>
              <w:pStyle w:val="cuatexto"/>
              <w:jc w:val="left"/>
              <w:rPr>
                <w:color w:val="000000" w:themeColor="text1"/>
              </w:rPr>
            </w:pPr>
            <w:r>
              <w:rPr>
                <w:color w:val="000000" w:themeColor="text1"/>
              </w:rPr>
              <w:t>201-500</w:t>
            </w:r>
          </w:p>
        </w:tc>
        <w:tc>
          <w:tcPr>
            <w:tcW w:w="771" w:type="pct"/>
            <w:tcBorders>
              <w:top w:val="single" w:sz="2" w:space="0" w:color="auto"/>
              <w:left w:val="nil"/>
              <w:bottom w:val="single" w:sz="2" w:space="0" w:color="auto"/>
              <w:right w:val="nil"/>
            </w:tcBorders>
            <w:shd w:val="clear" w:color="000000" w:fill="FFFFFF"/>
            <w:vAlign w:val="center"/>
            <w:hideMark/>
          </w:tcPr>
          <w:p w14:paraId="7E411588" w14:textId="77777777" w:rsidR="0088085F" w:rsidRPr="00B81E61" w:rsidRDefault="0088085F" w:rsidP="007E5A67">
            <w:pPr>
              <w:pStyle w:val="cuatexto"/>
              <w:jc w:val="right"/>
              <w:rPr>
                <w:color w:val="000000" w:themeColor="text1"/>
              </w:rPr>
            </w:pPr>
            <w:r>
              <w:rPr>
                <w:color w:val="000000" w:themeColor="text1"/>
              </w:rPr>
              <w:t>58</w:t>
            </w:r>
          </w:p>
        </w:tc>
        <w:tc>
          <w:tcPr>
            <w:tcW w:w="771" w:type="pct"/>
            <w:tcBorders>
              <w:top w:val="single" w:sz="2" w:space="0" w:color="auto"/>
              <w:left w:val="nil"/>
              <w:bottom w:val="single" w:sz="2" w:space="0" w:color="auto"/>
              <w:right w:val="nil"/>
            </w:tcBorders>
            <w:shd w:val="clear" w:color="000000" w:fill="FFFFFF"/>
            <w:vAlign w:val="center"/>
            <w:hideMark/>
          </w:tcPr>
          <w:p w14:paraId="21E4066F" w14:textId="77777777" w:rsidR="0088085F" w:rsidRPr="00B81E61" w:rsidRDefault="0088085F" w:rsidP="007E5A67">
            <w:pPr>
              <w:pStyle w:val="cuatexto"/>
              <w:jc w:val="right"/>
              <w:rPr>
                <w:color w:val="000000" w:themeColor="text1"/>
              </w:rPr>
            </w:pPr>
            <w:r>
              <w:rPr>
                <w:color w:val="000000" w:themeColor="text1"/>
              </w:rPr>
              <w:t>21,3</w:t>
            </w:r>
          </w:p>
        </w:tc>
        <w:tc>
          <w:tcPr>
            <w:tcW w:w="771" w:type="pct"/>
            <w:tcBorders>
              <w:top w:val="single" w:sz="2" w:space="0" w:color="auto"/>
              <w:left w:val="nil"/>
              <w:bottom w:val="single" w:sz="2" w:space="0" w:color="auto"/>
              <w:right w:val="nil"/>
            </w:tcBorders>
            <w:shd w:val="clear" w:color="000000" w:fill="FFFFFF"/>
            <w:vAlign w:val="center"/>
            <w:hideMark/>
          </w:tcPr>
          <w:p w14:paraId="43D785E6" w14:textId="77777777" w:rsidR="0088085F" w:rsidRPr="00B81E61" w:rsidRDefault="0088085F" w:rsidP="007E5A67">
            <w:pPr>
              <w:pStyle w:val="cuatexto"/>
              <w:jc w:val="right"/>
              <w:rPr>
                <w:color w:val="000000" w:themeColor="text1"/>
              </w:rPr>
            </w:pPr>
            <w:r>
              <w:rPr>
                <w:color w:val="000000" w:themeColor="text1"/>
              </w:rPr>
              <w:t>18.656</w:t>
            </w:r>
          </w:p>
        </w:tc>
        <w:tc>
          <w:tcPr>
            <w:tcW w:w="771" w:type="pct"/>
            <w:tcBorders>
              <w:top w:val="single" w:sz="2" w:space="0" w:color="auto"/>
              <w:left w:val="nil"/>
              <w:bottom w:val="single" w:sz="2" w:space="0" w:color="auto"/>
              <w:right w:val="nil"/>
            </w:tcBorders>
            <w:shd w:val="clear" w:color="000000" w:fill="FFFFFF"/>
            <w:vAlign w:val="center"/>
            <w:hideMark/>
          </w:tcPr>
          <w:p w14:paraId="3E389D86" w14:textId="77777777" w:rsidR="0088085F" w:rsidRPr="00B81E61" w:rsidRDefault="0088085F" w:rsidP="007E5A67">
            <w:pPr>
              <w:pStyle w:val="cuatexto"/>
              <w:jc w:val="right"/>
              <w:rPr>
                <w:color w:val="000000" w:themeColor="text1"/>
              </w:rPr>
            </w:pPr>
            <w:r>
              <w:rPr>
                <w:color w:val="000000" w:themeColor="text1"/>
              </w:rPr>
              <w:t>2,9</w:t>
            </w:r>
          </w:p>
        </w:tc>
      </w:tr>
      <w:tr w:rsidR="0088085F" w:rsidRPr="00B81E61" w14:paraId="3F3AA28F"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22AABC49" w14:textId="77777777" w:rsidR="0088085F" w:rsidRPr="00B81E61" w:rsidRDefault="0088085F" w:rsidP="007E5A67">
            <w:pPr>
              <w:pStyle w:val="cuatexto"/>
              <w:jc w:val="left"/>
              <w:rPr>
                <w:color w:val="000000" w:themeColor="text1"/>
              </w:rPr>
            </w:pPr>
            <w:r>
              <w:rPr>
                <w:color w:val="000000" w:themeColor="text1"/>
              </w:rPr>
              <w:t>501-1.000</w:t>
            </w:r>
          </w:p>
        </w:tc>
        <w:tc>
          <w:tcPr>
            <w:tcW w:w="771" w:type="pct"/>
            <w:tcBorders>
              <w:top w:val="single" w:sz="2" w:space="0" w:color="auto"/>
              <w:left w:val="nil"/>
              <w:bottom w:val="single" w:sz="2" w:space="0" w:color="auto"/>
              <w:right w:val="nil"/>
            </w:tcBorders>
            <w:shd w:val="clear" w:color="000000" w:fill="FFFFFF"/>
            <w:vAlign w:val="center"/>
            <w:hideMark/>
          </w:tcPr>
          <w:p w14:paraId="0B05F266" w14:textId="77777777" w:rsidR="0088085F" w:rsidRPr="00B81E61" w:rsidRDefault="0088085F" w:rsidP="007E5A67">
            <w:pPr>
              <w:pStyle w:val="cuatexto"/>
              <w:jc w:val="right"/>
              <w:rPr>
                <w:color w:val="000000" w:themeColor="text1"/>
              </w:rPr>
            </w:pPr>
            <w:r>
              <w:rPr>
                <w:color w:val="000000" w:themeColor="text1"/>
              </w:rPr>
              <w:t>36</w:t>
            </w:r>
          </w:p>
        </w:tc>
        <w:tc>
          <w:tcPr>
            <w:tcW w:w="771" w:type="pct"/>
            <w:tcBorders>
              <w:top w:val="single" w:sz="2" w:space="0" w:color="auto"/>
              <w:left w:val="nil"/>
              <w:bottom w:val="single" w:sz="2" w:space="0" w:color="auto"/>
              <w:right w:val="nil"/>
            </w:tcBorders>
            <w:shd w:val="clear" w:color="000000" w:fill="FFFFFF"/>
            <w:vAlign w:val="center"/>
            <w:hideMark/>
          </w:tcPr>
          <w:p w14:paraId="7E30D72B" w14:textId="77777777" w:rsidR="0088085F" w:rsidRPr="00B81E61" w:rsidRDefault="0088085F" w:rsidP="007E5A67">
            <w:pPr>
              <w:pStyle w:val="cuatexto"/>
              <w:jc w:val="right"/>
              <w:rPr>
                <w:color w:val="000000" w:themeColor="text1"/>
              </w:rPr>
            </w:pPr>
            <w:r>
              <w:rPr>
                <w:color w:val="000000" w:themeColor="text1"/>
              </w:rPr>
              <w:t>13,2</w:t>
            </w:r>
          </w:p>
        </w:tc>
        <w:tc>
          <w:tcPr>
            <w:tcW w:w="771" w:type="pct"/>
            <w:tcBorders>
              <w:top w:val="single" w:sz="2" w:space="0" w:color="auto"/>
              <w:left w:val="nil"/>
              <w:bottom w:val="single" w:sz="2" w:space="0" w:color="auto"/>
              <w:right w:val="nil"/>
            </w:tcBorders>
            <w:shd w:val="clear" w:color="000000" w:fill="FFFFFF"/>
            <w:vAlign w:val="center"/>
            <w:hideMark/>
          </w:tcPr>
          <w:p w14:paraId="32BB7B97" w14:textId="77777777" w:rsidR="0088085F" w:rsidRPr="00B81E61" w:rsidRDefault="0088085F" w:rsidP="007E5A67">
            <w:pPr>
              <w:pStyle w:val="cuatexto"/>
              <w:jc w:val="right"/>
              <w:rPr>
                <w:color w:val="000000" w:themeColor="text1"/>
              </w:rPr>
            </w:pPr>
            <w:r>
              <w:rPr>
                <w:color w:val="000000" w:themeColor="text1"/>
              </w:rPr>
              <w:t>26.320</w:t>
            </w:r>
          </w:p>
        </w:tc>
        <w:tc>
          <w:tcPr>
            <w:tcW w:w="771" w:type="pct"/>
            <w:tcBorders>
              <w:top w:val="single" w:sz="2" w:space="0" w:color="auto"/>
              <w:left w:val="nil"/>
              <w:bottom w:val="single" w:sz="2" w:space="0" w:color="auto"/>
              <w:right w:val="nil"/>
            </w:tcBorders>
            <w:shd w:val="clear" w:color="000000" w:fill="FFFFFF"/>
            <w:vAlign w:val="center"/>
            <w:hideMark/>
          </w:tcPr>
          <w:p w14:paraId="5D812A25" w14:textId="77777777" w:rsidR="0088085F" w:rsidRPr="00B81E61" w:rsidRDefault="0088085F" w:rsidP="007E5A67">
            <w:pPr>
              <w:pStyle w:val="cuatexto"/>
              <w:jc w:val="right"/>
              <w:rPr>
                <w:color w:val="000000" w:themeColor="text1"/>
              </w:rPr>
            </w:pPr>
            <w:r>
              <w:rPr>
                <w:color w:val="000000" w:themeColor="text1"/>
              </w:rPr>
              <w:t>4,0</w:t>
            </w:r>
          </w:p>
        </w:tc>
      </w:tr>
      <w:tr w:rsidR="0088085F" w:rsidRPr="00B81E61" w14:paraId="7EC4948B"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477B2EFA" w14:textId="77777777" w:rsidR="0088085F" w:rsidRPr="00B81E61" w:rsidRDefault="0088085F" w:rsidP="007E5A67">
            <w:pPr>
              <w:pStyle w:val="cuatexto"/>
              <w:jc w:val="left"/>
              <w:rPr>
                <w:color w:val="000000" w:themeColor="text1"/>
              </w:rPr>
            </w:pPr>
            <w:r>
              <w:rPr>
                <w:color w:val="000000" w:themeColor="text1"/>
              </w:rPr>
              <w:t>1.001-2.000</w:t>
            </w:r>
          </w:p>
        </w:tc>
        <w:tc>
          <w:tcPr>
            <w:tcW w:w="771" w:type="pct"/>
            <w:tcBorders>
              <w:top w:val="single" w:sz="2" w:space="0" w:color="auto"/>
              <w:left w:val="nil"/>
              <w:bottom w:val="single" w:sz="2" w:space="0" w:color="auto"/>
              <w:right w:val="nil"/>
            </w:tcBorders>
            <w:shd w:val="clear" w:color="000000" w:fill="FFFFFF"/>
            <w:vAlign w:val="center"/>
            <w:hideMark/>
          </w:tcPr>
          <w:p w14:paraId="5BC5FD4B" w14:textId="77777777" w:rsidR="0088085F" w:rsidRPr="00B81E61" w:rsidRDefault="0088085F" w:rsidP="007E5A67">
            <w:pPr>
              <w:pStyle w:val="cuatexto"/>
              <w:jc w:val="right"/>
              <w:rPr>
                <w:color w:val="000000" w:themeColor="text1"/>
              </w:rPr>
            </w:pPr>
            <w:r>
              <w:rPr>
                <w:color w:val="000000" w:themeColor="text1"/>
              </w:rPr>
              <w:t>23</w:t>
            </w:r>
          </w:p>
        </w:tc>
        <w:tc>
          <w:tcPr>
            <w:tcW w:w="771" w:type="pct"/>
            <w:tcBorders>
              <w:top w:val="single" w:sz="2" w:space="0" w:color="auto"/>
              <w:left w:val="nil"/>
              <w:bottom w:val="single" w:sz="2" w:space="0" w:color="auto"/>
              <w:right w:val="nil"/>
            </w:tcBorders>
            <w:shd w:val="clear" w:color="000000" w:fill="FFFFFF"/>
            <w:vAlign w:val="center"/>
            <w:hideMark/>
          </w:tcPr>
          <w:p w14:paraId="5593033B" w14:textId="77777777" w:rsidR="0088085F" w:rsidRPr="00B81E61" w:rsidRDefault="0088085F" w:rsidP="007E5A67">
            <w:pPr>
              <w:pStyle w:val="cuatexto"/>
              <w:jc w:val="right"/>
              <w:rPr>
                <w:color w:val="000000" w:themeColor="text1"/>
              </w:rPr>
            </w:pPr>
            <w:r>
              <w:rPr>
                <w:color w:val="000000" w:themeColor="text1"/>
              </w:rPr>
              <w:t>8,5</w:t>
            </w:r>
          </w:p>
        </w:tc>
        <w:tc>
          <w:tcPr>
            <w:tcW w:w="771" w:type="pct"/>
            <w:tcBorders>
              <w:top w:val="single" w:sz="2" w:space="0" w:color="auto"/>
              <w:left w:val="nil"/>
              <w:bottom w:val="single" w:sz="2" w:space="0" w:color="auto"/>
              <w:right w:val="nil"/>
            </w:tcBorders>
            <w:shd w:val="clear" w:color="000000" w:fill="FFFFFF"/>
            <w:vAlign w:val="center"/>
            <w:hideMark/>
          </w:tcPr>
          <w:p w14:paraId="03EFD83D" w14:textId="77777777" w:rsidR="0088085F" w:rsidRPr="00B81E61" w:rsidRDefault="0088085F" w:rsidP="007E5A67">
            <w:pPr>
              <w:pStyle w:val="cuatexto"/>
              <w:jc w:val="right"/>
              <w:rPr>
                <w:color w:val="000000" w:themeColor="text1"/>
              </w:rPr>
            </w:pPr>
            <w:r>
              <w:rPr>
                <w:color w:val="000000" w:themeColor="text1"/>
              </w:rPr>
              <w:t>32.305</w:t>
            </w:r>
          </w:p>
        </w:tc>
        <w:tc>
          <w:tcPr>
            <w:tcW w:w="771" w:type="pct"/>
            <w:tcBorders>
              <w:top w:val="single" w:sz="2" w:space="0" w:color="auto"/>
              <w:left w:val="nil"/>
              <w:bottom w:val="single" w:sz="2" w:space="0" w:color="auto"/>
              <w:right w:val="nil"/>
            </w:tcBorders>
            <w:shd w:val="clear" w:color="000000" w:fill="FFFFFF"/>
            <w:vAlign w:val="center"/>
            <w:hideMark/>
          </w:tcPr>
          <w:p w14:paraId="23473B8F" w14:textId="77777777" w:rsidR="0088085F" w:rsidRPr="00B81E61" w:rsidRDefault="0088085F" w:rsidP="007E5A67">
            <w:pPr>
              <w:pStyle w:val="cuatexto"/>
              <w:jc w:val="right"/>
              <w:rPr>
                <w:color w:val="000000" w:themeColor="text1"/>
              </w:rPr>
            </w:pPr>
            <w:r>
              <w:rPr>
                <w:color w:val="000000" w:themeColor="text1"/>
              </w:rPr>
              <w:t>4,9</w:t>
            </w:r>
          </w:p>
        </w:tc>
      </w:tr>
      <w:tr w:rsidR="0088085F" w:rsidRPr="00B81E61" w14:paraId="1F14D2C2"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56839028" w14:textId="77777777" w:rsidR="0088085F" w:rsidRPr="00B81E61" w:rsidRDefault="0088085F" w:rsidP="007E5A67">
            <w:pPr>
              <w:pStyle w:val="cuatexto"/>
              <w:jc w:val="left"/>
              <w:rPr>
                <w:color w:val="000000" w:themeColor="text1"/>
              </w:rPr>
            </w:pPr>
            <w:r>
              <w:rPr>
                <w:color w:val="000000" w:themeColor="text1"/>
              </w:rPr>
              <w:t>2.001-3.000</w:t>
            </w:r>
          </w:p>
        </w:tc>
        <w:tc>
          <w:tcPr>
            <w:tcW w:w="771" w:type="pct"/>
            <w:tcBorders>
              <w:top w:val="single" w:sz="2" w:space="0" w:color="auto"/>
              <w:left w:val="nil"/>
              <w:bottom w:val="single" w:sz="2" w:space="0" w:color="auto"/>
              <w:right w:val="nil"/>
            </w:tcBorders>
            <w:shd w:val="clear" w:color="000000" w:fill="FFFFFF"/>
            <w:vAlign w:val="center"/>
            <w:hideMark/>
          </w:tcPr>
          <w:p w14:paraId="103E2B85" w14:textId="77777777" w:rsidR="0088085F" w:rsidRPr="00B81E61" w:rsidRDefault="0088085F" w:rsidP="007E5A67">
            <w:pPr>
              <w:pStyle w:val="cuatexto"/>
              <w:jc w:val="right"/>
              <w:rPr>
                <w:color w:val="000000" w:themeColor="text1"/>
              </w:rPr>
            </w:pPr>
            <w:r>
              <w:rPr>
                <w:color w:val="000000" w:themeColor="text1"/>
              </w:rPr>
              <w:t>23</w:t>
            </w:r>
          </w:p>
        </w:tc>
        <w:tc>
          <w:tcPr>
            <w:tcW w:w="771" w:type="pct"/>
            <w:tcBorders>
              <w:top w:val="single" w:sz="2" w:space="0" w:color="auto"/>
              <w:left w:val="nil"/>
              <w:bottom w:val="single" w:sz="2" w:space="0" w:color="auto"/>
              <w:right w:val="nil"/>
            </w:tcBorders>
            <w:shd w:val="clear" w:color="000000" w:fill="FFFFFF"/>
            <w:vAlign w:val="center"/>
            <w:hideMark/>
          </w:tcPr>
          <w:p w14:paraId="3C1850C1" w14:textId="77777777" w:rsidR="0088085F" w:rsidRPr="00B81E61" w:rsidRDefault="0088085F" w:rsidP="007E5A67">
            <w:pPr>
              <w:pStyle w:val="cuatexto"/>
              <w:jc w:val="right"/>
              <w:rPr>
                <w:color w:val="000000" w:themeColor="text1"/>
              </w:rPr>
            </w:pPr>
            <w:r>
              <w:rPr>
                <w:color w:val="000000" w:themeColor="text1"/>
              </w:rPr>
              <w:t>8,5</w:t>
            </w:r>
          </w:p>
        </w:tc>
        <w:tc>
          <w:tcPr>
            <w:tcW w:w="771" w:type="pct"/>
            <w:tcBorders>
              <w:top w:val="single" w:sz="2" w:space="0" w:color="auto"/>
              <w:left w:val="nil"/>
              <w:bottom w:val="single" w:sz="2" w:space="0" w:color="auto"/>
              <w:right w:val="nil"/>
            </w:tcBorders>
            <w:shd w:val="clear" w:color="000000" w:fill="FFFFFF"/>
            <w:vAlign w:val="center"/>
            <w:hideMark/>
          </w:tcPr>
          <w:p w14:paraId="0BDEC1E0" w14:textId="77777777" w:rsidR="0088085F" w:rsidRPr="00B81E61" w:rsidRDefault="0088085F" w:rsidP="007E5A67">
            <w:pPr>
              <w:pStyle w:val="cuatexto"/>
              <w:jc w:val="right"/>
              <w:rPr>
                <w:color w:val="000000" w:themeColor="text1"/>
              </w:rPr>
            </w:pPr>
            <w:r>
              <w:rPr>
                <w:color w:val="000000" w:themeColor="text1"/>
              </w:rPr>
              <w:t>57.670</w:t>
            </w:r>
          </w:p>
        </w:tc>
        <w:tc>
          <w:tcPr>
            <w:tcW w:w="771" w:type="pct"/>
            <w:tcBorders>
              <w:top w:val="single" w:sz="2" w:space="0" w:color="auto"/>
              <w:left w:val="nil"/>
              <w:bottom w:val="single" w:sz="2" w:space="0" w:color="auto"/>
              <w:right w:val="nil"/>
            </w:tcBorders>
            <w:shd w:val="clear" w:color="000000" w:fill="FFFFFF"/>
            <w:vAlign w:val="center"/>
            <w:hideMark/>
          </w:tcPr>
          <w:p w14:paraId="7BC065F8" w14:textId="77777777" w:rsidR="0088085F" w:rsidRPr="00B81E61" w:rsidRDefault="0088085F" w:rsidP="007E5A67">
            <w:pPr>
              <w:pStyle w:val="cuatexto"/>
              <w:jc w:val="right"/>
              <w:rPr>
                <w:color w:val="000000" w:themeColor="text1"/>
              </w:rPr>
            </w:pPr>
            <w:r>
              <w:rPr>
                <w:color w:val="000000" w:themeColor="text1"/>
              </w:rPr>
              <w:t>8,8</w:t>
            </w:r>
          </w:p>
        </w:tc>
      </w:tr>
      <w:tr w:rsidR="0088085F" w:rsidRPr="00B81E61" w14:paraId="1EAEFAF9"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CE61319" w14:textId="77777777" w:rsidR="0088085F" w:rsidRPr="00B81E61" w:rsidRDefault="0088085F" w:rsidP="007E5A67">
            <w:pPr>
              <w:pStyle w:val="cuatexto"/>
              <w:jc w:val="left"/>
              <w:rPr>
                <w:color w:val="000000" w:themeColor="text1"/>
              </w:rPr>
            </w:pPr>
            <w:r>
              <w:rPr>
                <w:color w:val="000000" w:themeColor="text1"/>
              </w:rPr>
              <w:t>3.001-5.000</w:t>
            </w:r>
          </w:p>
        </w:tc>
        <w:tc>
          <w:tcPr>
            <w:tcW w:w="771" w:type="pct"/>
            <w:tcBorders>
              <w:top w:val="single" w:sz="2" w:space="0" w:color="auto"/>
              <w:left w:val="nil"/>
              <w:bottom w:val="single" w:sz="2" w:space="0" w:color="auto"/>
              <w:right w:val="nil"/>
            </w:tcBorders>
            <w:shd w:val="clear" w:color="000000" w:fill="FFFFFF"/>
            <w:vAlign w:val="center"/>
            <w:hideMark/>
          </w:tcPr>
          <w:p w14:paraId="21778FE2" w14:textId="77777777" w:rsidR="0088085F" w:rsidRPr="00B81E61" w:rsidRDefault="0088085F" w:rsidP="007E5A67">
            <w:pPr>
              <w:pStyle w:val="cuatexto"/>
              <w:jc w:val="right"/>
              <w:rPr>
                <w:color w:val="000000" w:themeColor="text1"/>
              </w:rPr>
            </w:pPr>
            <w:r>
              <w:rPr>
                <w:color w:val="000000" w:themeColor="text1"/>
              </w:rPr>
              <w:t>16</w:t>
            </w:r>
          </w:p>
        </w:tc>
        <w:tc>
          <w:tcPr>
            <w:tcW w:w="771" w:type="pct"/>
            <w:tcBorders>
              <w:top w:val="single" w:sz="2" w:space="0" w:color="auto"/>
              <w:left w:val="nil"/>
              <w:bottom w:val="single" w:sz="2" w:space="0" w:color="auto"/>
              <w:right w:val="nil"/>
            </w:tcBorders>
            <w:shd w:val="clear" w:color="000000" w:fill="FFFFFF"/>
            <w:vAlign w:val="center"/>
            <w:hideMark/>
          </w:tcPr>
          <w:p w14:paraId="02D796DD" w14:textId="77777777" w:rsidR="0088085F" w:rsidRPr="00B81E61" w:rsidRDefault="0088085F" w:rsidP="007E5A67">
            <w:pPr>
              <w:pStyle w:val="cuatexto"/>
              <w:jc w:val="right"/>
              <w:rPr>
                <w:color w:val="000000" w:themeColor="text1"/>
              </w:rPr>
            </w:pPr>
            <w:r>
              <w:rPr>
                <w:color w:val="000000" w:themeColor="text1"/>
              </w:rPr>
              <w:t>5,9</w:t>
            </w:r>
          </w:p>
        </w:tc>
        <w:tc>
          <w:tcPr>
            <w:tcW w:w="771" w:type="pct"/>
            <w:tcBorders>
              <w:top w:val="single" w:sz="2" w:space="0" w:color="auto"/>
              <w:left w:val="nil"/>
              <w:bottom w:val="single" w:sz="2" w:space="0" w:color="auto"/>
              <w:right w:val="nil"/>
            </w:tcBorders>
            <w:shd w:val="clear" w:color="000000" w:fill="FFFFFF"/>
            <w:vAlign w:val="center"/>
            <w:hideMark/>
          </w:tcPr>
          <w:p w14:paraId="23C353E2" w14:textId="77777777" w:rsidR="0088085F" w:rsidRPr="00B81E61" w:rsidRDefault="0088085F" w:rsidP="007E5A67">
            <w:pPr>
              <w:pStyle w:val="cuatexto"/>
              <w:jc w:val="right"/>
              <w:rPr>
                <w:color w:val="000000" w:themeColor="text1"/>
              </w:rPr>
            </w:pPr>
            <w:r>
              <w:rPr>
                <w:color w:val="000000" w:themeColor="text1"/>
              </w:rPr>
              <w:t>63.571</w:t>
            </w:r>
          </w:p>
        </w:tc>
        <w:tc>
          <w:tcPr>
            <w:tcW w:w="771" w:type="pct"/>
            <w:tcBorders>
              <w:top w:val="single" w:sz="2" w:space="0" w:color="auto"/>
              <w:left w:val="nil"/>
              <w:bottom w:val="single" w:sz="2" w:space="0" w:color="auto"/>
              <w:right w:val="nil"/>
            </w:tcBorders>
            <w:shd w:val="clear" w:color="000000" w:fill="FFFFFF"/>
            <w:vAlign w:val="center"/>
            <w:hideMark/>
          </w:tcPr>
          <w:p w14:paraId="1775D667" w14:textId="77777777" w:rsidR="0088085F" w:rsidRPr="00B81E61" w:rsidRDefault="0088085F" w:rsidP="007E5A67">
            <w:pPr>
              <w:pStyle w:val="cuatexto"/>
              <w:jc w:val="right"/>
              <w:rPr>
                <w:color w:val="000000" w:themeColor="text1"/>
              </w:rPr>
            </w:pPr>
            <w:r>
              <w:rPr>
                <w:color w:val="000000" w:themeColor="text1"/>
              </w:rPr>
              <w:t>9,7</w:t>
            </w:r>
          </w:p>
        </w:tc>
      </w:tr>
      <w:tr w:rsidR="0088085F" w:rsidRPr="00B81E61" w14:paraId="64CF445C"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39DED5DC" w14:textId="77777777" w:rsidR="0088085F" w:rsidRPr="00B81E61" w:rsidRDefault="0088085F" w:rsidP="007E5A67">
            <w:pPr>
              <w:pStyle w:val="cuatexto"/>
              <w:jc w:val="left"/>
              <w:rPr>
                <w:color w:val="000000" w:themeColor="text1"/>
              </w:rPr>
            </w:pPr>
            <w:r>
              <w:rPr>
                <w:color w:val="000000" w:themeColor="text1"/>
              </w:rPr>
              <w:t>5.001-10.000</w:t>
            </w:r>
          </w:p>
        </w:tc>
        <w:tc>
          <w:tcPr>
            <w:tcW w:w="771" w:type="pct"/>
            <w:tcBorders>
              <w:top w:val="single" w:sz="2" w:space="0" w:color="auto"/>
              <w:left w:val="nil"/>
              <w:bottom w:val="single" w:sz="2" w:space="0" w:color="auto"/>
              <w:right w:val="nil"/>
            </w:tcBorders>
            <w:shd w:val="clear" w:color="000000" w:fill="FFFFFF"/>
            <w:vAlign w:val="center"/>
            <w:hideMark/>
          </w:tcPr>
          <w:p w14:paraId="34BF23A0" w14:textId="77777777" w:rsidR="0088085F" w:rsidRPr="00B81E61" w:rsidRDefault="0088085F" w:rsidP="007E5A67">
            <w:pPr>
              <w:pStyle w:val="cuatexto"/>
              <w:jc w:val="right"/>
              <w:rPr>
                <w:color w:val="000000" w:themeColor="text1"/>
              </w:rPr>
            </w:pPr>
            <w:r>
              <w:rPr>
                <w:color w:val="000000" w:themeColor="text1"/>
              </w:rPr>
              <w:t>9</w:t>
            </w:r>
          </w:p>
        </w:tc>
        <w:tc>
          <w:tcPr>
            <w:tcW w:w="771" w:type="pct"/>
            <w:tcBorders>
              <w:top w:val="single" w:sz="2" w:space="0" w:color="auto"/>
              <w:left w:val="nil"/>
              <w:bottom w:val="single" w:sz="2" w:space="0" w:color="auto"/>
              <w:right w:val="nil"/>
            </w:tcBorders>
            <w:shd w:val="clear" w:color="000000" w:fill="FFFFFF"/>
            <w:vAlign w:val="center"/>
            <w:hideMark/>
          </w:tcPr>
          <w:p w14:paraId="23C68EA3" w14:textId="77777777" w:rsidR="0088085F" w:rsidRPr="00B81E61" w:rsidRDefault="0088085F" w:rsidP="007E5A67">
            <w:pPr>
              <w:pStyle w:val="cuatexto"/>
              <w:jc w:val="right"/>
              <w:rPr>
                <w:color w:val="000000" w:themeColor="text1"/>
              </w:rPr>
            </w:pPr>
            <w:r>
              <w:rPr>
                <w:color w:val="000000" w:themeColor="text1"/>
              </w:rPr>
              <w:t>3,3</w:t>
            </w:r>
          </w:p>
        </w:tc>
        <w:tc>
          <w:tcPr>
            <w:tcW w:w="771" w:type="pct"/>
            <w:tcBorders>
              <w:top w:val="single" w:sz="2" w:space="0" w:color="auto"/>
              <w:left w:val="nil"/>
              <w:bottom w:val="single" w:sz="2" w:space="0" w:color="auto"/>
              <w:right w:val="nil"/>
            </w:tcBorders>
            <w:shd w:val="clear" w:color="000000" w:fill="FFFFFF"/>
            <w:vAlign w:val="center"/>
            <w:hideMark/>
          </w:tcPr>
          <w:p w14:paraId="135AD112" w14:textId="77777777" w:rsidR="0088085F" w:rsidRPr="00B81E61" w:rsidRDefault="0088085F" w:rsidP="007E5A67">
            <w:pPr>
              <w:pStyle w:val="cuatexto"/>
              <w:jc w:val="right"/>
              <w:rPr>
                <w:color w:val="000000" w:themeColor="text1"/>
              </w:rPr>
            </w:pPr>
            <w:r>
              <w:rPr>
                <w:color w:val="000000" w:themeColor="text1"/>
              </w:rPr>
              <w:t>65.956</w:t>
            </w:r>
          </w:p>
        </w:tc>
        <w:tc>
          <w:tcPr>
            <w:tcW w:w="771" w:type="pct"/>
            <w:tcBorders>
              <w:top w:val="single" w:sz="2" w:space="0" w:color="auto"/>
              <w:left w:val="nil"/>
              <w:bottom w:val="single" w:sz="2" w:space="0" w:color="auto"/>
              <w:right w:val="nil"/>
            </w:tcBorders>
            <w:shd w:val="clear" w:color="000000" w:fill="FFFFFF"/>
            <w:vAlign w:val="center"/>
            <w:hideMark/>
          </w:tcPr>
          <w:p w14:paraId="1E134874" w14:textId="77777777" w:rsidR="0088085F" w:rsidRPr="00B81E61" w:rsidRDefault="0088085F" w:rsidP="007E5A67">
            <w:pPr>
              <w:pStyle w:val="cuatexto"/>
              <w:jc w:val="right"/>
              <w:rPr>
                <w:color w:val="000000" w:themeColor="text1"/>
              </w:rPr>
            </w:pPr>
            <w:r>
              <w:rPr>
                <w:color w:val="000000" w:themeColor="text1"/>
              </w:rPr>
              <w:t>10,1</w:t>
            </w:r>
          </w:p>
        </w:tc>
      </w:tr>
      <w:tr w:rsidR="0088085F" w:rsidRPr="00B81E61" w14:paraId="19CE4ADB"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7E7E5C6D" w14:textId="77777777" w:rsidR="0088085F" w:rsidRPr="00B81E61" w:rsidRDefault="0088085F" w:rsidP="007E5A67">
            <w:pPr>
              <w:pStyle w:val="cuatexto"/>
              <w:jc w:val="left"/>
              <w:rPr>
                <w:color w:val="000000" w:themeColor="text1"/>
              </w:rPr>
            </w:pPr>
            <w:r>
              <w:rPr>
                <w:color w:val="000000" w:themeColor="text1"/>
              </w:rPr>
              <w:t>10.001-20.000</w:t>
            </w:r>
          </w:p>
        </w:tc>
        <w:tc>
          <w:tcPr>
            <w:tcW w:w="771" w:type="pct"/>
            <w:tcBorders>
              <w:top w:val="single" w:sz="2" w:space="0" w:color="auto"/>
              <w:left w:val="nil"/>
              <w:bottom w:val="single" w:sz="2" w:space="0" w:color="auto"/>
              <w:right w:val="nil"/>
            </w:tcBorders>
            <w:shd w:val="clear" w:color="000000" w:fill="FFFFFF"/>
            <w:vAlign w:val="center"/>
            <w:hideMark/>
          </w:tcPr>
          <w:p w14:paraId="50ACCE16" w14:textId="77777777" w:rsidR="0088085F" w:rsidRPr="00B81E61" w:rsidRDefault="0088085F" w:rsidP="007E5A67">
            <w:pPr>
              <w:pStyle w:val="cuatexto"/>
              <w:jc w:val="right"/>
              <w:rPr>
                <w:color w:val="000000" w:themeColor="text1"/>
              </w:rPr>
            </w:pPr>
            <w:r>
              <w:rPr>
                <w:color w:val="000000" w:themeColor="text1"/>
              </w:rPr>
              <w:t>8</w:t>
            </w:r>
          </w:p>
        </w:tc>
        <w:tc>
          <w:tcPr>
            <w:tcW w:w="771" w:type="pct"/>
            <w:tcBorders>
              <w:top w:val="single" w:sz="2" w:space="0" w:color="auto"/>
              <w:left w:val="nil"/>
              <w:bottom w:val="single" w:sz="2" w:space="0" w:color="auto"/>
              <w:right w:val="nil"/>
            </w:tcBorders>
            <w:shd w:val="clear" w:color="000000" w:fill="FFFFFF"/>
            <w:vAlign w:val="center"/>
            <w:hideMark/>
          </w:tcPr>
          <w:p w14:paraId="106B1203" w14:textId="77777777" w:rsidR="0088085F" w:rsidRPr="00B81E61" w:rsidRDefault="0088085F" w:rsidP="007E5A67">
            <w:pPr>
              <w:pStyle w:val="cuatexto"/>
              <w:jc w:val="right"/>
              <w:rPr>
                <w:color w:val="000000" w:themeColor="text1"/>
              </w:rPr>
            </w:pPr>
            <w:r>
              <w:rPr>
                <w:color w:val="000000" w:themeColor="text1"/>
              </w:rPr>
              <w:t>2,9</w:t>
            </w:r>
          </w:p>
        </w:tc>
        <w:tc>
          <w:tcPr>
            <w:tcW w:w="771" w:type="pct"/>
            <w:tcBorders>
              <w:top w:val="single" w:sz="2" w:space="0" w:color="auto"/>
              <w:left w:val="nil"/>
              <w:bottom w:val="single" w:sz="2" w:space="0" w:color="auto"/>
              <w:right w:val="nil"/>
            </w:tcBorders>
            <w:shd w:val="clear" w:color="000000" w:fill="FFFFFF"/>
            <w:vAlign w:val="center"/>
            <w:hideMark/>
          </w:tcPr>
          <w:p w14:paraId="769EC5C4" w14:textId="77777777" w:rsidR="0088085F" w:rsidRPr="00B81E61" w:rsidRDefault="0088085F" w:rsidP="007E5A67">
            <w:pPr>
              <w:pStyle w:val="cuatexto"/>
              <w:jc w:val="right"/>
              <w:rPr>
                <w:color w:val="000000" w:themeColor="text1"/>
              </w:rPr>
            </w:pPr>
            <w:r>
              <w:rPr>
                <w:color w:val="000000" w:themeColor="text1"/>
              </w:rPr>
              <w:t>100.717</w:t>
            </w:r>
          </w:p>
        </w:tc>
        <w:tc>
          <w:tcPr>
            <w:tcW w:w="771" w:type="pct"/>
            <w:tcBorders>
              <w:top w:val="single" w:sz="2" w:space="0" w:color="auto"/>
              <w:left w:val="nil"/>
              <w:bottom w:val="single" w:sz="2" w:space="0" w:color="auto"/>
              <w:right w:val="nil"/>
            </w:tcBorders>
            <w:shd w:val="clear" w:color="000000" w:fill="FFFFFF"/>
            <w:vAlign w:val="center"/>
            <w:hideMark/>
          </w:tcPr>
          <w:p w14:paraId="4415F7C0" w14:textId="77777777" w:rsidR="0088085F" w:rsidRPr="00B81E61" w:rsidRDefault="0088085F" w:rsidP="007E5A67">
            <w:pPr>
              <w:pStyle w:val="cuatexto"/>
              <w:jc w:val="right"/>
              <w:rPr>
                <w:color w:val="000000" w:themeColor="text1"/>
              </w:rPr>
            </w:pPr>
            <w:r>
              <w:rPr>
                <w:color w:val="000000" w:themeColor="text1"/>
              </w:rPr>
              <w:t>15,4</w:t>
            </w:r>
          </w:p>
        </w:tc>
      </w:tr>
      <w:tr w:rsidR="0088085F" w:rsidRPr="00B81E61" w14:paraId="4801F08E"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1A1A7FB0" w14:textId="77777777" w:rsidR="0088085F" w:rsidRPr="00B81E61" w:rsidRDefault="0088085F" w:rsidP="007E5A67">
            <w:pPr>
              <w:pStyle w:val="cuatexto"/>
              <w:jc w:val="left"/>
              <w:rPr>
                <w:color w:val="000000" w:themeColor="text1"/>
              </w:rPr>
            </w:pPr>
            <w:r>
              <w:rPr>
                <w:color w:val="000000" w:themeColor="text1"/>
              </w:rPr>
              <w:t>20.001-30.000</w:t>
            </w:r>
          </w:p>
        </w:tc>
        <w:tc>
          <w:tcPr>
            <w:tcW w:w="771" w:type="pct"/>
            <w:tcBorders>
              <w:top w:val="single" w:sz="2" w:space="0" w:color="auto"/>
              <w:left w:val="nil"/>
              <w:bottom w:val="single" w:sz="2" w:space="0" w:color="auto"/>
              <w:right w:val="nil"/>
            </w:tcBorders>
            <w:shd w:val="clear" w:color="000000" w:fill="FFFFFF"/>
            <w:vAlign w:val="center"/>
            <w:hideMark/>
          </w:tcPr>
          <w:p w14:paraId="05A14B66" w14:textId="77777777" w:rsidR="0088085F" w:rsidRPr="00B81E61" w:rsidRDefault="0088085F" w:rsidP="007E5A67">
            <w:pPr>
              <w:pStyle w:val="cuatexto"/>
              <w:jc w:val="right"/>
              <w:rPr>
                <w:color w:val="000000" w:themeColor="text1"/>
              </w:rPr>
            </w:pPr>
            <w:r>
              <w:rPr>
                <w:color w:val="000000" w:themeColor="text1"/>
              </w:rPr>
              <w:t>2</w:t>
            </w:r>
          </w:p>
        </w:tc>
        <w:tc>
          <w:tcPr>
            <w:tcW w:w="771" w:type="pct"/>
            <w:tcBorders>
              <w:top w:val="single" w:sz="2" w:space="0" w:color="auto"/>
              <w:left w:val="nil"/>
              <w:bottom w:val="single" w:sz="2" w:space="0" w:color="auto"/>
              <w:right w:val="nil"/>
            </w:tcBorders>
            <w:shd w:val="clear" w:color="000000" w:fill="FFFFFF"/>
            <w:vAlign w:val="center"/>
            <w:hideMark/>
          </w:tcPr>
          <w:p w14:paraId="17D62DF9" w14:textId="77777777" w:rsidR="0088085F" w:rsidRPr="00B81E61" w:rsidRDefault="0088085F" w:rsidP="007E5A67">
            <w:pPr>
              <w:pStyle w:val="cuatexto"/>
              <w:jc w:val="right"/>
              <w:rPr>
                <w:color w:val="000000" w:themeColor="text1"/>
              </w:rPr>
            </w:pPr>
            <w:r>
              <w:rPr>
                <w:color w:val="000000" w:themeColor="text1"/>
              </w:rPr>
              <w:t>0,7</w:t>
            </w:r>
          </w:p>
        </w:tc>
        <w:tc>
          <w:tcPr>
            <w:tcW w:w="771" w:type="pct"/>
            <w:tcBorders>
              <w:top w:val="single" w:sz="2" w:space="0" w:color="auto"/>
              <w:left w:val="nil"/>
              <w:bottom w:val="single" w:sz="2" w:space="0" w:color="auto"/>
              <w:right w:val="nil"/>
            </w:tcBorders>
            <w:shd w:val="clear" w:color="000000" w:fill="FFFFFF"/>
            <w:vAlign w:val="center"/>
            <w:hideMark/>
          </w:tcPr>
          <w:p w14:paraId="0EAE597D" w14:textId="77777777" w:rsidR="0088085F" w:rsidRPr="00B81E61" w:rsidRDefault="0088085F" w:rsidP="007E5A67">
            <w:pPr>
              <w:pStyle w:val="cuatexto"/>
              <w:jc w:val="right"/>
              <w:rPr>
                <w:color w:val="000000" w:themeColor="text1"/>
              </w:rPr>
            </w:pPr>
            <w:r>
              <w:rPr>
                <w:color w:val="000000" w:themeColor="text1"/>
              </w:rPr>
              <w:t>41.327</w:t>
            </w:r>
          </w:p>
        </w:tc>
        <w:tc>
          <w:tcPr>
            <w:tcW w:w="771" w:type="pct"/>
            <w:tcBorders>
              <w:top w:val="single" w:sz="2" w:space="0" w:color="auto"/>
              <w:left w:val="nil"/>
              <w:bottom w:val="single" w:sz="2" w:space="0" w:color="auto"/>
              <w:right w:val="nil"/>
            </w:tcBorders>
            <w:shd w:val="clear" w:color="000000" w:fill="FFFFFF"/>
            <w:vAlign w:val="center"/>
            <w:hideMark/>
          </w:tcPr>
          <w:p w14:paraId="51ABD472" w14:textId="77777777" w:rsidR="0088085F" w:rsidRPr="00B81E61" w:rsidRDefault="0088085F" w:rsidP="007E5A67">
            <w:pPr>
              <w:pStyle w:val="cuatexto"/>
              <w:jc w:val="right"/>
              <w:rPr>
                <w:color w:val="000000" w:themeColor="text1"/>
              </w:rPr>
            </w:pPr>
            <w:r>
              <w:rPr>
                <w:color w:val="000000" w:themeColor="text1"/>
              </w:rPr>
              <w:t>6,3</w:t>
            </w:r>
          </w:p>
        </w:tc>
      </w:tr>
      <w:tr w:rsidR="0088085F" w:rsidRPr="00B81E61" w14:paraId="27829409" w14:textId="77777777" w:rsidTr="004540DF">
        <w:trPr>
          <w:trHeight w:val="198"/>
          <w:jc w:val="center"/>
        </w:trPr>
        <w:tc>
          <w:tcPr>
            <w:tcW w:w="1915" w:type="pct"/>
            <w:tcBorders>
              <w:top w:val="single" w:sz="2" w:space="0" w:color="auto"/>
              <w:left w:val="nil"/>
              <w:bottom w:val="single" w:sz="2" w:space="0" w:color="auto"/>
              <w:right w:val="nil"/>
            </w:tcBorders>
            <w:shd w:val="clear" w:color="000000" w:fill="FFFFFF"/>
            <w:vAlign w:val="center"/>
            <w:hideMark/>
          </w:tcPr>
          <w:p w14:paraId="0D765AF2" w14:textId="77777777" w:rsidR="0088085F" w:rsidRPr="00B81E61" w:rsidRDefault="0088085F" w:rsidP="007E5A67">
            <w:pPr>
              <w:pStyle w:val="cuatexto"/>
              <w:jc w:val="left"/>
              <w:rPr>
                <w:color w:val="000000" w:themeColor="text1"/>
              </w:rPr>
            </w:pPr>
            <w:r>
              <w:rPr>
                <w:color w:val="000000" w:themeColor="text1"/>
              </w:rPr>
              <w:t>30.001-50.000</w:t>
            </w:r>
          </w:p>
        </w:tc>
        <w:tc>
          <w:tcPr>
            <w:tcW w:w="771" w:type="pct"/>
            <w:tcBorders>
              <w:top w:val="single" w:sz="2" w:space="0" w:color="auto"/>
              <w:left w:val="nil"/>
              <w:bottom w:val="single" w:sz="2" w:space="0" w:color="auto"/>
              <w:right w:val="nil"/>
            </w:tcBorders>
            <w:shd w:val="clear" w:color="000000" w:fill="FFFFFF"/>
            <w:vAlign w:val="center"/>
            <w:hideMark/>
          </w:tcPr>
          <w:p w14:paraId="108BA3D9" w14:textId="77777777" w:rsidR="0088085F" w:rsidRPr="00B81E61" w:rsidRDefault="0088085F" w:rsidP="007E5A67">
            <w:pPr>
              <w:pStyle w:val="cuatexto"/>
              <w:jc w:val="right"/>
              <w:rPr>
                <w:color w:val="000000" w:themeColor="text1"/>
              </w:rPr>
            </w:pPr>
            <w:r>
              <w:rPr>
                <w:color w:val="000000" w:themeColor="text1"/>
              </w:rPr>
              <w:t>1</w:t>
            </w:r>
          </w:p>
        </w:tc>
        <w:tc>
          <w:tcPr>
            <w:tcW w:w="771" w:type="pct"/>
            <w:tcBorders>
              <w:top w:val="single" w:sz="2" w:space="0" w:color="auto"/>
              <w:left w:val="nil"/>
              <w:bottom w:val="single" w:sz="2" w:space="0" w:color="auto"/>
              <w:right w:val="nil"/>
            </w:tcBorders>
            <w:shd w:val="clear" w:color="000000" w:fill="FFFFFF"/>
            <w:vAlign w:val="center"/>
            <w:hideMark/>
          </w:tcPr>
          <w:p w14:paraId="58197C92" w14:textId="77777777" w:rsidR="0088085F" w:rsidRPr="00B81E61" w:rsidRDefault="0088085F" w:rsidP="007E5A67">
            <w:pPr>
              <w:pStyle w:val="cuatexto"/>
              <w:jc w:val="right"/>
              <w:rPr>
                <w:color w:val="000000" w:themeColor="text1"/>
              </w:rPr>
            </w:pPr>
            <w:r>
              <w:rPr>
                <w:color w:val="000000" w:themeColor="text1"/>
              </w:rPr>
              <w:t>0,4</w:t>
            </w:r>
          </w:p>
        </w:tc>
        <w:tc>
          <w:tcPr>
            <w:tcW w:w="771" w:type="pct"/>
            <w:tcBorders>
              <w:top w:val="single" w:sz="2" w:space="0" w:color="auto"/>
              <w:left w:val="nil"/>
              <w:bottom w:val="single" w:sz="2" w:space="0" w:color="auto"/>
              <w:right w:val="nil"/>
            </w:tcBorders>
            <w:shd w:val="clear" w:color="000000" w:fill="FFFFFF"/>
            <w:vAlign w:val="center"/>
            <w:hideMark/>
          </w:tcPr>
          <w:p w14:paraId="64CCC47A" w14:textId="77777777" w:rsidR="0088085F" w:rsidRPr="00B81E61" w:rsidRDefault="0088085F" w:rsidP="007E5A67">
            <w:pPr>
              <w:pStyle w:val="cuatexto"/>
              <w:jc w:val="right"/>
              <w:rPr>
                <w:color w:val="000000" w:themeColor="text1"/>
              </w:rPr>
            </w:pPr>
            <w:r>
              <w:rPr>
                <w:color w:val="000000" w:themeColor="text1"/>
              </w:rPr>
              <w:t>36.258</w:t>
            </w:r>
          </w:p>
        </w:tc>
        <w:tc>
          <w:tcPr>
            <w:tcW w:w="771" w:type="pct"/>
            <w:tcBorders>
              <w:top w:val="single" w:sz="2" w:space="0" w:color="auto"/>
              <w:left w:val="nil"/>
              <w:bottom w:val="single" w:sz="2" w:space="0" w:color="auto"/>
              <w:right w:val="nil"/>
            </w:tcBorders>
            <w:shd w:val="clear" w:color="000000" w:fill="FFFFFF"/>
            <w:vAlign w:val="center"/>
            <w:hideMark/>
          </w:tcPr>
          <w:p w14:paraId="1E9A7B8D" w14:textId="77777777" w:rsidR="0088085F" w:rsidRPr="00B81E61" w:rsidRDefault="0088085F" w:rsidP="007E5A67">
            <w:pPr>
              <w:pStyle w:val="cuatexto"/>
              <w:jc w:val="right"/>
              <w:rPr>
                <w:color w:val="000000" w:themeColor="text1"/>
              </w:rPr>
            </w:pPr>
            <w:r>
              <w:rPr>
                <w:color w:val="000000" w:themeColor="text1"/>
              </w:rPr>
              <w:t>5,5</w:t>
            </w:r>
          </w:p>
        </w:tc>
      </w:tr>
      <w:tr w:rsidR="0088085F" w:rsidRPr="00B81E61" w14:paraId="723DF665" w14:textId="77777777" w:rsidTr="004540DF">
        <w:trPr>
          <w:trHeight w:val="198"/>
          <w:jc w:val="center"/>
        </w:trPr>
        <w:tc>
          <w:tcPr>
            <w:tcW w:w="1915" w:type="pct"/>
            <w:tcBorders>
              <w:top w:val="single" w:sz="2" w:space="0" w:color="auto"/>
              <w:left w:val="nil"/>
              <w:bottom w:val="single" w:sz="4" w:space="0" w:color="auto"/>
              <w:right w:val="nil"/>
            </w:tcBorders>
            <w:shd w:val="clear" w:color="000000" w:fill="FFFFFF"/>
            <w:vAlign w:val="center"/>
            <w:hideMark/>
          </w:tcPr>
          <w:p w14:paraId="5775DF81" w14:textId="77777777" w:rsidR="0088085F" w:rsidRPr="00B81E61" w:rsidRDefault="0088085F" w:rsidP="007E5A67">
            <w:pPr>
              <w:pStyle w:val="cuatexto"/>
              <w:jc w:val="left"/>
              <w:rPr>
                <w:color w:val="000000" w:themeColor="text1"/>
              </w:rPr>
            </w:pPr>
            <w:r>
              <w:rPr>
                <w:color w:val="000000" w:themeColor="text1"/>
              </w:rPr>
              <w:t>50.000 baino gehiago</w:t>
            </w:r>
          </w:p>
        </w:tc>
        <w:tc>
          <w:tcPr>
            <w:tcW w:w="771" w:type="pct"/>
            <w:tcBorders>
              <w:top w:val="single" w:sz="2" w:space="0" w:color="auto"/>
              <w:left w:val="nil"/>
              <w:bottom w:val="single" w:sz="4" w:space="0" w:color="auto"/>
              <w:right w:val="nil"/>
            </w:tcBorders>
            <w:shd w:val="clear" w:color="000000" w:fill="FFFFFF"/>
            <w:vAlign w:val="center"/>
            <w:hideMark/>
          </w:tcPr>
          <w:p w14:paraId="600C4794" w14:textId="77777777" w:rsidR="0088085F" w:rsidRPr="00B81E61" w:rsidRDefault="0088085F" w:rsidP="007E5A67">
            <w:pPr>
              <w:pStyle w:val="cuatexto"/>
              <w:jc w:val="right"/>
              <w:rPr>
                <w:color w:val="000000" w:themeColor="text1"/>
              </w:rPr>
            </w:pPr>
            <w:r>
              <w:rPr>
                <w:color w:val="000000" w:themeColor="text1"/>
              </w:rPr>
              <w:t>1</w:t>
            </w:r>
          </w:p>
        </w:tc>
        <w:tc>
          <w:tcPr>
            <w:tcW w:w="771" w:type="pct"/>
            <w:tcBorders>
              <w:top w:val="single" w:sz="2" w:space="0" w:color="auto"/>
              <w:left w:val="nil"/>
              <w:bottom w:val="single" w:sz="4" w:space="0" w:color="auto"/>
              <w:right w:val="nil"/>
            </w:tcBorders>
            <w:shd w:val="clear" w:color="000000" w:fill="FFFFFF"/>
            <w:vAlign w:val="center"/>
            <w:hideMark/>
          </w:tcPr>
          <w:p w14:paraId="5222F24C" w14:textId="77777777" w:rsidR="0088085F" w:rsidRPr="00B81E61" w:rsidRDefault="0088085F" w:rsidP="007E5A67">
            <w:pPr>
              <w:pStyle w:val="cuatexto"/>
              <w:jc w:val="right"/>
              <w:rPr>
                <w:color w:val="000000" w:themeColor="text1"/>
              </w:rPr>
            </w:pPr>
            <w:r>
              <w:rPr>
                <w:color w:val="000000" w:themeColor="text1"/>
              </w:rPr>
              <w:t>0,4</w:t>
            </w:r>
          </w:p>
        </w:tc>
        <w:tc>
          <w:tcPr>
            <w:tcW w:w="771" w:type="pct"/>
            <w:tcBorders>
              <w:top w:val="single" w:sz="2" w:space="0" w:color="auto"/>
              <w:left w:val="nil"/>
              <w:bottom w:val="single" w:sz="4" w:space="0" w:color="auto"/>
              <w:right w:val="nil"/>
            </w:tcBorders>
            <w:shd w:val="clear" w:color="000000" w:fill="FFFFFF"/>
            <w:vAlign w:val="center"/>
            <w:hideMark/>
          </w:tcPr>
          <w:p w14:paraId="21B63F47" w14:textId="77777777" w:rsidR="0088085F" w:rsidRPr="00B81E61" w:rsidRDefault="0088085F" w:rsidP="007E5A67">
            <w:pPr>
              <w:pStyle w:val="cuatexto"/>
              <w:jc w:val="right"/>
              <w:rPr>
                <w:color w:val="000000" w:themeColor="text1"/>
              </w:rPr>
            </w:pPr>
            <w:r>
              <w:rPr>
                <w:color w:val="000000" w:themeColor="text1"/>
              </w:rPr>
              <w:t>201.653</w:t>
            </w:r>
          </w:p>
        </w:tc>
        <w:tc>
          <w:tcPr>
            <w:tcW w:w="771" w:type="pct"/>
            <w:tcBorders>
              <w:top w:val="single" w:sz="2" w:space="0" w:color="auto"/>
              <w:left w:val="nil"/>
              <w:bottom w:val="single" w:sz="4" w:space="0" w:color="auto"/>
              <w:right w:val="nil"/>
            </w:tcBorders>
            <w:shd w:val="clear" w:color="000000" w:fill="FFFFFF"/>
            <w:vAlign w:val="center"/>
            <w:hideMark/>
          </w:tcPr>
          <w:p w14:paraId="67A64F52" w14:textId="77777777" w:rsidR="0088085F" w:rsidRPr="00B81E61" w:rsidRDefault="0088085F" w:rsidP="007E5A67">
            <w:pPr>
              <w:pStyle w:val="cuatexto"/>
              <w:jc w:val="right"/>
              <w:rPr>
                <w:color w:val="000000" w:themeColor="text1"/>
              </w:rPr>
            </w:pPr>
            <w:r>
              <w:rPr>
                <w:color w:val="000000" w:themeColor="text1"/>
              </w:rPr>
              <w:t>30,8</w:t>
            </w:r>
          </w:p>
        </w:tc>
      </w:tr>
      <w:tr w:rsidR="0088085F" w:rsidRPr="00B81E61" w14:paraId="4784BE32" w14:textId="77777777" w:rsidTr="004540DF">
        <w:trPr>
          <w:trHeight w:val="284"/>
          <w:jc w:val="center"/>
        </w:trPr>
        <w:tc>
          <w:tcPr>
            <w:tcW w:w="1915" w:type="pct"/>
            <w:tcBorders>
              <w:top w:val="single" w:sz="4" w:space="0" w:color="auto"/>
              <w:left w:val="nil"/>
              <w:bottom w:val="single" w:sz="4" w:space="0" w:color="auto"/>
              <w:right w:val="nil"/>
            </w:tcBorders>
            <w:shd w:val="clear" w:color="auto" w:fill="FABF8F" w:themeFill="accent6" w:themeFillTint="99"/>
            <w:vAlign w:val="center"/>
            <w:hideMark/>
          </w:tcPr>
          <w:p w14:paraId="4E227953" w14:textId="77777777" w:rsidR="0088085F" w:rsidRPr="00B81E61" w:rsidRDefault="0088085F" w:rsidP="007E5A67">
            <w:pPr>
              <w:pStyle w:val="cuadroCabe"/>
              <w:jc w:val="left"/>
            </w:pPr>
            <w:r>
              <w:t>Guztira</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1B955014" w14:textId="77777777" w:rsidR="0088085F" w:rsidRPr="00B81E61" w:rsidRDefault="0088085F" w:rsidP="007E5A67">
            <w:pPr>
              <w:pStyle w:val="cuadroCabe"/>
              <w:jc w:val="right"/>
            </w:pPr>
            <w:r>
              <w:t>272</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4A2DCA75" w14:textId="77777777" w:rsidR="0088085F" w:rsidRPr="00B81E61" w:rsidRDefault="0088085F" w:rsidP="007E5A67">
            <w:pPr>
              <w:pStyle w:val="cuadroCabe"/>
              <w:jc w:val="right"/>
            </w:pPr>
            <w:r>
              <w:t>100</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59BCD760" w14:textId="77777777" w:rsidR="0088085F" w:rsidRPr="00B81E61" w:rsidRDefault="0088085F" w:rsidP="007E5A67">
            <w:pPr>
              <w:pStyle w:val="cuadroCabe"/>
              <w:jc w:val="right"/>
            </w:pPr>
            <w:r>
              <w:t>654.214</w:t>
            </w:r>
          </w:p>
        </w:tc>
        <w:tc>
          <w:tcPr>
            <w:tcW w:w="771" w:type="pct"/>
            <w:tcBorders>
              <w:top w:val="single" w:sz="4" w:space="0" w:color="auto"/>
              <w:left w:val="nil"/>
              <w:bottom w:val="single" w:sz="4" w:space="0" w:color="auto"/>
              <w:right w:val="nil"/>
            </w:tcBorders>
            <w:shd w:val="clear" w:color="auto" w:fill="FABF8F" w:themeFill="accent6" w:themeFillTint="99"/>
            <w:vAlign w:val="center"/>
            <w:hideMark/>
          </w:tcPr>
          <w:p w14:paraId="3C9F54CB" w14:textId="77777777" w:rsidR="0088085F" w:rsidRPr="00B81E61" w:rsidRDefault="0088085F" w:rsidP="007E5A67">
            <w:pPr>
              <w:pStyle w:val="cuadroCabe"/>
              <w:jc w:val="right"/>
            </w:pPr>
            <w:r>
              <w:t>100</w:t>
            </w:r>
          </w:p>
        </w:tc>
      </w:tr>
    </w:tbl>
    <w:p w14:paraId="4A8164D2" w14:textId="77777777" w:rsidR="0088085F" w:rsidRPr="00262228" w:rsidRDefault="0088085F" w:rsidP="007E5A67">
      <w:pPr>
        <w:pStyle w:val="texto"/>
        <w:spacing w:before="220"/>
      </w:pPr>
      <w:r>
        <w:t>Aurreko datuetatik nabarmentzekoa da Nafarroako udalen ehuneko 69k (189 udal) 1.000 biztanle baino gutxiago dutela eta, multzo osoan, biztanleriaren ehuneko zortzi osatzen dutela. Halaber, Iruñak eta 10.000 biztanletik gorako hamaika udalek Nafarroako biztanleriaren ehuneko 58 osatzen dute.</w:t>
      </w:r>
    </w:p>
    <w:p w14:paraId="6105B244" w14:textId="77777777" w:rsidR="0088085F" w:rsidRPr="00262228" w:rsidRDefault="0088085F" w:rsidP="00752A05">
      <w:pPr>
        <w:pStyle w:val="texto"/>
        <w:spacing w:after="320"/>
      </w:pPr>
      <w:r>
        <w:t xml:space="preserve">Ganbera honek bere txostenetan behin eta berriz adierazi duen gisan, biztanleriaren dimentsio murriztuarekin lotuta egon ohi dira baliabide mugatuak: bai </w:t>
      </w:r>
      <w:r>
        <w:lastRenderedPageBreak/>
        <w:t>giza baliabideak, bai baliabide finantzarioak. Halaber, halakoetan administrazio egitura egoki eta nahikoa falta izan ohi da eskumenak kudeatzeko. Horrek zailtasunak eragiten ditu zerbitzuak eraginkortasun, ekonomia, efizientzia eta kalitatez emateko orduan.</w:t>
      </w:r>
    </w:p>
    <w:p w14:paraId="3294BCB6" w14:textId="77777777" w:rsidR="0088085F" w:rsidRPr="00B81E61" w:rsidRDefault="0088085F" w:rsidP="0088085F">
      <w:pPr>
        <w:pStyle w:val="atitulo2"/>
        <w:rPr>
          <w:color w:val="000000" w:themeColor="text1"/>
        </w:rPr>
      </w:pPr>
      <w:bookmarkStart w:id="28" w:name="_Toc399916261"/>
      <w:bookmarkStart w:id="29" w:name="_Toc465686684"/>
      <w:bookmarkStart w:id="30" w:name="_Toc529773878"/>
      <w:bookmarkStart w:id="31" w:name="_Toc24100138"/>
      <w:bookmarkStart w:id="32" w:name="_Toc52348286"/>
      <w:bookmarkStart w:id="33" w:name="_Toc89161263"/>
      <w:bookmarkStart w:id="34" w:name="_Toc94871718"/>
      <w:r>
        <w:rPr>
          <w:color w:val="000000" w:themeColor="text1"/>
        </w:rPr>
        <w:t>II.2. Toki sektore publikoa arrazionalizatzeko planteatu diren lege-neurriak</w:t>
      </w:r>
      <w:bookmarkEnd w:id="28"/>
      <w:bookmarkEnd w:id="29"/>
      <w:bookmarkEnd w:id="30"/>
      <w:bookmarkEnd w:id="31"/>
      <w:bookmarkEnd w:id="32"/>
      <w:bookmarkEnd w:id="33"/>
      <w:bookmarkEnd w:id="34"/>
      <w:r>
        <w:rPr>
          <w:color w:val="000000" w:themeColor="text1"/>
        </w:rPr>
        <w:t xml:space="preserve"> </w:t>
      </w:r>
    </w:p>
    <w:p w14:paraId="0F185C13" w14:textId="77777777" w:rsidR="0088085F" w:rsidRPr="00262228" w:rsidRDefault="0088085F" w:rsidP="0088085F">
      <w:pPr>
        <w:pStyle w:val="texto"/>
      </w:pPr>
      <w:r>
        <w:t xml:space="preserve">Ganbera honek 2014ko toki sektore publikoari buruz egindako txostenean gai honetaz aipatu ziren aurrekariek bere horretan jarraitzen dute. </w:t>
      </w:r>
    </w:p>
    <w:p w14:paraId="34910318" w14:textId="77777777" w:rsidR="0088085F" w:rsidRPr="00262228" w:rsidRDefault="0088085F" w:rsidP="0088085F">
      <w:pPr>
        <w:pStyle w:val="texto"/>
      </w:pPr>
      <w:r>
        <w:t>2019ko otsailean, Nafarroako Toki Administrazioaren Erreformarako otsailaren 4ko 4/2019 Foru Legea onetsi zen.</w:t>
      </w:r>
    </w:p>
    <w:p w14:paraId="3A30806B" w14:textId="77777777" w:rsidR="0088085F" w:rsidRPr="0064097E" w:rsidRDefault="0088085F" w:rsidP="0088085F">
      <w:pPr>
        <w:pStyle w:val="texto"/>
        <w:rPr>
          <w:spacing w:val="4"/>
        </w:rPr>
      </w:pPr>
      <w:r>
        <w:t xml:space="preserve">Foru lege horrek toki antolaketa berri bat zehazten du. Bertan, toki entitateen bi mota berri agertzen dira, eta, bestalde, ordura arte zeuden beste batzuk desagertzen dira. Edonola ere, arau horretan hainbat xedapen iragankor eta azken xedapen jaso dira, Nafarroako Foru Komunitateko Administraziorako (NFKA) aginduak ezartzen dituztenak, toki erreforma hori behin betiko taxutzen joateko. </w:t>
      </w:r>
      <w:proofErr w:type="spellStart"/>
      <w:r>
        <w:t>NFKAk</w:t>
      </w:r>
      <w:proofErr w:type="spellEnd"/>
      <w:r>
        <w:t xml:space="preserve"> hala eskaturik eskualdeak sortzeko epea 2020ko abuztuan amaitu zen. </w:t>
      </w:r>
    </w:p>
    <w:p w14:paraId="71BB5465" w14:textId="77777777" w:rsidR="0088085F" w:rsidRPr="00262228" w:rsidRDefault="0088085F" w:rsidP="00752A05">
      <w:pPr>
        <w:pStyle w:val="texto"/>
        <w:spacing w:after="320"/>
      </w:pPr>
      <w:r>
        <w:t>Nafarroako Parlamentura finantzaketa-proposamen bat bidaltzea ezartzen zuen xedapena –apurka-apurka egungo dirulaguntza finalisten ordez Toki Ogasunei buruzko Foru Legearen 123. artikuluan aurreikusitako finantzaketa moduluak jartzeko– 2019ko abenduaren 31n amaitu zen. Finantzaketa-proposamen berria Parlamentuari aurkeztea 2022ko urtarrilerako aurreikusita dago.</w:t>
      </w:r>
    </w:p>
    <w:p w14:paraId="3AA1AA7E" w14:textId="77777777" w:rsidR="0088085F" w:rsidRPr="00930F7C" w:rsidRDefault="0088085F" w:rsidP="0088085F">
      <w:pPr>
        <w:pStyle w:val="atitulo2"/>
        <w:rPr>
          <w:color w:val="auto"/>
        </w:rPr>
      </w:pPr>
      <w:bookmarkStart w:id="35" w:name="_Toc24100139"/>
      <w:bookmarkStart w:id="36" w:name="_Toc52348287"/>
      <w:bookmarkStart w:id="37" w:name="_Toc89161264"/>
      <w:bookmarkStart w:id="38" w:name="_Toc94871719"/>
      <w:r>
        <w:rPr>
          <w:color w:val="auto"/>
        </w:rPr>
        <w:t>II.3. 2019an onetsitako araudia</w:t>
      </w:r>
      <w:bookmarkEnd w:id="35"/>
      <w:bookmarkEnd w:id="36"/>
      <w:bookmarkEnd w:id="37"/>
      <w:bookmarkEnd w:id="38"/>
    </w:p>
    <w:p w14:paraId="67166ABA" w14:textId="77777777" w:rsidR="0088085F" w:rsidRPr="00262228" w:rsidRDefault="0088085F" w:rsidP="0088085F">
      <w:pPr>
        <w:pStyle w:val="texto"/>
      </w:pPr>
      <w:r>
        <w:t>Nafarroako toki sektore publikoa osatzen duten entitateei aplikatzekoa zaien araudia txosten honekin batera doan 1. eranskinean ageri da. Jarraian, 2019an onetsi ziren eta sektore honetan aplikatzekoak diren arau nabarmenenak aipatuko ditugu.</w:t>
      </w:r>
    </w:p>
    <w:p w14:paraId="6209624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3/2019 Foru Legea, urtarrilaren 24koa, Nafarroako Toki Ogasunei buruzko martxoaren 10eko 2/1995 Foru Legea aldatzen duena</w:t>
      </w:r>
    </w:p>
    <w:p w14:paraId="1D0CD9B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4/2019 Foru Legea, otsailaren 4koa, Nafarroako Toki Administrazioaren erreformarakoa.</w:t>
      </w:r>
    </w:p>
    <w:p w14:paraId="1108649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6/2019 Foru Legea, otsailaren 7koa, Nafarroako Administrazio Publikoen Zerbitzuko Langileen Estatutuaren testu </w:t>
      </w:r>
      <w:proofErr w:type="spellStart"/>
      <w:r>
        <w:rPr>
          <w:sz w:val="26"/>
          <w:szCs w:val="26"/>
        </w:rPr>
        <w:t>bategina</w:t>
      </w:r>
      <w:proofErr w:type="spellEnd"/>
      <w:r>
        <w:rPr>
          <w:sz w:val="26"/>
          <w:szCs w:val="26"/>
        </w:rPr>
        <w:t xml:space="preserve"> ezartzen duen abuztuaren 30eko 251/1993 Legegintzako Foru Dekretua aldatzen duena.</w:t>
      </w:r>
    </w:p>
    <w:p w14:paraId="0A0705E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7/2019 Foru Legea, otsailaren 18koa, aldatzen duena martxoaren 5eko 10/2003 Foru Legea, Nafarroako administrazio publikoen montepioetako funtzionarioen eskubide pasiboen araubide iragankorrari buruzkoa.</w:t>
      </w:r>
    </w:p>
    <w:p w14:paraId="4A79AEEE"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lastRenderedPageBreak/>
        <w:t>8/2019 Foru Legea, otsailaren 28koa, Nafarroako Babes Zibilari eta Larrialdien Kudeaketari buruzko uztailaren 1eko 8/2005 Foru Legea aldatzen duena.</w:t>
      </w:r>
    </w:p>
    <w:p w14:paraId="3938B5A8"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12/2019 Foru Legea, martxoaren 22koa, Nafarroako parte-hartze demokratikoari buruzkoa.</w:t>
      </w:r>
    </w:p>
    <w:p w14:paraId="4F9DB5A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15/2019 Foru Legea, martxoaren 26koa, Kontratu Publikoei buruzko apirilaren 3ko 2/2018 Foru Legea aldatzen duena.</w:t>
      </w:r>
    </w:p>
    <w:p w14:paraId="704F071B"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17/2019 Foru Legea, apirilaren 4koa, emakumeen eta gizonen arteko berdintasunari buruzkoa.</w:t>
      </w:r>
    </w:p>
    <w:p w14:paraId="22D09A8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20/2019 Foru Legea, apirilaren 4koa, zeinaren bidez aldatzen baitira Nafarroako Toki Administrazioari buruzko uztailaren 2ko 6/1990 Foru Legea eta Nafarroako Toki Administrazioaren Erreformarako otsailaren 4ko 4/2019 Foru Legea.</w:t>
      </w:r>
    </w:p>
    <w:p w14:paraId="37C539D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4/2019 Foru Lege Dekretua, urriaren 23koa, Nafarroako administrazio publikoen zerbitzuko langileen arloko presako neurri batzuk onesten dituena. </w:t>
      </w:r>
    </w:p>
    <w:p w14:paraId="244885D5"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74/2019 Foru Dekretua, ekainaren 26koa, Kontratazio Publikorako Batzordea arautzen duena.</w:t>
      </w:r>
    </w:p>
    <w:p w14:paraId="0D4313F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253/2019 Foru Dekretua, urriaren 16koa, Nafarroako Planeamenduaren Erregistroa eta Nafarroako hirigintza eta lurralde plangintzarako tresnak aurkezteko formatua arautzen dituena. </w:t>
      </w:r>
    </w:p>
    <w:p w14:paraId="6161F7E5" w14:textId="77777777" w:rsidR="0088085F" w:rsidRPr="00360A6A" w:rsidRDefault="0088085F" w:rsidP="0088085F">
      <w:pPr>
        <w:rPr>
          <w:spacing w:val="6"/>
          <w:sz w:val="26"/>
          <w:szCs w:val="26"/>
        </w:rPr>
      </w:pPr>
      <w:r>
        <w:br w:type="page"/>
      </w:r>
    </w:p>
    <w:p w14:paraId="066FEE20" w14:textId="77777777" w:rsidR="0088085F" w:rsidRPr="00B81E61" w:rsidRDefault="0088085F" w:rsidP="0088085F">
      <w:pPr>
        <w:pStyle w:val="atitulo1"/>
        <w:rPr>
          <w:color w:val="000000" w:themeColor="text1"/>
        </w:rPr>
      </w:pPr>
      <w:bookmarkStart w:id="39" w:name="_Toc217455261"/>
      <w:bookmarkStart w:id="40" w:name="_Toc527634608"/>
      <w:bookmarkStart w:id="41" w:name="_Toc529773875"/>
      <w:bookmarkStart w:id="42" w:name="_Toc531088341"/>
      <w:bookmarkStart w:id="43" w:name="_Toc24100140"/>
      <w:bookmarkStart w:id="44" w:name="_Toc52348288"/>
      <w:bookmarkStart w:id="45" w:name="_Toc89161265"/>
      <w:bookmarkStart w:id="46" w:name="_Toc121292759"/>
      <w:bookmarkStart w:id="47" w:name="_Toc121293082"/>
      <w:bookmarkStart w:id="48" w:name="_Toc291067875"/>
      <w:bookmarkStart w:id="49" w:name="_Toc399916258"/>
      <w:bookmarkStart w:id="50" w:name="_Toc465686681"/>
      <w:bookmarkStart w:id="51" w:name="_Toc94871720"/>
      <w:r>
        <w:rPr>
          <w:color w:val="000000" w:themeColor="text1"/>
        </w:rPr>
        <w:lastRenderedPageBreak/>
        <w:t xml:space="preserve">III. </w:t>
      </w:r>
      <w:r>
        <w:t>Hel</w:t>
      </w:r>
      <w:r>
        <w:rPr>
          <w:color w:val="000000" w:themeColor="text1"/>
        </w:rPr>
        <w:t>burua</w:t>
      </w:r>
      <w:bookmarkEnd w:id="39"/>
      <w:r>
        <w:rPr>
          <w:color w:val="000000" w:themeColor="text1"/>
        </w:rPr>
        <w:t>, norainokoa eta mugak</w:t>
      </w:r>
      <w:bookmarkEnd w:id="40"/>
      <w:bookmarkEnd w:id="41"/>
      <w:bookmarkEnd w:id="42"/>
      <w:bookmarkEnd w:id="43"/>
      <w:bookmarkEnd w:id="44"/>
      <w:bookmarkEnd w:id="45"/>
      <w:bookmarkEnd w:id="51"/>
      <w:r>
        <w:rPr>
          <w:color w:val="000000" w:themeColor="text1"/>
        </w:rPr>
        <w:t xml:space="preserve"> </w:t>
      </w:r>
    </w:p>
    <w:p w14:paraId="0F0F049D" w14:textId="77777777" w:rsidR="0088085F" w:rsidRPr="00262228" w:rsidRDefault="0088085F" w:rsidP="0088085F">
      <w:pPr>
        <w:pStyle w:val="texto"/>
      </w:pPr>
      <w:r>
        <w:t>Lanaren helburuak hauek izan dira:</w:t>
      </w:r>
    </w:p>
    <w:p w14:paraId="4E30BD5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Nafarroako toki entitateen esparruan Ganbera honek egindako fiskalizazio jardueren 2019ko ekitaldiko laburpena aurkeztea.</w:t>
      </w:r>
    </w:p>
    <w:p w14:paraId="3EDCCFA8"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Nafarroako toki entitateen 2019ko finantza egoerari eta antolaketari buruzko ikuspegia eskaintzea Nafarroako Parlamentuari, administrazio publikoei eta jendarteari.</w:t>
      </w:r>
    </w:p>
    <w:p w14:paraId="38172F15"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Toki entitateen kudeaketa hobetzeko gomendioak proposatzea Nafarroako Parlamentuari, Gobernuari eta toki entitateei.</w:t>
      </w:r>
    </w:p>
    <w:p w14:paraId="6C76044E"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Nafarroako toki entitateek 2019an egindako kontratazioa deskribatzea.</w:t>
      </w:r>
    </w:p>
    <w:p w14:paraId="06900FB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Nafarroako udalen, Euskal Autonomia Erkidegokoen eta Estatuko gainerakoen arteko konparazioa egitea, zenbait adierazle erabiliz.</w:t>
      </w:r>
    </w:p>
    <w:p w14:paraId="5FB777D5" w14:textId="77777777" w:rsidR="0088085F" w:rsidRPr="00262228" w:rsidRDefault="0088085F" w:rsidP="00262228">
      <w:pPr>
        <w:pStyle w:val="texto"/>
      </w:pPr>
      <w:r>
        <w:t>Lanaren norainokoak toki entitateen 2019ko ekitaldiko kontu orokorra hartzen du; honako hauek osatzen dute kontu hori:</w:t>
      </w:r>
    </w:p>
    <w:p w14:paraId="1C7D017F" w14:textId="77777777" w:rsidR="0088085F" w:rsidRPr="00A72008" w:rsidRDefault="0088085F" w:rsidP="00A72008">
      <w:pPr>
        <w:numPr>
          <w:ilvl w:val="0"/>
          <w:numId w:val="2"/>
        </w:numPr>
        <w:tabs>
          <w:tab w:val="clear" w:pos="502"/>
          <w:tab w:val="left" w:pos="480"/>
          <w:tab w:val="num" w:pos="720"/>
          <w:tab w:val="num" w:pos="6597"/>
        </w:tabs>
        <w:ind w:left="0" w:firstLine="289"/>
        <w:rPr>
          <w:spacing w:val="6"/>
          <w:sz w:val="26"/>
          <w:szCs w:val="26"/>
        </w:rPr>
      </w:pPr>
      <w:r>
        <w:rPr>
          <w:sz w:val="26"/>
          <w:szCs w:val="26"/>
        </w:rPr>
        <w:t>Entitatearen beraren kontu orokorra (udala, kontzejua nahiz mankomunitatea izan), bai eta haren erakunde autonomoena ere.</w:t>
      </w:r>
    </w:p>
    <w:p w14:paraId="02AF13D2" w14:textId="77777777" w:rsidR="0088085F" w:rsidRPr="00A72008" w:rsidRDefault="0088085F" w:rsidP="00A72008">
      <w:pPr>
        <w:numPr>
          <w:ilvl w:val="0"/>
          <w:numId w:val="2"/>
        </w:numPr>
        <w:tabs>
          <w:tab w:val="clear" w:pos="502"/>
          <w:tab w:val="left" w:pos="480"/>
          <w:tab w:val="num" w:pos="720"/>
          <w:tab w:val="num" w:pos="6597"/>
        </w:tabs>
        <w:ind w:left="0" w:firstLine="289"/>
        <w:rPr>
          <w:spacing w:val="6"/>
          <w:sz w:val="26"/>
          <w:szCs w:val="26"/>
        </w:rPr>
      </w:pPr>
      <w:r>
        <w:rPr>
          <w:sz w:val="26"/>
          <w:szCs w:val="26"/>
        </w:rPr>
        <w:t>Merkataritzako elkarteenak, horien kapitala oso-osorik kasuko toki entitatearena bada.</w:t>
      </w:r>
    </w:p>
    <w:p w14:paraId="119818FD" w14:textId="77777777" w:rsidR="009F4235" w:rsidRPr="00A72008" w:rsidRDefault="009F4235" w:rsidP="00A72008">
      <w:pPr>
        <w:numPr>
          <w:ilvl w:val="0"/>
          <w:numId w:val="2"/>
        </w:numPr>
        <w:tabs>
          <w:tab w:val="clear" w:pos="502"/>
          <w:tab w:val="left" w:pos="480"/>
          <w:tab w:val="num" w:pos="720"/>
          <w:tab w:val="num" w:pos="6597"/>
        </w:tabs>
        <w:ind w:left="0" w:firstLine="289"/>
        <w:rPr>
          <w:spacing w:val="6"/>
          <w:sz w:val="26"/>
          <w:szCs w:val="26"/>
        </w:rPr>
      </w:pPr>
      <w:r>
        <w:rPr>
          <w:sz w:val="26"/>
          <w:szCs w:val="26"/>
        </w:rPr>
        <w:t>Eranskinak.</w:t>
      </w:r>
    </w:p>
    <w:p w14:paraId="13035025" w14:textId="77777777" w:rsidR="0088085F" w:rsidRPr="00262228" w:rsidRDefault="0088085F" w:rsidP="009F4235">
      <w:pPr>
        <w:pStyle w:val="texto"/>
        <w:spacing w:after="120"/>
      </w:pPr>
      <w:r>
        <w:t>Era berean, Lurralde Kohesiorako Departamentuak egindako txostena aztertuko da, finantza egoerari buruzkoa.</w:t>
      </w:r>
    </w:p>
    <w:p w14:paraId="012668B2" w14:textId="77777777" w:rsidR="0088085F" w:rsidRPr="00262228" w:rsidRDefault="0088085F" w:rsidP="0088085F">
      <w:pPr>
        <w:pStyle w:val="texto"/>
      </w:pPr>
      <w:r>
        <w:t>Toki sektore publikoaren finantza egoeraren analisia egiterakoan, gure lanerako muga bat izan da informazio ekonomiko-finantzariorik eta aurrekontukorik ez edukitzea 2019ko ekitaldiko beren kontu orokorra eta likidazioa Toki Administrazioaren eta Despopulazioaren Zuzendaritza Nagusiari 2021eko ekainaren amaieran bidali gabe zeuden toki entitateei buruz; honako hauek dira, hain zuzen:</w:t>
      </w:r>
    </w:p>
    <w:p w14:paraId="398B328E" w14:textId="77777777" w:rsidR="0088085F" w:rsidRPr="00CE5750" w:rsidRDefault="009F4235"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272 udaletatik zazpi: Eratsun, Ezkurra, Imotz, Itzaltzu, Orkoien, Saldias eta Zuñiga. Udal horiek 5.048 biztanle dituzte guztira; horrek populazio osoaren ehuneko bat egiten du. </w:t>
      </w:r>
    </w:p>
    <w:p w14:paraId="2C1F4CC7"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2019an zeuden 346 kontzejuetatik 48: Aizpun, Albiasu, </w:t>
      </w:r>
      <w:proofErr w:type="spellStart"/>
      <w:r>
        <w:rPr>
          <w:sz w:val="26"/>
          <w:szCs w:val="26"/>
        </w:rPr>
        <w:t>Arbontze</w:t>
      </w:r>
      <w:proofErr w:type="spellEnd"/>
      <w:r>
        <w:rPr>
          <w:sz w:val="26"/>
          <w:szCs w:val="26"/>
        </w:rPr>
        <w:t xml:space="preserve">, Arlegi, </w:t>
      </w:r>
      <w:proofErr w:type="spellStart"/>
      <w:r>
        <w:rPr>
          <w:sz w:val="26"/>
          <w:szCs w:val="26"/>
        </w:rPr>
        <w:t>Arribe</w:t>
      </w:r>
      <w:proofErr w:type="spellEnd"/>
      <w:r>
        <w:rPr>
          <w:sz w:val="26"/>
          <w:szCs w:val="26"/>
        </w:rPr>
        <w:t xml:space="preserve">-Atallu, Arrieta, </w:t>
      </w:r>
      <w:proofErr w:type="spellStart"/>
      <w:r>
        <w:rPr>
          <w:sz w:val="26"/>
          <w:szCs w:val="26"/>
        </w:rPr>
        <w:t>Asterain</w:t>
      </w:r>
      <w:proofErr w:type="spellEnd"/>
      <w:r>
        <w:rPr>
          <w:sz w:val="26"/>
          <w:szCs w:val="26"/>
        </w:rPr>
        <w:t xml:space="preserve">, Azkarate, Beruete, </w:t>
      </w:r>
      <w:proofErr w:type="spellStart"/>
      <w:r>
        <w:rPr>
          <w:sz w:val="26"/>
          <w:szCs w:val="26"/>
        </w:rPr>
        <w:t>Biotzari</w:t>
      </w:r>
      <w:proofErr w:type="spellEnd"/>
      <w:r>
        <w:rPr>
          <w:sz w:val="26"/>
          <w:szCs w:val="26"/>
        </w:rPr>
        <w:t xml:space="preserve">, Zizur Txikia, Eraso, Estenotz, Etxaleku, Gaintza, Gartzaron, Gazolatz, Goldaratz, </w:t>
      </w:r>
      <w:proofErr w:type="spellStart"/>
      <w:r>
        <w:rPr>
          <w:sz w:val="26"/>
          <w:szCs w:val="26"/>
        </w:rPr>
        <w:t>Genbe</w:t>
      </w:r>
      <w:proofErr w:type="spellEnd"/>
      <w:r>
        <w:rPr>
          <w:sz w:val="26"/>
          <w:szCs w:val="26"/>
        </w:rPr>
        <w:t xml:space="preserve">, Igoa, </w:t>
      </w:r>
      <w:proofErr w:type="spellStart"/>
      <w:r>
        <w:rPr>
          <w:sz w:val="26"/>
          <w:szCs w:val="26"/>
        </w:rPr>
        <w:t>Ihaben</w:t>
      </w:r>
      <w:proofErr w:type="spellEnd"/>
      <w:r>
        <w:rPr>
          <w:sz w:val="26"/>
          <w:szCs w:val="26"/>
        </w:rPr>
        <w:t xml:space="preserve">, Inbuluzketa, Intza, Itsaso, Iturgoien, Labeaga, Larraia, Larraiotz, Latasa, Lizaso, </w:t>
      </w:r>
      <w:proofErr w:type="spellStart"/>
      <w:r>
        <w:rPr>
          <w:sz w:val="26"/>
          <w:szCs w:val="26"/>
        </w:rPr>
        <w:t>Muetz</w:t>
      </w:r>
      <w:proofErr w:type="spellEnd"/>
      <w:r>
        <w:rPr>
          <w:sz w:val="26"/>
          <w:szCs w:val="26"/>
        </w:rPr>
        <w:t>, Muru-</w:t>
      </w:r>
      <w:proofErr w:type="spellStart"/>
      <w:r>
        <w:rPr>
          <w:sz w:val="26"/>
          <w:szCs w:val="26"/>
        </w:rPr>
        <w:t>Asterain</w:t>
      </w:r>
      <w:proofErr w:type="spellEnd"/>
      <w:r>
        <w:rPr>
          <w:sz w:val="26"/>
          <w:szCs w:val="26"/>
        </w:rPr>
        <w:t xml:space="preserve">, Murugarren, Muskitz, Oloritz, Oskotz, Paternain, </w:t>
      </w:r>
      <w:proofErr w:type="spellStart"/>
      <w:r>
        <w:rPr>
          <w:sz w:val="26"/>
          <w:szCs w:val="26"/>
        </w:rPr>
        <w:t>Getze</w:t>
      </w:r>
      <w:proofErr w:type="spellEnd"/>
      <w:r>
        <w:rPr>
          <w:sz w:val="26"/>
          <w:szCs w:val="26"/>
        </w:rPr>
        <w:t xml:space="preserve"> Galar, </w:t>
      </w:r>
      <w:r>
        <w:rPr>
          <w:sz w:val="26"/>
          <w:szCs w:val="26"/>
        </w:rPr>
        <w:lastRenderedPageBreak/>
        <w:t>Senosiain, Sorauren, Udabe-Beramendi, Undio, Untzu, Uritz, Urritza, Uztegi, Zarikiegi eta Zarrantz. Kontzeju horien populazioa 6.628 pertsonakoa da, eta Nafarroako guztizko populazioaren ehuneko bat egiten du.</w:t>
      </w:r>
    </w:p>
    <w:p w14:paraId="47D12F68" w14:textId="77777777" w:rsidR="0088085F" w:rsidRPr="00262228" w:rsidRDefault="0088085F" w:rsidP="00262228">
      <w:pPr>
        <w:pStyle w:val="texto"/>
      </w:pPr>
      <w:r>
        <w:t xml:space="preserve">Nabarmentzekoa da ez dutela konturik aurkeztu Zizurko udalerri konposatuko zortzi kontzejuek –3.888 </w:t>
      </w:r>
      <w:r>
        <w:rPr>
          <w:color w:val="000000" w:themeColor="text1"/>
        </w:rPr>
        <w:t xml:space="preserve">biztanle dituzte guztira–, Araitz Ibarreko bost kontzejuek –512 biztanle– eta Imotz Ibarreko </w:t>
      </w:r>
      <w:r>
        <w:t>zortzi kontzejuek –guztira 423 biztanle dituzte–.</w:t>
      </w:r>
    </w:p>
    <w:p w14:paraId="3F147CB4"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Mankomunitateak eta udalen batasunak 84 dira guztira, eta horietatik bederatzi entitatek ez dute konturik aurkeztu. Hauek dira:  Burgi, Bidankoze eta Gardeko Udalen Batasuna, Aralarko Elkartea, Leitza, Goizueta, Areso eta Aranoko Oinarrizko Gizarte Zerbitzuaren kudeaketarako Mankomunitatea, Zangozako Eskualdeko Zerbitzuen Mankomunitatea, Antzin-Ameskoako Oinarrizko Gizarte Zerbitzuen Mankomunitatea, Goi Araxesko Mankomunitatea, Euskararen Kudeaketarako Nafarroa Iparraldeko Mankomunitatea, Orreaga Kirol Mankomunitatea eta Ezkabarteko eta Olaibarko Langileriaren Mankomunitatea. </w:t>
      </w:r>
    </w:p>
    <w:p w14:paraId="1000C9A7" w14:textId="77777777" w:rsidR="0088085F" w:rsidRPr="00262228" w:rsidRDefault="0088085F" w:rsidP="0088085F">
      <w:pPr>
        <w:pStyle w:val="texto"/>
      </w:pPr>
      <w:r>
        <w:t>Bestetik, zehaztu beharra dago finantza egoerari buruzko azterketa egiten dela toki entitateen eta haien erakunde autonomoen aurrekontu-datu bateratuekin. Ez da jasotzen sozietate publikoen gaineko informaziorik, Iruñeko Zerbitzuak SA sozietatearen kasuan izan ezik, hori lehen aldiz bateratu baita txosten honetan. Ez dira bateratu fundazio publikoak eta partzuergoak. Zorpetzearen azterketan bai, sartu dira udal eta mankomunitateen menpeko sozietateei dagozkien datuak.</w:t>
      </w:r>
    </w:p>
    <w:p w14:paraId="0944D15B" w14:textId="77777777" w:rsidR="0088085F" w:rsidRPr="00262228" w:rsidRDefault="0088085F" w:rsidP="0088085F">
      <w:pPr>
        <w:pStyle w:val="texto"/>
      </w:pPr>
      <w:r>
        <w:t>Norainokoak muga hori izan badu ere –informazio faltaren ondorioz–, uste dugu gure lanean lortutako konklusioak, datu horiek eduki izan bagenitu ere, ez liratekeela oso desberdinak izanen.</w:t>
      </w:r>
    </w:p>
    <w:p w14:paraId="302040B0" w14:textId="77777777" w:rsidR="0088085F" w:rsidRPr="00B81E61" w:rsidRDefault="0088085F" w:rsidP="0088085F">
      <w:pPr>
        <w:rPr>
          <w:rFonts w:cs="Arial"/>
          <w:color w:val="000000" w:themeColor="text1"/>
          <w:spacing w:val="6"/>
          <w:sz w:val="26"/>
          <w:szCs w:val="24"/>
        </w:rPr>
      </w:pPr>
      <w:r>
        <w:br w:type="page"/>
      </w:r>
      <w:bookmarkEnd w:id="46"/>
      <w:bookmarkEnd w:id="47"/>
      <w:bookmarkEnd w:id="48"/>
      <w:bookmarkEnd w:id="49"/>
      <w:bookmarkEnd w:id="50"/>
    </w:p>
    <w:p w14:paraId="605E755B" w14:textId="77777777" w:rsidR="0088085F" w:rsidRPr="00B81E61" w:rsidRDefault="0088085F" w:rsidP="0088085F">
      <w:pPr>
        <w:pStyle w:val="atitulo1"/>
        <w:rPr>
          <w:color w:val="000000" w:themeColor="text1"/>
        </w:rPr>
      </w:pPr>
      <w:bookmarkStart w:id="52" w:name="_Toc399916263"/>
      <w:bookmarkStart w:id="53" w:name="_Toc465686686"/>
      <w:bookmarkStart w:id="54" w:name="_Toc529773880"/>
      <w:bookmarkStart w:id="55" w:name="_Toc24100141"/>
      <w:bookmarkStart w:id="56" w:name="_Toc52348289"/>
      <w:bookmarkStart w:id="57" w:name="_Toc89161266"/>
      <w:bookmarkStart w:id="58" w:name="_Toc94871721"/>
      <w:r>
        <w:rPr>
          <w:color w:val="000000" w:themeColor="text1"/>
        </w:rPr>
        <w:lastRenderedPageBreak/>
        <w:t>IV. Toki entitateen fiskalizazio-jardueren laburpen-oroitidazkia</w:t>
      </w:r>
      <w:bookmarkEnd w:id="52"/>
      <w:bookmarkEnd w:id="53"/>
      <w:bookmarkEnd w:id="54"/>
      <w:bookmarkEnd w:id="55"/>
      <w:bookmarkEnd w:id="56"/>
      <w:bookmarkEnd w:id="57"/>
      <w:bookmarkEnd w:id="58"/>
    </w:p>
    <w:p w14:paraId="22C90099" w14:textId="77777777" w:rsidR="0088085F" w:rsidRPr="00262228" w:rsidRDefault="0088085F" w:rsidP="0088085F">
      <w:pPr>
        <w:pStyle w:val="texto"/>
      </w:pPr>
      <w:r>
        <w:t>Kontuen Ganberak Iruñeko eta Eguesibarko udalen 2019. urteko kontu orokorraren erregulartasun fiskalizazioa egin zuen (finantzarioa eta legezkotasunarena).</w:t>
      </w:r>
    </w:p>
    <w:p w14:paraId="1428AD93" w14:textId="77777777" w:rsidR="0088085F" w:rsidRPr="00262228" w:rsidRDefault="0088085F" w:rsidP="007E5A67">
      <w:pPr>
        <w:pStyle w:val="texto"/>
        <w:spacing w:after="240"/>
      </w:pPr>
      <w:r>
        <w:t>Ondoren, toki entitate horiei buruzko datu batzuk emanen ditugu:</w:t>
      </w:r>
    </w:p>
    <w:tbl>
      <w:tblPr>
        <w:tblW w:w="5305" w:type="pct"/>
        <w:jc w:val="center"/>
        <w:tblLayout w:type="fixed"/>
        <w:tblCellMar>
          <w:left w:w="70" w:type="dxa"/>
          <w:right w:w="70" w:type="dxa"/>
        </w:tblCellMar>
        <w:tblLook w:val="04A0" w:firstRow="1" w:lastRow="0" w:firstColumn="1" w:lastColumn="0" w:noHBand="0" w:noVBand="1"/>
      </w:tblPr>
      <w:tblGrid>
        <w:gridCol w:w="1877"/>
        <w:gridCol w:w="992"/>
        <w:gridCol w:w="166"/>
        <w:gridCol w:w="914"/>
        <w:gridCol w:w="101"/>
        <w:gridCol w:w="1167"/>
        <w:gridCol w:w="112"/>
        <w:gridCol w:w="985"/>
        <w:gridCol w:w="125"/>
        <w:gridCol w:w="994"/>
        <w:gridCol w:w="155"/>
        <w:gridCol w:w="505"/>
        <w:gridCol w:w="125"/>
        <w:gridCol w:w="444"/>
        <w:gridCol w:w="117"/>
        <w:gridCol w:w="546"/>
      </w:tblGrid>
      <w:tr w:rsidR="00310031" w:rsidRPr="009A521B" w14:paraId="174D9F19" w14:textId="77777777" w:rsidTr="008579E5">
        <w:trPr>
          <w:trHeight w:val="170"/>
          <w:jc w:val="center"/>
        </w:trPr>
        <w:tc>
          <w:tcPr>
            <w:tcW w:w="1006" w:type="pct"/>
            <w:vMerge w:val="restart"/>
            <w:tcBorders>
              <w:top w:val="single" w:sz="4" w:space="0" w:color="auto"/>
              <w:left w:val="nil"/>
              <w:bottom w:val="single" w:sz="4" w:space="0" w:color="auto"/>
              <w:right w:val="nil"/>
            </w:tcBorders>
            <w:shd w:val="clear" w:color="000000" w:fill="FABF8F"/>
            <w:vAlign w:val="center"/>
            <w:hideMark/>
          </w:tcPr>
          <w:p w14:paraId="77979885" w14:textId="77777777" w:rsidR="0088085F" w:rsidRPr="009A521B" w:rsidRDefault="0088085F" w:rsidP="00310031">
            <w:pPr>
              <w:pStyle w:val="cuadroCabe"/>
              <w:jc w:val="left"/>
              <w:rPr>
                <w:sz w:val="16"/>
                <w:szCs w:val="15"/>
              </w:rPr>
            </w:pPr>
            <w:r>
              <w:rPr>
                <w:sz w:val="16"/>
                <w:szCs w:val="15"/>
              </w:rPr>
              <w:t>Toki entitatea</w:t>
            </w:r>
          </w:p>
        </w:tc>
        <w:tc>
          <w:tcPr>
            <w:tcW w:w="531" w:type="pct"/>
            <w:vMerge w:val="restart"/>
            <w:tcBorders>
              <w:top w:val="single" w:sz="4" w:space="0" w:color="auto"/>
              <w:left w:val="nil"/>
              <w:bottom w:val="single" w:sz="4" w:space="0" w:color="auto"/>
              <w:right w:val="nil"/>
            </w:tcBorders>
            <w:shd w:val="clear" w:color="000000" w:fill="FABF8F"/>
            <w:vAlign w:val="center"/>
            <w:hideMark/>
          </w:tcPr>
          <w:p w14:paraId="0DC32865" w14:textId="77777777" w:rsidR="0088085F" w:rsidRPr="009A521B" w:rsidRDefault="0088085F" w:rsidP="0025084B">
            <w:pPr>
              <w:pStyle w:val="cuadroCabe"/>
              <w:ind w:left="-130" w:right="-99"/>
              <w:jc w:val="right"/>
              <w:rPr>
                <w:sz w:val="16"/>
                <w:szCs w:val="15"/>
              </w:rPr>
            </w:pPr>
            <w:r>
              <w:rPr>
                <w:sz w:val="16"/>
                <w:szCs w:val="15"/>
              </w:rPr>
              <w:t>Txostenaren data</w:t>
            </w:r>
          </w:p>
        </w:tc>
        <w:tc>
          <w:tcPr>
            <w:tcW w:w="579" w:type="pct"/>
            <w:gridSpan w:val="2"/>
            <w:vMerge w:val="restart"/>
            <w:tcBorders>
              <w:top w:val="single" w:sz="4" w:space="0" w:color="auto"/>
              <w:left w:val="nil"/>
              <w:bottom w:val="single" w:sz="4" w:space="0" w:color="auto"/>
              <w:right w:val="nil"/>
            </w:tcBorders>
            <w:shd w:val="clear" w:color="000000" w:fill="FABF8F"/>
            <w:vAlign w:val="center"/>
            <w:hideMark/>
          </w:tcPr>
          <w:p w14:paraId="12F16AC2" w14:textId="77777777" w:rsidR="0088085F" w:rsidRPr="009A521B" w:rsidRDefault="00310031" w:rsidP="00310031">
            <w:pPr>
              <w:pStyle w:val="cuadroCabe"/>
              <w:ind w:right="-92"/>
              <w:jc w:val="right"/>
              <w:rPr>
                <w:sz w:val="16"/>
                <w:szCs w:val="15"/>
              </w:rPr>
            </w:pPr>
            <w:r>
              <w:rPr>
                <w:sz w:val="16"/>
                <w:szCs w:val="15"/>
              </w:rPr>
              <w:t xml:space="preserve"> Biztanleak  2019-01-01ean</w:t>
            </w:r>
          </w:p>
        </w:tc>
        <w:tc>
          <w:tcPr>
            <w:tcW w:w="680" w:type="pct"/>
            <w:gridSpan w:val="2"/>
            <w:vMerge w:val="restart"/>
            <w:tcBorders>
              <w:top w:val="single" w:sz="4" w:space="0" w:color="auto"/>
              <w:left w:val="nil"/>
              <w:bottom w:val="single" w:sz="4" w:space="0" w:color="auto"/>
              <w:right w:val="nil"/>
            </w:tcBorders>
            <w:shd w:val="clear" w:color="000000" w:fill="FABF8F"/>
            <w:vAlign w:val="center"/>
            <w:hideMark/>
          </w:tcPr>
          <w:p w14:paraId="52995391" w14:textId="77777777" w:rsidR="0088085F" w:rsidRPr="009A521B" w:rsidRDefault="0088085F" w:rsidP="00310031">
            <w:pPr>
              <w:pStyle w:val="cuadroCabe"/>
              <w:ind w:right="-30"/>
              <w:jc w:val="right"/>
              <w:rPr>
                <w:sz w:val="16"/>
                <w:szCs w:val="15"/>
              </w:rPr>
            </w:pPr>
            <w:r>
              <w:rPr>
                <w:sz w:val="16"/>
                <w:szCs w:val="15"/>
              </w:rPr>
              <w:t>Aitortutako betebeharrak</w:t>
            </w:r>
          </w:p>
        </w:tc>
        <w:tc>
          <w:tcPr>
            <w:tcW w:w="588" w:type="pct"/>
            <w:gridSpan w:val="2"/>
            <w:vMerge w:val="restart"/>
            <w:tcBorders>
              <w:top w:val="single" w:sz="4" w:space="0" w:color="auto"/>
              <w:left w:val="nil"/>
              <w:bottom w:val="single" w:sz="4" w:space="0" w:color="auto"/>
              <w:right w:val="nil"/>
            </w:tcBorders>
            <w:shd w:val="clear" w:color="000000" w:fill="FABF8F"/>
            <w:vAlign w:val="center"/>
            <w:hideMark/>
          </w:tcPr>
          <w:p w14:paraId="5F27B944" w14:textId="77777777" w:rsidR="0088085F" w:rsidRPr="009A521B" w:rsidRDefault="0088085F" w:rsidP="00310031">
            <w:pPr>
              <w:pStyle w:val="cuadroCabe"/>
              <w:jc w:val="right"/>
              <w:rPr>
                <w:sz w:val="16"/>
                <w:szCs w:val="15"/>
              </w:rPr>
            </w:pPr>
            <w:r>
              <w:rPr>
                <w:sz w:val="16"/>
                <w:szCs w:val="15"/>
              </w:rPr>
              <w:t>Aitortutako eskubideak</w:t>
            </w:r>
          </w:p>
        </w:tc>
        <w:tc>
          <w:tcPr>
            <w:tcW w:w="600" w:type="pct"/>
            <w:gridSpan w:val="2"/>
            <w:vMerge w:val="restart"/>
            <w:tcBorders>
              <w:top w:val="single" w:sz="4" w:space="0" w:color="auto"/>
              <w:left w:val="nil"/>
              <w:bottom w:val="single" w:sz="4" w:space="0" w:color="auto"/>
              <w:right w:val="nil"/>
            </w:tcBorders>
            <w:shd w:val="clear" w:color="000000" w:fill="FABF8F"/>
            <w:vAlign w:val="center"/>
            <w:hideMark/>
          </w:tcPr>
          <w:p w14:paraId="11FB4C82" w14:textId="77777777" w:rsidR="0088085F" w:rsidRPr="009A521B" w:rsidRDefault="0088085F" w:rsidP="00310031">
            <w:pPr>
              <w:pStyle w:val="cuadroCabe"/>
              <w:jc w:val="right"/>
              <w:rPr>
                <w:sz w:val="16"/>
                <w:szCs w:val="15"/>
              </w:rPr>
            </w:pPr>
            <w:r>
              <w:rPr>
                <w:sz w:val="16"/>
                <w:szCs w:val="15"/>
              </w:rPr>
              <w:t>Langileak  2019-12-31n</w:t>
            </w:r>
          </w:p>
        </w:tc>
        <w:tc>
          <w:tcPr>
            <w:tcW w:w="1014" w:type="pct"/>
            <w:gridSpan w:val="6"/>
            <w:tcBorders>
              <w:top w:val="single" w:sz="4" w:space="0" w:color="auto"/>
              <w:left w:val="nil"/>
              <w:bottom w:val="single" w:sz="4" w:space="0" w:color="auto"/>
              <w:right w:val="nil"/>
            </w:tcBorders>
            <w:shd w:val="clear" w:color="000000" w:fill="FABF8F"/>
            <w:vAlign w:val="center"/>
            <w:hideMark/>
          </w:tcPr>
          <w:p w14:paraId="70B2D2CB" w14:textId="77777777" w:rsidR="0088085F" w:rsidRPr="009A521B" w:rsidRDefault="0088085F" w:rsidP="00310031">
            <w:pPr>
              <w:pStyle w:val="cuadroCabe"/>
              <w:jc w:val="center"/>
              <w:rPr>
                <w:sz w:val="16"/>
                <w:szCs w:val="15"/>
              </w:rPr>
            </w:pPr>
            <w:r>
              <w:rPr>
                <w:sz w:val="16"/>
                <w:szCs w:val="15"/>
              </w:rPr>
              <w:t>Menpeko entitateak</w:t>
            </w:r>
          </w:p>
        </w:tc>
      </w:tr>
      <w:tr w:rsidR="006D0C4A" w:rsidRPr="009A521B" w14:paraId="000B2296" w14:textId="77777777" w:rsidTr="008579E5">
        <w:trPr>
          <w:trHeight w:val="170"/>
          <w:jc w:val="center"/>
        </w:trPr>
        <w:tc>
          <w:tcPr>
            <w:tcW w:w="1006" w:type="pct"/>
            <w:vMerge/>
            <w:tcBorders>
              <w:top w:val="single" w:sz="4" w:space="0" w:color="auto"/>
              <w:left w:val="nil"/>
              <w:bottom w:val="single" w:sz="4" w:space="0" w:color="auto"/>
              <w:right w:val="nil"/>
            </w:tcBorders>
            <w:vAlign w:val="center"/>
            <w:hideMark/>
          </w:tcPr>
          <w:p w14:paraId="17DD448C" w14:textId="77777777" w:rsidR="0088085F" w:rsidRPr="009A521B" w:rsidRDefault="0088085F" w:rsidP="00310031">
            <w:pPr>
              <w:pStyle w:val="cuadroCabe"/>
              <w:jc w:val="left"/>
              <w:rPr>
                <w:sz w:val="16"/>
                <w:szCs w:val="16"/>
                <w:lang w:val="es-ES" w:eastAsia="es-ES"/>
              </w:rPr>
            </w:pPr>
          </w:p>
        </w:tc>
        <w:tc>
          <w:tcPr>
            <w:tcW w:w="531" w:type="pct"/>
            <w:vMerge/>
            <w:tcBorders>
              <w:top w:val="single" w:sz="4" w:space="0" w:color="auto"/>
              <w:left w:val="nil"/>
              <w:bottom w:val="single" w:sz="4" w:space="0" w:color="auto"/>
              <w:right w:val="nil"/>
            </w:tcBorders>
            <w:vAlign w:val="center"/>
            <w:hideMark/>
          </w:tcPr>
          <w:p w14:paraId="1E9B66C2" w14:textId="77777777" w:rsidR="0088085F" w:rsidRPr="009A521B" w:rsidRDefault="0088085F" w:rsidP="00310031">
            <w:pPr>
              <w:pStyle w:val="cuadroCabe"/>
              <w:jc w:val="right"/>
              <w:rPr>
                <w:sz w:val="16"/>
                <w:szCs w:val="16"/>
                <w:lang w:val="es-ES" w:eastAsia="es-ES"/>
              </w:rPr>
            </w:pPr>
          </w:p>
        </w:tc>
        <w:tc>
          <w:tcPr>
            <w:tcW w:w="579" w:type="pct"/>
            <w:gridSpan w:val="2"/>
            <w:vMerge/>
            <w:tcBorders>
              <w:top w:val="single" w:sz="4" w:space="0" w:color="auto"/>
              <w:left w:val="nil"/>
              <w:bottom w:val="single" w:sz="4" w:space="0" w:color="auto"/>
              <w:right w:val="nil"/>
            </w:tcBorders>
            <w:vAlign w:val="center"/>
            <w:hideMark/>
          </w:tcPr>
          <w:p w14:paraId="4AC1E749" w14:textId="77777777" w:rsidR="0088085F" w:rsidRPr="009A521B" w:rsidRDefault="0088085F" w:rsidP="00310031">
            <w:pPr>
              <w:pStyle w:val="cuadroCabe"/>
              <w:jc w:val="right"/>
              <w:rPr>
                <w:sz w:val="16"/>
                <w:szCs w:val="16"/>
                <w:lang w:val="es-ES" w:eastAsia="es-ES"/>
              </w:rPr>
            </w:pPr>
          </w:p>
        </w:tc>
        <w:tc>
          <w:tcPr>
            <w:tcW w:w="680" w:type="pct"/>
            <w:gridSpan w:val="2"/>
            <w:vMerge/>
            <w:tcBorders>
              <w:top w:val="single" w:sz="4" w:space="0" w:color="auto"/>
              <w:left w:val="nil"/>
              <w:bottom w:val="single" w:sz="4" w:space="0" w:color="auto"/>
              <w:right w:val="nil"/>
            </w:tcBorders>
            <w:vAlign w:val="center"/>
            <w:hideMark/>
          </w:tcPr>
          <w:p w14:paraId="0BD2A7F3" w14:textId="77777777" w:rsidR="0088085F" w:rsidRPr="009A521B" w:rsidRDefault="0088085F" w:rsidP="00310031">
            <w:pPr>
              <w:pStyle w:val="cuadroCabe"/>
              <w:jc w:val="right"/>
              <w:rPr>
                <w:sz w:val="16"/>
                <w:szCs w:val="16"/>
                <w:lang w:val="es-ES" w:eastAsia="es-ES"/>
              </w:rPr>
            </w:pPr>
          </w:p>
        </w:tc>
        <w:tc>
          <w:tcPr>
            <w:tcW w:w="588" w:type="pct"/>
            <w:gridSpan w:val="2"/>
            <w:vMerge/>
            <w:tcBorders>
              <w:top w:val="single" w:sz="4" w:space="0" w:color="auto"/>
              <w:left w:val="nil"/>
              <w:bottom w:val="single" w:sz="4" w:space="0" w:color="auto"/>
              <w:right w:val="nil"/>
            </w:tcBorders>
            <w:vAlign w:val="center"/>
            <w:hideMark/>
          </w:tcPr>
          <w:p w14:paraId="2B81D33F" w14:textId="77777777" w:rsidR="0088085F" w:rsidRPr="009A521B" w:rsidRDefault="0088085F" w:rsidP="00310031">
            <w:pPr>
              <w:pStyle w:val="cuadroCabe"/>
              <w:jc w:val="right"/>
              <w:rPr>
                <w:sz w:val="16"/>
                <w:szCs w:val="16"/>
                <w:lang w:val="es-ES" w:eastAsia="es-ES"/>
              </w:rPr>
            </w:pPr>
          </w:p>
        </w:tc>
        <w:tc>
          <w:tcPr>
            <w:tcW w:w="600" w:type="pct"/>
            <w:gridSpan w:val="2"/>
            <w:vMerge/>
            <w:tcBorders>
              <w:top w:val="single" w:sz="4" w:space="0" w:color="auto"/>
              <w:left w:val="nil"/>
              <w:bottom w:val="single" w:sz="4" w:space="0" w:color="auto"/>
              <w:right w:val="nil"/>
            </w:tcBorders>
            <w:vAlign w:val="center"/>
            <w:hideMark/>
          </w:tcPr>
          <w:p w14:paraId="2E91D3AE" w14:textId="77777777" w:rsidR="0088085F" w:rsidRPr="009A521B" w:rsidRDefault="0088085F" w:rsidP="00310031">
            <w:pPr>
              <w:pStyle w:val="cuadroCabe"/>
              <w:jc w:val="right"/>
              <w:rPr>
                <w:sz w:val="16"/>
                <w:szCs w:val="16"/>
                <w:lang w:val="es-ES" w:eastAsia="es-ES"/>
              </w:rPr>
            </w:pPr>
          </w:p>
        </w:tc>
        <w:tc>
          <w:tcPr>
            <w:tcW w:w="354" w:type="pct"/>
            <w:gridSpan w:val="2"/>
            <w:tcBorders>
              <w:top w:val="nil"/>
              <w:left w:val="nil"/>
              <w:bottom w:val="single" w:sz="4" w:space="0" w:color="auto"/>
              <w:right w:val="nil"/>
            </w:tcBorders>
            <w:shd w:val="clear" w:color="000000" w:fill="FABF8F"/>
            <w:vAlign w:val="center"/>
            <w:hideMark/>
          </w:tcPr>
          <w:p w14:paraId="2B72921A" w14:textId="77777777" w:rsidR="0088085F" w:rsidRPr="009A521B" w:rsidRDefault="0088085F" w:rsidP="006D0C4A">
            <w:pPr>
              <w:pStyle w:val="cuadroCabe"/>
              <w:ind w:right="-27"/>
              <w:jc w:val="right"/>
              <w:rPr>
                <w:sz w:val="16"/>
                <w:szCs w:val="16"/>
              </w:rPr>
            </w:pPr>
            <w:proofErr w:type="spellStart"/>
            <w:r>
              <w:rPr>
                <w:sz w:val="16"/>
                <w:szCs w:val="16"/>
              </w:rPr>
              <w:t>EEAAk</w:t>
            </w:r>
            <w:proofErr w:type="spellEnd"/>
          </w:p>
        </w:tc>
        <w:tc>
          <w:tcPr>
            <w:tcW w:w="305" w:type="pct"/>
            <w:gridSpan w:val="2"/>
            <w:tcBorders>
              <w:top w:val="nil"/>
              <w:left w:val="nil"/>
              <w:bottom w:val="single" w:sz="4" w:space="0" w:color="auto"/>
              <w:right w:val="nil"/>
            </w:tcBorders>
            <w:shd w:val="clear" w:color="000000" w:fill="FABF8F"/>
            <w:vAlign w:val="center"/>
            <w:hideMark/>
          </w:tcPr>
          <w:p w14:paraId="655BCBC1" w14:textId="77777777" w:rsidR="0088085F" w:rsidRPr="009A521B" w:rsidRDefault="0088085F" w:rsidP="00310031">
            <w:pPr>
              <w:pStyle w:val="cuadroCabe"/>
              <w:ind w:right="-71"/>
              <w:jc w:val="right"/>
              <w:rPr>
                <w:sz w:val="16"/>
                <w:szCs w:val="16"/>
              </w:rPr>
            </w:pPr>
            <w:r>
              <w:rPr>
                <w:sz w:val="16"/>
                <w:szCs w:val="16"/>
              </w:rPr>
              <w:t>Enpresa</w:t>
            </w:r>
          </w:p>
        </w:tc>
        <w:tc>
          <w:tcPr>
            <w:tcW w:w="355" w:type="pct"/>
            <w:gridSpan w:val="2"/>
            <w:tcBorders>
              <w:top w:val="nil"/>
              <w:left w:val="nil"/>
              <w:bottom w:val="single" w:sz="4" w:space="0" w:color="auto"/>
              <w:right w:val="nil"/>
            </w:tcBorders>
            <w:shd w:val="clear" w:color="000000" w:fill="FABF8F"/>
            <w:vAlign w:val="center"/>
            <w:hideMark/>
          </w:tcPr>
          <w:p w14:paraId="0DA4A2ED" w14:textId="77777777" w:rsidR="0088085F" w:rsidRPr="009A521B" w:rsidRDefault="0088085F" w:rsidP="00310031">
            <w:pPr>
              <w:pStyle w:val="cuadroCabe"/>
              <w:jc w:val="right"/>
              <w:rPr>
                <w:sz w:val="16"/>
                <w:szCs w:val="16"/>
              </w:rPr>
            </w:pPr>
            <w:r>
              <w:rPr>
                <w:sz w:val="16"/>
                <w:szCs w:val="16"/>
              </w:rPr>
              <w:t>Fundazioa</w:t>
            </w:r>
          </w:p>
        </w:tc>
      </w:tr>
      <w:tr w:rsidR="006D0C4A" w:rsidRPr="00310031" w14:paraId="75174F6B" w14:textId="77777777" w:rsidTr="008579E5">
        <w:trPr>
          <w:trHeight w:val="255"/>
          <w:jc w:val="center"/>
        </w:trPr>
        <w:tc>
          <w:tcPr>
            <w:tcW w:w="1006" w:type="pct"/>
            <w:tcBorders>
              <w:top w:val="single" w:sz="4" w:space="0" w:color="auto"/>
              <w:left w:val="nil"/>
              <w:bottom w:val="single" w:sz="2" w:space="0" w:color="auto"/>
              <w:right w:val="nil"/>
            </w:tcBorders>
            <w:shd w:val="clear" w:color="auto" w:fill="auto"/>
            <w:vAlign w:val="center"/>
            <w:hideMark/>
          </w:tcPr>
          <w:p w14:paraId="463A88B8" w14:textId="77777777" w:rsidR="0088085F" w:rsidRPr="00310031" w:rsidRDefault="0088085F" w:rsidP="00310031">
            <w:pPr>
              <w:pStyle w:val="cuatexto"/>
              <w:jc w:val="left"/>
              <w:rPr>
                <w:color w:val="000000" w:themeColor="text1"/>
                <w:sz w:val="17"/>
                <w:szCs w:val="17"/>
              </w:rPr>
            </w:pPr>
            <w:r>
              <w:rPr>
                <w:color w:val="000000" w:themeColor="text1"/>
                <w:sz w:val="17"/>
                <w:szCs w:val="17"/>
              </w:rPr>
              <w:t>Iruña</w:t>
            </w:r>
          </w:p>
        </w:tc>
        <w:tc>
          <w:tcPr>
            <w:tcW w:w="621" w:type="pct"/>
            <w:gridSpan w:val="2"/>
            <w:tcBorders>
              <w:top w:val="single" w:sz="4" w:space="0" w:color="auto"/>
              <w:left w:val="nil"/>
              <w:bottom w:val="single" w:sz="2" w:space="0" w:color="auto"/>
              <w:right w:val="nil"/>
            </w:tcBorders>
            <w:shd w:val="clear" w:color="auto" w:fill="auto"/>
            <w:noWrap/>
            <w:vAlign w:val="center"/>
            <w:hideMark/>
          </w:tcPr>
          <w:p w14:paraId="4E9BC579" w14:textId="77777777" w:rsidR="0088085F" w:rsidRPr="00310031" w:rsidRDefault="00C21108" w:rsidP="00C21108">
            <w:pPr>
              <w:pStyle w:val="cuatexto"/>
              <w:ind w:right="-96"/>
              <w:rPr>
                <w:color w:val="000000" w:themeColor="text1"/>
                <w:sz w:val="17"/>
                <w:szCs w:val="17"/>
              </w:rPr>
            </w:pPr>
            <w:r>
              <w:rPr>
                <w:color w:val="000000" w:themeColor="text1"/>
                <w:sz w:val="17"/>
                <w:szCs w:val="17"/>
              </w:rPr>
              <w:t xml:space="preserve">    2020/12/15</w:t>
            </w:r>
          </w:p>
        </w:tc>
        <w:tc>
          <w:tcPr>
            <w:tcW w:w="544" w:type="pct"/>
            <w:gridSpan w:val="2"/>
            <w:tcBorders>
              <w:top w:val="single" w:sz="4" w:space="0" w:color="auto"/>
              <w:left w:val="nil"/>
              <w:bottom w:val="single" w:sz="2" w:space="0" w:color="auto"/>
              <w:right w:val="nil"/>
            </w:tcBorders>
            <w:shd w:val="clear" w:color="auto" w:fill="auto"/>
            <w:noWrap/>
            <w:vAlign w:val="center"/>
            <w:hideMark/>
          </w:tcPr>
          <w:p w14:paraId="48F39723" w14:textId="77777777" w:rsidR="0088085F" w:rsidRPr="00310031" w:rsidRDefault="0088085F" w:rsidP="00310031">
            <w:pPr>
              <w:pStyle w:val="cuatexto"/>
              <w:ind w:right="56"/>
              <w:jc w:val="right"/>
              <w:rPr>
                <w:color w:val="000000" w:themeColor="text1"/>
                <w:sz w:val="17"/>
                <w:szCs w:val="17"/>
              </w:rPr>
            </w:pPr>
            <w:r>
              <w:rPr>
                <w:color w:val="000000" w:themeColor="text1"/>
                <w:sz w:val="17"/>
                <w:szCs w:val="17"/>
              </w:rPr>
              <w:t>201.653</w:t>
            </w:r>
          </w:p>
        </w:tc>
        <w:tc>
          <w:tcPr>
            <w:tcW w:w="685" w:type="pct"/>
            <w:gridSpan w:val="2"/>
            <w:tcBorders>
              <w:top w:val="single" w:sz="4" w:space="0" w:color="auto"/>
              <w:left w:val="nil"/>
              <w:bottom w:val="single" w:sz="2" w:space="0" w:color="auto"/>
              <w:right w:val="nil"/>
            </w:tcBorders>
            <w:shd w:val="clear" w:color="auto" w:fill="auto"/>
            <w:noWrap/>
            <w:vAlign w:val="center"/>
            <w:hideMark/>
          </w:tcPr>
          <w:p w14:paraId="43F9EDEF"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204.328.890</w:t>
            </w:r>
          </w:p>
        </w:tc>
        <w:tc>
          <w:tcPr>
            <w:tcW w:w="595" w:type="pct"/>
            <w:gridSpan w:val="2"/>
            <w:tcBorders>
              <w:top w:val="single" w:sz="4" w:space="0" w:color="auto"/>
              <w:left w:val="nil"/>
              <w:bottom w:val="single" w:sz="2" w:space="0" w:color="auto"/>
              <w:right w:val="nil"/>
            </w:tcBorders>
            <w:shd w:val="clear" w:color="auto" w:fill="auto"/>
            <w:vAlign w:val="center"/>
            <w:hideMark/>
          </w:tcPr>
          <w:p w14:paraId="6629C9F5" w14:textId="77777777" w:rsidR="0088085F" w:rsidRPr="00310031" w:rsidRDefault="00310031" w:rsidP="00310031">
            <w:pPr>
              <w:pStyle w:val="cuatexto"/>
              <w:ind w:left="-211"/>
              <w:jc w:val="center"/>
              <w:rPr>
                <w:color w:val="000000" w:themeColor="text1"/>
                <w:sz w:val="17"/>
                <w:szCs w:val="17"/>
              </w:rPr>
            </w:pPr>
            <w:r>
              <w:rPr>
                <w:color w:val="000000" w:themeColor="text1"/>
                <w:sz w:val="17"/>
                <w:szCs w:val="17"/>
              </w:rPr>
              <w:t xml:space="preserve">    215.880.872</w:t>
            </w:r>
          </w:p>
        </w:tc>
        <w:tc>
          <w:tcPr>
            <w:tcW w:w="616" w:type="pct"/>
            <w:gridSpan w:val="2"/>
            <w:tcBorders>
              <w:top w:val="single" w:sz="4" w:space="0" w:color="auto"/>
              <w:left w:val="nil"/>
              <w:bottom w:val="single" w:sz="2" w:space="0" w:color="auto"/>
              <w:right w:val="nil"/>
            </w:tcBorders>
            <w:shd w:val="clear" w:color="auto" w:fill="auto"/>
            <w:vAlign w:val="center"/>
            <w:hideMark/>
          </w:tcPr>
          <w:p w14:paraId="6C359790" w14:textId="77777777" w:rsidR="0088085F" w:rsidRPr="00310031" w:rsidRDefault="00310031" w:rsidP="00310031">
            <w:pPr>
              <w:pStyle w:val="cuatexto"/>
              <w:ind w:left="-87"/>
              <w:jc w:val="center"/>
              <w:rPr>
                <w:color w:val="000000" w:themeColor="text1"/>
                <w:sz w:val="17"/>
                <w:szCs w:val="17"/>
              </w:rPr>
            </w:pPr>
            <w:r>
              <w:rPr>
                <w:color w:val="000000" w:themeColor="text1"/>
                <w:sz w:val="17"/>
                <w:szCs w:val="17"/>
              </w:rPr>
              <w:t xml:space="preserve">       1.656</w:t>
            </w:r>
          </w:p>
        </w:tc>
        <w:tc>
          <w:tcPr>
            <w:tcW w:w="338" w:type="pct"/>
            <w:gridSpan w:val="2"/>
            <w:tcBorders>
              <w:top w:val="single" w:sz="4" w:space="0" w:color="auto"/>
              <w:left w:val="nil"/>
              <w:bottom w:val="single" w:sz="2" w:space="0" w:color="auto"/>
              <w:right w:val="nil"/>
            </w:tcBorders>
            <w:shd w:val="clear" w:color="auto" w:fill="auto"/>
            <w:vAlign w:val="center"/>
            <w:hideMark/>
          </w:tcPr>
          <w:p w14:paraId="5F046E2A"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2</w:t>
            </w:r>
          </w:p>
        </w:tc>
        <w:tc>
          <w:tcPr>
            <w:tcW w:w="301" w:type="pct"/>
            <w:gridSpan w:val="2"/>
            <w:tcBorders>
              <w:top w:val="single" w:sz="4" w:space="0" w:color="auto"/>
              <w:left w:val="nil"/>
              <w:bottom w:val="single" w:sz="2" w:space="0" w:color="auto"/>
              <w:right w:val="nil"/>
            </w:tcBorders>
            <w:shd w:val="clear" w:color="auto" w:fill="auto"/>
            <w:vAlign w:val="center"/>
            <w:hideMark/>
          </w:tcPr>
          <w:p w14:paraId="48032F07"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5</w:t>
            </w:r>
          </w:p>
        </w:tc>
        <w:tc>
          <w:tcPr>
            <w:tcW w:w="293" w:type="pct"/>
            <w:tcBorders>
              <w:top w:val="single" w:sz="4" w:space="0" w:color="auto"/>
              <w:left w:val="nil"/>
              <w:bottom w:val="single" w:sz="2" w:space="0" w:color="auto"/>
              <w:right w:val="nil"/>
            </w:tcBorders>
            <w:shd w:val="clear" w:color="auto" w:fill="auto"/>
            <w:vAlign w:val="center"/>
            <w:hideMark/>
          </w:tcPr>
          <w:p w14:paraId="3D2FFD5B" w14:textId="77777777" w:rsidR="0088085F" w:rsidRPr="00310031" w:rsidRDefault="0088085F" w:rsidP="00310031">
            <w:pPr>
              <w:pStyle w:val="cuatexto"/>
              <w:jc w:val="right"/>
              <w:rPr>
                <w:color w:val="000000" w:themeColor="text1"/>
                <w:sz w:val="17"/>
                <w:szCs w:val="17"/>
              </w:rPr>
            </w:pPr>
            <w:r>
              <w:rPr>
                <w:color w:val="000000" w:themeColor="text1"/>
                <w:sz w:val="17"/>
                <w:szCs w:val="17"/>
              </w:rPr>
              <w:t>1</w:t>
            </w:r>
          </w:p>
        </w:tc>
      </w:tr>
      <w:tr w:rsidR="006D0C4A" w:rsidRPr="00310031" w14:paraId="4412E5ED" w14:textId="77777777" w:rsidTr="008579E5">
        <w:trPr>
          <w:trHeight w:val="255"/>
          <w:jc w:val="center"/>
        </w:trPr>
        <w:tc>
          <w:tcPr>
            <w:tcW w:w="1006" w:type="pct"/>
            <w:tcBorders>
              <w:top w:val="single" w:sz="2" w:space="0" w:color="auto"/>
              <w:left w:val="nil"/>
              <w:bottom w:val="single" w:sz="4" w:space="0" w:color="auto"/>
              <w:right w:val="nil"/>
            </w:tcBorders>
            <w:shd w:val="clear" w:color="auto" w:fill="auto"/>
            <w:vAlign w:val="center"/>
            <w:hideMark/>
          </w:tcPr>
          <w:p w14:paraId="1A4EA107" w14:textId="77777777" w:rsidR="0088085F" w:rsidRPr="00310031" w:rsidRDefault="0088085F" w:rsidP="00310031">
            <w:pPr>
              <w:pStyle w:val="cuatexto"/>
              <w:jc w:val="left"/>
              <w:rPr>
                <w:color w:val="000000" w:themeColor="text1"/>
                <w:sz w:val="17"/>
                <w:szCs w:val="17"/>
              </w:rPr>
            </w:pPr>
            <w:r>
              <w:rPr>
                <w:color w:val="000000" w:themeColor="text1"/>
                <w:sz w:val="17"/>
                <w:szCs w:val="17"/>
              </w:rPr>
              <w:t>Eguesibar</w:t>
            </w:r>
          </w:p>
        </w:tc>
        <w:tc>
          <w:tcPr>
            <w:tcW w:w="621" w:type="pct"/>
            <w:gridSpan w:val="2"/>
            <w:tcBorders>
              <w:top w:val="single" w:sz="2" w:space="0" w:color="auto"/>
              <w:left w:val="nil"/>
              <w:bottom w:val="single" w:sz="4" w:space="0" w:color="auto"/>
              <w:right w:val="nil"/>
            </w:tcBorders>
            <w:shd w:val="clear" w:color="auto" w:fill="auto"/>
            <w:noWrap/>
            <w:vAlign w:val="center"/>
            <w:hideMark/>
          </w:tcPr>
          <w:p w14:paraId="55844569" w14:textId="77777777" w:rsidR="0088085F" w:rsidRPr="00310031" w:rsidRDefault="00C21108" w:rsidP="00C21108">
            <w:pPr>
              <w:pStyle w:val="cuatexto"/>
              <w:ind w:right="-96"/>
              <w:rPr>
                <w:color w:val="000000" w:themeColor="text1"/>
                <w:sz w:val="17"/>
                <w:szCs w:val="17"/>
              </w:rPr>
            </w:pPr>
            <w:r>
              <w:rPr>
                <w:color w:val="000000" w:themeColor="text1"/>
                <w:sz w:val="17"/>
                <w:szCs w:val="17"/>
              </w:rPr>
              <w:t xml:space="preserve">    2020/09/04</w:t>
            </w:r>
          </w:p>
        </w:tc>
        <w:tc>
          <w:tcPr>
            <w:tcW w:w="544" w:type="pct"/>
            <w:gridSpan w:val="2"/>
            <w:tcBorders>
              <w:top w:val="single" w:sz="2" w:space="0" w:color="auto"/>
              <w:left w:val="nil"/>
              <w:bottom w:val="single" w:sz="4" w:space="0" w:color="auto"/>
              <w:right w:val="nil"/>
            </w:tcBorders>
            <w:shd w:val="clear" w:color="auto" w:fill="auto"/>
            <w:noWrap/>
            <w:vAlign w:val="center"/>
            <w:hideMark/>
          </w:tcPr>
          <w:p w14:paraId="4E67AC01" w14:textId="77777777" w:rsidR="0088085F" w:rsidRPr="00310031" w:rsidRDefault="0088085F" w:rsidP="00310031">
            <w:pPr>
              <w:pStyle w:val="cuatexto"/>
              <w:ind w:right="56"/>
              <w:jc w:val="right"/>
              <w:rPr>
                <w:color w:val="000000" w:themeColor="text1"/>
                <w:sz w:val="17"/>
                <w:szCs w:val="17"/>
              </w:rPr>
            </w:pPr>
            <w:r>
              <w:rPr>
                <w:color w:val="000000" w:themeColor="text1"/>
                <w:sz w:val="17"/>
                <w:szCs w:val="17"/>
              </w:rPr>
              <w:t>21.128</w:t>
            </w:r>
          </w:p>
        </w:tc>
        <w:tc>
          <w:tcPr>
            <w:tcW w:w="685" w:type="pct"/>
            <w:gridSpan w:val="2"/>
            <w:tcBorders>
              <w:top w:val="single" w:sz="2" w:space="0" w:color="auto"/>
              <w:left w:val="nil"/>
              <w:bottom w:val="single" w:sz="4" w:space="0" w:color="auto"/>
              <w:right w:val="nil"/>
            </w:tcBorders>
            <w:shd w:val="clear" w:color="auto" w:fill="auto"/>
            <w:noWrap/>
            <w:vAlign w:val="center"/>
            <w:hideMark/>
          </w:tcPr>
          <w:p w14:paraId="7A3E7A8D"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14.770.534</w:t>
            </w:r>
          </w:p>
        </w:tc>
        <w:tc>
          <w:tcPr>
            <w:tcW w:w="595" w:type="pct"/>
            <w:gridSpan w:val="2"/>
            <w:tcBorders>
              <w:top w:val="single" w:sz="2" w:space="0" w:color="auto"/>
              <w:left w:val="nil"/>
              <w:bottom w:val="single" w:sz="4" w:space="0" w:color="auto"/>
              <w:right w:val="nil"/>
            </w:tcBorders>
            <w:shd w:val="clear" w:color="auto" w:fill="auto"/>
            <w:noWrap/>
            <w:vAlign w:val="center"/>
            <w:hideMark/>
          </w:tcPr>
          <w:p w14:paraId="49F06B68" w14:textId="77777777" w:rsidR="0088085F" w:rsidRPr="00310031" w:rsidRDefault="00310031" w:rsidP="00310031">
            <w:pPr>
              <w:pStyle w:val="cuatexto"/>
              <w:ind w:left="-211"/>
              <w:jc w:val="center"/>
              <w:rPr>
                <w:color w:val="000000" w:themeColor="text1"/>
                <w:sz w:val="17"/>
                <w:szCs w:val="17"/>
              </w:rPr>
            </w:pPr>
            <w:r>
              <w:rPr>
                <w:color w:val="000000" w:themeColor="text1"/>
                <w:sz w:val="17"/>
                <w:szCs w:val="17"/>
              </w:rPr>
              <w:t xml:space="preserve">      14.595.647</w:t>
            </w:r>
          </w:p>
        </w:tc>
        <w:tc>
          <w:tcPr>
            <w:tcW w:w="616" w:type="pct"/>
            <w:gridSpan w:val="2"/>
            <w:tcBorders>
              <w:top w:val="single" w:sz="2" w:space="0" w:color="auto"/>
              <w:left w:val="nil"/>
              <w:bottom w:val="single" w:sz="4" w:space="0" w:color="auto"/>
              <w:right w:val="nil"/>
            </w:tcBorders>
            <w:shd w:val="clear" w:color="auto" w:fill="auto"/>
            <w:vAlign w:val="center"/>
            <w:hideMark/>
          </w:tcPr>
          <w:p w14:paraId="27555C1C" w14:textId="77777777" w:rsidR="0088085F" w:rsidRPr="00310031" w:rsidRDefault="00310031" w:rsidP="00310031">
            <w:pPr>
              <w:pStyle w:val="cuatexto"/>
              <w:ind w:left="-87"/>
              <w:jc w:val="center"/>
              <w:rPr>
                <w:color w:val="000000" w:themeColor="text1"/>
                <w:sz w:val="17"/>
                <w:szCs w:val="17"/>
              </w:rPr>
            </w:pPr>
            <w:r>
              <w:rPr>
                <w:color w:val="000000" w:themeColor="text1"/>
                <w:sz w:val="17"/>
                <w:szCs w:val="17"/>
              </w:rPr>
              <w:t xml:space="preserve">          119</w:t>
            </w:r>
          </w:p>
        </w:tc>
        <w:tc>
          <w:tcPr>
            <w:tcW w:w="338" w:type="pct"/>
            <w:gridSpan w:val="2"/>
            <w:tcBorders>
              <w:top w:val="single" w:sz="2" w:space="0" w:color="auto"/>
              <w:left w:val="nil"/>
              <w:bottom w:val="single" w:sz="4" w:space="0" w:color="auto"/>
              <w:right w:val="nil"/>
            </w:tcBorders>
            <w:shd w:val="clear" w:color="auto" w:fill="auto"/>
            <w:vAlign w:val="center"/>
            <w:hideMark/>
          </w:tcPr>
          <w:p w14:paraId="10BB6428"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0</w:t>
            </w:r>
          </w:p>
        </w:tc>
        <w:tc>
          <w:tcPr>
            <w:tcW w:w="301" w:type="pct"/>
            <w:gridSpan w:val="2"/>
            <w:tcBorders>
              <w:top w:val="single" w:sz="2" w:space="0" w:color="auto"/>
              <w:left w:val="nil"/>
              <w:bottom w:val="single" w:sz="4" w:space="0" w:color="auto"/>
              <w:right w:val="nil"/>
            </w:tcBorders>
            <w:shd w:val="clear" w:color="auto" w:fill="auto"/>
            <w:vAlign w:val="center"/>
            <w:hideMark/>
          </w:tcPr>
          <w:p w14:paraId="7FFE1F08" w14:textId="77777777" w:rsidR="0088085F" w:rsidRPr="00310031" w:rsidRDefault="00310031" w:rsidP="00310031">
            <w:pPr>
              <w:pStyle w:val="cuatexto"/>
              <w:jc w:val="center"/>
              <w:rPr>
                <w:color w:val="000000" w:themeColor="text1"/>
                <w:sz w:val="17"/>
                <w:szCs w:val="17"/>
              </w:rPr>
            </w:pPr>
            <w:r>
              <w:rPr>
                <w:color w:val="000000" w:themeColor="text1"/>
                <w:sz w:val="17"/>
                <w:szCs w:val="17"/>
              </w:rPr>
              <w:t xml:space="preserve">      1</w:t>
            </w:r>
          </w:p>
        </w:tc>
        <w:tc>
          <w:tcPr>
            <w:tcW w:w="293" w:type="pct"/>
            <w:tcBorders>
              <w:top w:val="single" w:sz="2" w:space="0" w:color="auto"/>
              <w:left w:val="nil"/>
              <w:bottom w:val="single" w:sz="4" w:space="0" w:color="auto"/>
              <w:right w:val="nil"/>
            </w:tcBorders>
            <w:shd w:val="clear" w:color="auto" w:fill="auto"/>
            <w:vAlign w:val="center"/>
            <w:hideMark/>
          </w:tcPr>
          <w:p w14:paraId="52F96134" w14:textId="77777777" w:rsidR="0088085F" w:rsidRPr="00310031" w:rsidRDefault="0088085F" w:rsidP="00310031">
            <w:pPr>
              <w:pStyle w:val="cuatexto"/>
              <w:jc w:val="right"/>
              <w:rPr>
                <w:color w:val="000000" w:themeColor="text1"/>
                <w:sz w:val="17"/>
                <w:szCs w:val="17"/>
              </w:rPr>
            </w:pPr>
            <w:r>
              <w:rPr>
                <w:color w:val="000000" w:themeColor="text1"/>
                <w:sz w:val="17"/>
                <w:szCs w:val="17"/>
              </w:rPr>
              <w:t>-</w:t>
            </w:r>
          </w:p>
        </w:tc>
      </w:tr>
      <w:tr w:rsidR="006D0C4A" w:rsidRPr="00310031" w14:paraId="7EE8FAE7" w14:textId="77777777" w:rsidTr="008579E5">
        <w:trPr>
          <w:trHeight w:val="284"/>
          <w:jc w:val="center"/>
        </w:trPr>
        <w:tc>
          <w:tcPr>
            <w:tcW w:w="1538" w:type="pct"/>
            <w:gridSpan w:val="2"/>
            <w:tcBorders>
              <w:top w:val="single" w:sz="4" w:space="0" w:color="auto"/>
              <w:left w:val="nil"/>
              <w:bottom w:val="single" w:sz="4" w:space="0" w:color="auto"/>
              <w:right w:val="nil"/>
            </w:tcBorders>
            <w:shd w:val="clear" w:color="auto" w:fill="FABF8F" w:themeFill="accent6" w:themeFillTint="99"/>
            <w:noWrap/>
            <w:vAlign w:val="center"/>
            <w:hideMark/>
          </w:tcPr>
          <w:p w14:paraId="240B8D5D" w14:textId="77777777" w:rsidR="0088085F" w:rsidRPr="00310031" w:rsidRDefault="0088085F" w:rsidP="00310031">
            <w:pPr>
              <w:pStyle w:val="cuadroCabe"/>
              <w:jc w:val="left"/>
              <w:rPr>
                <w:color w:val="000000" w:themeColor="text1"/>
                <w:sz w:val="16"/>
                <w:szCs w:val="16"/>
              </w:rPr>
            </w:pPr>
            <w:r>
              <w:rPr>
                <w:color w:val="000000" w:themeColor="text1"/>
                <w:sz w:val="16"/>
                <w:szCs w:val="16"/>
              </w:rPr>
              <w:t>Fiskalizatutako toki entitateak, guztira</w:t>
            </w:r>
          </w:p>
        </w:tc>
        <w:tc>
          <w:tcPr>
            <w:tcW w:w="579" w:type="pct"/>
            <w:gridSpan w:val="2"/>
            <w:tcBorders>
              <w:top w:val="nil"/>
              <w:left w:val="nil"/>
              <w:bottom w:val="single" w:sz="4" w:space="0" w:color="auto"/>
              <w:right w:val="nil"/>
            </w:tcBorders>
            <w:shd w:val="clear" w:color="auto" w:fill="FABF8F" w:themeFill="accent6" w:themeFillTint="99"/>
            <w:noWrap/>
            <w:vAlign w:val="center"/>
            <w:hideMark/>
          </w:tcPr>
          <w:p w14:paraId="6A3B0193" w14:textId="77777777" w:rsidR="0088085F" w:rsidRPr="00310031" w:rsidRDefault="0088085F" w:rsidP="00310031">
            <w:pPr>
              <w:pStyle w:val="cuadroCabe"/>
              <w:ind w:right="-61"/>
              <w:jc w:val="right"/>
              <w:rPr>
                <w:color w:val="000000" w:themeColor="text1"/>
                <w:sz w:val="16"/>
                <w:szCs w:val="16"/>
              </w:rPr>
            </w:pPr>
            <w:r>
              <w:rPr>
                <w:color w:val="000000" w:themeColor="text1"/>
                <w:sz w:val="16"/>
                <w:szCs w:val="16"/>
              </w:rPr>
              <w:t xml:space="preserve">  222.781</w:t>
            </w:r>
          </w:p>
        </w:tc>
        <w:tc>
          <w:tcPr>
            <w:tcW w:w="740" w:type="pct"/>
            <w:gridSpan w:val="3"/>
            <w:tcBorders>
              <w:top w:val="nil"/>
              <w:left w:val="nil"/>
              <w:bottom w:val="single" w:sz="4" w:space="0" w:color="auto"/>
              <w:right w:val="nil"/>
            </w:tcBorders>
            <w:shd w:val="clear" w:color="auto" w:fill="FABF8F" w:themeFill="accent6" w:themeFillTint="99"/>
            <w:noWrap/>
            <w:vAlign w:val="center"/>
            <w:hideMark/>
          </w:tcPr>
          <w:p w14:paraId="74B8479B" w14:textId="77777777" w:rsidR="0088085F" w:rsidRPr="00310031" w:rsidRDefault="00310031" w:rsidP="00310031">
            <w:pPr>
              <w:pStyle w:val="cuadroCabe"/>
              <w:ind w:left="64" w:hanging="64"/>
              <w:jc w:val="center"/>
              <w:rPr>
                <w:color w:val="000000" w:themeColor="text1"/>
                <w:sz w:val="16"/>
                <w:szCs w:val="16"/>
              </w:rPr>
            </w:pPr>
            <w:r>
              <w:rPr>
                <w:color w:val="000000" w:themeColor="text1"/>
                <w:sz w:val="16"/>
                <w:szCs w:val="16"/>
              </w:rPr>
              <w:t xml:space="preserve">   219.099.424</w:t>
            </w:r>
          </w:p>
        </w:tc>
        <w:tc>
          <w:tcPr>
            <w:tcW w:w="595" w:type="pct"/>
            <w:gridSpan w:val="2"/>
            <w:tcBorders>
              <w:top w:val="nil"/>
              <w:left w:val="nil"/>
              <w:bottom w:val="single" w:sz="4" w:space="0" w:color="auto"/>
              <w:right w:val="nil"/>
            </w:tcBorders>
            <w:shd w:val="clear" w:color="auto" w:fill="FABF8F" w:themeFill="accent6" w:themeFillTint="99"/>
            <w:noWrap/>
            <w:vAlign w:val="center"/>
            <w:hideMark/>
          </w:tcPr>
          <w:p w14:paraId="5C9FF207" w14:textId="77777777" w:rsidR="0088085F" w:rsidRPr="00310031" w:rsidRDefault="00310031" w:rsidP="00310031">
            <w:pPr>
              <w:pStyle w:val="cuadroCabe"/>
              <w:ind w:left="-211"/>
              <w:jc w:val="center"/>
              <w:rPr>
                <w:color w:val="000000" w:themeColor="text1"/>
                <w:sz w:val="16"/>
                <w:szCs w:val="16"/>
              </w:rPr>
            </w:pPr>
            <w:r>
              <w:rPr>
                <w:color w:val="000000" w:themeColor="text1"/>
                <w:sz w:val="16"/>
                <w:szCs w:val="16"/>
              </w:rPr>
              <w:t xml:space="preserve">     230.476.519</w:t>
            </w:r>
          </w:p>
        </w:tc>
        <w:tc>
          <w:tcPr>
            <w:tcW w:w="616" w:type="pct"/>
            <w:gridSpan w:val="2"/>
            <w:tcBorders>
              <w:top w:val="nil"/>
              <w:left w:val="nil"/>
              <w:bottom w:val="single" w:sz="4" w:space="0" w:color="auto"/>
              <w:right w:val="nil"/>
            </w:tcBorders>
            <w:shd w:val="clear" w:color="auto" w:fill="FABF8F" w:themeFill="accent6" w:themeFillTint="99"/>
            <w:noWrap/>
            <w:vAlign w:val="center"/>
            <w:hideMark/>
          </w:tcPr>
          <w:p w14:paraId="7F14E5F5" w14:textId="77777777" w:rsidR="0088085F" w:rsidRPr="00310031" w:rsidRDefault="00310031" w:rsidP="00310031">
            <w:pPr>
              <w:pStyle w:val="cuadroCabe"/>
              <w:ind w:left="-87"/>
              <w:jc w:val="center"/>
              <w:rPr>
                <w:color w:val="000000" w:themeColor="text1"/>
                <w:sz w:val="16"/>
                <w:szCs w:val="16"/>
              </w:rPr>
            </w:pPr>
            <w:r>
              <w:rPr>
                <w:color w:val="000000" w:themeColor="text1"/>
                <w:sz w:val="16"/>
                <w:szCs w:val="16"/>
              </w:rPr>
              <w:t xml:space="preserve">      1.775</w:t>
            </w:r>
          </w:p>
        </w:tc>
        <w:tc>
          <w:tcPr>
            <w:tcW w:w="338" w:type="pct"/>
            <w:gridSpan w:val="2"/>
            <w:tcBorders>
              <w:top w:val="nil"/>
              <w:left w:val="nil"/>
              <w:bottom w:val="single" w:sz="4" w:space="0" w:color="auto"/>
              <w:right w:val="nil"/>
            </w:tcBorders>
            <w:shd w:val="clear" w:color="auto" w:fill="FABF8F" w:themeFill="accent6" w:themeFillTint="99"/>
            <w:noWrap/>
            <w:vAlign w:val="center"/>
            <w:hideMark/>
          </w:tcPr>
          <w:p w14:paraId="5FC6EC07" w14:textId="77777777" w:rsidR="0088085F" w:rsidRPr="00310031" w:rsidRDefault="00310031" w:rsidP="00310031">
            <w:pPr>
              <w:pStyle w:val="cuadroCabe"/>
              <w:ind w:left="-87"/>
              <w:jc w:val="center"/>
              <w:rPr>
                <w:color w:val="000000" w:themeColor="text1"/>
                <w:sz w:val="16"/>
                <w:szCs w:val="16"/>
              </w:rPr>
            </w:pPr>
            <w:r>
              <w:rPr>
                <w:color w:val="000000" w:themeColor="text1"/>
                <w:sz w:val="16"/>
                <w:szCs w:val="16"/>
              </w:rPr>
              <w:t xml:space="preserve">     2</w:t>
            </w:r>
          </w:p>
        </w:tc>
        <w:tc>
          <w:tcPr>
            <w:tcW w:w="301" w:type="pct"/>
            <w:gridSpan w:val="2"/>
            <w:tcBorders>
              <w:top w:val="nil"/>
              <w:left w:val="nil"/>
              <w:bottom w:val="single" w:sz="4" w:space="0" w:color="auto"/>
              <w:right w:val="nil"/>
            </w:tcBorders>
            <w:shd w:val="clear" w:color="auto" w:fill="FABF8F" w:themeFill="accent6" w:themeFillTint="99"/>
            <w:noWrap/>
            <w:vAlign w:val="center"/>
            <w:hideMark/>
          </w:tcPr>
          <w:p w14:paraId="6D59A47A" w14:textId="77777777" w:rsidR="0088085F" w:rsidRPr="00310031" w:rsidRDefault="00310031" w:rsidP="00310031">
            <w:pPr>
              <w:pStyle w:val="cuadroCabe"/>
              <w:jc w:val="center"/>
              <w:rPr>
                <w:color w:val="000000" w:themeColor="text1"/>
                <w:sz w:val="16"/>
                <w:szCs w:val="16"/>
              </w:rPr>
            </w:pPr>
            <w:r>
              <w:rPr>
                <w:color w:val="000000" w:themeColor="text1"/>
                <w:sz w:val="16"/>
                <w:szCs w:val="16"/>
              </w:rPr>
              <w:t xml:space="preserve">      6</w:t>
            </w:r>
          </w:p>
        </w:tc>
        <w:tc>
          <w:tcPr>
            <w:tcW w:w="293" w:type="pct"/>
            <w:tcBorders>
              <w:top w:val="nil"/>
              <w:left w:val="nil"/>
              <w:bottom w:val="single" w:sz="4" w:space="0" w:color="auto"/>
              <w:right w:val="nil"/>
            </w:tcBorders>
            <w:shd w:val="clear" w:color="auto" w:fill="FABF8F" w:themeFill="accent6" w:themeFillTint="99"/>
            <w:noWrap/>
            <w:vAlign w:val="center"/>
            <w:hideMark/>
          </w:tcPr>
          <w:p w14:paraId="2307D7A8" w14:textId="77777777" w:rsidR="0088085F" w:rsidRPr="00310031" w:rsidRDefault="0088085F" w:rsidP="00310031">
            <w:pPr>
              <w:pStyle w:val="cuadroCabe"/>
              <w:jc w:val="right"/>
              <w:rPr>
                <w:color w:val="000000" w:themeColor="text1"/>
                <w:sz w:val="16"/>
                <w:szCs w:val="16"/>
              </w:rPr>
            </w:pPr>
            <w:r>
              <w:rPr>
                <w:color w:val="000000" w:themeColor="text1"/>
                <w:sz w:val="16"/>
                <w:szCs w:val="16"/>
              </w:rPr>
              <w:t>1</w:t>
            </w:r>
          </w:p>
        </w:tc>
      </w:tr>
    </w:tbl>
    <w:p w14:paraId="4AEE7CEF" w14:textId="77777777" w:rsidR="0088085F" w:rsidRPr="00262228" w:rsidRDefault="0088085F" w:rsidP="007E5A67">
      <w:pPr>
        <w:pStyle w:val="texto"/>
        <w:spacing w:before="220"/>
      </w:pPr>
      <w:r>
        <w:t>Fiskalizatutako entitateei buruzko datu nagusiak eta Nafarroako toki sektore publiko osoa alderatzen baditugu, honako hauek dira emaitzak:</w:t>
      </w:r>
    </w:p>
    <w:p w14:paraId="3A3BB0F8"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Pr>
          <w:color w:val="000000" w:themeColor="text1"/>
          <w:sz w:val="26"/>
          <w:szCs w:val="26"/>
        </w:rPr>
        <w:t>Fiskalizatutako bi toki entitateen biztanleriak 272 udalerrietako biztanleria osoaren ehuneko 34 egiten du.</w:t>
      </w:r>
    </w:p>
    <w:p w14:paraId="1F00F34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Aztertutako entitateen diru-sarrerek eta gastuek Nafarroako toki sektore publikoaren guztizko diru-sarreren eta gastuen ehuneko 26 eta ehuneko 25 egiten dute, hurrenez hurren.</w:t>
      </w:r>
    </w:p>
    <w:p w14:paraId="02810AAA"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 Fiskalizatutako udal horien menpeko entitateak, berriz, guztietatik ehuneko 8,3 dira, partzuergoak kontuan hartu gabe.</w:t>
      </w:r>
    </w:p>
    <w:p w14:paraId="2B82CD83" w14:textId="77777777" w:rsidR="005B091A" w:rsidRDefault="0088085F" w:rsidP="0088085F">
      <w:pPr>
        <w:pStyle w:val="texto"/>
      </w:pPr>
      <w:r>
        <w:t xml:space="preserve"> Aipatutako </w:t>
      </w:r>
      <w:proofErr w:type="spellStart"/>
      <w:r>
        <w:t>auditoriez</w:t>
      </w:r>
      <w:proofErr w:type="spellEnd"/>
      <w:r>
        <w:t xml:space="preserve"> gain, lan hauek egin ziren:</w:t>
      </w:r>
    </w:p>
    <w:p w14:paraId="5412E572" w14:textId="77777777" w:rsidR="00707B7B" w:rsidRDefault="002548FC" w:rsidP="002548FC">
      <w:pPr>
        <w:pStyle w:val="texto"/>
      </w:pPr>
      <w:r>
        <w:t xml:space="preserve">a) Langileak kontratatzean legezkotasuna betetzeari buruzko fiskalizazio horizontala, </w:t>
      </w:r>
      <w:proofErr w:type="spellStart"/>
      <w:r>
        <w:t>Jurramendiko</w:t>
      </w:r>
      <w:proofErr w:type="spellEnd"/>
      <w:r>
        <w:t xml:space="preserve"> Mankomunitatean eta Lekunberri, Lodosa, Ribaforada eta Zangozako udaletan, 2015-2020 aldirako.</w:t>
      </w:r>
    </w:p>
    <w:p w14:paraId="73F92280" w14:textId="77777777" w:rsidR="0088085F" w:rsidRDefault="002548FC" w:rsidP="002548FC">
      <w:pPr>
        <w:pStyle w:val="texto"/>
      </w:pPr>
      <w:r>
        <w:t>b) Nafarroako toki entitateetako kontu-hartzaileek egindako eragozpen-oharren kontrako erabaki eta ebazpenen eta diru-sarreretan detektatutako anomalien gaineko txostena, 2018 eta 2019.</w:t>
      </w:r>
    </w:p>
    <w:p w14:paraId="37AD6B68" w14:textId="77777777" w:rsidR="00707B7B" w:rsidRDefault="002548FC" w:rsidP="002548FC">
      <w:pPr>
        <w:pStyle w:val="texto"/>
      </w:pPr>
      <w:r>
        <w:t>c) Lekunberriko Udaleko ur hornidura eta saneamendu zerbitzuari buruzko txostena, 2015etik 2020ra bitarteko ekitaldiak aztertzen dituena.</w:t>
      </w:r>
    </w:p>
    <w:p w14:paraId="12FE45A2" w14:textId="77777777" w:rsidR="00707B7B" w:rsidRPr="00262228" w:rsidRDefault="00707B7B" w:rsidP="00707B7B">
      <w:pPr>
        <w:pStyle w:val="texto"/>
      </w:pPr>
      <w:r>
        <w:t>Fiskalizazioaren emaitzak kasuko txostenean jaso ziren, eta Nafarroako Parlamentuko Aldizkari Ofizialean eta Nafarroako Kontuen Ganberaren webgunean argitaratu ziren.</w:t>
      </w:r>
    </w:p>
    <w:p w14:paraId="3FC20AF4" w14:textId="77777777" w:rsidR="0088085F" w:rsidRPr="00262228" w:rsidRDefault="0088085F" w:rsidP="0088085F">
      <w:pPr>
        <w:pStyle w:val="texto"/>
      </w:pPr>
      <w:r>
        <w:t>Finantzen eta legezkotasunaren fiskalizazioen helburua da honako hauei buruzko iritzia ematea:</w:t>
      </w:r>
    </w:p>
    <w:p w14:paraId="122B07D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lastRenderedPageBreak/>
        <w:t>Finantza-auditoretzako iritzia: ea kontu orokorrak jasotzen ote zuen, alderdi nabarmen guztietan, toki entitatearen ondarearen, aurrekontuen likidazioaren eta finantza egoeraren irudi zehatza, 2019ko abenduaren 31n; bai eta haren emaitza ekonomikoak eta aurrekontukoak ere, egun horretan amaitutako urteko ekitaldiari dagozkionak, aplikatu behar den finantza informazio publikoaren arau esparruarekin bat, eta, bereziki, bertan jasotako kontabilitateko irizpide eta printzipioekin bat.</w:t>
      </w:r>
    </w:p>
    <w:p w14:paraId="17D86460"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Legezkotasuna betetzeari buruzko iritzia: ea toki entitatearen 2019ko ekitaldiari dagozkion finantzen egoera-orrietan islatutako jarduerak, aurrekontu- eta finantza-eragiketak eta informazioa bat ote datozen, alderdi adierazgarri guztietan, funts publikoen kudeaketari aplikatzekoa zaion araudiarekin.</w:t>
      </w:r>
    </w:p>
    <w:p w14:paraId="638F833A" w14:textId="77777777" w:rsidR="0088085F" w:rsidRPr="00262228" w:rsidRDefault="0088085F" w:rsidP="0088085F">
      <w:pPr>
        <w:pStyle w:val="texto"/>
      </w:pPr>
      <w:r>
        <w:t>Fiskalizazioaren emaitzak txostenetan jaso ziren, eta Nafarroako Parlamentuko Aldizkari Ofizialean eta Nafarroako Kontuen Ganberaren webgunean argitaratu.</w:t>
      </w:r>
    </w:p>
    <w:p w14:paraId="13AA256F" w14:textId="77777777" w:rsidR="0088085F" w:rsidRPr="00262228" w:rsidRDefault="0088085F" w:rsidP="0088085F">
      <w:pPr>
        <w:pStyle w:val="texto"/>
      </w:pPr>
      <w:r>
        <w:t>Txosten horietan jasotako iritziari dagokionez, honako hauek izan ziren emaitzak:</w:t>
      </w:r>
    </w:p>
    <w:p w14:paraId="016AD33E" w14:textId="77777777" w:rsidR="00707B7B" w:rsidRPr="009A521B" w:rsidRDefault="0088085F" w:rsidP="00707B7B">
      <w:pPr>
        <w:pStyle w:val="texto"/>
        <w:numPr>
          <w:ilvl w:val="0"/>
          <w:numId w:val="11"/>
        </w:numPr>
        <w:tabs>
          <w:tab w:val="clear" w:pos="2835"/>
          <w:tab w:val="clear" w:pos="3969"/>
          <w:tab w:val="clear" w:pos="5103"/>
          <w:tab w:val="clear" w:pos="6237"/>
          <w:tab w:val="clear" w:pos="7371"/>
          <w:tab w:val="left" w:pos="602"/>
        </w:tabs>
        <w:ind w:left="0" w:firstLine="284"/>
        <w:rPr>
          <w:color w:val="000000" w:themeColor="text1"/>
          <w:szCs w:val="26"/>
        </w:rPr>
      </w:pPr>
      <w:r>
        <w:rPr>
          <w:color w:val="000000" w:themeColor="text1"/>
        </w:rPr>
        <w:t xml:space="preserve">Finantza-auditoretzako iritzia aldekoa izan zen Eguesibarko Udalean, eta era berean aldekoa Iruñeko Udalean, baina ohartarazita kontabilizatu gabe zeudela </w:t>
      </w:r>
      <w:r>
        <w:rPr>
          <w:color w:val="000000" w:themeColor="text1"/>
          <w:szCs w:val="26"/>
        </w:rPr>
        <w:t>udal montepioko</w:t>
      </w:r>
      <w:r>
        <w:rPr>
          <w:color w:val="000000" w:themeColor="text1"/>
        </w:rPr>
        <w:t xml:space="preserve"> langileen pentsioen ondoriozko betebehar aktuarialak.</w:t>
      </w:r>
      <w:r>
        <w:rPr>
          <w:color w:val="000000" w:themeColor="text1"/>
          <w:szCs w:val="26"/>
        </w:rPr>
        <w:t xml:space="preserve"> </w:t>
      </w:r>
    </w:p>
    <w:p w14:paraId="7A36A2AC" w14:textId="77777777" w:rsidR="0088085F" w:rsidRPr="009A521B" w:rsidRDefault="0088085F" w:rsidP="0088085F">
      <w:pPr>
        <w:pStyle w:val="texto"/>
        <w:numPr>
          <w:ilvl w:val="0"/>
          <w:numId w:val="11"/>
        </w:numPr>
        <w:tabs>
          <w:tab w:val="clear" w:pos="2835"/>
          <w:tab w:val="clear" w:pos="3969"/>
          <w:tab w:val="clear" w:pos="5103"/>
          <w:tab w:val="clear" w:pos="6237"/>
          <w:tab w:val="clear" w:pos="7371"/>
          <w:tab w:val="left" w:pos="602"/>
        </w:tabs>
        <w:ind w:left="0" w:firstLine="284"/>
        <w:rPr>
          <w:color w:val="000000" w:themeColor="text1"/>
        </w:rPr>
      </w:pPr>
      <w:r>
        <w:rPr>
          <w:color w:val="000000" w:themeColor="text1"/>
        </w:rPr>
        <w:t>Legezkotasuna betetzeari buruzko auditoretzako iritzia aldekoa izan zen, salbuespenekin, sei udaletan eta mankomunitate batean. Kasu horietan honako hauek izan ziren salbuespen nagusiak:</w:t>
      </w:r>
    </w:p>
    <w:p w14:paraId="1D0BA6AF"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Zerbitzu eta hornidura gastu batzuk ordaindu ziren kontraturik gabe, kontratuen gehieneko indarraldia bukatuta baitzegoen.</w:t>
      </w:r>
    </w:p>
    <w:p w14:paraId="630652E0"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Osoko Bilkurak erabaki zuen lan-kontratudun finko bilakatzea aldi baterako lan-kontratua zuten hiru langile, lan-kontratudun finkoen lanpostu banatan ari zirenak. Ez ziren bete berdintasunaren, merezimenduaren eta gaitasunaren printzipioak.</w:t>
      </w:r>
    </w:p>
    <w:p w14:paraId="04A64A4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Berrikusitako hiru kontratazio-prozesutan ez dira bete berdintasunaren, merezimenduaren eta gaitasunaren printzipioak.</w:t>
      </w:r>
    </w:p>
    <w:p w14:paraId="7A7C0C4F" w14:textId="77777777" w:rsidR="0088085F"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Behar iraunkor eta egiturazkoei dagozkien lanpostuak ez dira plantilla organikoan jaso eta behin eta berriz erabili dira aldi baterako kontratazioak behar horiek asetzeko. Ondorioz, udalaren 21 langilek kontratu mugagabe ez-finkoa dute. </w:t>
      </w:r>
    </w:p>
    <w:p w14:paraId="03F12B56" w14:textId="77777777" w:rsidR="00707B7B" w:rsidRPr="00CE5750" w:rsidRDefault="00707B7B" w:rsidP="00707B7B">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Ez dira nominan sartu langileei ordaindutako </w:t>
      </w:r>
      <w:proofErr w:type="spellStart"/>
      <w:r>
        <w:rPr>
          <w:sz w:val="26"/>
          <w:szCs w:val="26"/>
        </w:rPr>
        <w:t>kilometraje</w:t>
      </w:r>
      <w:proofErr w:type="spellEnd"/>
      <w:r>
        <w:rPr>
          <w:sz w:val="26"/>
          <w:szCs w:val="26"/>
        </w:rPr>
        <w:t xml:space="preserve"> gastuak eta kalte-ordainak.</w:t>
      </w:r>
    </w:p>
    <w:p w14:paraId="561846CD"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Produkzioaren inguruabarrak direla-eta erakunde autonomo bateko langileei egindako behin-behineko kontratuak ez datoz bat egindako jardueraren izaerarekin, jarduera hori betebehar iraunkor eta ziklikoa baita.</w:t>
      </w:r>
    </w:p>
    <w:p w14:paraId="7C610807" w14:textId="77777777" w:rsidR="0088085F" w:rsidRPr="00262228" w:rsidRDefault="0088085F" w:rsidP="00262228">
      <w:pPr>
        <w:pStyle w:val="texto"/>
      </w:pPr>
      <w:r>
        <w:t>Honako hauek dira Ganbera honek entitate horien fiskalizazio txostenetan jaso zituen gomendio nagusiak:</w:t>
      </w:r>
    </w:p>
    <w:p w14:paraId="317DE16A"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lastRenderedPageBreak/>
        <w:t>Nomina aldez aurretik fiskalizatzea, ordaindu baino lehen.</w:t>
      </w:r>
    </w:p>
    <w:p w14:paraId="453D768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Egiturazkoak eta iraunkorrak diren lanpostu guztiak plantilla organikoan sartzea.</w:t>
      </w:r>
    </w:p>
    <w:p w14:paraId="61F7E1EB"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Ezarritako prozeduren arabera egitea lanpostuen deialdiak, une oro bermatuz berdintasun, merezimendu eta gaitasun printzipioak enplegu publikorako sarbidean.</w:t>
      </w:r>
    </w:p>
    <w:p w14:paraId="7DA2D0E7"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Aldi baterako langileen egoera erregularizatzea, eta lanpostu hutsen deialdia egitea, egungo araudiaren testuinguruan.</w:t>
      </w:r>
    </w:p>
    <w:p w14:paraId="6A353AA2"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Espedientean justifikatzea lan eskaintza publikoetan sartutako lanpostuetarako Estatuko Aurrekontu Orokorrei buruzko Legean ezarritako baldintzak betetzen direla, bai enpleguaren ordezte-tasari dagokionez, bai aldi baterako enplegua egonkortzeari dagokionez.</w:t>
      </w:r>
    </w:p>
    <w:p w14:paraId="1717377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Kontratuen lizitazio-prozeduren denbora-plangintza egokia ezartzea, haien gehieneko indarraldia ez gainditzeko.</w:t>
      </w:r>
    </w:p>
    <w:p w14:paraId="70B879B1"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Kasu guztietan, baldintza-agirietan ezarritako exekuzio baldintza bereziak betetzen direla egiaztatzea.</w:t>
      </w:r>
    </w:p>
    <w:p w14:paraId="70217FD9"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Pleguetan balorazio ekonomikorako formula linealki proportzionalak ezartzea, lizitatzaileek lortutako puntuazioa prezio-murrizketarekiko zuzenki proportzionala izan dadin.</w:t>
      </w:r>
    </w:p>
    <w:p w14:paraId="50328E1C"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Inbertsio plan bat onestea, plangintza egokia egin ahal izateko, bai eta haren jarraipena, kontrola eta ondorengo ebaluazioa ere.</w:t>
      </w:r>
    </w:p>
    <w:p w14:paraId="3E829FC3"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Dirulaguntzei buruzko plan estrategikoa onestea.</w:t>
      </w:r>
    </w:p>
    <w:p w14:paraId="3437E2A4"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Kostuen azterketa egiten jarraitzea, hura ezartzeko eta tasak eta prezio publikoak zerbitzuen kostuen arabera ezartzeko.</w:t>
      </w:r>
    </w:p>
    <w:p w14:paraId="5EFE8F82" w14:textId="77777777" w:rsidR="0088085F" w:rsidRPr="00262228" w:rsidRDefault="0088085F" w:rsidP="00262228">
      <w:pPr>
        <w:pStyle w:val="texto"/>
      </w:pPr>
      <w:r>
        <w:t xml:space="preserve">Aurrekontu-egonkortasunari eta finantza-iraunkortasunari dagokienez, </w:t>
      </w:r>
      <w:r>
        <w:rPr>
          <w:color w:val="000000" w:themeColor="text1"/>
        </w:rPr>
        <w:t>Iruñeko Udalean eta Eguesibarko</w:t>
      </w:r>
      <w:r>
        <w:t xml:space="preserve"> Udalean soilik fiskalizatu da horiek betetzen ote diren. Oro har, entitateek arau fiskalak bete zituzten, hiru kasu hauetan izan ezik: Eguesibarko Udalak ez zuen bete gastu-araua eta ez zuen plan ekonomiko-finantzariorik onetsi. Iruñeko Udalak hiru arau fiskalak betetzen zituen, beraren txostenaren arabera, baina Ganbera honek egindako kalkuluak erakutsi zuen ez zela bete gastu-araua. </w:t>
      </w:r>
    </w:p>
    <w:p w14:paraId="66D45793" w14:textId="77777777" w:rsidR="0088085F" w:rsidRPr="00262228" w:rsidRDefault="0088085F" w:rsidP="0088085F">
      <w:pPr>
        <w:pStyle w:val="texto"/>
      </w:pPr>
      <w:r>
        <w:t xml:space="preserve">Lekunberriko Udalaren ur hornidura eta saneamendu zerbitzuaren erregulartasunari eta jardunari buruzko </w:t>
      </w:r>
      <w:proofErr w:type="spellStart"/>
      <w:r>
        <w:t>auditorian</w:t>
      </w:r>
      <w:proofErr w:type="spellEnd"/>
      <w:r>
        <w:t xml:space="preserve"> ondorioztatu zen zerbitzua berregituratu egin behar dela, azpiegitura guztien ustiapena eta mantentzea batuz, ematen den zerbitzuaren eraginkortasun eta efizientzia handiagoa lortzeko. Beharrezkoa da </w:t>
      </w:r>
      <w:r>
        <w:rPr>
          <w:color w:val="000000" w:themeColor="text1"/>
        </w:rPr>
        <w:t>zerbitzuaren ardura duen Partzuergoaren estatutuak eguneratu eta egokitzea</w:t>
      </w:r>
      <w:r>
        <w:t xml:space="preserve"> aplikatzekoak zaizkion Sektore Publikoaren Araubide Juridikoari buruzko urriaren 1eko 40/2015 Legeko xedapenen arabera, bai eta argi ezartzea ere zein diren </w:t>
      </w:r>
      <w:r>
        <w:lastRenderedPageBreak/>
        <w:t>zenbatu beharreko gastuak eta horiek Partzuergoko kideen artean banatzeko irizpideak.</w:t>
      </w:r>
    </w:p>
    <w:p w14:paraId="7B308B13" w14:textId="77777777" w:rsidR="0088085F" w:rsidRDefault="0088085F" w:rsidP="0088085F">
      <w:pPr>
        <w:spacing w:after="0"/>
        <w:ind w:firstLine="0"/>
        <w:jc w:val="left"/>
        <w:rPr>
          <w:rFonts w:cs="Arial"/>
          <w:color w:val="000000" w:themeColor="text1"/>
          <w:spacing w:val="6"/>
          <w:sz w:val="26"/>
          <w:szCs w:val="24"/>
        </w:rPr>
      </w:pPr>
      <w:r>
        <w:br w:type="page"/>
      </w:r>
    </w:p>
    <w:p w14:paraId="10544E98" w14:textId="77777777" w:rsidR="0088085F" w:rsidRPr="00B81E61" w:rsidRDefault="0088085F" w:rsidP="0088085F">
      <w:pPr>
        <w:pStyle w:val="atitulo1"/>
        <w:rPr>
          <w:color w:val="000000" w:themeColor="text1"/>
        </w:rPr>
      </w:pPr>
      <w:bookmarkStart w:id="59" w:name="_Toc24100142"/>
      <w:bookmarkStart w:id="60" w:name="_Toc52348290"/>
      <w:bookmarkStart w:id="61" w:name="_Toc89161267"/>
      <w:bookmarkStart w:id="62" w:name="_Toc94871722"/>
      <w:r>
        <w:rPr>
          <w:color w:val="000000" w:themeColor="text1"/>
        </w:rPr>
        <w:lastRenderedPageBreak/>
        <w:t>V. Toki sektore publikoaren finantza egoera</w:t>
      </w:r>
      <w:bookmarkEnd w:id="59"/>
      <w:bookmarkEnd w:id="60"/>
      <w:bookmarkEnd w:id="61"/>
      <w:bookmarkEnd w:id="62"/>
    </w:p>
    <w:p w14:paraId="0D57C5E9" w14:textId="77777777" w:rsidR="0088085F" w:rsidRPr="00262228" w:rsidRDefault="0088085F" w:rsidP="00262228">
      <w:pPr>
        <w:pStyle w:val="texto"/>
      </w:pPr>
      <w:r>
        <w:t xml:space="preserve">Toki sektore publikoari buruzko 2019ko txostenean, zeina txosten honen 2. eranskinean jaso baitugu, toki entitateen (udalak, kontzejuak, mankomunitateak, elkarte tradizionalak eta udalen batasunak) eta beren erakunde autonomoen informazio bateratua aurkezten da. </w:t>
      </w:r>
    </w:p>
    <w:p w14:paraId="7B5020F5" w14:textId="77777777" w:rsidR="0088085F" w:rsidRPr="00262228" w:rsidRDefault="0088085F" w:rsidP="00262228">
      <w:pPr>
        <w:pStyle w:val="texto"/>
      </w:pPr>
      <w:r>
        <w:t>Txosten horretan, ordea, lehen aldiz aurkezten da Iruñerriko Zerbitzuak SArekin (SCPSA) bateratutako datuen atala. Sozietate hori Iruñerriko Mankomunitatearen menpekoa da. Zerbitzu mankomunatuak kudeatzen dituzten sozietate publikoen multzoan sozietate horrek egiten duen gastua guztizko gastuaren ehuneko 80 inguru da.</w:t>
      </w:r>
    </w:p>
    <w:p w14:paraId="4C0D4260" w14:textId="77777777" w:rsidR="0088085F" w:rsidRPr="00122347" w:rsidRDefault="0088085F" w:rsidP="0088085F">
      <w:pPr>
        <w:pStyle w:val="atitulo2"/>
        <w:spacing w:before="200" w:after="120"/>
        <w:rPr>
          <w:bCs w:val="0"/>
          <w:iCs w:val="0"/>
          <w:color w:val="000000" w:themeColor="text1"/>
        </w:rPr>
      </w:pPr>
      <w:bookmarkStart w:id="63" w:name="_Toc465686688"/>
      <w:bookmarkStart w:id="64" w:name="_Toc529773882"/>
      <w:bookmarkStart w:id="65" w:name="_Toc24100143"/>
      <w:bookmarkStart w:id="66" w:name="_Toc52348291"/>
      <w:bookmarkStart w:id="67" w:name="_Toc89161268"/>
      <w:bookmarkStart w:id="68" w:name="_Toc94871723"/>
      <w:r>
        <w:rPr>
          <w:bCs w:val="0"/>
          <w:iCs w:val="0"/>
          <w:color w:val="000000" w:themeColor="text1"/>
        </w:rPr>
        <w:t>V.1. Diru-sarrerak</w:t>
      </w:r>
      <w:bookmarkEnd w:id="63"/>
      <w:bookmarkEnd w:id="64"/>
      <w:bookmarkEnd w:id="65"/>
      <w:bookmarkEnd w:id="66"/>
      <w:bookmarkEnd w:id="67"/>
      <w:bookmarkEnd w:id="68"/>
    </w:p>
    <w:p w14:paraId="33B841F4" w14:textId="77777777" w:rsidR="0088085F" w:rsidRPr="00FF78F4" w:rsidRDefault="0088085F" w:rsidP="0085586A">
      <w:pPr>
        <w:pStyle w:val="texto"/>
        <w:spacing w:after="120"/>
        <w:rPr>
          <w:sz w:val="18"/>
          <w:szCs w:val="18"/>
        </w:rPr>
      </w:pPr>
      <w:r>
        <w:t>Hona toki sektore publikoaren diru-sarreren aurrekontu-betetzea:</w:t>
      </w:r>
    </w:p>
    <w:p w14:paraId="3EC708C1" w14:textId="77777777" w:rsidR="0088085F" w:rsidRPr="00FF78F4" w:rsidRDefault="0088085F" w:rsidP="00327081">
      <w:pPr>
        <w:pStyle w:val="texto"/>
        <w:tabs>
          <w:tab w:val="center" w:pos="9072"/>
        </w:tabs>
        <w:spacing w:before="120" w:after="60"/>
        <w:ind w:right="-284"/>
        <w:rPr>
          <w:rFonts w:ascii="Arial" w:hAnsi="Arial" w:cs="Arial"/>
          <w:color w:val="000000" w:themeColor="text1"/>
          <w:sz w:val="17"/>
          <w:szCs w:val="17"/>
        </w:rPr>
      </w:pPr>
      <w:r>
        <w:rPr>
          <w:rFonts w:ascii="Arial" w:hAnsi="Arial"/>
          <w:color w:val="000000" w:themeColor="text1"/>
          <w:sz w:val="17"/>
          <w:szCs w:val="17"/>
        </w:rPr>
        <w:t xml:space="preserve">                                                                                                                                        (milioitan) (</w:t>
      </w:r>
      <w:r w:rsidRPr="00FF78F4">
        <w:rPr>
          <w:rStyle w:val="Refdenotaalpie"/>
          <w:rFonts w:ascii="Arial" w:hAnsi="Arial" w:cs="Arial"/>
          <w:color w:val="000000" w:themeColor="text1"/>
          <w:sz w:val="17"/>
          <w:szCs w:val="17"/>
        </w:rPr>
        <w:footnoteReference w:id="1"/>
      </w:r>
      <w:r>
        <w:rPr>
          <w:rFonts w:ascii="Arial" w:hAnsi="Arial"/>
          <w:color w:val="000000" w:themeColor="text1"/>
          <w:sz w:val="17"/>
          <w:szCs w:val="17"/>
        </w:rPr>
        <w:t>)</w:t>
      </w:r>
    </w:p>
    <w:tbl>
      <w:tblPr>
        <w:tblW w:w="5072" w:type="pct"/>
        <w:jc w:val="center"/>
        <w:tblLayout w:type="fixed"/>
        <w:tblCellMar>
          <w:left w:w="70" w:type="dxa"/>
          <w:right w:w="70" w:type="dxa"/>
        </w:tblCellMar>
        <w:tblLook w:val="04A0" w:firstRow="1" w:lastRow="0" w:firstColumn="1" w:lastColumn="0" w:noHBand="0" w:noVBand="1"/>
      </w:tblPr>
      <w:tblGrid>
        <w:gridCol w:w="3275"/>
        <w:gridCol w:w="1038"/>
        <w:gridCol w:w="826"/>
        <w:gridCol w:w="956"/>
        <w:gridCol w:w="997"/>
        <w:gridCol w:w="986"/>
        <w:gridCol w:w="838"/>
      </w:tblGrid>
      <w:tr w:rsidR="009B216E" w:rsidRPr="009B216E" w14:paraId="05410929" w14:textId="77777777" w:rsidTr="005434E5">
        <w:trPr>
          <w:trHeight w:val="255"/>
          <w:jc w:val="center"/>
        </w:trPr>
        <w:tc>
          <w:tcPr>
            <w:tcW w:w="1837" w:type="pct"/>
            <w:tcBorders>
              <w:top w:val="single" w:sz="4" w:space="0" w:color="000000"/>
              <w:left w:val="nil"/>
              <w:bottom w:val="single" w:sz="4" w:space="0" w:color="000000"/>
              <w:right w:val="nil"/>
            </w:tcBorders>
            <w:shd w:val="clear" w:color="auto" w:fill="FABF8F" w:themeFill="accent6" w:themeFillTint="99"/>
            <w:vAlign w:val="center"/>
            <w:hideMark/>
          </w:tcPr>
          <w:p w14:paraId="74A7A927" w14:textId="77777777" w:rsidR="0088085F" w:rsidRPr="009B216E" w:rsidRDefault="0088085F" w:rsidP="005434E5">
            <w:pPr>
              <w:pStyle w:val="cuadroCabe"/>
              <w:jc w:val="left"/>
              <w:rPr>
                <w:color w:val="000000" w:themeColor="text1"/>
                <w:sz w:val="16"/>
                <w:szCs w:val="16"/>
              </w:rPr>
            </w:pPr>
            <w:r>
              <w:rPr>
                <w:color w:val="000000" w:themeColor="text1"/>
                <w:sz w:val="16"/>
                <w:szCs w:val="16"/>
              </w:rPr>
              <w:t>Kapitulua</w:t>
            </w:r>
          </w:p>
        </w:tc>
        <w:tc>
          <w:tcPr>
            <w:tcW w:w="582" w:type="pct"/>
            <w:tcBorders>
              <w:top w:val="single" w:sz="4" w:space="0" w:color="000000"/>
              <w:left w:val="nil"/>
              <w:bottom w:val="single" w:sz="4" w:space="0" w:color="000000"/>
              <w:right w:val="nil"/>
            </w:tcBorders>
            <w:shd w:val="clear" w:color="auto" w:fill="FABF8F" w:themeFill="accent6" w:themeFillTint="99"/>
            <w:vAlign w:val="center"/>
            <w:hideMark/>
          </w:tcPr>
          <w:p w14:paraId="5F114396" w14:textId="77777777" w:rsidR="0088085F" w:rsidRPr="009B216E" w:rsidRDefault="0088085F" w:rsidP="005434E5">
            <w:pPr>
              <w:pStyle w:val="cuadroCabe"/>
              <w:tabs>
                <w:tab w:val="clear" w:pos="2835"/>
                <w:tab w:val="right" w:pos="1065"/>
              </w:tabs>
              <w:ind w:left="67" w:hanging="67"/>
              <w:jc w:val="right"/>
              <w:rPr>
                <w:color w:val="000000" w:themeColor="text1"/>
                <w:sz w:val="16"/>
                <w:szCs w:val="16"/>
              </w:rPr>
            </w:pPr>
            <w:r>
              <w:rPr>
                <w:color w:val="000000" w:themeColor="text1"/>
                <w:sz w:val="16"/>
                <w:szCs w:val="16"/>
              </w:rPr>
              <w:t>Behin betiko     aurreikuspenak</w:t>
            </w:r>
          </w:p>
        </w:tc>
        <w:tc>
          <w:tcPr>
            <w:tcW w:w="463" w:type="pct"/>
            <w:tcBorders>
              <w:top w:val="single" w:sz="4" w:space="0" w:color="000000"/>
              <w:left w:val="nil"/>
              <w:bottom w:val="single" w:sz="4" w:space="0" w:color="000000"/>
              <w:right w:val="nil"/>
            </w:tcBorders>
            <w:shd w:val="clear" w:color="auto" w:fill="FABF8F" w:themeFill="accent6" w:themeFillTint="99"/>
            <w:vAlign w:val="center"/>
            <w:hideMark/>
          </w:tcPr>
          <w:p w14:paraId="345ACC9A" w14:textId="77777777" w:rsidR="0088085F" w:rsidRPr="009B216E" w:rsidRDefault="0088085F" w:rsidP="005434E5">
            <w:pPr>
              <w:pStyle w:val="cuadroCabe"/>
              <w:jc w:val="right"/>
              <w:rPr>
                <w:color w:val="000000" w:themeColor="text1"/>
                <w:sz w:val="16"/>
                <w:szCs w:val="16"/>
              </w:rPr>
            </w:pPr>
            <w:r>
              <w:rPr>
                <w:color w:val="000000" w:themeColor="text1"/>
                <w:sz w:val="16"/>
                <w:szCs w:val="16"/>
              </w:rPr>
              <w:t>AEG 2019</w:t>
            </w:r>
          </w:p>
        </w:tc>
        <w:tc>
          <w:tcPr>
            <w:tcW w:w="536" w:type="pct"/>
            <w:tcBorders>
              <w:top w:val="single" w:sz="4" w:space="0" w:color="000000"/>
              <w:left w:val="nil"/>
              <w:bottom w:val="single" w:sz="4" w:space="0" w:color="000000"/>
              <w:right w:val="nil"/>
            </w:tcBorders>
            <w:shd w:val="clear" w:color="auto" w:fill="FABF8F" w:themeFill="accent6" w:themeFillTint="99"/>
            <w:vAlign w:val="center"/>
            <w:hideMark/>
          </w:tcPr>
          <w:p w14:paraId="1A67F422" w14:textId="77777777" w:rsidR="0088085F" w:rsidRPr="009B216E" w:rsidRDefault="0088085F" w:rsidP="005434E5">
            <w:pPr>
              <w:pStyle w:val="cuadroCabe"/>
              <w:jc w:val="right"/>
              <w:rPr>
                <w:color w:val="000000" w:themeColor="text1"/>
                <w:sz w:val="16"/>
                <w:szCs w:val="16"/>
              </w:rPr>
            </w:pPr>
            <w:r>
              <w:rPr>
                <w:color w:val="000000" w:themeColor="text1"/>
                <w:sz w:val="16"/>
                <w:szCs w:val="16"/>
              </w:rPr>
              <w:t xml:space="preserve"> Ehunekoa, diru-sar. guzt. gainean</w:t>
            </w:r>
          </w:p>
        </w:tc>
        <w:tc>
          <w:tcPr>
            <w:tcW w:w="559" w:type="pct"/>
            <w:tcBorders>
              <w:top w:val="single" w:sz="4" w:space="0" w:color="000000"/>
              <w:left w:val="nil"/>
              <w:bottom w:val="single" w:sz="4" w:space="0" w:color="000000"/>
              <w:right w:val="nil"/>
            </w:tcBorders>
            <w:shd w:val="clear" w:color="auto" w:fill="FABF8F" w:themeFill="accent6" w:themeFillTint="99"/>
            <w:vAlign w:val="center"/>
            <w:hideMark/>
          </w:tcPr>
          <w:p w14:paraId="210D7B12" w14:textId="77777777" w:rsidR="0088085F" w:rsidRPr="009B216E" w:rsidRDefault="0088085F" w:rsidP="005434E5">
            <w:pPr>
              <w:pStyle w:val="cuadroCabe"/>
              <w:jc w:val="right"/>
              <w:rPr>
                <w:color w:val="000000" w:themeColor="text1"/>
                <w:sz w:val="16"/>
                <w:szCs w:val="16"/>
              </w:rPr>
            </w:pPr>
            <w:r>
              <w:rPr>
                <w:color w:val="000000" w:themeColor="text1"/>
                <w:sz w:val="16"/>
                <w:szCs w:val="16"/>
              </w:rPr>
              <w:t>Betetakoa</w:t>
            </w:r>
            <w:r>
              <w:rPr>
                <w:color w:val="000000" w:themeColor="text1"/>
                <w:sz w:val="16"/>
                <w:szCs w:val="16"/>
              </w:rPr>
              <w:br/>
              <w:t>(%)</w:t>
            </w:r>
          </w:p>
        </w:tc>
        <w:tc>
          <w:tcPr>
            <w:tcW w:w="553" w:type="pct"/>
            <w:tcBorders>
              <w:top w:val="single" w:sz="4" w:space="0" w:color="000000"/>
              <w:left w:val="nil"/>
              <w:bottom w:val="single" w:sz="4" w:space="0" w:color="000000"/>
              <w:right w:val="nil"/>
            </w:tcBorders>
            <w:shd w:val="clear" w:color="auto" w:fill="FABF8F" w:themeFill="accent6" w:themeFillTint="99"/>
            <w:vAlign w:val="center"/>
            <w:hideMark/>
          </w:tcPr>
          <w:p w14:paraId="1D37164B" w14:textId="77777777" w:rsidR="0088085F" w:rsidRPr="009B216E" w:rsidRDefault="0088085F" w:rsidP="005434E5">
            <w:pPr>
              <w:pStyle w:val="cuadroCabe"/>
              <w:jc w:val="right"/>
              <w:rPr>
                <w:rFonts w:cs="Arial"/>
                <w:color w:val="000000" w:themeColor="text1"/>
                <w:sz w:val="16"/>
                <w:szCs w:val="16"/>
              </w:rPr>
            </w:pPr>
            <w:r>
              <w:rPr>
                <w:color w:val="000000" w:themeColor="text1"/>
                <w:sz w:val="16"/>
                <w:szCs w:val="16"/>
              </w:rPr>
              <w:t>2019/2018 aldea (%)</w:t>
            </w:r>
          </w:p>
        </w:tc>
        <w:tc>
          <w:tcPr>
            <w:tcW w:w="471" w:type="pct"/>
            <w:tcBorders>
              <w:top w:val="single" w:sz="4" w:space="0" w:color="000000"/>
              <w:left w:val="nil"/>
              <w:bottom w:val="single" w:sz="4" w:space="0" w:color="000000"/>
              <w:right w:val="nil"/>
            </w:tcBorders>
            <w:shd w:val="clear" w:color="auto" w:fill="FABF8F" w:themeFill="accent6" w:themeFillTint="99"/>
            <w:vAlign w:val="center"/>
          </w:tcPr>
          <w:p w14:paraId="655EE9ED" w14:textId="77777777" w:rsidR="0088085F" w:rsidRPr="009B216E" w:rsidRDefault="0088085F" w:rsidP="005434E5">
            <w:pPr>
              <w:pStyle w:val="cuadroCabe"/>
              <w:jc w:val="right"/>
              <w:rPr>
                <w:color w:val="000000" w:themeColor="text1"/>
                <w:sz w:val="16"/>
                <w:szCs w:val="16"/>
              </w:rPr>
            </w:pPr>
            <w:r>
              <w:rPr>
                <w:color w:val="000000" w:themeColor="text1"/>
                <w:sz w:val="16"/>
                <w:szCs w:val="16"/>
              </w:rPr>
              <w:t>AEG, 2019</w:t>
            </w:r>
          </w:p>
        </w:tc>
      </w:tr>
      <w:tr w:rsidR="009B216E" w:rsidRPr="009B216E" w14:paraId="188F3EFD"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2B091820" w14:textId="77777777" w:rsidR="0088085F" w:rsidRPr="009B216E" w:rsidRDefault="0088085F" w:rsidP="005434E5">
            <w:pPr>
              <w:pStyle w:val="cuatexto"/>
              <w:jc w:val="left"/>
              <w:rPr>
                <w:sz w:val="19"/>
                <w:szCs w:val="19"/>
              </w:rPr>
            </w:pPr>
            <w:r>
              <w:rPr>
                <w:sz w:val="19"/>
                <w:szCs w:val="19"/>
              </w:rPr>
              <w:t>1   Zuzeneko zergak</w:t>
            </w:r>
          </w:p>
        </w:tc>
        <w:tc>
          <w:tcPr>
            <w:tcW w:w="582" w:type="pct"/>
            <w:tcBorders>
              <w:top w:val="single" w:sz="4" w:space="0" w:color="000000"/>
              <w:left w:val="nil"/>
              <w:bottom w:val="single" w:sz="2" w:space="0" w:color="000000"/>
              <w:right w:val="nil"/>
            </w:tcBorders>
            <w:shd w:val="clear" w:color="auto" w:fill="auto"/>
            <w:vAlign w:val="center"/>
            <w:hideMark/>
          </w:tcPr>
          <w:p w14:paraId="16EF603D" w14:textId="77777777" w:rsidR="0088085F" w:rsidRPr="009B216E" w:rsidRDefault="0088085F" w:rsidP="005434E5">
            <w:pPr>
              <w:pStyle w:val="cuatexto"/>
              <w:jc w:val="right"/>
              <w:rPr>
                <w:rFonts w:cs="Calibri"/>
                <w:color w:val="000000"/>
                <w:sz w:val="19"/>
                <w:szCs w:val="19"/>
              </w:rPr>
            </w:pPr>
            <w:r>
              <w:rPr>
                <w:color w:val="000000"/>
                <w:sz w:val="19"/>
                <w:szCs w:val="19"/>
              </w:rPr>
              <w:t>189,62</w:t>
            </w:r>
          </w:p>
        </w:tc>
        <w:tc>
          <w:tcPr>
            <w:tcW w:w="463" w:type="pct"/>
            <w:tcBorders>
              <w:top w:val="single" w:sz="4" w:space="0" w:color="000000"/>
              <w:left w:val="nil"/>
              <w:bottom w:val="single" w:sz="2" w:space="0" w:color="000000"/>
              <w:right w:val="nil"/>
            </w:tcBorders>
            <w:shd w:val="clear" w:color="auto" w:fill="auto"/>
            <w:vAlign w:val="center"/>
            <w:hideMark/>
          </w:tcPr>
          <w:p w14:paraId="784BCB1D" w14:textId="77777777" w:rsidR="0088085F" w:rsidRPr="009B216E" w:rsidRDefault="0088085F" w:rsidP="005434E5">
            <w:pPr>
              <w:pStyle w:val="cuatexto"/>
              <w:jc w:val="right"/>
              <w:rPr>
                <w:rFonts w:cs="Calibri"/>
                <w:color w:val="000000"/>
                <w:sz w:val="19"/>
                <w:szCs w:val="19"/>
              </w:rPr>
            </w:pPr>
            <w:r>
              <w:rPr>
                <w:color w:val="000000"/>
                <w:sz w:val="19"/>
                <w:szCs w:val="19"/>
              </w:rPr>
              <w:t>199,26</w:t>
            </w:r>
          </w:p>
        </w:tc>
        <w:tc>
          <w:tcPr>
            <w:tcW w:w="536" w:type="pct"/>
            <w:tcBorders>
              <w:top w:val="single" w:sz="4" w:space="0" w:color="000000"/>
              <w:left w:val="nil"/>
              <w:bottom w:val="single" w:sz="2" w:space="0" w:color="000000"/>
              <w:right w:val="nil"/>
            </w:tcBorders>
            <w:shd w:val="clear" w:color="auto" w:fill="auto"/>
            <w:vAlign w:val="center"/>
            <w:hideMark/>
          </w:tcPr>
          <w:p w14:paraId="0EBC1844" w14:textId="77777777" w:rsidR="0088085F" w:rsidRPr="009B216E" w:rsidRDefault="0088085F" w:rsidP="005434E5">
            <w:pPr>
              <w:pStyle w:val="cuatexto"/>
              <w:jc w:val="right"/>
              <w:rPr>
                <w:rFonts w:cs="Calibri"/>
                <w:sz w:val="19"/>
                <w:szCs w:val="19"/>
              </w:rPr>
            </w:pPr>
            <w:r>
              <w:rPr>
                <w:sz w:val="19"/>
                <w:szCs w:val="19"/>
              </w:rPr>
              <w:t>22,4</w:t>
            </w:r>
          </w:p>
        </w:tc>
        <w:tc>
          <w:tcPr>
            <w:tcW w:w="559" w:type="pct"/>
            <w:tcBorders>
              <w:top w:val="single" w:sz="4" w:space="0" w:color="000000"/>
              <w:left w:val="nil"/>
              <w:bottom w:val="single" w:sz="2" w:space="0" w:color="000000"/>
              <w:right w:val="nil"/>
            </w:tcBorders>
            <w:shd w:val="clear" w:color="auto" w:fill="auto"/>
            <w:vAlign w:val="center"/>
            <w:hideMark/>
          </w:tcPr>
          <w:p w14:paraId="60FB9E93" w14:textId="77777777" w:rsidR="0088085F" w:rsidRPr="009B216E" w:rsidRDefault="0088085F" w:rsidP="005434E5">
            <w:pPr>
              <w:pStyle w:val="cuatexto"/>
              <w:jc w:val="right"/>
              <w:rPr>
                <w:rFonts w:cs="Calibri"/>
                <w:sz w:val="19"/>
                <w:szCs w:val="19"/>
              </w:rPr>
            </w:pPr>
            <w:r>
              <w:rPr>
                <w:sz w:val="19"/>
                <w:szCs w:val="19"/>
              </w:rPr>
              <w:t>105</w:t>
            </w:r>
          </w:p>
        </w:tc>
        <w:tc>
          <w:tcPr>
            <w:tcW w:w="553" w:type="pct"/>
            <w:tcBorders>
              <w:top w:val="single" w:sz="4" w:space="0" w:color="000000"/>
              <w:left w:val="nil"/>
              <w:bottom w:val="single" w:sz="2" w:space="0" w:color="000000"/>
              <w:right w:val="nil"/>
            </w:tcBorders>
            <w:shd w:val="clear" w:color="auto" w:fill="auto"/>
            <w:noWrap/>
            <w:vAlign w:val="center"/>
            <w:hideMark/>
          </w:tcPr>
          <w:p w14:paraId="2FFF5E3F" w14:textId="77777777" w:rsidR="0088085F" w:rsidRPr="009B216E" w:rsidRDefault="0088085F" w:rsidP="005434E5">
            <w:pPr>
              <w:pStyle w:val="cuatexto"/>
              <w:jc w:val="right"/>
              <w:rPr>
                <w:rFonts w:cs="Calibri"/>
                <w:color w:val="000000"/>
                <w:sz w:val="19"/>
                <w:szCs w:val="19"/>
              </w:rPr>
            </w:pPr>
            <w:r>
              <w:rPr>
                <w:color w:val="000000"/>
                <w:sz w:val="19"/>
                <w:szCs w:val="19"/>
              </w:rPr>
              <w:t>3</w:t>
            </w:r>
          </w:p>
        </w:tc>
        <w:tc>
          <w:tcPr>
            <w:tcW w:w="471" w:type="pct"/>
            <w:tcBorders>
              <w:top w:val="single" w:sz="4" w:space="0" w:color="000000"/>
              <w:left w:val="nil"/>
              <w:bottom w:val="single" w:sz="2" w:space="0" w:color="000000"/>
              <w:right w:val="nil"/>
            </w:tcBorders>
            <w:vAlign w:val="center"/>
          </w:tcPr>
          <w:p w14:paraId="72CF5F7D" w14:textId="77777777" w:rsidR="0088085F" w:rsidRPr="009B216E" w:rsidRDefault="0088085F" w:rsidP="005434E5">
            <w:pPr>
              <w:pStyle w:val="cuatexto"/>
              <w:jc w:val="right"/>
              <w:rPr>
                <w:rFonts w:cs="Calibri"/>
                <w:color w:val="000000"/>
                <w:sz w:val="19"/>
                <w:szCs w:val="19"/>
              </w:rPr>
            </w:pPr>
            <w:r>
              <w:rPr>
                <w:color w:val="000000"/>
                <w:sz w:val="19"/>
                <w:szCs w:val="19"/>
              </w:rPr>
              <w:t>199,26</w:t>
            </w:r>
          </w:p>
        </w:tc>
      </w:tr>
      <w:tr w:rsidR="009B216E" w:rsidRPr="009B216E" w14:paraId="7E5B1A39"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4A703E0F" w14:textId="77777777" w:rsidR="0088085F" w:rsidRPr="009B216E" w:rsidRDefault="0088085F" w:rsidP="005434E5">
            <w:pPr>
              <w:pStyle w:val="cuatexto"/>
              <w:jc w:val="left"/>
              <w:rPr>
                <w:sz w:val="19"/>
                <w:szCs w:val="19"/>
              </w:rPr>
            </w:pPr>
            <w:r>
              <w:rPr>
                <w:sz w:val="19"/>
                <w:szCs w:val="19"/>
              </w:rPr>
              <w:t>2   Zeharkako zergak</w:t>
            </w:r>
          </w:p>
        </w:tc>
        <w:tc>
          <w:tcPr>
            <w:tcW w:w="582" w:type="pct"/>
            <w:tcBorders>
              <w:top w:val="single" w:sz="2" w:space="0" w:color="000000"/>
              <w:left w:val="nil"/>
              <w:bottom w:val="single" w:sz="2" w:space="0" w:color="000000"/>
              <w:right w:val="nil"/>
            </w:tcBorders>
            <w:shd w:val="clear" w:color="auto" w:fill="auto"/>
            <w:vAlign w:val="center"/>
            <w:hideMark/>
          </w:tcPr>
          <w:p w14:paraId="4F09B099" w14:textId="77777777" w:rsidR="0088085F" w:rsidRPr="009B216E" w:rsidRDefault="0088085F" w:rsidP="005434E5">
            <w:pPr>
              <w:pStyle w:val="cuatexto"/>
              <w:jc w:val="right"/>
              <w:rPr>
                <w:rFonts w:cs="Calibri"/>
                <w:color w:val="000000"/>
                <w:sz w:val="19"/>
                <w:szCs w:val="19"/>
              </w:rPr>
            </w:pPr>
            <w:r>
              <w:rPr>
                <w:color w:val="000000"/>
                <w:sz w:val="19"/>
                <w:szCs w:val="19"/>
              </w:rPr>
              <w:t>22,51</w:t>
            </w:r>
          </w:p>
        </w:tc>
        <w:tc>
          <w:tcPr>
            <w:tcW w:w="463" w:type="pct"/>
            <w:tcBorders>
              <w:top w:val="single" w:sz="2" w:space="0" w:color="000000"/>
              <w:left w:val="nil"/>
              <w:bottom w:val="single" w:sz="2" w:space="0" w:color="000000"/>
              <w:right w:val="nil"/>
            </w:tcBorders>
            <w:shd w:val="clear" w:color="auto" w:fill="auto"/>
            <w:vAlign w:val="center"/>
            <w:hideMark/>
          </w:tcPr>
          <w:p w14:paraId="41C8ADAE" w14:textId="77777777" w:rsidR="0088085F" w:rsidRPr="009B216E" w:rsidRDefault="0088085F" w:rsidP="005434E5">
            <w:pPr>
              <w:pStyle w:val="cuatexto"/>
              <w:jc w:val="right"/>
              <w:rPr>
                <w:rFonts w:cs="Calibri"/>
                <w:color w:val="000000"/>
                <w:sz w:val="19"/>
                <w:szCs w:val="19"/>
              </w:rPr>
            </w:pPr>
            <w:r>
              <w:rPr>
                <w:color w:val="000000"/>
                <w:sz w:val="19"/>
                <w:szCs w:val="19"/>
              </w:rPr>
              <w:t>33,88</w:t>
            </w:r>
          </w:p>
        </w:tc>
        <w:tc>
          <w:tcPr>
            <w:tcW w:w="536" w:type="pct"/>
            <w:tcBorders>
              <w:top w:val="single" w:sz="2" w:space="0" w:color="000000"/>
              <w:left w:val="nil"/>
              <w:bottom w:val="single" w:sz="2" w:space="0" w:color="000000"/>
              <w:right w:val="nil"/>
            </w:tcBorders>
            <w:shd w:val="clear" w:color="auto" w:fill="auto"/>
            <w:vAlign w:val="center"/>
            <w:hideMark/>
          </w:tcPr>
          <w:p w14:paraId="4ABBCCB8" w14:textId="77777777" w:rsidR="0088085F" w:rsidRPr="009B216E" w:rsidRDefault="0088085F" w:rsidP="005434E5">
            <w:pPr>
              <w:pStyle w:val="cuatexto"/>
              <w:jc w:val="right"/>
              <w:rPr>
                <w:rFonts w:cs="Calibri"/>
                <w:sz w:val="19"/>
                <w:szCs w:val="19"/>
              </w:rPr>
            </w:pPr>
            <w:r>
              <w:rPr>
                <w:sz w:val="19"/>
                <w:szCs w:val="19"/>
              </w:rPr>
              <w:t>3,8</w:t>
            </w:r>
          </w:p>
        </w:tc>
        <w:tc>
          <w:tcPr>
            <w:tcW w:w="559" w:type="pct"/>
            <w:tcBorders>
              <w:top w:val="single" w:sz="2" w:space="0" w:color="000000"/>
              <w:left w:val="nil"/>
              <w:bottom w:val="single" w:sz="2" w:space="0" w:color="000000"/>
              <w:right w:val="nil"/>
            </w:tcBorders>
            <w:shd w:val="clear" w:color="auto" w:fill="auto"/>
            <w:vAlign w:val="center"/>
            <w:hideMark/>
          </w:tcPr>
          <w:p w14:paraId="21A986E3" w14:textId="77777777" w:rsidR="0088085F" w:rsidRPr="009B216E" w:rsidRDefault="0088085F" w:rsidP="005434E5">
            <w:pPr>
              <w:pStyle w:val="cuatexto"/>
              <w:jc w:val="right"/>
              <w:rPr>
                <w:rFonts w:cs="Calibri"/>
                <w:sz w:val="19"/>
                <w:szCs w:val="19"/>
              </w:rPr>
            </w:pPr>
            <w:r>
              <w:rPr>
                <w:sz w:val="19"/>
                <w:szCs w:val="19"/>
              </w:rPr>
              <w:t>150</w:t>
            </w:r>
          </w:p>
        </w:tc>
        <w:tc>
          <w:tcPr>
            <w:tcW w:w="553" w:type="pct"/>
            <w:tcBorders>
              <w:top w:val="single" w:sz="2" w:space="0" w:color="000000"/>
              <w:left w:val="nil"/>
              <w:bottom w:val="single" w:sz="2" w:space="0" w:color="000000"/>
              <w:right w:val="nil"/>
            </w:tcBorders>
            <w:shd w:val="clear" w:color="auto" w:fill="auto"/>
            <w:noWrap/>
            <w:vAlign w:val="center"/>
            <w:hideMark/>
          </w:tcPr>
          <w:p w14:paraId="7FA87659" w14:textId="77777777" w:rsidR="0088085F" w:rsidRPr="009B216E" w:rsidRDefault="0088085F" w:rsidP="005434E5">
            <w:pPr>
              <w:pStyle w:val="cuatexto"/>
              <w:jc w:val="right"/>
              <w:rPr>
                <w:rFonts w:cs="Calibri"/>
                <w:color w:val="000000"/>
                <w:sz w:val="19"/>
                <w:szCs w:val="19"/>
              </w:rPr>
            </w:pPr>
            <w:r>
              <w:rPr>
                <w:color w:val="000000"/>
                <w:sz w:val="19"/>
                <w:szCs w:val="19"/>
              </w:rPr>
              <w:t>17</w:t>
            </w:r>
          </w:p>
        </w:tc>
        <w:tc>
          <w:tcPr>
            <w:tcW w:w="471" w:type="pct"/>
            <w:tcBorders>
              <w:top w:val="single" w:sz="2" w:space="0" w:color="000000"/>
              <w:left w:val="nil"/>
              <w:bottom w:val="single" w:sz="2" w:space="0" w:color="000000"/>
              <w:right w:val="nil"/>
            </w:tcBorders>
            <w:vAlign w:val="center"/>
          </w:tcPr>
          <w:p w14:paraId="7CD123E6" w14:textId="77777777" w:rsidR="0088085F" w:rsidRPr="009B216E" w:rsidRDefault="0088085F" w:rsidP="005434E5">
            <w:pPr>
              <w:pStyle w:val="cuatexto"/>
              <w:jc w:val="right"/>
              <w:rPr>
                <w:rFonts w:cs="Calibri"/>
                <w:color w:val="000000"/>
                <w:sz w:val="19"/>
                <w:szCs w:val="19"/>
              </w:rPr>
            </w:pPr>
            <w:r>
              <w:rPr>
                <w:color w:val="000000"/>
                <w:sz w:val="19"/>
                <w:szCs w:val="19"/>
              </w:rPr>
              <w:t>33,88</w:t>
            </w:r>
          </w:p>
        </w:tc>
      </w:tr>
      <w:tr w:rsidR="009B216E" w:rsidRPr="009B216E" w14:paraId="3B838328"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0809FDAA" w14:textId="77777777" w:rsidR="0088085F" w:rsidRPr="009B216E" w:rsidRDefault="0088085F" w:rsidP="005434E5">
            <w:pPr>
              <w:pStyle w:val="cuatexto"/>
              <w:jc w:val="left"/>
              <w:rPr>
                <w:sz w:val="19"/>
                <w:szCs w:val="19"/>
              </w:rPr>
            </w:pPr>
            <w:r>
              <w:rPr>
                <w:sz w:val="19"/>
                <w:szCs w:val="19"/>
              </w:rPr>
              <w:t>3  Tasak, prezio publikoak eta beste diru-sarrera batzuk</w:t>
            </w:r>
          </w:p>
        </w:tc>
        <w:tc>
          <w:tcPr>
            <w:tcW w:w="582" w:type="pct"/>
            <w:tcBorders>
              <w:top w:val="single" w:sz="2" w:space="0" w:color="000000"/>
              <w:left w:val="nil"/>
              <w:bottom w:val="single" w:sz="2" w:space="0" w:color="000000"/>
              <w:right w:val="nil"/>
            </w:tcBorders>
            <w:shd w:val="clear" w:color="auto" w:fill="auto"/>
            <w:vAlign w:val="center"/>
            <w:hideMark/>
          </w:tcPr>
          <w:p w14:paraId="0255071A" w14:textId="77777777" w:rsidR="0088085F" w:rsidRPr="009B216E" w:rsidRDefault="0088085F" w:rsidP="005434E5">
            <w:pPr>
              <w:pStyle w:val="cuatexto"/>
              <w:jc w:val="right"/>
              <w:rPr>
                <w:rFonts w:cs="Calibri"/>
                <w:color w:val="000000"/>
                <w:sz w:val="19"/>
                <w:szCs w:val="19"/>
              </w:rPr>
            </w:pPr>
            <w:r>
              <w:rPr>
                <w:color w:val="000000"/>
                <w:sz w:val="19"/>
                <w:szCs w:val="19"/>
              </w:rPr>
              <w:t>158,10</w:t>
            </w:r>
          </w:p>
        </w:tc>
        <w:tc>
          <w:tcPr>
            <w:tcW w:w="463" w:type="pct"/>
            <w:tcBorders>
              <w:top w:val="single" w:sz="2" w:space="0" w:color="000000"/>
              <w:left w:val="nil"/>
              <w:bottom w:val="single" w:sz="2" w:space="0" w:color="000000"/>
              <w:right w:val="nil"/>
            </w:tcBorders>
            <w:shd w:val="clear" w:color="auto" w:fill="auto"/>
            <w:vAlign w:val="center"/>
            <w:hideMark/>
          </w:tcPr>
          <w:p w14:paraId="12FE2798" w14:textId="77777777" w:rsidR="0088085F" w:rsidRPr="009B216E" w:rsidRDefault="0088085F" w:rsidP="005434E5">
            <w:pPr>
              <w:pStyle w:val="cuatexto"/>
              <w:jc w:val="right"/>
              <w:rPr>
                <w:rFonts w:cs="Calibri"/>
                <w:color w:val="000000"/>
                <w:sz w:val="19"/>
                <w:szCs w:val="19"/>
              </w:rPr>
            </w:pPr>
            <w:r>
              <w:rPr>
                <w:color w:val="000000"/>
                <w:sz w:val="19"/>
                <w:szCs w:val="19"/>
              </w:rPr>
              <w:t>168,95</w:t>
            </w:r>
          </w:p>
        </w:tc>
        <w:tc>
          <w:tcPr>
            <w:tcW w:w="536" w:type="pct"/>
            <w:tcBorders>
              <w:top w:val="single" w:sz="2" w:space="0" w:color="000000"/>
              <w:left w:val="nil"/>
              <w:bottom w:val="single" w:sz="2" w:space="0" w:color="000000"/>
              <w:right w:val="nil"/>
            </w:tcBorders>
            <w:shd w:val="clear" w:color="auto" w:fill="auto"/>
            <w:vAlign w:val="center"/>
            <w:hideMark/>
          </w:tcPr>
          <w:p w14:paraId="3B41C012" w14:textId="77777777" w:rsidR="0088085F" w:rsidRPr="009B216E" w:rsidRDefault="0088085F" w:rsidP="005434E5">
            <w:pPr>
              <w:pStyle w:val="cuatexto"/>
              <w:jc w:val="right"/>
              <w:rPr>
                <w:rFonts w:cs="Calibri"/>
                <w:sz w:val="19"/>
                <w:szCs w:val="19"/>
              </w:rPr>
            </w:pPr>
            <w:r>
              <w:rPr>
                <w:sz w:val="19"/>
                <w:szCs w:val="19"/>
              </w:rPr>
              <w:t>19,0</w:t>
            </w:r>
          </w:p>
        </w:tc>
        <w:tc>
          <w:tcPr>
            <w:tcW w:w="559" w:type="pct"/>
            <w:tcBorders>
              <w:top w:val="single" w:sz="2" w:space="0" w:color="000000"/>
              <w:left w:val="nil"/>
              <w:bottom w:val="single" w:sz="2" w:space="0" w:color="000000"/>
              <w:right w:val="nil"/>
            </w:tcBorders>
            <w:shd w:val="clear" w:color="auto" w:fill="auto"/>
            <w:vAlign w:val="center"/>
            <w:hideMark/>
          </w:tcPr>
          <w:p w14:paraId="647258D0" w14:textId="77777777" w:rsidR="0088085F" w:rsidRPr="009B216E" w:rsidRDefault="0088085F" w:rsidP="005434E5">
            <w:pPr>
              <w:pStyle w:val="cuatexto"/>
              <w:jc w:val="right"/>
              <w:rPr>
                <w:rFonts w:cs="Calibri"/>
                <w:sz w:val="19"/>
                <w:szCs w:val="19"/>
              </w:rPr>
            </w:pPr>
            <w:r>
              <w:rPr>
                <w:sz w:val="19"/>
                <w:szCs w:val="19"/>
              </w:rPr>
              <w:t>107</w:t>
            </w:r>
          </w:p>
        </w:tc>
        <w:tc>
          <w:tcPr>
            <w:tcW w:w="553" w:type="pct"/>
            <w:tcBorders>
              <w:top w:val="single" w:sz="2" w:space="0" w:color="000000"/>
              <w:left w:val="nil"/>
              <w:bottom w:val="single" w:sz="2" w:space="0" w:color="000000"/>
              <w:right w:val="nil"/>
            </w:tcBorders>
            <w:shd w:val="clear" w:color="auto" w:fill="auto"/>
            <w:noWrap/>
            <w:vAlign w:val="center"/>
            <w:hideMark/>
          </w:tcPr>
          <w:p w14:paraId="11C62172" w14:textId="77777777" w:rsidR="0088085F" w:rsidRPr="009B216E" w:rsidRDefault="0088085F" w:rsidP="005434E5">
            <w:pPr>
              <w:pStyle w:val="cuatexto"/>
              <w:jc w:val="right"/>
              <w:rPr>
                <w:rFonts w:cs="Calibri"/>
                <w:color w:val="000000"/>
                <w:sz w:val="19"/>
                <w:szCs w:val="19"/>
              </w:rPr>
            </w:pPr>
            <w:r>
              <w:rPr>
                <w:color w:val="000000"/>
                <w:sz w:val="19"/>
                <w:szCs w:val="19"/>
              </w:rPr>
              <w:t>4</w:t>
            </w:r>
          </w:p>
        </w:tc>
        <w:tc>
          <w:tcPr>
            <w:tcW w:w="471" w:type="pct"/>
            <w:tcBorders>
              <w:top w:val="single" w:sz="2" w:space="0" w:color="000000"/>
              <w:left w:val="nil"/>
              <w:bottom w:val="single" w:sz="2" w:space="0" w:color="000000"/>
              <w:right w:val="nil"/>
            </w:tcBorders>
            <w:vAlign w:val="center"/>
          </w:tcPr>
          <w:p w14:paraId="78FDCBE2" w14:textId="77777777" w:rsidR="0088085F" w:rsidRPr="009B216E" w:rsidRDefault="0088085F" w:rsidP="005434E5">
            <w:pPr>
              <w:pStyle w:val="cuatexto"/>
              <w:jc w:val="right"/>
              <w:rPr>
                <w:rFonts w:cs="Calibri"/>
                <w:color w:val="000000"/>
                <w:sz w:val="19"/>
                <w:szCs w:val="19"/>
              </w:rPr>
            </w:pPr>
            <w:r>
              <w:rPr>
                <w:color w:val="000000"/>
                <w:sz w:val="19"/>
                <w:szCs w:val="19"/>
              </w:rPr>
              <w:t>230,71</w:t>
            </w:r>
          </w:p>
        </w:tc>
      </w:tr>
      <w:tr w:rsidR="009B216E" w:rsidRPr="009B216E" w14:paraId="6A2294E1" w14:textId="77777777" w:rsidTr="005434E5">
        <w:trPr>
          <w:trHeight w:hRule="exact" w:val="238"/>
          <w:jc w:val="center"/>
        </w:trPr>
        <w:tc>
          <w:tcPr>
            <w:tcW w:w="1837" w:type="pct"/>
            <w:tcBorders>
              <w:top w:val="single" w:sz="2" w:space="0" w:color="000000"/>
              <w:left w:val="nil"/>
              <w:bottom w:val="single" w:sz="2" w:space="0" w:color="000000"/>
              <w:right w:val="nil"/>
            </w:tcBorders>
            <w:shd w:val="clear" w:color="auto" w:fill="auto"/>
            <w:vAlign w:val="center"/>
            <w:hideMark/>
          </w:tcPr>
          <w:p w14:paraId="3F4B584B" w14:textId="77777777" w:rsidR="0088085F" w:rsidRPr="009B216E" w:rsidRDefault="0088085F" w:rsidP="005434E5">
            <w:pPr>
              <w:pStyle w:val="cuatexto"/>
              <w:jc w:val="left"/>
              <w:rPr>
                <w:sz w:val="19"/>
                <w:szCs w:val="19"/>
              </w:rPr>
            </w:pPr>
            <w:r>
              <w:rPr>
                <w:sz w:val="19"/>
                <w:szCs w:val="19"/>
              </w:rPr>
              <w:t>4   Transferentzia arruntak</w:t>
            </w:r>
          </w:p>
        </w:tc>
        <w:tc>
          <w:tcPr>
            <w:tcW w:w="582" w:type="pct"/>
            <w:tcBorders>
              <w:top w:val="single" w:sz="2" w:space="0" w:color="000000"/>
              <w:left w:val="nil"/>
              <w:bottom w:val="single" w:sz="2" w:space="0" w:color="000000"/>
              <w:right w:val="nil"/>
            </w:tcBorders>
            <w:shd w:val="clear" w:color="auto" w:fill="auto"/>
            <w:vAlign w:val="center"/>
            <w:hideMark/>
          </w:tcPr>
          <w:p w14:paraId="48870904" w14:textId="77777777" w:rsidR="0088085F" w:rsidRPr="009B216E" w:rsidRDefault="0088085F" w:rsidP="005434E5">
            <w:pPr>
              <w:pStyle w:val="cuatexto"/>
              <w:jc w:val="right"/>
              <w:rPr>
                <w:rFonts w:cs="Calibri"/>
                <w:color w:val="000000"/>
                <w:sz w:val="19"/>
                <w:szCs w:val="19"/>
              </w:rPr>
            </w:pPr>
            <w:r>
              <w:rPr>
                <w:color w:val="000000"/>
                <w:sz w:val="19"/>
                <w:szCs w:val="19"/>
              </w:rPr>
              <w:t>338,90</w:t>
            </w:r>
          </w:p>
        </w:tc>
        <w:tc>
          <w:tcPr>
            <w:tcW w:w="463" w:type="pct"/>
            <w:tcBorders>
              <w:top w:val="single" w:sz="2" w:space="0" w:color="000000"/>
              <w:left w:val="nil"/>
              <w:bottom w:val="single" w:sz="2" w:space="0" w:color="000000"/>
              <w:right w:val="nil"/>
            </w:tcBorders>
            <w:shd w:val="clear" w:color="auto" w:fill="auto"/>
            <w:vAlign w:val="center"/>
            <w:hideMark/>
          </w:tcPr>
          <w:p w14:paraId="7F71BB23" w14:textId="77777777" w:rsidR="0088085F" w:rsidRPr="009B216E" w:rsidRDefault="0088085F" w:rsidP="005434E5">
            <w:pPr>
              <w:pStyle w:val="cuatexto"/>
              <w:jc w:val="right"/>
              <w:rPr>
                <w:rFonts w:cs="Calibri"/>
                <w:color w:val="000000"/>
                <w:sz w:val="19"/>
                <w:szCs w:val="19"/>
              </w:rPr>
            </w:pPr>
            <w:r>
              <w:rPr>
                <w:color w:val="000000"/>
                <w:sz w:val="19"/>
                <w:szCs w:val="19"/>
              </w:rPr>
              <w:t>340,59</w:t>
            </w:r>
          </w:p>
        </w:tc>
        <w:tc>
          <w:tcPr>
            <w:tcW w:w="536" w:type="pct"/>
            <w:tcBorders>
              <w:top w:val="single" w:sz="2" w:space="0" w:color="000000"/>
              <w:left w:val="nil"/>
              <w:bottom w:val="single" w:sz="2" w:space="0" w:color="000000"/>
              <w:right w:val="nil"/>
            </w:tcBorders>
            <w:shd w:val="clear" w:color="auto" w:fill="auto"/>
            <w:vAlign w:val="center"/>
            <w:hideMark/>
          </w:tcPr>
          <w:p w14:paraId="49252201" w14:textId="77777777" w:rsidR="0088085F" w:rsidRPr="009B216E" w:rsidRDefault="0088085F" w:rsidP="005434E5">
            <w:pPr>
              <w:pStyle w:val="cuatexto"/>
              <w:jc w:val="right"/>
              <w:rPr>
                <w:rFonts w:cs="Calibri"/>
                <w:sz w:val="19"/>
                <w:szCs w:val="19"/>
              </w:rPr>
            </w:pPr>
            <w:r>
              <w:rPr>
                <w:sz w:val="19"/>
                <w:szCs w:val="19"/>
              </w:rPr>
              <w:t>38,2</w:t>
            </w:r>
          </w:p>
        </w:tc>
        <w:tc>
          <w:tcPr>
            <w:tcW w:w="559" w:type="pct"/>
            <w:tcBorders>
              <w:top w:val="single" w:sz="2" w:space="0" w:color="000000"/>
              <w:left w:val="nil"/>
              <w:bottom w:val="single" w:sz="2" w:space="0" w:color="000000"/>
              <w:right w:val="nil"/>
            </w:tcBorders>
            <w:shd w:val="clear" w:color="auto" w:fill="auto"/>
            <w:vAlign w:val="center"/>
            <w:hideMark/>
          </w:tcPr>
          <w:p w14:paraId="3096569B" w14:textId="77777777" w:rsidR="0088085F" w:rsidRPr="009B216E" w:rsidRDefault="0088085F" w:rsidP="005434E5">
            <w:pPr>
              <w:pStyle w:val="cuatexto"/>
              <w:jc w:val="right"/>
              <w:rPr>
                <w:rFonts w:cs="Calibri"/>
                <w:sz w:val="19"/>
                <w:szCs w:val="19"/>
              </w:rPr>
            </w:pPr>
            <w:r>
              <w:rPr>
                <w:sz w:val="19"/>
                <w:szCs w:val="19"/>
              </w:rPr>
              <w:t>100</w:t>
            </w:r>
          </w:p>
        </w:tc>
        <w:tc>
          <w:tcPr>
            <w:tcW w:w="553" w:type="pct"/>
            <w:tcBorders>
              <w:top w:val="single" w:sz="2" w:space="0" w:color="000000"/>
              <w:left w:val="nil"/>
              <w:bottom w:val="single" w:sz="2" w:space="0" w:color="000000"/>
              <w:right w:val="nil"/>
            </w:tcBorders>
            <w:shd w:val="clear" w:color="auto" w:fill="auto"/>
            <w:noWrap/>
            <w:vAlign w:val="center"/>
            <w:hideMark/>
          </w:tcPr>
          <w:p w14:paraId="128554C6" w14:textId="77777777" w:rsidR="0088085F" w:rsidRPr="009B216E" w:rsidRDefault="0088085F" w:rsidP="005434E5">
            <w:pPr>
              <w:pStyle w:val="cuatexto"/>
              <w:jc w:val="right"/>
              <w:rPr>
                <w:rFonts w:cs="Calibri"/>
                <w:color w:val="000000"/>
                <w:sz w:val="19"/>
                <w:szCs w:val="19"/>
              </w:rPr>
            </w:pPr>
            <w:r>
              <w:rPr>
                <w:color w:val="000000"/>
                <w:sz w:val="19"/>
                <w:szCs w:val="19"/>
              </w:rPr>
              <w:t>5</w:t>
            </w:r>
          </w:p>
        </w:tc>
        <w:tc>
          <w:tcPr>
            <w:tcW w:w="471" w:type="pct"/>
            <w:tcBorders>
              <w:top w:val="single" w:sz="2" w:space="0" w:color="000000"/>
              <w:left w:val="nil"/>
              <w:bottom w:val="single" w:sz="2" w:space="0" w:color="000000"/>
              <w:right w:val="nil"/>
            </w:tcBorders>
            <w:vAlign w:val="center"/>
          </w:tcPr>
          <w:p w14:paraId="2011E8F4" w14:textId="77777777" w:rsidR="0088085F" w:rsidRPr="009B216E" w:rsidRDefault="0088085F" w:rsidP="005434E5">
            <w:pPr>
              <w:pStyle w:val="cuatexto"/>
              <w:jc w:val="right"/>
              <w:rPr>
                <w:rFonts w:cs="Calibri"/>
                <w:color w:val="000000"/>
                <w:sz w:val="19"/>
                <w:szCs w:val="19"/>
              </w:rPr>
            </w:pPr>
            <w:r>
              <w:rPr>
                <w:color w:val="000000"/>
                <w:sz w:val="19"/>
                <w:szCs w:val="19"/>
              </w:rPr>
              <w:t>347,59</w:t>
            </w:r>
          </w:p>
        </w:tc>
      </w:tr>
      <w:tr w:rsidR="009B216E" w:rsidRPr="009B216E" w14:paraId="4EE6F961"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4BB67D70" w14:textId="77777777" w:rsidR="0088085F" w:rsidRPr="009B216E" w:rsidRDefault="0088085F" w:rsidP="005434E5">
            <w:pPr>
              <w:pStyle w:val="cuatexto"/>
              <w:jc w:val="left"/>
              <w:rPr>
                <w:sz w:val="19"/>
                <w:szCs w:val="19"/>
              </w:rPr>
            </w:pPr>
            <w:r>
              <w:rPr>
                <w:sz w:val="19"/>
                <w:szCs w:val="19"/>
              </w:rPr>
              <w:t>5   Ondarearen bidezko diru-sarrerak eta herri-aprobetxamenduak</w:t>
            </w:r>
          </w:p>
        </w:tc>
        <w:tc>
          <w:tcPr>
            <w:tcW w:w="582" w:type="pct"/>
            <w:tcBorders>
              <w:top w:val="single" w:sz="2" w:space="0" w:color="000000"/>
              <w:left w:val="nil"/>
              <w:bottom w:val="single" w:sz="4" w:space="0" w:color="000000"/>
              <w:right w:val="nil"/>
            </w:tcBorders>
            <w:shd w:val="clear" w:color="auto" w:fill="auto"/>
            <w:vAlign w:val="center"/>
            <w:hideMark/>
          </w:tcPr>
          <w:p w14:paraId="32F71BA3" w14:textId="77777777" w:rsidR="0088085F" w:rsidRPr="009B216E" w:rsidRDefault="0088085F" w:rsidP="005434E5">
            <w:pPr>
              <w:pStyle w:val="cuatexto"/>
              <w:jc w:val="right"/>
              <w:rPr>
                <w:rFonts w:cs="Calibri"/>
                <w:color w:val="000000"/>
                <w:sz w:val="19"/>
                <w:szCs w:val="19"/>
              </w:rPr>
            </w:pPr>
            <w:r>
              <w:rPr>
                <w:color w:val="000000"/>
                <w:sz w:val="19"/>
                <w:szCs w:val="19"/>
              </w:rPr>
              <w:t>51,35</w:t>
            </w:r>
          </w:p>
        </w:tc>
        <w:tc>
          <w:tcPr>
            <w:tcW w:w="463" w:type="pct"/>
            <w:tcBorders>
              <w:top w:val="single" w:sz="2" w:space="0" w:color="000000"/>
              <w:left w:val="nil"/>
              <w:bottom w:val="single" w:sz="4" w:space="0" w:color="000000"/>
              <w:right w:val="nil"/>
            </w:tcBorders>
            <w:shd w:val="clear" w:color="auto" w:fill="auto"/>
            <w:vAlign w:val="center"/>
            <w:hideMark/>
          </w:tcPr>
          <w:p w14:paraId="4CEC0FE9" w14:textId="77777777" w:rsidR="0088085F" w:rsidRPr="009B216E" w:rsidRDefault="0088085F" w:rsidP="005434E5">
            <w:pPr>
              <w:pStyle w:val="cuatexto"/>
              <w:jc w:val="right"/>
              <w:rPr>
                <w:rFonts w:cs="Calibri"/>
                <w:color w:val="000000"/>
                <w:sz w:val="19"/>
                <w:szCs w:val="19"/>
              </w:rPr>
            </w:pPr>
            <w:r>
              <w:rPr>
                <w:color w:val="000000"/>
                <w:sz w:val="19"/>
                <w:szCs w:val="19"/>
              </w:rPr>
              <w:t>48,92</w:t>
            </w:r>
          </w:p>
        </w:tc>
        <w:tc>
          <w:tcPr>
            <w:tcW w:w="536" w:type="pct"/>
            <w:tcBorders>
              <w:top w:val="single" w:sz="2" w:space="0" w:color="000000"/>
              <w:left w:val="nil"/>
              <w:bottom w:val="single" w:sz="4" w:space="0" w:color="000000"/>
              <w:right w:val="nil"/>
            </w:tcBorders>
            <w:shd w:val="clear" w:color="auto" w:fill="auto"/>
            <w:vAlign w:val="center"/>
            <w:hideMark/>
          </w:tcPr>
          <w:p w14:paraId="172B335E" w14:textId="77777777" w:rsidR="0088085F" w:rsidRPr="009B216E" w:rsidRDefault="0088085F" w:rsidP="005434E5">
            <w:pPr>
              <w:pStyle w:val="cuatexto"/>
              <w:jc w:val="right"/>
              <w:rPr>
                <w:rFonts w:cs="Calibri"/>
                <w:sz w:val="19"/>
                <w:szCs w:val="19"/>
              </w:rPr>
            </w:pPr>
            <w:r>
              <w:rPr>
                <w:sz w:val="19"/>
                <w:szCs w:val="19"/>
              </w:rPr>
              <w:t>5,5</w:t>
            </w:r>
          </w:p>
        </w:tc>
        <w:tc>
          <w:tcPr>
            <w:tcW w:w="559" w:type="pct"/>
            <w:tcBorders>
              <w:top w:val="single" w:sz="2" w:space="0" w:color="000000"/>
              <w:left w:val="nil"/>
              <w:bottom w:val="single" w:sz="4" w:space="0" w:color="000000"/>
              <w:right w:val="nil"/>
            </w:tcBorders>
            <w:shd w:val="clear" w:color="auto" w:fill="auto"/>
            <w:vAlign w:val="center"/>
            <w:hideMark/>
          </w:tcPr>
          <w:p w14:paraId="6F5E48D4" w14:textId="77777777" w:rsidR="0088085F" w:rsidRPr="009B216E" w:rsidRDefault="0088085F" w:rsidP="005434E5">
            <w:pPr>
              <w:pStyle w:val="cuatexto"/>
              <w:jc w:val="right"/>
              <w:rPr>
                <w:rFonts w:cs="Calibri"/>
                <w:sz w:val="19"/>
                <w:szCs w:val="19"/>
              </w:rPr>
            </w:pPr>
            <w:r>
              <w:rPr>
                <w:sz w:val="19"/>
                <w:szCs w:val="19"/>
              </w:rPr>
              <w:t>95</w:t>
            </w:r>
          </w:p>
        </w:tc>
        <w:tc>
          <w:tcPr>
            <w:tcW w:w="553" w:type="pct"/>
            <w:tcBorders>
              <w:top w:val="single" w:sz="2" w:space="0" w:color="000000"/>
              <w:left w:val="nil"/>
              <w:bottom w:val="single" w:sz="4" w:space="0" w:color="000000"/>
              <w:right w:val="nil"/>
            </w:tcBorders>
            <w:shd w:val="clear" w:color="auto" w:fill="auto"/>
            <w:noWrap/>
            <w:vAlign w:val="center"/>
            <w:hideMark/>
          </w:tcPr>
          <w:p w14:paraId="0F1CE940" w14:textId="77777777" w:rsidR="0088085F" w:rsidRPr="009B216E" w:rsidRDefault="0088085F" w:rsidP="005434E5">
            <w:pPr>
              <w:pStyle w:val="cuatexto"/>
              <w:jc w:val="right"/>
              <w:rPr>
                <w:rFonts w:cs="Calibri"/>
                <w:color w:val="000000"/>
                <w:sz w:val="19"/>
                <w:szCs w:val="19"/>
              </w:rPr>
            </w:pPr>
            <w:r>
              <w:rPr>
                <w:color w:val="000000"/>
                <w:sz w:val="19"/>
                <w:szCs w:val="19"/>
              </w:rPr>
              <w:t>10</w:t>
            </w:r>
          </w:p>
        </w:tc>
        <w:tc>
          <w:tcPr>
            <w:tcW w:w="471" w:type="pct"/>
            <w:tcBorders>
              <w:top w:val="single" w:sz="2" w:space="0" w:color="000000"/>
              <w:left w:val="nil"/>
              <w:bottom w:val="single" w:sz="4" w:space="0" w:color="000000"/>
              <w:right w:val="nil"/>
            </w:tcBorders>
            <w:vAlign w:val="center"/>
          </w:tcPr>
          <w:p w14:paraId="632CF605" w14:textId="77777777" w:rsidR="0088085F" w:rsidRPr="009B216E" w:rsidRDefault="0088085F" w:rsidP="005434E5">
            <w:pPr>
              <w:pStyle w:val="cuatexto"/>
              <w:jc w:val="right"/>
              <w:rPr>
                <w:rFonts w:cs="Calibri"/>
                <w:color w:val="000000"/>
                <w:sz w:val="19"/>
                <w:szCs w:val="19"/>
              </w:rPr>
            </w:pPr>
            <w:r>
              <w:rPr>
                <w:color w:val="000000"/>
                <w:sz w:val="19"/>
                <w:szCs w:val="19"/>
              </w:rPr>
              <w:t>48,97</w:t>
            </w:r>
          </w:p>
        </w:tc>
      </w:tr>
      <w:tr w:rsidR="009B216E" w:rsidRPr="005434E5" w14:paraId="1002EA6F"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0DF9D6BB" w14:textId="77777777" w:rsidR="0088085F" w:rsidRPr="005434E5" w:rsidRDefault="0088085F" w:rsidP="005434E5">
            <w:pPr>
              <w:pStyle w:val="cuatexto"/>
              <w:jc w:val="left"/>
              <w:rPr>
                <w:b/>
                <w:iCs/>
                <w:sz w:val="19"/>
                <w:szCs w:val="19"/>
              </w:rPr>
            </w:pPr>
            <w:r>
              <w:rPr>
                <w:b/>
                <w:iCs/>
                <w:sz w:val="19"/>
                <w:szCs w:val="19"/>
              </w:rPr>
              <w:t xml:space="preserve">     Diru-sarrera arruntak</w:t>
            </w:r>
          </w:p>
        </w:tc>
        <w:tc>
          <w:tcPr>
            <w:tcW w:w="582" w:type="pct"/>
            <w:tcBorders>
              <w:top w:val="single" w:sz="4" w:space="0" w:color="000000"/>
              <w:left w:val="nil"/>
              <w:bottom w:val="single" w:sz="4" w:space="0" w:color="000000"/>
              <w:right w:val="nil"/>
            </w:tcBorders>
            <w:shd w:val="clear" w:color="auto" w:fill="auto"/>
            <w:vAlign w:val="center"/>
            <w:hideMark/>
          </w:tcPr>
          <w:p w14:paraId="44AF8B44"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760,48</w:t>
            </w:r>
          </w:p>
        </w:tc>
        <w:tc>
          <w:tcPr>
            <w:tcW w:w="463" w:type="pct"/>
            <w:tcBorders>
              <w:top w:val="single" w:sz="4" w:space="0" w:color="000000"/>
              <w:left w:val="nil"/>
              <w:bottom w:val="single" w:sz="4" w:space="0" w:color="000000"/>
              <w:right w:val="nil"/>
            </w:tcBorders>
            <w:shd w:val="clear" w:color="auto" w:fill="auto"/>
            <w:vAlign w:val="center"/>
            <w:hideMark/>
          </w:tcPr>
          <w:p w14:paraId="1D7E868C"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791,59</w:t>
            </w:r>
          </w:p>
        </w:tc>
        <w:tc>
          <w:tcPr>
            <w:tcW w:w="536" w:type="pct"/>
            <w:tcBorders>
              <w:top w:val="single" w:sz="4" w:space="0" w:color="000000"/>
              <w:left w:val="nil"/>
              <w:bottom w:val="single" w:sz="4" w:space="0" w:color="000000"/>
              <w:right w:val="nil"/>
            </w:tcBorders>
            <w:shd w:val="clear" w:color="auto" w:fill="auto"/>
            <w:vAlign w:val="center"/>
            <w:hideMark/>
          </w:tcPr>
          <w:p w14:paraId="19FC7058" w14:textId="77777777" w:rsidR="0088085F" w:rsidRPr="005434E5" w:rsidRDefault="0088085F" w:rsidP="005434E5">
            <w:pPr>
              <w:pStyle w:val="cuatexto"/>
              <w:jc w:val="right"/>
              <w:rPr>
                <w:rFonts w:cs="Calibri"/>
                <w:b/>
                <w:bCs/>
                <w:iCs/>
                <w:sz w:val="19"/>
                <w:szCs w:val="19"/>
              </w:rPr>
            </w:pPr>
            <w:r>
              <w:rPr>
                <w:b/>
                <w:bCs/>
                <w:iCs/>
                <w:sz w:val="19"/>
                <w:szCs w:val="19"/>
              </w:rPr>
              <w:t>88,8</w:t>
            </w:r>
          </w:p>
        </w:tc>
        <w:tc>
          <w:tcPr>
            <w:tcW w:w="559" w:type="pct"/>
            <w:tcBorders>
              <w:top w:val="single" w:sz="4" w:space="0" w:color="000000"/>
              <w:left w:val="nil"/>
              <w:bottom w:val="single" w:sz="4" w:space="0" w:color="000000"/>
              <w:right w:val="nil"/>
            </w:tcBorders>
            <w:shd w:val="clear" w:color="auto" w:fill="auto"/>
            <w:vAlign w:val="center"/>
            <w:hideMark/>
          </w:tcPr>
          <w:p w14:paraId="046E9E63" w14:textId="77777777" w:rsidR="0088085F" w:rsidRPr="005434E5" w:rsidRDefault="0088085F" w:rsidP="005434E5">
            <w:pPr>
              <w:pStyle w:val="cuatexto"/>
              <w:jc w:val="right"/>
              <w:rPr>
                <w:rFonts w:cs="Calibri"/>
                <w:b/>
                <w:bCs/>
                <w:iCs/>
                <w:sz w:val="19"/>
                <w:szCs w:val="19"/>
              </w:rPr>
            </w:pPr>
            <w:r>
              <w:rPr>
                <w:b/>
                <w:bCs/>
                <w:iCs/>
                <w:sz w:val="19"/>
                <w:szCs w:val="19"/>
              </w:rPr>
              <w:t>104</w:t>
            </w:r>
          </w:p>
        </w:tc>
        <w:tc>
          <w:tcPr>
            <w:tcW w:w="553" w:type="pct"/>
            <w:tcBorders>
              <w:top w:val="single" w:sz="4" w:space="0" w:color="000000"/>
              <w:left w:val="nil"/>
              <w:bottom w:val="single" w:sz="4" w:space="0" w:color="000000"/>
              <w:right w:val="nil"/>
            </w:tcBorders>
            <w:shd w:val="clear" w:color="auto" w:fill="auto"/>
            <w:noWrap/>
            <w:vAlign w:val="center"/>
            <w:hideMark/>
          </w:tcPr>
          <w:p w14:paraId="22BEFB35"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5</w:t>
            </w:r>
          </w:p>
        </w:tc>
        <w:tc>
          <w:tcPr>
            <w:tcW w:w="471" w:type="pct"/>
            <w:tcBorders>
              <w:top w:val="single" w:sz="4" w:space="0" w:color="000000"/>
              <w:left w:val="nil"/>
              <w:bottom w:val="single" w:sz="4" w:space="0" w:color="000000"/>
              <w:right w:val="nil"/>
            </w:tcBorders>
            <w:vAlign w:val="center"/>
          </w:tcPr>
          <w:p w14:paraId="13B7DF6C"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860,41</w:t>
            </w:r>
          </w:p>
        </w:tc>
      </w:tr>
      <w:tr w:rsidR="009B216E" w:rsidRPr="009B216E" w14:paraId="56D15926"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5AE860A4" w14:textId="77777777" w:rsidR="0088085F" w:rsidRPr="009B216E" w:rsidRDefault="0088085F" w:rsidP="005434E5">
            <w:pPr>
              <w:pStyle w:val="cuatexto"/>
              <w:jc w:val="left"/>
              <w:rPr>
                <w:sz w:val="19"/>
                <w:szCs w:val="19"/>
              </w:rPr>
            </w:pPr>
            <w:r>
              <w:rPr>
                <w:sz w:val="19"/>
                <w:szCs w:val="19"/>
              </w:rPr>
              <w:t>6  Inbertsio errealen besterentzea</w:t>
            </w:r>
          </w:p>
        </w:tc>
        <w:tc>
          <w:tcPr>
            <w:tcW w:w="582" w:type="pct"/>
            <w:tcBorders>
              <w:top w:val="single" w:sz="4" w:space="0" w:color="000000"/>
              <w:left w:val="nil"/>
              <w:bottom w:val="single" w:sz="2" w:space="0" w:color="000000"/>
              <w:right w:val="nil"/>
            </w:tcBorders>
            <w:shd w:val="clear" w:color="auto" w:fill="auto"/>
            <w:vAlign w:val="center"/>
            <w:hideMark/>
          </w:tcPr>
          <w:p w14:paraId="1FD055E3" w14:textId="77777777" w:rsidR="0088085F" w:rsidRPr="009B216E" w:rsidRDefault="0088085F" w:rsidP="005434E5">
            <w:pPr>
              <w:pStyle w:val="cuatexto"/>
              <w:jc w:val="right"/>
              <w:rPr>
                <w:rFonts w:cs="Calibri"/>
                <w:color w:val="000000"/>
                <w:sz w:val="19"/>
                <w:szCs w:val="19"/>
              </w:rPr>
            </w:pPr>
            <w:r>
              <w:rPr>
                <w:color w:val="000000"/>
                <w:sz w:val="19"/>
                <w:szCs w:val="19"/>
              </w:rPr>
              <w:t>13,62</w:t>
            </w:r>
          </w:p>
        </w:tc>
        <w:tc>
          <w:tcPr>
            <w:tcW w:w="463" w:type="pct"/>
            <w:tcBorders>
              <w:top w:val="single" w:sz="4" w:space="0" w:color="000000"/>
              <w:left w:val="nil"/>
              <w:bottom w:val="single" w:sz="2" w:space="0" w:color="000000"/>
              <w:right w:val="nil"/>
            </w:tcBorders>
            <w:shd w:val="clear" w:color="auto" w:fill="auto"/>
            <w:vAlign w:val="center"/>
            <w:hideMark/>
          </w:tcPr>
          <w:p w14:paraId="167BA4EF" w14:textId="77777777" w:rsidR="0088085F" w:rsidRPr="009B216E" w:rsidRDefault="0088085F" w:rsidP="005434E5">
            <w:pPr>
              <w:pStyle w:val="cuatexto"/>
              <w:jc w:val="right"/>
              <w:rPr>
                <w:rFonts w:cs="Calibri"/>
                <w:color w:val="000000"/>
                <w:sz w:val="19"/>
                <w:szCs w:val="19"/>
              </w:rPr>
            </w:pPr>
            <w:r>
              <w:rPr>
                <w:color w:val="000000"/>
                <w:sz w:val="19"/>
                <w:szCs w:val="19"/>
              </w:rPr>
              <w:t>11,02</w:t>
            </w:r>
          </w:p>
        </w:tc>
        <w:tc>
          <w:tcPr>
            <w:tcW w:w="536" w:type="pct"/>
            <w:tcBorders>
              <w:top w:val="single" w:sz="4" w:space="0" w:color="000000"/>
              <w:left w:val="nil"/>
              <w:bottom w:val="single" w:sz="2" w:space="0" w:color="000000"/>
              <w:right w:val="nil"/>
            </w:tcBorders>
            <w:shd w:val="clear" w:color="auto" w:fill="auto"/>
            <w:vAlign w:val="center"/>
            <w:hideMark/>
          </w:tcPr>
          <w:p w14:paraId="20731288" w14:textId="77777777" w:rsidR="0088085F" w:rsidRPr="009B216E" w:rsidRDefault="0088085F" w:rsidP="005434E5">
            <w:pPr>
              <w:pStyle w:val="cuatexto"/>
              <w:jc w:val="right"/>
              <w:rPr>
                <w:rFonts w:cs="Calibri"/>
                <w:sz w:val="19"/>
                <w:szCs w:val="19"/>
              </w:rPr>
            </w:pPr>
            <w:r>
              <w:rPr>
                <w:sz w:val="19"/>
                <w:szCs w:val="19"/>
              </w:rPr>
              <w:t>1,2</w:t>
            </w:r>
          </w:p>
        </w:tc>
        <w:tc>
          <w:tcPr>
            <w:tcW w:w="559" w:type="pct"/>
            <w:tcBorders>
              <w:top w:val="single" w:sz="4" w:space="0" w:color="000000"/>
              <w:left w:val="nil"/>
              <w:bottom w:val="single" w:sz="2" w:space="0" w:color="000000"/>
              <w:right w:val="nil"/>
            </w:tcBorders>
            <w:shd w:val="clear" w:color="auto" w:fill="auto"/>
            <w:vAlign w:val="center"/>
            <w:hideMark/>
          </w:tcPr>
          <w:p w14:paraId="799ABD99" w14:textId="77777777" w:rsidR="0088085F" w:rsidRPr="009B216E" w:rsidRDefault="0088085F" w:rsidP="005434E5">
            <w:pPr>
              <w:pStyle w:val="cuatexto"/>
              <w:jc w:val="right"/>
              <w:rPr>
                <w:rFonts w:cs="Calibri"/>
                <w:sz w:val="19"/>
                <w:szCs w:val="19"/>
              </w:rPr>
            </w:pPr>
            <w:r>
              <w:rPr>
                <w:sz w:val="19"/>
                <w:szCs w:val="19"/>
              </w:rPr>
              <w:t>81</w:t>
            </w:r>
          </w:p>
        </w:tc>
        <w:tc>
          <w:tcPr>
            <w:tcW w:w="553" w:type="pct"/>
            <w:tcBorders>
              <w:top w:val="single" w:sz="4" w:space="0" w:color="000000"/>
              <w:left w:val="nil"/>
              <w:bottom w:val="single" w:sz="2" w:space="0" w:color="000000"/>
              <w:right w:val="nil"/>
            </w:tcBorders>
            <w:shd w:val="clear" w:color="auto" w:fill="auto"/>
            <w:noWrap/>
            <w:vAlign w:val="center"/>
            <w:hideMark/>
          </w:tcPr>
          <w:p w14:paraId="4068A0C0" w14:textId="77777777" w:rsidR="0088085F" w:rsidRPr="009B216E" w:rsidRDefault="0088085F" w:rsidP="005434E5">
            <w:pPr>
              <w:pStyle w:val="cuatexto"/>
              <w:jc w:val="right"/>
              <w:rPr>
                <w:rFonts w:cs="Calibri"/>
                <w:color w:val="000000"/>
                <w:sz w:val="19"/>
                <w:szCs w:val="19"/>
              </w:rPr>
            </w:pPr>
            <w:r>
              <w:rPr>
                <w:color w:val="000000"/>
                <w:sz w:val="19"/>
                <w:szCs w:val="19"/>
              </w:rPr>
              <w:t>25</w:t>
            </w:r>
          </w:p>
        </w:tc>
        <w:tc>
          <w:tcPr>
            <w:tcW w:w="471" w:type="pct"/>
            <w:tcBorders>
              <w:top w:val="single" w:sz="4" w:space="0" w:color="000000"/>
              <w:left w:val="nil"/>
              <w:bottom w:val="single" w:sz="2" w:space="0" w:color="000000"/>
              <w:right w:val="nil"/>
            </w:tcBorders>
            <w:vAlign w:val="center"/>
          </w:tcPr>
          <w:p w14:paraId="08EBBD7F" w14:textId="77777777" w:rsidR="0088085F" w:rsidRPr="009B216E" w:rsidRDefault="0088085F" w:rsidP="005434E5">
            <w:pPr>
              <w:pStyle w:val="cuatexto"/>
              <w:jc w:val="right"/>
              <w:rPr>
                <w:rFonts w:cs="Calibri"/>
                <w:color w:val="000000"/>
                <w:sz w:val="19"/>
                <w:szCs w:val="19"/>
              </w:rPr>
            </w:pPr>
            <w:r>
              <w:rPr>
                <w:color w:val="000000"/>
                <w:sz w:val="19"/>
                <w:szCs w:val="19"/>
              </w:rPr>
              <w:t>11,07</w:t>
            </w:r>
          </w:p>
        </w:tc>
      </w:tr>
      <w:tr w:rsidR="009B216E" w:rsidRPr="009B216E" w14:paraId="294D8C3E"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3855E07F" w14:textId="77777777" w:rsidR="0088085F" w:rsidRPr="009B216E" w:rsidRDefault="0088085F" w:rsidP="005434E5">
            <w:pPr>
              <w:pStyle w:val="cuatexto"/>
              <w:jc w:val="left"/>
              <w:rPr>
                <w:sz w:val="19"/>
                <w:szCs w:val="19"/>
              </w:rPr>
            </w:pPr>
            <w:r>
              <w:rPr>
                <w:sz w:val="19"/>
                <w:szCs w:val="19"/>
              </w:rPr>
              <w:t>7  Kapital-transferentziak</w:t>
            </w:r>
          </w:p>
        </w:tc>
        <w:tc>
          <w:tcPr>
            <w:tcW w:w="582" w:type="pct"/>
            <w:tcBorders>
              <w:top w:val="single" w:sz="2" w:space="0" w:color="000000"/>
              <w:left w:val="nil"/>
              <w:bottom w:val="single" w:sz="4" w:space="0" w:color="000000"/>
              <w:right w:val="nil"/>
            </w:tcBorders>
            <w:shd w:val="clear" w:color="auto" w:fill="auto"/>
            <w:vAlign w:val="center"/>
            <w:hideMark/>
          </w:tcPr>
          <w:p w14:paraId="51922BDF" w14:textId="77777777" w:rsidR="0088085F" w:rsidRPr="009B216E" w:rsidRDefault="0088085F" w:rsidP="005434E5">
            <w:pPr>
              <w:pStyle w:val="cuatexto"/>
              <w:jc w:val="right"/>
              <w:rPr>
                <w:rFonts w:cs="Calibri"/>
                <w:color w:val="000000"/>
                <w:sz w:val="19"/>
                <w:szCs w:val="19"/>
              </w:rPr>
            </w:pPr>
            <w:r>
              <w:rPr>
                <w:color w:val="000000"/>
                <w:sz w:val="19"/>
                <w:szCs w:val="19"/>
              </w:rPr>
              <w:t>122,65</w:t>
            </w:r>
          </w:p>
        </w:tc>
        <w:tc>
          <w:tcPr>
            <w:tcW w:w="463" w:type="pct"/>
            <w:tcBorders>
              <w:top w:val="single" w:sz="2" w:space="0" w:color="000000"/>
              <w:left w:val="nil"/>
              <w:bottom w:val="single" w:sz="4" w:space="0" w:color="000000"/>
              <w:right w:val="nil"/>
            </w:tcBorders>
            <w:shd w:val="clear" w:color="auto" w:fill="auto"/>
            <w:vAlign w:val="center"/>
            <w:hideMark/>
          </w:tcPr>
          <w:p w14:paraId="6FA9EBA4" w14:textId="77777777" w:rsidR="0088085F" w:rsidRPr="009B216E" w:rsidRDefault="0088085F" w:rsidP="005434E5">
            <w:pPr>
              <w:pStyle w:val="cuatexto"/>
              <w:jc w:val="right"/>
              <w:rPr>
                <w:rFonts w:cs="Calibri"/>
                <w:color w:val="000000"/>
                <w:sz w:val="19"/>
                <w:szCs w:val="19"/>
              </w:rPr>
            </w:pPr>
            <w:r>
              <w:rPr>
                <w:color w:val="000000"/>
                <w:sz w:val="19"/>
                <w:szCs w:val="19"/>
              </w:rPr>
              <w:t>83,51</w:t>
            </w:r>
          </w:p>
        </w:tc>
        <w:tc>
          <w:tcPr>
            <w:tcW w:w="536" w:type="pct"/>
            <w:tcBorders>
              <w:top w:val="single" w:sz="2" w:space="0" w:color="000000"/>
              <w:left w:val="nil"/>
              <w:bottom w:val="single" w:sz="4" w:space="0" w:color="000000"/>
              <w:right w:val="nil"/>
            </w:tcBorders>
            <w:shd w:val="clear" w:color="auto" w:fill="auto"/>
            <w:vAlign w:val="center"/>
            <w:hideMark/>
          </w:tcPr>
          <w:p w14:paraId="64C1E66A" w14:textId="77777777" w:rsidR="0088085F" w:rsidRPr="009B216E" w:rsidRDefault="0088085F" w:rsidP="005434E5">
            <w:pPr>
              <w:pStyle w:val="cuatexto"/>
              <w:jc w:val="right"/>
              <w:rPr>
                <w:rFonts w:cs="Calibri"/>
                <w:sz w:val="19"/>
                <w:szCs w:val="19"/>
              </w:rPr>
            </w:pPr>
            <w:r>
              <w:rPr>
                <w:sz w:val="19"/>
                <w:szCs w:val="19"/>
              </w:rPr>
              <w:t>9,4</w:t>
            </w:r>
          </w:p>
        </w:tc>
        <w:tc>
          <w:tcPr>
            <w:tcW w:w="559" w:type="pct"/>
            <w:tcBorders>
              <w:top w:val="single" w:sz="2" w:space="0" w:color="000000"/>
              <w:left w:val="nil"/>
              <w:bottom w:val="single" w:sz="4" w:space="0" w:color="000000"/>
              <w:right w:val="nil"/>
            </w:tcBorders>
            <w:shd w:val="clear" w:color="auto" w:fill="auto"/>
            <w:vAlign w:val="center"/>
            <w:hideMark/>
          </w:tcPr>
          <w:p w14:paraId="7DB169D0" w14:textId="77777777" w:rsidR="0088085F" w:rsidRPr="009B216E" w:rsidRDefault="0088085F" w:rsidP="005434E5">
            <w:pPr>
              <w:pStyle w:val="cuatexto"/>
              <w:jc w:val="right"/>
              <w:rPr>
                <w:rFonts w:cs="Calibri"/>
                <w:sz w:val="19"/>
                <w:szCs w:val="19"/>
              </w:rPr>
            </w:pPr>
            <w:r>
              <w:rPr>
                <w:sz w:val="19"/>
                <w:szCs w:val="19"/>
              </w:rPr>
              <w:t>68</w:t>
            </w:r>
          </w:p>
        </w:tc>
        <w:tc>
          <w:tcPr>
            <w:tcW w:w="553" w:type="pct"/>
            <w:tcBorders>
              <w:top w:val="single" w:sz="2" w:space="0" w:color="000000"/>
              <w:left w:val="nil"/>
              <w:bottom w:val="single" w:sz="4" w:space="0" w:color="000000"/>
              <w:right w:val="nil"/>
            </w:tcBorders>
            <w:shd w:val="clear" w:color="auto" w:fill="auto"/>
            <w:noWrap/>
            <w:vAlign w:val="center"/>
            <w:hideMark/>
          </w:tcPr>
          <w:p w14:paraId="1A3553B1" w14:textId="77777777" w:rsidR="0088085F" w:rsidRPr="009B216E" w:rsidRDefault="0088085F" w:rsidP="005434E5">
            <w:pPr>
              <w:pStyle w:val="cuatexto"/>
              <w:jc w:val="right"/>
              <w:rPr>
                <w:rFonts w:cs="Calibri"/>
                <w:color w:val="000000"/>
                <w:sz w:val="19"/>
                <w:szCs w:val="19"/>
              </w:rPr>
            </w:pPr>
            <w:r>
              <w:rPr>
                <w:color w:val="000000"/>
                <w:sz w:val="19"/>
                <w:szCs w:val="19"/>
              </w:rPr>
              <w:t>24</w:t>
            </w:r>
          </w:p>
        </w:tc>
        <w:tc>
          <w:tcPr>
            <w:tcW w:w="471" w:type="pct"/>
            <w:tcBorders>
              <w:top w:val="single" w:sz="2" w:space="0" w:color="000000"/>
              <w:left w:val="nil"/>
              <w:bottom w:val="single" w:sz="4" w:space="0" w:color="000000"/>
              <w:right w:val="nil"/>
            </w:tcBorders>
            <w:vAlign w:val="center"/>
          </w:tcPr>
          <w:p w14:paraId="0AD85BFC" w14:textId="77777777" w:rsidR="0088085F" w:rsidRPr="009B216E" w:rsidRDefault="0088085F" w:rsidP="005434E5">
            <w:pPr>
              <w:pStyle w:val="cuatexto"/>
              <w:jc w:val="right"/>
              <w:rPr>
                <w:rFonts w:cs="Calibri"/>
                <w:color w:val="000000"/>
                <w:sz w:val="19"/>
                <w:szCs w:val="19"/>
              </w:rPr>
            </w:pPr>
            <w:r>
              <w:rPr>
                <w:color w:val="000000"/>
                <w:sz w:val="19"/>
                <w:szCs w:val="19"/>
              </w:rPr>
              <w:t>87,87</w:t>
            </w:r>
          </w:p>
        </w:tc>
      </w:tr>
      <w:tr w:rsidR="009B216E" w:rsidRPr="005434E5" w14:paraId="09159F6C"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1F09FB1F" w14:textId="77777777" w:rsidR="0088085F" w:rsidRPr="005434E5" w:rsidRDefault="0088085F" w:rsidP="005434E5">
            <w:pPr>
              <w:pStyle w:val="cuatexto"/>
              <w:jc w:val="left"/>
              <w:rPr>
                <w:b/>
                <w:iCs/>
                <w:sz w:val="19"/>
                <w:szCs w:val="19"/>
              </w:rPr>
            </w:pPr>
            <w:r>
              <w:rPr>
                <w:b/>
                <w:iCs/>
                <w:sz w:val="19"/>
                <w:szCs w:val="19"/>
              </w:rPr>
              <w:t xml:space="preserve">     Kapitaleko diru-sarrerak</w:t>
            </w:r>
          </w:p>
        </w:tc>
        <w:tc>
          <w:tcPr>
            <w:tcW w:w="582" w:type="pct"/>
            <w:tcBorders>
              <w:top w:val="single" w:sz="4" w:space="0" w:color="000000"/>
              <w:left w:val="nil"/>
              <w:bottom w:val="single" w:sz="4" w:space="0" w:color="000000"/>
              <w:right w:val="nil"/>
            </w:tcBorders>
            <w:shd w:val="clear" w:color="auto" w:fill="auto"/>
            <w:vAlign w:val="center"/>
            <w:hideMark/>
          </w:tcPr>
          <w:p w14:paraId="5CF38A82"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136,27</w:t>
            </w:r>
          </w:p>
        </w:tc>
        <w:tc>
          <w:tcPr>
            <w:tcW w:w="463" w:type="pct"/>
            <w:tcBorders>
              <w:top w:val="single" w:sz="4" w:space="0" w:color="000000"/>
              <w:left w:val="nil"/>
              <w:bottom w:val="single" w:sz="4" w:space="0" w:color="000000"/>
              <w:right w:val="nil"/>
            </w:tcBorders>
            <w:shd w:val="clear" w:color="auto" w:fill="auto"/>
            <w:vAlign w:val="center"/>
            <w:hideMark/>
          </w:tcPr>
          <w:p w14:paraId="06158A8D"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94,53</w:t>
            </w:r>
          </w:p>
        </w:tc>
        <w:tc>
          <w:tcPr>
            <w:tcW w:w="536" w:type="pct"/>
            <w:tcBorders>
              <w:top w:val="single" w:sz="4" w:space="0" w:color="000000"/>
              <w:left w:val="nil"/>
              <w:bottom w:val="single" w:sz="4" w:space="0" w:color="000000"/>
              <w:right w:val="nil"/>
            </w:tcBorders>
            <w:shd w:val="clear" w:color="auto" w:fill="auto"/>
            <w:vAlign w:val="center"/>
            <w:hideMark/>
          </w:tcPr>
          <w:p w14:paraId="0370F73A" w14:textId="77777777" w:rsidR="0088085F" w:rsidRPr="005434E5" w:rsidRDefault="0088085F" w:rsidP="005434E5">
            <w:pPr>
              <w:pStyle w:val="cuatexto"/>
              <w:jc w:val="right"/>
              <w:rPr>
                <w:rFonts w:cs="Calibri"/>
                <w:b/>
                <w:bCs/>
                <w:iCs/>
                <w:sz w:val="19"/>
                <w:szCs w:val="19"/>
              </w:rPr>
            </w:pPr>
            <w:r>
              <w:rPr>
                <w:b/>
                <w:bCs/>
                <w:iCs/>
                <w:sz w:val="19"/>
                <w:szCs w:val="19"/>
              </w:rPr>
              <w:t>10,6</w:t>
            </w:r>
          </w:p>
        </w:tc>
        <w:tc>
          <w:tcPr>
            <w:tcW w:w="559" w:type="pct"/>
            <w:tcBorders>
              <w:top w:val="single" w:sz="4" w:space="0" w:color="000000"/>
              <w:left w:val="nil"/>
              <w:bottom w:val="single" w:sz="4" w:space="0" w:color="000000"/>
              <w:right w:val="nil"/>
            </w:tcBorders>
            <w:shd w:val="clear" w:color="auto" w:fill="auto"/>
            <w:vAlign w:val="center"/>
            <w:hideMark/>
          </w:tcPr>
          <w:p w14:paraId="1FC921CC" w14:textId="77777777" w:rsidR="0088085F" w:rsidRPr="005434E5" w:rsidRDefault="0088085F" w:rsidP="005434E5">
            <w:pPr>
              <w:pStyle w:val="cuatexto"/>
              <w:jc w:val="right"/>
              <w:rPr>
                <w:rFonts w:cs="Calibri"/>
                <w:b/>
                <w:bCs/>
                <w:iCs/>
                <w:sz w:val="19"/>
                <w:szCs w:val="19"/>
              </w:rPr>
            </w:pPr>
            <w:r>
              <w:rPr>
                <w:b/>
                <w:bCs/>
                <w:iCs/>
                <w:sz w:val="19"/>
                <w:szCs w:val="19"/>
              </w:rPr>
              <w:t>69</w:t>
            </w:r>
          </w:p>
        </w:tc>
        <w:tc>
          <w:tcPr>
            <w:tcW w:w="553" w:type="pct"/>
            <w:tcBorders>
              <w:top w:val="single" w:sz="4" w:space="0" w:color="000000"/>
              <w:left w:val="nil"/>
              <w:bottom w:val="single" w:sz="4" w:space="0" w:color="000000"/>
              <w:right w:val="nil"/>
            </w:tcBorders>
            <w:shd w:val="clear" w:color="auto" w:fill="auto"/>
            <w:noWrap/>
            <w:vAlign w:val="center"/>
            <w:hideMark/>
          </w:tcPr>
          <w:p w14:paraId="02224BA8"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15</w:t>
            </w:r>
          </w:p>
        </w:tc>
        <w:tc>
          <w:tcPr>
            <w:tcW w:w="471" w:type="pct"/>
            <w:tcBorders>
              <w:top w:val="single" w:sz="4" w:space="0" w:color="000000"/>
              <w:left w:val="nil"/>
              <w:bottom w:val="single" w:sz="4" w:space="0" w:color="000000"/>
              <w:right w:val="nil"/>
            </w:tcBorders>
            <w:vAlign w:val="center"/>
          </w:tcPr>
          <w:p w14:paraId="78BD1683"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98,94</w:t>
            </w:r>
          </w:p>
        </w:tc>
      </w:tr>
      <w:tr w:rsidR="009B216E" w:rsidRPr="009B216E" w14:paraId="3E43C592" w14:textId="77777777" w:rsidTr="005434E5">
        <w:trPr>
          <w:trHeight w:hRule="exact" w:val="238"/>
          <w:jc w:val="center"/>
        </w:trPr>
        <w:tc>
          <w:tcPr>
            <w:tcW w:w="1837" w:type="pct"/>
            <w:tcBorders>
              <w:top w:val="single" w:sz="4" w:space="0" w:color="000000"/>
              <w:left w:val="nil"/>
              <w:bottom w:val="single" w:sz="2" w:space="0" w:color="000000"/>
              <w:right w:val="nil"/>
            </w:tcBorders>
            <w:shd w:val="clear" w:color="auto" w:fill="auto"/>
            <w:vAlign w:val="center"/>
            <w:hideMark/>
          </w:tcPr>
          <w:p w14:paraId="1D91B825" w14:textId="77777777" w:rsidR="0088085F" w:rsidRPr="009B216E" w:rsidRDefault="0088085F" w:rsidP="005434E5">
            <w:pPr>
              <w:pStyle w:val="cuatexto"/>
              <w:jc w:val="left"/>
              <w:rPr>
                <w:sz w:val="19"/>
                <w:szCs w:val="19"/>
              </w:rPr>
            </w:pPr>
            <w:r>
              <w:rPr>
                <w:sz w:val="19"/>
                <w:szCs w:val="19"/>
              </w:rPr>
              <w:t>8  Aktibo finantzarioak</w:t>
            </w:r>
          </w:p>
        </w:tc>
        <w:tc>
          <w:tcPr>
            <w:tcW w:w="582" w:type="pct"/>
            <w:tcBorders>
              <w:top w:val="single" w:sz="4" w:space="0" w:color="000000"/>
              <w:left w:val="nil"/>
              <w:bottom w:val="single" w:sz="2" w:space="0" w:color="000000"/>
              <w:right w:val="nil"/>
            </w:tcBorders>
            <w:shd w:val="clear" w:color="auto" w:fill="auto"/>
            <w:vAlign w:val="center"/>
            <w:hideMark/>
          </w:tcPr>
          <w:p w14:paraId="7A5228F9" w14:textId="77777777" w:rsidR="0088085F" w:rsidRPr="009B216E" w:rsidRDefault="0088085F" w:rsidP="005434E5">
            <w:pPr>
              <w:pStyle w:val="cuatexto"/>
              <w:jc w:val="right"/>
              <w:rPr>
                <w:rFonts w:cs="Calibri"/>
                <w:color w:val="000000"/>
                <w:sz w:val="19"/>
                <w:szCs w:val="19"/>
              </w:rPr>
            </w:pPr>
            <w:r>
              <w:rPr>
                <w:color w:val="000000"/>
                <w:sz w:val="19"/>
                <w:szCs w:val="19"/>
              </w:rPr>
              <w:t>135,66</w:t>
            </w:r>
          </w:p>
        </w:tc>
        <w:tc>
          <w:tcPr>
            <w:tcW w:w="463" w:type="pct"/>
            <w:tcBorders>
              <w:top w:val="single" w:sz="4" w:space="0" w:color="000000"/>
              <w:left w:val="nil"/>
              <w:bottom w:val="single" w:sz="2" w:space="0" w:color="000000"/>
              <w:right w:val="nil"/>
            </w:tcBorders>
            <w:shd w:val="clear" w:color="auto" w:fill="auto"/>
            <w:vAlign w:val="center"/>
            <w:hideMark/>
          </w:tcPr>
          <w:p w14:paraId="3CFAC7E0" w14:textId="77777777" w:rsidR="0088085F" w:rsidRPr="009B216E" w:rsidRDefault="0088085F" w:rsidP="005434E5">
            <w:pPr>
              <w:pStyle w:val="cuatexto"/>
              <w:jc w:val="right"/>
              <w:rPr>
                <w:rFonts w:cs="Calibri"/>
                <w:color w:val="000000"/>
                <w:sz w:val="19"/>
                <w:szCs w:val="19"/>
              </w:rPr>
            </w:pPr>
            <w:r>
              <w:rPr>
                <w:color w:val="000000"/>
                <w:sz w:val="19"/>
                <w:szCs w:val="19"/>
              </w:rPr>
              <w:t>2,34</w:t>
            </w:r>
          </w:p>
        </w:tc>
        <w:tc>
          <w:tcPr>
            <w:tcW w:w="536" w:type="pct"/>
            <w:tcBorders>
              <w:top w:val="single" w:sz="4" w:space="0" w:color="000000"/>
              <w:left w:val="nil"/>
              <w:bottom w:val="single" w:sz="2" w:space="0" w:color="000000"/>
              <w:right w:val="nil"/>
            </w:tcBorders>
            <w:shd w:val="clear" w:color="auto" w:fill="auto"/>
            <w:vAlign w:val="center"/>
            <w:hideMark/>
          </w:tcPr>
          <w:p w14:paraId="7BD2BA1B" w14:textId="77777777" w:rsidR="0088085F" w:rsidRPr="009B216E" w:rsidRDefault="0088085F" w:rsidP="005434E5">
            <w:pPr>
              <w:pStyle w:val="cuatexto"/>
              <w:jc w:val="right"/>
              <w:rPr>
                <w:rFonts w:cs="Calibri"/>
                <w:sz w:val="19"/>
                <w:szCs w:val="19"/>
              </w:rPr>
            </w:pPr>
            <w:r>
              <w:rPr>
                <w:sz w:val="19"/>
                <w:szCs w:val="19"/>
              </w:rPr>
              <w:t>0,3</w:t>
            </w:r>
          </w:p>
        </w:tc>
        <w:tc>
          <w:tcPr>
            <w:tcW w:w="559" w:type="pct"/>
            <w:tcBorders>
              <w:top w:val="single" w:sz="4" w:space="0" w:color="000000"/>
              <w:left w:val="nil"/>
              <w:bottom w:val="single" w:sz="2" w:space="0" w:color="000000"/>
              <w:right w:val="nil"/>
            </w:tcBorders>
            <w:shd w:val="clear" w:color="auto" w:fill="auto"/>
            <w:vAlign w:val="center"/>
            <w:hideMark/>
          </w:tcPr>
          <w:p w14:paraId="5E3AA6ED" w14:textId="77777777" w:rsidR="0088085F" w:rsidRPr="009B216E" w:rsidRDefault="0088085F" w:rsidP="005434E5">
            <w:pPr>
              <w:pStyle w:val="cuatexto"/>
              <w:jc w:val="right"/>
              <w:rPr>
                <w:rFonts w:cs="Calibri"/>
                <w:sz w:val="19"/>
                <w:szCs w:val="19"/>
              </w:rPr>
            </w:pPr>
            <w:r>
              <w:rPr>
                <w:sz w:val="19"/>
                <w:szCs w:val="19"/>
              </w:rPr>
              <w:t>2</w:t>
            </w:r>
          </w:p>
        </w:tc>
        <w:tc>
          <w:tcPr>
            <w:tcW w:w="553" w:type="pct"/>
            <w:tcBorders>
              <w:top w:val="single" w:sz="4" w:space="0" w:color="000000"/>
              <w:left w:val="nil"/>
              <w:bottom w:val="single" w:sz="2" w:space="0" w:color="000000"/>
              <w:right w:val="nil"/>
            </w:tcBorders>
            <w:shd w:val="clear" w:color="auto" w:fill="auto"/>
            <w:noWrap/>
            <w:vAlign w:val="center"/>
            <w:hideMark/>
          </w:tcPr>
          <w:p w14:paraId="0B22BB86" w14:textId="77777777" w:rsidR="0088085F" w:rsidRPr="009B216E" w:rsidRDefault="0088085F" w:rsidP="005434E5">
            <w:pPr>
              <w:pStyle w:val="cuatexto"/>
              <w:jc w:val="right"/>
              <w:rPr>
                <w:rFonts w:cs="Calibri"/>
                <w:color w:val="000000"/>
                <w:sz w:val="19"/>
                <w:szCs w:val="19"/>
              </w:rPr>
            </w:pPr>
            <w:r>
              <w:rPr>
                <w:color w:val="000000"/>
                <w:sz w:val="19"/>
                <w:szCs w:val="19"/>
              </w:rPr>
              <w:t>207</w:t>
            </w:r>
          </w:p>
        </w:tc>
        <w:tc>
          <w:tcPr>
            <w:tcW w:w="471" w:type="pct"/>
            <w:tcBorders>
              <w:top w:val="single" w:sz="4" w:space="0" w:color="000000"/>
              <w:left w:val="nil"/>
              <w:bottom w:val="single" w:sz="2" w:space="0" w:color="000000"/>
              <w:right w:val="nil"/>
            </w:tcBorders>
            <w:vAlign w:val="center"/>
          </w:tcPr>
          <w:p w14:paraId="4E80CCF6" w14:textId="77777777" w:rsidR="0088085F" w:rsidRPr="009B216E" w:rsidRDefault="0088085F" w:rsidP="005434E5">
            <w:pPr>
              <w:pStyle w:val="cuatexto"/>
              <w:jc w:val="right"/>
              <w:rPr>
                <w:rFonts w:cs="Calibri"/>
                <w:color w:val="000000"/>
                <w:sz w:val="19"/>
                <w:szCs w:val="19"/>
              </w:rPr>
            </w:pPr>
            <w:r>
              <w:rPr>
                <w:color w:val="000000"/>
                <w:sz w:val="19"/>
                <w:szCs w:val="19"/>
              </w:rPr>
              <w:t>2,34</w:t>
            </w:r>
          </w:p>
        </w:tc>
      </w:tr>
      <w:tr w:rsidR="009B216E" w:rsidRPr="009B216E" w14:paraId="5ABB69D9" w14:textId="77777777" w:rsidTr="005434E5">
        <w:trPr>
          <w:trHeight w:hRule="exact" w:val="238"/>
          <w:jc w:val="center"/>
        </w:trPr>
        <w:tc>
          <w:tcPr>
            <w:tcW w:w="1837" w:type="pct"/>
            <w:tcBorders>
              <w:top w:val="single" w:sz="2" w:space="0" w:color="000000"/>
              <w:left w:val="nil"/>
              <w:bottom w:val="single" w:sz="4" w:space="0" w:color="000000"/>
              <w:right w:val="nil"/>
            </w:tcBorders>
            <w:shd w:val="clear" w:color="auto" w:fill="auto"/>
            <w:vAlign w:val="center"/>
            <w:hideMark/>
          </w:tcPr>
          <w:p w14:paraId="48FF4176" w14:textId="77777777" w:rsidR="0088085F" w:rsidRPr="009B216E" w:rsidRDefault="0088085F" w:rsidP="005434E5">
            <w:pPr>
              <w:pStyle w:val="cuatexto"/>
              <w:jc w:val="left"/>
              <w:rPr>
                <w:sz w:val="19"/>
                <w:szCs w:val="19"/>
              </w:rPr>
            </w:pPr>
            <w:r>
              <w:rPr>
                <w:sz w:val="19"/>
                <w:szCs w:val="19"/>
              </w:rPr>
              <w:t>9  Pasibo finantzarioak</w:t>
            </w:r>
          </w:p>
        </w:tc>
        <w:tc>
          <w:tcPr>
            <w:tcW w:w="582" w:type="pct"/>
            <w:tcBorders>
              <w:top w:val="single" w:sz="2" w:space="0" w:color="000000"/>
              <w:left w:val="nil"/>
              <w:bottom w:val="single" w:sz="4" w:space="0" w:color="000000"/>
              <w:right w:val="nil"/>
            </w:tcBorders>
            <w:shd w:val="clear" w:color="auto" w:fill="auto"/>
            <w:vAlign w:val="center"/>
            <w:hideMark/>
          </w:tcPr>
          <w:p w14:paraId="037F3A64" w14:textId="77777777" w:rsidR="0088085F" w:rsidRPr="009B216E" w:rsidRDefault="0088085F" w:rsidP="005434E5">
            <w:pPr>
              <w:pStyle w:val="cuatexto"/>
              <w:jc w:val="right"/>
              <w:rPr>
                <w:rFonts w:cs="Calibri"/>
                <w:color w:val="000000"/>
                <w:sz w:val="19"/>
                <w:szCs w:val="19"/>
              </w:rPr>
            </w:pPr>
            <w:r>
              <w:rPr>
                <w:color w:val="000000"/>
                <w:sz w:val="19"/>
                <w:szCs w:val="19"/>
              </w:rPr>
              <w:t>21,45</w:t>
            </w:r>
          </w:p>
        </w:tc>
        <w:tc>
          <w:tcPr>
            <w:tcW w:w="463" w:type="pct"/>
            <w:tcBorders>
              <w:top w:val="single" w:sz="2" w:space="0" w:color="000000"/>
              <w:left w:val="nil"/>
              <w:bottom w:val="single" w:sz="4" w:space="0" w:color="000000"/>
              <w:right w:val="nil"/>
            </w:tcBorders>
            <w:shd w:val="clear" w:color="auto" w:fill="auto"/>
            <w:vAlign w:val="center"/>
            <w:hideMark/>
          </w:tcPr>
          <w:p w14:paraId="42EFBEBB" w14:textId="77777777" w:rsidR="0088085F" w:rsidRPr="009B216E" w:rsidRDefault="0088085F" w:rsidP="005434E5">
            <w:pPr>
              <w:pStyle w:val="cuatexto"/>
              <w:jc w:val="right"/>
              <w:rPr>
                <w:rFonts w:cs="Calibri"/>
                <w:color w:val="000000"/>
                <w:sz w:val="19"/>
                <w:szCs w:val="19"/>
              </w:rPr>
            </w:pPr>
            <w:r>
              <w:rPr>
                <w:color w:val="000000"/>
                <w:sz w:val="19"/>
                <w:szCs w:val="19"/>
              </w:rPr>
              <w:t>2,94</w:t>
            </w:r>
          </w:p>
        </w:tc>
        <w:tc>
          <w:tcPr>
            <w:tcW w:w="536" w:type="pct"/>
            <w:tcBorders>
              <w:top w:val="single" w:sz="2" w:space="0" w:color="000000"/>
              <w:left w:val="nil"/>
              <w:bottom w:val="single" w:sz="4" w:space="0" w:color="000000"/>
              <w:right w:val="nil"/>
            </w:tcBorders>
            <w:shd w:val="clear" w:color="auto" w:fill="auto"/>
            <w:vAlign w:val="center"/>
            <w:hideMark/>
          </w:tcPr>
          <w:p w14:paraId="0274F2D0" w14:textId="77777777" w:rsidR="0088085F" w:rsidRPr="009B216E" w:rsidRDefault="0088085F" w:rsidP="005434E5">
            <w:pPr>
              <w:pStyle w:val="cuatexto"/>
              <w:jc w:val="right"/>
              <w:rPr>
                <w:rFonts w:cs="Calibri"/>
                <w:sz w:val="19"/>
                <w:szCs w:val="19"/>
              </w:rPr>
            </w:pPr>
            <w:r>
              <w:rPr>
                <w:sz w:val="19"/>
                <w:szCs w:val="19"/>
              </w:rPr>
              <w:t>0,3</w:t>
            </w:r>
          </w:p>
        </w:tc>
        <w:tc>
          <w:tcPr>
            <w:tcW w:w="559" w:type="pct"/>
            <w:tcBorders>
              <w:top w:val="single" w:sz="2" w:space="0" w:color="000000"/>
              <w:left w:val="nil"/>
              <w:bottom w:val="single" w:sz="4" w:space="0" w:color="000000"/>
              <w:right w:val="nil"/>
            </w:tcBorders>
            <w:shd w:val="clear" w:color="auto" w:fill="auto"/>
            <w:vAlign w:val="center"/>
            <w:hideMark/>
          </w:tcPr>
          <w:p w14:paraId="5B93D819" w14:textId="77777777" w:rsidR="0088085F" w:rsidRPr="009B216E" w:rsidRDefault="0088085F" w:rsidP="005434E5">
            <w:pPr>
              <w:pStyle w:val="cuatexto"/>
              <w:jc w:val="right"/>
              <w:rPr>
                <w:rFonts w:cs="Calibri"/>
                <w:sz w:val="19"/>
                <w:szCs w:val="19"/>
              </w:rPr>
            </w:pPr>
            <w:r>
              <w:rPr>
                <w:sz w:val="19"/>
                <w:szCs w:val="19"/>
              </w:rPr>
              <w:t>14</w:t>
            </w:r>
          </w:p>
        </w:tc>
        <w:tc>
          <w:tcPr>
            <w:tcW w:w="553" w:type="pct"/>
            <w:tcBorders>
              <w:top w:val="single" w:sz="2" w:space="0" w:color="000000"/>
              <w:left w:val="nil"/>
              <w:bottom w:val="single" w:sz="4" w:space="0" w:color="000000"/>
              <w:right w:val="nil"/>
            </w:tcBorders>
            <w:shd w:val="clear" w:color="auto" w:fill="auto"/>
            <w:noWrap/>
            <w:vAlign w:val="center"/>
            <w:hideMark/>
          </w:tcPr>
          <w:p w14:paraId="51D61C50" w14:textId="77777777" w:rsidR="0088085F" w:rsidRPr="009B216E" w:rsidRDefault="0088085F" w:rsidP="005434E5">
            <w:pPr>
              <w:pStyle w:val="cuatexto"/>
              <w:jc w:val="right"/>
              <w:rPr>
                <w:rFonts w:cs="Calibri"/>
                <w:color w:val="000000"/>
                <w:sz w:val="19"/>
                <w:szCs w:val="19"/>
              </w:rPr>
            </w:pPr>
            <w:r>
              <w:rPr>
                <w:color w:val="000000"/>
                <w:sz w:val="19"/>
                <w:szCs w:val="19"/>
              </w:rPr>
              <w:t>29</w:t>
            </w:r>
          </w:p>
        </w:tc>
        <w:tc>
          <w:tcPr>
            <w:tcW w:w="471" w:type="pct"/>
            <w:tcBorders>
              <w:top w:val="single" w:sz="2" w:space="0" w:color="000000"/>
              <w:left w:val="nil"/>
              <w:bottom w:val="single" w:sz="4" w:space="0" w:color="000000"/>
              <w:right w:val="nil"/>
            </w:tcBorders>
            <w:vAlign w:val="center"/>
          </w:tcPr>
          <w:p w14:paraId="1E0902C1" w14:textId="77777777" w:rsidR="0088085F" w:rsidRPr="009B216E" w:rsidRDefault="0088085F" w:rsidP="005434E5">
            <w:pPr>
              <w:pStyle w:val="cuatexto"/>
              <w:jc w:val="right"/>
              <w:rPr>
                <w:rFonts w:cs="Calibri"/>
                <w:color w:val="000000"/>
                <w:sz w:val="19"/>
                <w:szCs w:val="19"/>
              </w:rPr>
            </w:pPr>
            <w:r>
              <w:rPr>
                <w:color w:val="000000"/>
                <w:sz w:val="19"/>
                <w:szCs w:val="19"/>
              </w:rPr>
              <w:t>2,94</w:t>
            </w:r>
          </w:p>
        </w:tc>
      </w:tr>
      <w:tr w:rsidR="009B216E" w:rsidRPr="005434E5" w14:paraId="26B34E98" w14:textId="77777777" w:rsidTr="005434E5">
        <w:trPr>
          <w:trHeight w:hRule="exact" w:val="238"/>
          <w:jc w:val="center"/>
        </w:trPr>
        <w:tc>
          <w:tcPr>
            <w:tcW w:w="1837" w:type="pct"/>
            <w:tcBorders>
              <w:top w:val="single" w:sz="4" w:space="0" w:color="000000"/>
              <w:left w:val="nil"/>
              <w:bottom w:val="single" w:sz="4" w:space="0" w:color="000000"/>
              <w:right w:val="nil"/>
            </w:tcBorders>
            <w:shd w:val="clear" w:color="auto" w:fill="auto"/>
            <w:vAlign w:val="center"/>
            <w:hideMark/>
          </w:tcPr>
          <w:p w14:paraId="62D88B76" w14:textId="77777777" w:rsidR="0088085F" w:rsidRPr="005434E5" w:rsidRDefault="0088085F" w:rsidP="005434E5">
            <w:pPr>
              <w:pStyle w:val="cuatexto"/>
              <w:jc w:val="left"/>
              <w:rPr>
                <w:b/>
                <w:iCs/>
                <w:sz w:val="19"/>
                <w:szCs w:val="19"/>
              </w:rPr>
            </w:pPr>
            <w:r>
              <w:rPr>
                <w:b/>
                <w:iCs/>
                <w:sz w:val="19"/>
                <w:szCs w:val="19"/>
              </w:rPr>
              <w:t xml:space="preserve">     Diru-sarrera finantzarioak</w:t>
            </w:r>
          </w:p>
        </w:tc>
        <w:tc>
          <w:tcPr>
            <w:tcW w:w="582" w:type="pct"/>
            <w:tcBorders>
              <w:top w:val="single" w:sz="4" w:space="0" w:color="000000"/>
              <w:left w:val="nil"/>
              <w:bottom w:val="single" w:sz="4" w:space="0" w:color="000000"/>
              <w:right w:val="nil"/>
            </w:tcBorders>
            <w:shd w:val="clear" w:color="auto" w:fill="auto"/>
            <w:vAlign w:val="center"/>
            <w:hideMark/>
          </w:tcPr>
          <w:p w14:paraId="286B21B5"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157,11</w:t>
            </w:r>
          </w:p>
        </w:tc>
        <w:tc>
          <w:tcPr>
            <w:tcW w:w="463" w:type="pct"/>
            <w:tcBorders>
              <w:top w:val="single" w:sz="4" w:space="0" w:color="000000"/>
              <w:left w:val="nil"/>
              <w:bottom w:val="single" w:sz="4" w:space="0" w:color="000000"/>
              <w:right w:val="nil"/>
            </w:tcBorders>
            <w:shd w:val="clear" w:color="auto" w:fill="auto"/>
            <w:vAlign w:val="center"/>
            <w:hideMark/>
          </w:tcPr>
          <w:p w14:paraId="30F8EF8D"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5,28</w:t>
            </w:r>
          </w:p>
        </w:tc>
        <w:tc>
          <w:tcPr>
            <w:tcW w:w="536" w:type="pct"/>
            <w:tcBorders>
              <w:top w:val="single" w:sz="4" w:space="0" w:color="000000"/>
              <w:left w:val="nil"/>
              <w:bottom w:val="single" w:sz="4" w:space="0" w:color="000000"/>
              <w:right w:val="nil"/>
            </w:tcBorders>
            <w:shd w:val="clear" w:color="auto" w:fill="auto"/>
            <w:vAlign w:val="center"/>
            <w:hideMark/>
          </w:tcPr>
          <w:p w14:paraId="590AC30C" w14:textId="77777777" w:rsidR="0088085F" w:rsidRPr="005434E5" w:rsidRDefault="0088085F" w:rsidP="005434E5">
            <w:pPr>
              <w:pStyle w:val="cuatexto"/>
              <w:jc w:val="right"/>
              <w:rPr>
                <w:rFonts w:cs="Calibri"/>
                <w:b/>
                <w:bCs/>
                <w:iCs/>
                <w:sz w:val="19"/>
                <w:szCs w:val="19"/>
              </w:rPr>
            </w:pPr>
            <w:r>
              <w:rPr>
                <w:b/>
                <w:bCs/>
                <w:iCs/>
                <w:sz w:val="19"/>
                <w:szCs w:val="19"/>
              </w:rPr>
              <w:t>0,6</w:t>
            </w:r>
          </w:p>
        </w:tc>
        <w:tc>
          <w:tcPr>
            <w:tcW w:w="559" w:type="pct"/>
            <w:tcBorders>
              <w:top w:val="single" w:sz="4" w:space="0" w:color="000000"/>
              <w:left w:val="nil"/>
              <w:bottom w:val="single" w:sz="4" w:space="0" w:color="000000"/>
              <w:right w:val="nil"/>
            </w:tcBorders>
            <w:shd w:val="clear" w:color="auto" w:fill="auto"/>
            <w:vAlign w:val="center"/>
            <w:hideMark/>
          </w:tcPr>
          <w:p w14:paraId="0CE98080" w14:textId="77777777" w:rsidR="0088085F" w:rsidRPr="005434E5" w:rsidRDefault="0088085F" w:rsidP="005434E5">
            <w:pPr>
              <w:pStyle w:val="cuatexto"/>
              <w:jc w:val="right"/>
              <w:rPr>
                <w:rFonts w:cs="Calibri"/>
                <w:b/>
                <w:bCs/>
                <w:iCs/>
                <w:sz w:val="19"/>
                <w:szCs w:val="19"/>
              </w:rPr>
            </w:pPr>
            <w:r>
              <w:rPr>
                <w:b/>
                <w:bCs/>
                <w:iCs/>
                <w:sz w:val="19"/>
                <w:szCs w:val="19"/>
              </w:rPr>
              <w:t>3</w:t>
            </w:r>
          </w:p>
        </w:tc>
        <w:tc>
          <w:tcPr>
            <w:tcW w:w="553" w:type="pct"/>
            <w:tcBorders>
              <w:top w:val="single" w:sz="4" w:space="0" w:color="000000"/>
              <w:left w:val="nil"/>
              <w:bottom w:val="single" w:sz="4" w:space="0" w:color="000000"/>
              <w:right w:val="nil"/>
            </w:tcBorders>
            <w:shd w:val="clear" w:color="auto" w:fill="auto"/>
            <w:noWrap/>
            <w:vAlign w:val="center"/>
            <w:hideMark/>
          </w:tcPr>
          <w:p w14:paraId="74F35982"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8</w:t>
            </w:r>
          </w:p>
        </w:tc>
        <w:tc>
          <w:tcPr>
            <w:tcW w:w="471" w:type="pct"/>
            <w:tcBorders>
              <w:top w:val="single" w:sz="4" w:space="0" w:color="000000"/>
              <w:left w:val="nil"/>
              <w:bottom w:val="single" w:sz="4" w:space="0" w:color="000000"/>
              <w:right w:val="nil"/>
            </w:tcBorders>
            <w:vAlign w:val="center"/>
          </w:tcPr>
          <w:p w14:paraId="36BDB41B" w14:textId="77777777" w:rsidR="0088085F" w:rsidRPr="005434E5" w:rsidRDefault="0088085F" w:rsidP="005434E5">
            <w:pPr>
              <w:pStyle w:val="cuatexto"/>
              <w:jc w:val="right"/>
              <w:rPr>
                <w:rFonts w:cs="Calibri"/>
                <w:b/>
                <w:bCs/>
                <w:iCs/>
                <w:color w:val="000000"/>
                <w:sz w:val="19"/>
                <w:szCs w:val="19"/>
              </w:rPr>
            </w:pPr>
            <w:r>
              <w:rPr>
                <w:b/>
                <w:bCs/>
                <w:iCs/>
                <w:color w:val="000000"/>
                <w:sz w:val="19"/>
                <w:szCs w:val="19"/>
              </w:rPr>
              <w:t>5,28</w:t>
            </w:r>
          </w:p>
        </w:tc>
      </w:tr>
      <w:tr w:rsidR="009B216E" w:rsidRPr="009B216E" w14:paraId="0AE5B4B0" w14:textId="77777777" w:rsidTr="005434E5">
        <w:trPr>
          <w:trHeight w:val="284"/>
          <w:jc w:val="center"/>
        </w:trPr>
        <w:tc>
          <w:tcPr>
            <w:tcW w:w="1837" w:type="pct"/>
            <w:tcBorders>
              <w:top w:val="nil"/>
              <w:left w:val="nil"/>
              <w:bottom w:val="single" w:sz="4" w:space="0" w:color="000000"/>
              <w:right w:val="nil"/>
            </w:tcBorders>
            <w:shd w:val="clear" w:color="auto" w:fill="FABF8F" w:themeFill="accent6" w:themeFillTint="99"/>
            <w:vAlign w:val="center"/>
            <w:hideMark/>
          </w:tcPr>
          <w:p w14:paraId="47DAEE71" w14:textId="77777777" w:rsidR="0088085F" w:rsidRPr="009B216E" w:rsidRDefault="0088085F" w:rsidP="005434E5">
            <w:pPr>
              <w:pStyle w:val="cuadroCabe"/>
              <w:jc w:val="left"/>
              <w:rPr>
                <w:color w:val="000000" w:themeColor="text1"/>
                <w:sz w:val="16"/>
                <w:szCs w:val="16"/>
              </w:rPr>
            </w:pPr>
            <w:r>
              <w:rPr>
                <w:color w:val="000000" w:themeColor="text1"/>
                <w:sz w:val="16"/>
                <w:szCs w:val="16"/>
              </w:rPr>
              <w:t xml:space="preserve"> Guztira</w:t>
            </w:r>
          </w:p>
        </w:tc>
        <w:tc>
          <w:tcPr>
            <w:tcW w:w="582" w:type="pct"/>
            <w:tcBorders>
              <w:top w:val="nil"/>
              <w:left w:val="nil"/>
              <w:bottom w:val="single" w:sz="4" w:space="0" w:color="000000"/>
              <w:right w:val="nil"/>
            </w:tcBorders>
            <w:shd w:val="clear" w:color="auto" w:fill="FABF8F" w:themeFill="accent6" w:themeFillTint="99"/>
            <w:vAlign w:val="center"/>
            <w:hideMark/>
          </w:tcPr>
          <w:p w14:paraId="34FA3AFF" w14:textId="77777777" w:rsidR="0088085F" w:rsidRPr="009B216E" w:rsidRDefault="0088085F" w:rsidP="005434E5">
            <w:pPr>
              <w:pStyle w:val="cuadroCabe"/>
              <w:ind w:left="219" w:hanging="219"/>
              <w:jc w:val="right"/>
              <w:rPr>
                <w:color w:val="000000" w:themeColor="text1"/>
                <w:sz w:val="16"/>
                <w:szCs w:val="16"/>
              </w:rPr>
            </w:pPr>
            <w:r>
              <w:rPr>
                <w:color w:val="000000" w:themeColor="text1"/>
                <w:sz w:val="16"/>
                <w:szCs w:val="16"/>
              </w:rPr>
              <w:t>1.053,87</w:t>
            </w:r>
          </w:p>
        </w:tc>
        <w:tc>
          <w:tcPr>
            <w:tcW w:w="463" w:type="pct"/>
            <w:tcBorders>
              <w:top w:val="nil"/>
              <w:left w:val="nil"/>
              <w:bottom w:val="single" w:sz="4" w:space="0" w:color="000000"/>
              <w:right w:val="nil"/>
            </w:tcBorders>
            <w:shd w:val="clear" w:color="auto" w:fill="FABF8F" w:themeFill="accent6" w:themeFillTint="99"/>
            <w:vAlign w:val="center"/>
            <w:hideMark/>
          </w:tcPr>
          <w:p w14:paraId="7EB60939" w14:textId="77777777" w:rsidR="0088085F" w:rsidRPr="009B216E" w:rsidRDefault="0088085F" w:rsidP="005434E5">
            <w:pPr>
              <w:pStyle w:val="cuadroCabe"/>
              <w:jc w:val="right"/>
              <w:rPr>
                <w:color w:val="000000" w:themeColor="text1"/>
                <w:sz w:val="16"/>
                <w:szCs w:val="16"/>
              </w:rPr>
            </w:pPr>
            <w:r>
              <w:rPr>
                <w:color w:val="000000" w:themeColor="text1"/>
                <w:sz w:val="16"/>
                <w:szCs w:val="16"/>
              </w:rPr>
              <w:t>891,40</w:t>
            </w:r>
          </w:p>
        </w:tc>
        <w:tc>
          <w:tcPr>
            <w:tcW w:w="536" w:type="pct"/>
            <w:tcBorders>
              <w:top w:val="nil"/>
              <w:left w:val="nil"/>
              <w:bottom w:val="single" w:sz="4" w:space="0" w:color="000000"/>
              <w:right w:val="nil"/>
            </w:tcBorders>
            <w:shd w:val="clear" w:color="auto" w:fill="FABF8F" w:themeFill="accent6" w:themeFillTint="99"/>
            <w:vAlign w:val="center"/>
            <w:hideMark/>
          </w:tcPr>
          <w:p w14:paraId="288CBF94" w14:textId="77777777" w:rsidR="0088085F" w:rsidRPr="009B216E" w:rsidRDefault="0088085F" w:rsidP="005434E5">
            <w:pPr>
              <w:pStyle w:val="cuadroCabe"/>
              <w:jc w:val="right"/>
              <w:rPr>
                <w:color w:val="000000" w:themeColor="text1"/>
                <w:sz w:val="16"/>
                <w:szCs w:val="16"/>
              </w:rPr>
            </w:pPr>
            <w:r>
              <w:rPr>
                <w:color w:val="000000" w:themeColor="text1"/>
                <w:sz w:val="16"/>
                <w:szCs w:val="16"/>
              </w:rPr>
              <w:t>100</w:t>
            </w:r>
          </w:p>
        </w:tc>
        <w:tc>
          <w:tcPr>
            <w:tcW w:w="559" w:type="pct"/>
            <w:tcBorders>
              <w:top w:val="nil"/>
              <w:left w:val="nil"/>
              <w:bottom w:val="single" w:sz="4" w:space="0" w:color="000000"/>
              <w:right w:val="nil"/>
            </w:tcBorders>
            <w:shd w:val="clear" w:color="auto" w:fill="FABF8F" w:themeFill="accent6" w:themeFillTint="99"/>
            <w:vAlign w:val="center"/>
            <w:hideMark/>
          </w:tcPr>
          <w:p w14:paraId="3A9E4B96" w14:textId="77777777" w:rsidR="0088085F" w:rsidRPr="009B216E" w:rsidRDefault="0088085F" w:rsidP="005434E5">
            <w:pPr>
              <w:pStyle w:val="cuadroCabe"/>
              <w:jc w:val="right"/>
              <w:rPr>
                <w:color w:val="000000" w:themeColor="text1"/>
                <w:sz w:val="16"/>
                <w:szCs w:val="16"/>
              </w:rPr>
            </w:pPr>
            <w:r>
              <w:rPr>
                <w:color w:val="000000" w:themeColor="text1"/>
                <w:sz w:val="16"/>
                <w:szCs w:val="16"/>
              </w:rPr>
              <w:t>85</w:t>
            </w:r>
          </w:p>
        </w:tc>
        <w:tc>
          <w:tcPr>
            <w:tcW w:w="553" w:type="pct"/>
            <w:tcBorders>
              <w:top w:val="nil"/>
              <w:left w:val="nil"/>
              <w:bottom w:val="single" w:sz="4" w:space="0" w:color="000000"/>
              <w:right w:val="nil"/>
            </w:tcBorders>
            <w:shd w:val="clear" w:color="auto" w:fill="FABF8F" w:themeFill="accent6" w:themeFillTint="99"/>
            <w:vAlign w:val="center"/>
            <w:hideMark/>
          </w:tcPr>
          <w:p w14:paraId="65C68385" w14:textId="77777777" w:rsidR="0088085F" w:rsidRPr="009B216E" w:rsidRDefault="0088085F" w:rsidP="005434E5">
            <w:pPr>
              <w:pStyle w:val="cuadroCabe"/>
              <w:jc w:val="right"/>
              <w:rPr>
                <w:color w:val="000000" w:themeColor="text1"/>
                <w:sz w:val="16"/>
                <w:szCs w:val="16"/>
              </w:rPr>
            </w:pPr>
            <w:r>
              <w:rPr>
                <w:color w:val="000000" w:themeColor="text1"/>
                <w:sz w:val="16"/>
                <w:szCs w:val="16"/>
              </w:rPr>
              <w:t>6</w:t>
            </w:r>
          </w:p>
        </w:tc>
        <w:tc>
          <w:tcPr>
            <w:tcW w:w="471" w:type="pct"/>
            <w:tcBorders>
              <w:top w:val="nil"/>
              <w:left w:val="nil"/>
              <w:bottom w:val="single" w:sz="4" w:space="0" w:color="000000"/>
              <w:right w:val="nil"/>
            </w:tcBorders>
            <w:shd w:val="clear" w:color="auto" w:fill="FABF8F" w:themeFill="accent6" w:themeFillTint="99"/>
            <w:vAlign w:val="center"/>
          </w:tcPr>
          <w:p w14:paraId="0BB070D8" w14:textId="77777777" w:rsidR="0088085F" w:rsidRPr="009B216E" w:rsidRDefault="0088085F" w:rsidP="005434E5">
            <w:pPr>
              <w:pStyle w:val="cuadroCabe"/>
              <w:jc w:val="right"/>
              <w:rPr>
                <w:color w:val="000000" w:themeColor="text1"/>
                <w:sz w:val="16"/>
                <w:szCs w:val="16"/>
              </w:rPr>
            </w:pPr>
            <w:r>
              <w:rPr>
                <w:color w:val="000000" w:themeColor="text1"/>
                <w:sz w:val="16"/>
                <w:szCs w:val="16"/>
              </w:rPr>
              <w:t>964,63</w:t>
            </w:r>
          </w:p>
        </w:tc>
      </w:tr>
    </w:tbl>
    <w:p w14:paraId="2951697A" w14:textId="77777777" w:rsidR="0088085F" w:rsidRPr="00A96563" w:rsidRDefault="00327081" w:rsidP="007629CD">
      <w:pPr>
        <w:pStyle w:val="texto"/>
        <w:spacing w:before="80" w:after="160"/>
        <w:ind w:left="-96" w:hanging="380"/>
        <w:rPr>
          <w:rFonts w:ascii="Arial" w:hAnsi="Arial" w:cs="Arial"/>
          <w:color w:val="000000" w:themeColor="text1"/>
          <w:sz w:val="16"/>
          <w:szCs w:val="16"/>
        </w:rPr>
      </w:pPr>
      <w:r>
        <w:rPr>
          <w:rFonts w:ascii="Arial" w:hAnsi="Arial"/>
          <w:color w:val="000000" w:themeColor="text1"/>
          <w:sz w:val="16"/>
          <w:szCs w:val="16"/>
        </w:rPr>
        <w:t xml:space="preserve">          (*) </w:t>
      </w:r>
      <w:proofErr w:type="spellStart"/>
      <w:r>
        <w:rPr>
          <w:rFonts w:ascii="Arial" w:hAnsi="Arial"/>
          <w:color w:val="000000" w:themeColor="text1"/>
          <w:sz w:val="16"/>
          <w:szCs w:val="16"/>
        </w:rPr>
        <w:t>SCPSArekin</w:t>
      </w:r>
      <w:proofErr w:type="spellEnd"/>
      <w:r>
        <w:rPr>
          <w:rFonts w:ascii="Arial" w:hAnsi="Arial"/>
          <w:color w:val="000000" w:themeColor="text1"/>
          <w:sz w:val="16"/>
          <w:szCs w:val="16"/>
        </w:rPr>
        <w:t xml:space="preserve"> bateratutako eskubide aitortuak.</w:t>
      </w:r>
    </w:p>
    <w:p w14:paraId="3348473C" w14:textId="77777777" w:rsidR="0088085F" w:rsidRPr="00262228" w:rsidRDefault="0088085F" w:rsidP="007629CD">
      <w:pPr>
        <w:pStyle w:val="texto"/>
        <w:spacing w:before="240"/>
      </w:pPr>
      <w:r>
        <w:t>Diru-sarreren 2019rako behin betiko aurreikuspenek 1.053,87 milioi euro egin zuten, eta ehuneko 85eko betetze-maila dute. Diru-sarrera arrunten kasuan aurreikusitakoen ehuneko 104 bete baziren ere, nabarmentzekoa da pasibo finantzarioen eta kapital-eragiketen betetze txikia; izan ere, ehuneko 14 eta ehuneko 69 bete ziren, hurrenez hurren.</w:t>
      </w:r>
    </w:p>
    <w:p w14:paraId="76E1A16F" w14:textId="77777777" w:rsidR="0088085F" w:rsidRPr="00262228" w:rsidRDefault="0088085F" w:rsidP="0088085F">
      <w:pPr>
        <w:pStyle w:val="texto"/>
      </w:pPr>
      <w:r>
        <w:lastRenderedPageBreak/>
        <w:t>2019an, toki sektore publikoaren diru-sarrera aitortuek 891,40 milioi egin zuten; horietatik, ehuneko 88,8 diru-sarrera arruntak izan ziren (transferentziak eta tributuak, batez ere). Kapitaleko diru-sarrerak zenbateko osoaren ehuneko 10,6 dira, eta gainerako ehuneko 0,6a finantza eragiketetan sartzen da.</w:t>
      </w:r>
    </w:p>
    <w:p w14:paraId="48FB1AF5" w14:textId="77777777" w:rsidR="0088085F" w:rsidRPr="00262228" w:rsidRDefault="0088085F" w:rsidP="0088085F">
      <w:pPr>
        <w:pStyle w:val="texto"/>
      </w:pPr>
      <w:r>
        <w:t>2019ko guztizko diru-sarrerak 2018koak baino ehuneko sei handiagoak izan ziren, eta kapitulu guztiek egin zuten gora. Kapitaleko diru-sarrerak ehuneko 15 hazi ziren, eta diru-sarrera arruntak ehuneko bost. Kopuru absolututan, transferentzia arruntek eta kapital-transferentziek izan dute igoera handiena, 18 eta 16 milioi, hurrenez hurren.</w:t>
      </w:r>
    </w:p>
    <w:p w14:paraId="6445F7C0" w14:textId="77777777" w:rsidR="0088085F" w:rsidRPr="00314FFC" w:rsidRDefault="0088085F" w:rsidP="0088085F">
      <w:pPr>
        <w:pStyle w:val="texto"/>
        <w:rPr>
          <w:spacing w:val="2"/>
        </w:rPr>
      </w:pPr>
      <w:r>
        <w:t>Diru-sarrera guztien ehuneko 86 udalei eta kontzejuei dagozkie, eta gainerako ehuneko 14a, berriz, mankomunitateei eta batasunei. Lehenbizikoek bost ehuneko-puntu handitu dute aitortutako guztizko zenbatekoan duten pisu erlatiboa.</w:t>
      </w:r>
    </w:p>
    <w:p w14:paraId="6B3E7D47" w14:textId="77777777" w:rsidR="0088085F" w:rsidRPr="00262228" w:rsidRDefault="0088085F" w:rsidP="0088085F">
      <w:pPr>
        <w:pStyle w:val="texto"/>
      </w:pPr>
      <w:proofErr w:type="spellStart"/>
      <w:r>
        <w:t>SCPSAk</w:t>
      </w:r>
      <w:proofErr w:type="spellEnd"/>
      <w:r>
        <w:t xml:space="preserve"> diru-sarreretara egindako ekarpen osoaren ehuneko 84 hirugarren kapituluari dagokio (Tasak eta prezio publikoak), eta gainerako ehuneko 16a jasotako transferentziak dira. </w:t>
      </w:r>
    </w:p>
    <w:p w14:paraId="575908A6" w14:textId="77777777" w:rsidR="0088085F" w:rsidRPr="00122347" w:rsidRDefault="0088085F" w:rsidP="0088085F">
      <w:pPr>
        <w:pStyle w:val="atitulo2"/>
        <w:spacing w:before="240"/>
        <w:rPr>
          <w:color w:val="000000" w:themeColor="text1"/>
        </w:rPr>
      </w:pPr>
      <w:bookmarkStart w:id="69" w:name="_Toc465686689"/>
      <w:bookmarkStart w:id="70" w:name="_Toc529773883"/>
      <w:bookmarkStart w:id="71" w:name="_Toc24100144"/>
      <w:bookmarkStart w:id="72" w:name="_Toc52348292"/>
      <w:bookmarkStart w:id="73" w:name="_Toc89161269"/>
      <w:bookmarkStart w:id="74" w:name="_Toc94871724"/>
      <w:r>
        <w:rPr>
          <w:color w:val="000000" w:themeColor="text1"/>
        </w:rPr>
        <w:t>V.2. Gastuak</w:t>
      </w:r>
      <w:bookmarkEnd w:id="69"/>
      <w:bookmarkEnd w:id="70"/>
      <w:bookmarkEnd w:id="71"/>
      <w:bookmarkEnd w:id="72"/>
      <w:bookmarkEnd w:id="73"/>
      <w:bookmarkEnd w:id="74"/>
    </w:p>
    <w:p w14:paraId="0DADABE3" w14:textId="77777777" w:rsidR="0088085F" w:rsidRPr="00B81E61" w:rsidRDefault="0088085F" w:rsidP="00863ED5">
      <w:pPr>
        <w:pStyle w:val="texto"/>
        <w:spacing w:after="120"/>
        <w:rPr>
          <w:color w:val="000000" w:themeColor="text1"/>
        </w:rPr>
      </w:pPr>
      <w:r>
        <w:rPr>
          <w:color w:val="000000" w:themeColor="text1"/>
        </w:rPr>
        <w:t>Hona hemen toki sektore publikoaren 2019ko gastuen laburpen-taula:</w:t>
      </w:r>
    </w:p>
    <w:p w14:paraId="5AA7E64D" w14:textId="77777777" w:rsidR="0088085F" w:rsidRPr="00B81E61" w:rsidRDefault="0088085F" w:rsidP="00CE6C44">
      <w:pPr>
        <w:pStyle w:val="texto"/>
        <w:spacing w:after="60"/>
        <w:ind w:right="-142"/>
        <w:rPr>
          <w:i/>
          <w:color w:val="000000" w:themeColor="text1"/>
          <w:sz w:val="20"/>
          <w:szCs w:val="20"/>
        </w:rPr>
      </w:pPr>
      <w:r>
        <w:rPr>
          <w:i/>
          <w:color w:val="000000" w:themeColor="text1"/>
          <w:sz w:val="20"/>
          <w:szCs w:val="20"/>
        </w:rPr>
        <w:t xml:space="preserve">                                                                                                                                     </w:t>
      </w:r>
      <w:r>
        <w:rPr>
          <w:rFonts w:ascii="Arial" w:hAnsi="Arial"/>
          <w:color w:val="000000" w:themeColor="text1"/>
          <w:sz w:val="17"/>
          <w:szCs w:val="17"/>
        </w:rPr>
        <w:t xml:space="preserve">(milioitan)   </w:t>
      </w:r>
    </w:p>
    <w:tbl>
      <w:tblPr>
        <w:tblW w:w="5001" w:type="pct"/>
        <w:jc w:val="center"/>
        <w:tblCellMar>
          <w:left w:w="70" w:type="dxa"/>
          <w:right w:w="70" w:type="dxa"/>
        </w:tblCellMar>
        <w:tblLook w:val="04A0" w:firstRow="1" w:lastRow="0" w:firstColumn="1" w:lastColumn="0" w:noHBand="0" w:noVBand="1"/>
      </w:tblPr>
      <w:tblGrid>
        <w:gridCol w:w="3121"/>
        <w:gridCol w:w="981"/>
        <w:gridCol w:w="1102"/>
        <w:gridCol w:w="935"/>
        <w:gridCol w:w="777"/>
        <w:gridCol w:w="883"/>
        <w:gridCol w:w="992"/>
      </w:tblGrid>
      <w:tr w:rsidR="0088085F" w:rsidRPr="00314FFC" w14:paraId="60F89E1E" w14:textId="77777777" w:rsidTr="002E3924">
        <w:trPr>
          <w:trHeight w:val="227"/>
          <w:jc w:val="center"/>
        </w:trPr>
        <w:tc>
          <w:tcPr>
            <w:tcW w:w="1775" w:type="pct"/>
            <w:tcBorders>
              <w:top w:val="single" w:sz="4" w:space="0" w:color="000000"/>
              <w:left w:val="nil"/>
              <w:bottom w:val="single" w:sz="4" w:space="0" w:color="000000"/>
              <w:right w:val="nil"/>
            </w:tcBorders>
            <w:shd w:val="clear" w:color="000000" w:fill="F4B084"/>
            <w:vAlign w:val="center"/>
            <w:hideMark/>
          </w:tcPr>
          <w:p w14:paraId="763AF2B5" w14:textId="77777777" w:rsidR="0088085F" w:rsidRPr="00314FFC" w:rsidRDefault="0088085F" w:rsidP="00314FFC">
            <w:pPr>
              <w:pStyle w:val="cuadroCabe"/>
              <w:jc w:val="left"/>
              <w:rPr>
                <w:color w:val="000000" w:themeColor="text1"/>
                <w:sz w:val="16"/>
                <w:szCs w:val="16"/>
              </w:rPr>
            </w:pPr>
            <w:r>
              <w:rPr>
                <w:color w:val="000000" w:themeColor="text1"/>
                <w:sz w:val="16"/>
                <w:szCs w:val="16"/>
              </w:rPr>
              <w:t>Kapitulua</w:t>
            </w:r>
          </w:p>
        </w:tc>
        <w:tc>
          <w:tcPr>
            <w:tcW w:w="558" w:type="pct"/>
            <w:tcBorders>
              <w:top w:val="single" w:sz="4" w:space="0" w:color="000000"/>
              <w:left w:val="nil"/>
              <w:bottom w:val="single" w:sz="4" w:space="0" w:color="000000"/>
              <w:right w:val="nil"/>
            </w:tcBorders>
            <w:shd w:val="clear" w:color="000000" w:fill="F4B084"/>
            <w:vAlign w:val="center"/>
            <w:hideMark/>
          </w:tcPr>
          <w:p w14:paraId="4E7E08AF" w14:textId="77777777" w:rsidR="0088085F" w:rsidRPr="00314FFC" w:rsidRDefault="0088085F" w:rsidP="00314FFC">
            <w:pPr>
              <w:pStyle w:val="cuadroCabe"/>
              <w:jc w:val="right"/>
              <w:rPr>
                <w:color w:val="000000" w:themeColor="text1"/>
                <w:sz w:val="16"/>
                <w:szCs w:val="16"/>
              </w:rPr>
            </w:pPr>
            <w:r>
              <w:rPr>
                <w:color w:val="000000" w:themeColor="text1"/>
                <w:sz w:val="16"/>
                <w:szCs w:val="16"/>
              </w:rPr>
              <w:t>Behin betiko kredituak</w:t>
            </w:r>
          </w:p>
        </w:tc>
        <w:tc>
          <w:tcPr>
            <w:tcW w:w="627" w:type="pct"/>
            <w:tcBorders>
              <w:top w:val="single" w:sz="4" w:space="0" w:color="000000"/>
              <w:left w:val="nil"/>
              <w:bottom w:val="single" w:sz="4" w:space="0" w:color="000000"/>
              <w:right w:val="nil"/>
            </w:tcBorders>
            <w:shd w:val="clear" w:color="000000" w:fill="F4B084"/>
            <w:vAlign w:val="center"/>
            <w:hideMark/>
          </w:tcPr>
          <w:p w14:paraId="541FF006" w14:textId="77777777" w:rsidR="0088085F" w:rsidRPr="00314FFC" w:rsidRDefault="0088085F" w:rsidP="00314FFC">
            <w:pPr>
              <w:pStyle w:val="cuadroCabe"/>
              <w:jc w:val="right"/>
              <w:rPr>
                <w:color w:val="000000" w:themeColor="text1"/>
                <w:sz w:val="16"/>
                <w:szCs w:val="16"/>
              </w:rPr>
            </w:pPr>
            <w:r>
              <w:rPr>
                <w:color w:val="000000" w:themeColor="text1"/>
                <w:sz w:val="16"/>
                <w:szCs w:val="16"/>
              </w:rPr>
              <w:t>ABG, 2019</w:t>
            </w:r>
          </w:p>
        </w:tc>
        <w:tc>
          <w:tcPr>
            <w:tcW w:w="532" w:type="pct"/>
            <w:tcBorders>
              <w:top w:val="single" w:sz="4" w:space="0" w:color="000000"/>
              <w:left w:val="nil"/>
              <w:bottom w:val="single" w:sz="4" w:space="0" w:color="000000"/>
              <w:right w:val="nil"/>
            </w:tcBorders>
            <w:shd w:val="clear" w:color="000000" w:fill="F4B084"/>
            <w:vAlign w:val="center"/>
            <w:hideMark/>
          </w:tcPr>
          <w:p w14:paraId="6847F6D6" w14:textId="77777777" w:rsidR="0088085F" w:rsidRPr="00314FFC" w:rsidRDefault="0088085F" w:rsidP="00314FFC">
            <w:pPr>
              <w:pStyle w:val="cuadroCabe"/>
              <w:jc w:val="right"/>
              <w:rPr>
                <w:color w:val="000000" w:themeColor="text1"/>
                <w:sz w:val="16"/>
                <w:szCs w:val="16"/>
              </w:rPr>
            </w:pPr>
            <w:r>
              <w:rPr>
                <w:color w:val="000000" w:themeColor="text1"/>
                <w:sz w:val="16"/>
                <w:szCs w:val="16"/>
              </w:rPr>
              <w:t>Gastu guztien gainean (%)</w:t>
            </w:r>
          </w:p>
        </w:tc>
        <w:tc>
          <w:tcPr>
            <w:tcW w:w="442" w:type="pct"/>
            <w:tcBorders>
              <w:top w:val="single" w:sz="4" w:space="0" w:color="000000"/>
              <w:left w:val="nil"/>
              <w:bottom w:val="single" w:sz="4" w:space="0" w:color="000000"/>
              <w:right w:val="nil"/>
            </w:tcBorders>
            <w:shd w:val="clear" w:color="000000" w:fill="F4B084"/>
            <w:vAlign w:val="center"/>
            <w:hideMark/>
          </w:tcPr>
          <w:p w14:paraId="2BD555B9" w14:textId="77777777" w:rsidR="0088085F" w:rsidRPr="00314FFC" w:rsidRDefault="00314FFC" w:rsidP="00314FFC">
            <w:pPr>
              <w:pStyle w:val="cuadroCabe"/>
              <w:jc w:val="right"/>
              <w:rPr>
                <w:color w:val="000000" w:themeColor="text1"/>
                <w:sz w:val="16"/>
                <w:szCs w:val="16"/>
              </w:rPr>
            </w:pPr>
            <w:r>
              <w:rPr>
                <w:color w:val="000000" w:themeColor="text1"/>
                <w:sz w:val="16"/>
                <w:szCs w:val="16"/>
              </w:rPr>
              <w:t>Betetakoa (%)</w:t>
            </w:r>
          </w:p>
        </w:tc>
        <w:tc>
          <w:tcPr>
            <w:tcW w:w="502" w:type="pct"/>
            <w:tcBorders>
              <w:top w:val="single" w:sz="4" w:space="0" w:color="000000"/>
              <w:left w:val="nil"/>
              <w:bottom w:val="single" w:sz="4" w:space="0" w:color="000000"/>
              <w:right w:val="nil"/>
            </w:tcBorders>
            <w:shd w:val="clear" w:color="000000" w:fill="F4B084"/>
            <w:vAlign w:val="center"/>
            <w:hideMark/>
          </w:tcPr>
          <w:p w14:paraId="324655DA" w14:textId="77777777" w:rsidR="0088085F" w:rsidRPr="00314FFC" w:rsidRDefault="0088085F" w:rsidP="00314FFC">
            <w:pPr>
              <w:pStyle w:val="cuadroCabe"/>
              <w:jc w:val="right"/>
              <w:rPr>
                <w:rFonts w:cs="Arial"/>
                <w:color w:val="000000" w:themeColor="text1"/>
                <w:sz w:val="16"/>
                <w:szCs w:val="16"/>
              </w:rPr>
            </w:pPr>
            <w:r>
              <w:rPr>
                <w:color w:val="000000" w:themeColor="text1"/>
                <w:sz w:val="16"/>
                <w:szCs w:val="16"/>
              </w:rPr>
              <w:t>2019/18 aldea (%)</w:t>
            </w:r>
          </w:p>
        </w:tc>
        <w:tc>
          <w:tcPr>
            <w:tcW w:w="564" w:type="pct"/>
            <w:tcBorders>
              <w:top w:val="single" w:sz="4" w:space="0" w:color="000000"/>
              <w:left w:val="nil"/>
              <w:bottom w:val="single" w:sz="4" w:space="0" w:color="000000"/>
              <w:right w:val="nil"/>
            </w:tcBorders>
            <w:shd w:val="clear" w:color="000000" w:fill="F4B084"/>
            <w:vAlign w:val="center"/>
          </w:tcPr>
          <w:p w14:paraId="4F585626" w14:textId="77777777" w:rsidR="002E3924" w:rsidRDefault="0088085F" w:rsidP="00314FFC">
            <w:pPr>
              <w:pStyle w:val="cuadroCabe"/>
              <w:jc w:val="right"/>
              <w:rPr>
                <w:color w:val="000000" w:themeColor="text1"/>
                <w:sz w:val="16"/>
                <w:szCs w:val="16"/>
              </w:rPr>
            </w:pPr>
            <w:r>
              <w:rPr>
                <w:color w:val="000000" w:themeColor="text1"/>
                <w:sz w:val="16"/>
                <w:szCs w:val="16"/>
              </w:rPr>
              <w:t xml:space="preserve">ABG </w:t>
            </w:r>
          </w:p>
          <w:p w14:paraId="0AEDD45D" w14:textId="77777777" w:rsidR="0088085F" w:rsidRPr="00314FFC" w:rsidRDefault="0088085F" w:rsidP="00314FFC">
            <w:pPr>
              <w:pStyle w:val="cuadroCabe"/>
              <w:jc w:val="right"/>
              <w:rPr>
                <w:color w:val="000000" w:themeColor="text1"/>
                <w:sz w:val="16"/>
                <w:szCs w:val="16"/>
              </w:rPr>
            </w:pPr>
            <w:r>
              <w:rPr>
                <w:color w:val="000000" w:themeColor="text1"/>
                <w:sz w:val="16"/>
                <w:szCs w:val="16"/>
              </w:rPr>
              <w:t>2019 (*)</w:t>
            </w:r>
          </w:p>
        </w:tc>
      </w:tr>
      <w:tr w:rsidR="0088085F" w:rsidRPr="00314FFC" w14:paraId="50279430" w14:textId="77777777" w:rsidTr="002E3924">
        <w:trPr>
          <w:trHeight w:hRule="exact" w:val="284"/>
          <w:jc w:val="center"/>
        </w:trPr>
        <w:tc>
          <w:tcPr>
            <w:tcW w:w="1775" w:type="pct"/>
            <w:tcBorders>
              <w:top w:val="single" w:sz="4" w:space="0" w:color="000000"/>
              <w:left w:val="nil"/>
              <w:bottom w:val="single" w:sz="2" w:space="0" w:color="000000"/>
            </w:tcBorders>
            <w:shd w:val="clear" w:color="auto" w:fill="auto"/>
            <w:vAlign w:val="center"/>
            <w:hideMark/>
          </w:tcPr>
          <w:p w14:paraId="3CD6D6CA" w14:textId="77777777" w:rsidR="0088085F" w:rsidRPr="00314FFC" w:rsidRDefault="0088085F" w:rsidP="00314FFC">
            <w:pPr>
              <w:pStyle w:val="cuatexto"/>
              <w:jc w:val="left"/>
              <w:rPr>
                <w:sz w:val="19"/>
                <w:szCs w:val="19"/>
              </w:rPr>
            </w:pPr>
            <w:r>
              <w:rPr>
                <w:sz w:val="19"/>
                <w:szCs w:val="19"/>
              </w:rPr>
              <w:t>1   Langile-gastuak</w:t>
            </w:r>
          </w:p>
        </w:tc>
        <w:tc>
          <w:tcPr>
            <w:tcW w:w="558" w:type="pct"/>
            <w:tcBorders>
              <w:top w:val="single" w:sz="4" w:space="0" w:color="000000"/>
              <w:left w:val="nil"/>
              <w:bottom w:val="single" w:sz="2" w:space="0" w:color="000000"/>
              <w:right w:val="nil"/>
            </w:tcBorders>
            <w:shd w:val="clear" w:color="auto" w:fill="auto"/>
            <w:vAlign w:val="center"/>
            <w:hideMark/>
          </w:tcPr>
          <w:p w14:paraId="18FAE0D2" w14:textId="77777777" w:rsidR="0088085F" w:rsidRPr="00314FFC" w:rsidRDefault="0088085F" w:rsidP="00314FFC">
            <w:pPr>
              <w:pStyle w:val="cuatexto"/>
              <w:jc w:val="right"/>
              <w:rPr>
                <w:color w:val="000000"/>
                <w:sz w:val="19"/>
                <w:szCs w:val="19"/>
              </w:rPr>
            </w:pPr>
            <w:r>
              <w:rPr>
                <w:color w:val="000000"/>
                <w:sz w:val="19"/>
                <w:szCs w:val="19"/>
              </w:rPr>
              <w:t>308,18</w:t>
            </w:r>
          </w:p>
        </w:tc>
        <w:tc>
          <w:tcPr>
            <w:tcW w:w="627" w:type="pct"/>
            <w:tcBorders>
              <w:top w:val="single" w:sz="4" w:space="0" w:color="000000"/>
              <w:left w:val="nil"/>
              <w:bottom w:val="single" w:sz="2" w:space="0" w:color="000000"/>
              <w:right w:val="nil"/>
            </w:tcBorders>
            <w:shd w:val="clear" w:color="auto" w:fill="auto"/>
            <w:vAlign w:val="center"/>
            <w:hideMark/>
          </w:tcPr>
          <w:p w14:paraId="6B8F9F2B" w14:textId="77777777" w:rsidR="0088085F" w:rsidRPr="00314FFC" w:rsidRDefault="0088085F" w:rsidP="00314FFC">
            <w:pPr>
              <w:pStyle w:val="cuatexto"/>
              <w:jc w:val="right"/>
              <w:rPr>
                <w:color w:val="000000"/>
                <w:sz w:val="19"/>
                <w:szCs w:val="19"/>
              </w:rPr>
            </w:pPr>
            <w:r>
              <w:rPr>
                <w:color w:val="000000"/>
                <w:sz w:val="19"/>
                <w:szCs w:val="19"/>
              </w:rPr>
              <w:t>299,37</w:t>
            </w:r>
          </w:p>
        </w:tc>
        <w:tc>
          <w:tcPr>
            <w:tcW w:w="532" w:type="pct"/>
            <w:tcBorders>
              <w:top w:val="single" w:sz="4" w:space="0" w:color="000000"/>
              <w:left w:val="nil"/>
              <w:bottom w:val="single" w:sz="2" w:space="0" w:color="000000"/>
              <w:right w:val="nil"/>
            </w:tcBorders>
            <w:shd w:val="clear" w:color="auto" w:fill="auto"/>
            <w:vAlign w:val="center"/>
            <w:hideMark/>
          </w:tcPr>
          <w:p w14:paraId="7FDA2E60" w14:textId="77777777" w:rsidR="0088085F" w:rsidRPr="00314FFC" w:rsidRDefault="0088085F" w:rsidP="00314FFC">
            <w:pPr>
              <w:pStyle w:val="cuatexto"/>
              <w:jc w:val="right"/>
              <w:rPr>
                <w:rFonts w:cs="Calibri"/>
                <w:sz w:val="19"/>
                <w:szCs w:val="19"/>
              </w:rPr>
            </w:pPr>
            <w:r>
              <w:rPr>
                <w:sz w:val="19"/>
                <w:szCs w:val="19"/>
              </w:rPr>
              <w:t>33,8</w:t>
            </w:r>
          </w:p>
        </w:tc>
        <w:tc>
          <w:tcPr>
            <w:tcW w:w="442" w:type="pct"/>
            <w:tcBorders>
              <w:top w:val="single" w:sz="4" w:space="0" w:color="000000"/>
              <w:left w:val="nil"/>
              <w:bottom w:val="single" w:sz="2" w:space="0" w:color="000000"/>
              <w:right w:val="nil"/>
            </w:tcBorders>
            <w:shd w:val="clear" w:color="auto" w:fill="auto"/>
            <w:vAlign w:val="center"/>
            <w:hideMark/>
          </w:tcPr>
          <w:p w14:paraId="70321F85" w14:textId="77777777" w:rsidR="0088085F" w:rsidRPr="00314FFC" w:rsidRDefault="0088085F" w:rsidP="00314FFC">
            <w:pPr>
              <w:pStyle w:val="cuatexto"/>
              <w:jc w:val="right"/>
              <w:rPr>
                <w:rFonts w:cs="Calibri"/>
                <w:sz w:val="19"/>
                <w:szCs w:val="19"/>
              </w:rPr>
            </w:pPr>
            <w:r>
              <w:rPr>
                <w:sz w:val="19"/>
                <w:szCs w:val="19"/>
              </w:rPr>
              <w:t>97</w:t>
            </w:r>
          </w:p>
        </w:tc>
        <w:tc>
          <w:tcPr>
            <w:tcW w:w="502" w:type="pct"/>
            <w:tcBorders>
              <w:top w:val="single" w:sz="4" w:space="0" w:color="000000"/>
              <w:left w:val="nil"/>
              <w:bottom w:val="single" w:sz="2" w:space="0" w:color="000000"/>
              <w:right w:val="nil"/>
            </w:tcBorders>
            <w:shd w:val="clear" w:color="auto" w:fill="auto"/>
            <w:noWrap/>
            <w:vAlign w:val="center"/>
            <w:hideMark/>
          </w:tcPr>
          <w:p w14:paraId="4DF01AE4" w14:textId="77777777" w:rsidR="0088085F" w:rsidRPr="00314FFC" w:rsidRDefault="0088085F" w:rsidP="00314FFC">
            <w:pPr>
              <w:pStyle w:val="cuatexto"/>
              <w:jc w:val="right"/>
              <w:rPr>
                <w:sz w:val="19"/>
                <w:szCs w:val="19"/>
              </w:rPr>
            </w:pPr>
            <w:r>
              <w:rPr>
                <w:sz w:val="19"/>
                <w:szCs w:val="19"/>
              </w:rPr>
              <w:t>7</w:t>
            </w:r>
          </w:p>
        </w:tc>
        <w:tc>
          <w:tcPr>
            <w:tcW w:w="564" w:type="pct"/>
            <w:tcBorders>
              <w:top w:val="single" w:sz="4" w:space="0" w:color="000000"/>
              <w:left w:val="nil"/>
              <w:bottom w:val="single" w:sz="2" w:space="0" w:color="000000"/>
              <w:right w:val="nil"/>
            </w:tcBorders>
            <w:shd w:val="clear" w:color="auto" w:fill="auto"/>
            <w:vAlign w:val="center"/>
          </w:tcPr>
          <w:p w14:paraId="0F44741F" w14:textId="77777777" w:rsidR="0088085F" w:rsidRPr="00314FFC" w:rsidRDefault="0088085F" w:rsidP="00314FFC">
            <w:pPr>
              <w:pStyle w:val="cuatexto"/>
              <w:jc w:val="right"/>
              <w:rPr>
                <w:color w:val="000000"/>
                <w:sz w:val="19"/>
                <w:szCs w:val="19"/>
              </w:rPr>
            </w:pPr>
            <w:r>
              <w:rPr>
                <w:color w:val="000000"/>
                <w:sz w:val="19"/>
                <w:szCs w:val="19"/>
              </w:rPr>
              <w:t>324,38</w:t>
            </w:r>
          </w:p>
        </w:tc>
      </w:tr>
      <w:tr w:rsidR="0088085F" w:rsidRPr="00314FFC" w14:paraId="2A3A2489"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196CE7DB" w14:textId="77777777" w:rsidR="0088085F" w:rsidRPr="00314FFC" w:rsidRDefault="0088085F" w:rsidP="002F5F1D">
            <w:pPr>
              <w:pStyle w:val="cuatexto"/>
              <w:jc w:val="left"/>
              <w:rPr>
                <w:sz w:val="19"/>
                <w:szCs w:val="19"/>
              </w:rPr>
            </w:pPr>
            <w:r>
              <w:rPr>
                <w:sz w:val="19"/>
                <w:szCs w:val="19"/>
              </w:rPr>
              <w:t xml:space="preserve">2   </w:t>
            </w:r>
            <w:proofErr w:type="spellStart"/>
            <w:r>
              <w:rPr>
                <w:sz w:val="19"/>
                <w:szCs w:val="19"/>
              </w:rPr>
              <w:t>Ond</w:t>
            </w:r>
            <w:proofErr w:type="spellEnd"/>
            <w:r>
              <w:rPr>
                <w:sz w:val="19"/>
                <w:szCs w:val="19"/>
              </w:rPr>
              <w:t>. eta zerbitzuetako gastu arruntak</w:t>
            </w:r>
          </w:p>
        </w:tc>
        <w:tc>
          <w:tcPr>
            <w:tcW w:w="558" w:type="pct"/>
            <w:tcBorders>
              <w:top w:val="single" w:sz="2" w:space="0" w:color="000000"/>
              <w:left w:val="nil"/>
              <w:bottom w:val="single" w:sz="2" w:space="0" w:color="000000"/>
              <w:right w:val="nil"/>
            </w:tcBorders>
            <w:shd w:val="clear" w:color="auto" w:fill="auto"/>
            <w:vAlign w:val="center"/>
            <w:hideMark/>
          </w:tcPr>
          <w:p w14:paraId="02077E0D" w14:textId="77777777" w:rsidR="0088085F" w:rsidRPr="00314FFC" w:rsidRDefault="0088085F" w:rsidP="00314FFC">
            <w:pPr>
              <w:pStyle w:val="cuatexto"/>
              <w:jc w:val="right"/>
              <w:rPr>
                <w:color w:val="000000"/>
                <w:sz w:val="19"/>
                <w:szCs w:val="19"/>
              </w:rPr>
            </w:pPr>
            <w:r>
              <w:rPr>
                <w:color w:val="000000"/>
                <w:sz w:val="19"/>
                <w:szCs w:val="19"/>
              </w:rPr>
              <w:t>303,39</w:t>
            </w:r>
          </w:p>
        </w:tc>
        <w:tc>
          <w:tcPr>
            <w:tcW w:w="627" w:type="pct"/>
            <w:tcBorders>
              <w:top w:val="single" w:sz="2" w:space="0" w:color="000000"/>
              <w:left w:val="nil"/>
              <w:bottom w:val="single" w:sz="2" w:space="0" w:color="000000"/>
              <w:right w:val="nil"/>
            </w:tcBorders>
            <w:shd w:val="clear" w:color="auto" w:fill="auto"/>
            <w:vAlign w:val="center"/>
            <w:hideMark/>
          </w:tcPr>
          <w:p w14:paraId="747B62C1" w14:textId="77777777" w:rsidR="0088085F" w:rsidRPr="00314FFC" w:rsidRDefault="0088085F" w:rsidP="00314FFC">
            <w:pPr>
              <w:pStyle w:val="cuatexto"/>
              <w:jc w:val="right"/>
              <w:rPr>
                <w:color w:val="000000"/>
                <w:sz w:val="19"/>
                <w:szCs w:val="19"/>
              </w:rPr>
            </w:pPr>
            <w:r>
              <w:rPr>
                <w:color w:val="000000"/>
                <w:sz w:val="19"/>
                <w:szCs w:val="19"/>
              </w:rPr>
              <w:t>282,72</w:t>
            </w:r>
          </w:p>
        </w:tc>
        <w:tc>
          <w:tcPr>
            <w:tcW w:w="532" w:type="pct"/>
            <w:tcBorders>
              <w:top w:val="single" w:sz="2" w:space="0" w:color="000000"/>
              <w:left w:val="nil"/>
              <w:bottom w:val="single" w:sz="2" w:space="0" w:color="000000"/>
              <w:right w:val="nil"/>
            </w:tcBorders>
            <w:shd w:val="clear" w:color="auto" w:fill="auto"/>
            <w:vAlign w:val="center"/>
            <w:hideMark/>
          </w:tcPr>
          <w:p w14:paraId="3C88827F" w14:textId="77777777" w:rsidR="0088085F" w:rsidRPr="00314FFC" w:rsidRDefault="0088085F" w:rsidP="00314FFC">
            <w:pPr>
              <w:pStyle w:val="cuatexto"/>
              <w:jc w:val="right"/>
              <w:rPr>
                <w:rFonts w:cs="Calibri"/>
                <w:sz w:val="19"/>
                <w:szCs w:val="19"/>
              </w:rPr>
            </w:pPr>
            <w:r>
              <w:rPr>
                <w:sz w:val="19"/>
                <w:szCs w:val="19"/>
              </w:rPr>
              <w:t>31,9</w:t>
            </w:r>
          </w:p>
        </w:tc>
        <w:tc>
          <w:tcPr>
            <w:tcW w:w="442" w:type="pct"/>
            <w:tcBorders>
              <w:top w:val="single" w:sz="2" w:space="0" w:color="000000"/>
              <w:left w:val="nil"/>
              <w:bottom w:val="single" w:sz="2" w:space="0" w:color="000000"/>
              <w:right w:val="nil"/>
            </w:tcBorders>
            <w:shd w:val="clear" w:color="auto" w:fill="auto"/>
            <w:vAlign w:val="center"/>
            <w:hideMark/>
          </w:tcPr>
          <w:p w14:paraId="5C0320C5" w14:textId="77777777" w:rsidR="0088085F" w:rsidRPr="00314FFC" w:rsidRDefault="0088085F" w:rsidP="00314FFC">
            <w:pPr>
              <w:pStyle w:val="cuatexto"/>
              <w:jc w:val="right"/>
              <w:rPr>
                <w:rFonts w:cs="Calibri"/>
                <w:sz w:val="19"/>
                <w:szCs w:val="19"/>
              </w:rPr>
            </w:pPr>
            <w:r>
              <w:rPr>
                <w:sz w:val="19"/>
                <w:szCs w:val="19"/>
              </w:rPr>
              <w:t>93</w:t>
            </w:r>
          </w:p>
        </w:tc>
        <w:tc>
          <w:tcPr>
            <w:tcW w:w="502" w:type="pct"/>
            <w:tcBorders>
              <w:top w:val="single" w:sz="2" w:space="0" w:color="000000"/>
              <w:left w:val="nil"/>
              <w:bottom w:val="single" w:sz="2" w:space="0" w:color="000000"/>
              <w:right w:val="nil"/>
            </w:tcBorders>
            <w:shd w:val="clear" w:color="auto" w:fill="auto"/>
            <w:noWrap/>
            <w:vAlign w:val="center"/>
            <w:hideMark/>
          </w:tcPr>
          <w:p w14:paraId="7F0D0F36" w14:textId="77777777" w:rsidR="0088085F" w:rsidRPr="00314FFC" w:rsidRDefault="0088085F" w:rsidP="00314FFC">
            <w:pPr>
              <w:pStyle w:val="cuatexto"/>
              <w:jc w:val="right"/>
              <w:rPr>
                <w:sz w:val="19"/>
                <w:szCs w:val="19"/>
              </w:rPr>
            </w:pPr>
            <w:r>
              <w:rPr>
                <w:sz w:val="19"/>
                <w:szCs w:val="19"/>
              </w:rPr>
              <w:t>2</w:t>
            </w:r>
          </w:p>
        </w:tc>
        <w:tc>
          <w:tcPr>
            <w:tcW w:w="564" w:type="pct"/>
            <w:tcBorders>
              <w:top w:val="single" w:sz="2" w:space="0" w:color="000000"/>
              <w:left w:val="nil"/>
              <w:bottom w:val="single" w:sz="2" w:space="0" w:color="000000"/>
              <w:right w:val="nil"/>
            </w:tcBorders>
            <w:shd w:val="clear" w:color="auto" w:fill="auto"/>
            <w:vAlign w:val="center"/>
          </w:tcPr>
          <w:p w14:paraId="330D8F2B" w14:textId="77777777" w:rsidR="0088085F" w:rsidRPr="00314FFC" w:rsidRDefault="0088085F" w:rsidP="00314FFC">
            <w:pPr>
              <w:pStyle w:val="cuatexto"/>
              <w:jc w:val="right"/>
              <w:rPr>
                <w:color w:val="000000"/>
                <w:sz w:val="19"/>
                <w:szCs w:val="19"/>
              </w:rPr>
            </w:pPr>
            <w:r>
              <w:rPr>
                <w:color w:val="000000"/>
                <w:sz w:val="19"/>
                <w:szCs w:val="19"/>
              </w:rPr>
              <w:t>316,89</w:t>
            </w:r>
          </w:p>
        </w:tc>
      </w:tr>
      <w:tr w:rsidR="0088085F" w:rsidRPr="00314FFC" w14:paraId="34D70696"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1398734A" w14:textId="77777777" w:rsidR="0088085F" w:rsidRPr="00314FFC" w:rsidRDefault="0088085F" w:rsidP="00314FFC">
            <w:pPr>
              <w:pStyle w:val="cuatexto"/>
              <w:jc w:val="left"/>
              <w:rPr>
                <w:sz w:val="19"/>
                <w:szCs w:val="19"/>
              </w:rPr>
            </w:pPr>
            <w:r>
              <w:rPr>
                <w:sz w:val="19"/>
                <w:szCs w:val="19"/>
              </w:rPr>
              <w:t>3   Finantza-gastuak</w:t>
            </w:r>
          </w:p>
        </w:tc>
        <w:tc>
          <w:tcPr>
            <w:tcW w:w="558" w:type="pct"/>
            <w:tcBorders>
              <w:top w:val="single" w:sz="2" w:space="0" w:color="000000"/>
              <w:left w:val="nil"/>
              <w:bottom w:val="single" w:sz="2" w:space="0" w:color="000000"/>
              <w:right w:val="nil"/>
            </w:tcBorders>
            <w:shd w:val="clear" w:color="auto" w:fill="auto"/>
            <w:vAlign w:val="center"/>
            <w:hideMark/>
          </w:tcPr>
          <w:p w14:paraId="5A8B975A" w14:textId="77777777" w:rsidR="0088085F" w:rsidRPr="00314FFC" w:rsidRDefault="0088085F" w:rsidP="00314FFC">
            <w:pPr>
              <w:pStyle w:val="cuatexto"/>
              <w:jc w:val="right"/>
              <w:rPr>
                <w:color w:val="000000"/>
                <w:sz w:val="19"/>
                <w:szCs w:val="19"/>
              </w:rPr>
            </w:pPr>
            <w:r>
              <w:rPr>
                <w:color w:val="000000"/>
                <w:sz w:val="19"/>
                <w:szCs w:val="19"/>
              </w:rPr>
              <w:t>2,20</w:t>
            </w:r>
          </w:p>
        </w:tc>
        <w:tc>
          <w:tcPr>
            <w:tcW w:w="627" w:type="pct"/>
            <w:tcBorders>
              <w:top w:val="single" w:sz="2" w:space="0" w:color="000000"/>
              <w:left w:val="nil"/>
              <w:bottom w:val="single" w:sz="2" w:space="0" w:color="000000"/>
              <w:right w:val="nil"/>
            </w:tcBorders>
            <w:shd w:val="clear" w:color="auto" w:fill="auto"/>
            <w:vAlign w:val="center"/>
            <w:hideMark/>
          </w:tcPr>
          <w:p w14:paraId="383A3DC0" w14:textId="77777777" w:rsidR="0088085F" w:rsidRPr="00314FFC" w:rsidRDefault="0088085F" w:rsidP="00314FFC">
            <w:pPr>
              <w:pStyle w:val="cuatexto"/>
              <w:jc w:val="right"/>
              <w:rPr>
                <w:color w:val="000000"/>
                <w:sz w:val="19"/>
                <w:szCs w:val="19"/>
              </w:rPr>
            </w:pPr>
            <w:r>
              <w:rPr>
                <w:color w:val="000000"/>
                <w:sz w:val="19"/>
                <w:szCs w:val="19"/>
              </w:rPr>
              <w:t>1,63</w:t>
            </w:r>
          </w:p>
        </w:tc>
        <w:tc>
          <w:tcPr>
            <w:tcW w:w="532" w:type="pct"/>
            <w:tcBorders>
              <w:top w:val="single" w:sz="2" w:space="0" w:color="000000"/>
              <w:left w:val="nil"/>
              <w:bottom w:val="single" w:sz="2" w:space="0" w:color="000000"/>
              <w:right w:val="nil"/>
            </w:tcBorders>
            <w:shd w:val="clear" w:color="auto" w:fill="auto"/>
            <w:vAlign w:val="center"/>
            <w:hideMark/>
          </w:tcPr>
          <w:p w14:paraId="2D5FB15D" w14:textId="77777777" w:rsidR="0088085F" w:rsidRPr="00314FFC" w:rsidRDefault="0088085F" w:rsidP="00314FFC">
            <w:pPr>
              <w:pStyle w:val="cuatexto"/>
              <w:jc w:val="right"/>
              <w:rPr>
                <w:rFonts w:cs="Calibri"/>
                <w:sz w:val="19"/>
                <w:szCs w:val="19"/>
              </w:rPr>
            </w:pPr>
            <w:r>
              <w:rPr>
                <w:sz w:val="19"/>
                <w:szCs w:val="19"/>
              </w:rPr>
              <w:t>0,2</w:t>
            </w:r>
          </w:p>
        </w:tc>
        <w:tc>
          <w:tcPr>
            <w:tcW w:w="442" w:type="pct"/>
            <w:tcBorders>
              <w:top w:val="single" w:sz="2" w:space="0" w:color="000000"/>
              <w:left w:val="nil"/>
              <w:bottom w:val="single" w:sz="2" w:space="0" w:color="000000"/>
              <w:right w:val="nil"/>
            </w:tcBorders>
            <w:shd w:val="clear" w:color="auto" w:fill="auto"/>
            <w:vAlign w:val="center"/>
            <w:hideMark/>
          </w:tcPr>
          <w:p w14:paraId="4B24029E" w14:textId="77777777" w:rsidR="0088085F" w:rsidRPr="00314FFC" w:rsidRDefault="0088085F" w:rsidP="00314FFC">
            <w:pPr>
              <w:pStyle w:val="cuatexto"/>
              <w:jc w:val="right"/>
              <w:rPr>
                <w:rFonts w:cs="Calibri"/>
                <w:sz w:val="19"/>
                <w:szCs w:val="19"/>
              </w:rPr>
            </w:pPr>
            <w:r>
              <w:rPr>
                <w:sz w:val="19"/>
                <w:szCs w:val="19"/>
              </w:rPr>
              <w:t>74</w:t>
            </w:r>
          </w:p>
        </w:tc>
        <w:tc>
          <w:tcPr>
            <w:tcW w:w="502" w:type="pct"/>
            <w:tcBorders>
              <w:top w:val="single" w:sz="2" w:space="0" w:color="000000"/>
              <w:left w:val="nil"/>
              <w:bottom w:val="single" w:sz="2" w:space="0" w:color="000000"/>
              <w:right w:val="nil"/>
            </w:tcBorders>
            <w:shd w:val="clear" w:color="auto" w:fill="auto"/>
            <w:noWrap/>
            <w:vAlign w:val="center"/>
            <w:hideMark/>
          </w:tcPr>
          <w:p w14:paraId="3F854C54" w14:textId="77777777" w:rsidR="0088085F" w:rsidRPr="00314FFC" w:rsidRDefault="0088085F" w:rsidP="00314FFC">
            <w:pPr>
              <w:pStyle w:val="cuatexto"/>
              <w:jc w:val="right"/>
              <w:rPr>
                <w:sz w:val="19"/>
                <w:szCs w:val="19"/>
              </w:rPr>
            </w:pPr>
            <w:r>
              <w:rPr>
                <w:sz w:val="19"/>
                <w:szCs w:val="19"/>
              </w:rPr>
              <w:t>-28</w:t>
            </w:r>
          </w:p>
        </w:tc>
        <w:tc>
          <w:tcPr>
            <w:tcW w:w="564" w:type="pct"/>
            <w:tcBorders>
              <w:top w:val="single" w:sz="2" w:space="0" w:color="000000"/>
              <w:left w:val="nil"/>
              <w:bottom w:val="single" w:sz="2" w:space="0" w:color="000000"/>
              <w:right w:val="nil"/>
            </w:tcBorders>
            <w:shd w:val="clear" w:color="auto" w:fill="auto"/>
            <w:vAlign w:val="center"/>
          </w:tcPr>
          <w:p w14:paraId="77CDFFB0" w14:textId="77777777" w:rsidR="0088085F" w:rsidRPr="00314FFC" w:rsidRDefault="0088085F" w:rsidP="00314FFC">
            <w:pPr>
              <w:pStyle w:val="cuatexto"/>
              <w:jc w:val="right"/>
              <w:rPr>
                <w:color w:val="000000"/>
                <w:sz w:val="19"/>
                <w:szCs w:val="19"/>
              </w:rPr>
            </w:pPr>
            <w:r>
              <w:rPr>
                <w:color w:val="000000"/>
                <w:sz w:val="19"/>
                <w:szCs w:val="19"/>
              </w:rPr>
              <w:t>1,63</w:t>
            </w:r>
          </w:p>
        </w:tc>
      </w:tr>
      <w:tr w:rsidR="0088085F" w:rsidRPr="00314FFC" w14:paraId="39D2CCEE"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382487E0" w14:textId="77777777" w:rsidR="0088085F" w:rsidRPr="00314FFC" w:rsidRDefault="0088085F" w:rsidP="00314FFC">
            <w:pPr>
              <w:pStyle w:val="cuatexto"/>
              <w:jc w:val="left"/>
              <w:rPr>
                <w:sz w:val="19"/>
                <w:szCs w:val="19"/>
              </w:rPr>
            </w:pPr>
            <w:r>
              <w:rPr>
                <w:sz w:val="19"/>
                <w:szCs w:val="19"/>
              </w:rPr>
              <w:t>4   Transferentzia arruntak</w:t>
            </w:r>
          </w:p>
        </w:tc>
        <w:tc>
          <w:tcPr>
            <w:tcW w:w="558" w:type="pct"/>
            <w:tcBorders>
              <w:top w:val="single" w:sz="2" w:space="0" w:color="000000"/>
              <w:left w:val="nil"/>
              <w:bottom w:val="single" w:sz="4" w:space="0" w:color="000000"/>
              <w:right w:val="nil"/>
            </w:tcBorders>
            <w:shd w:val="clear" w:color="auto" w:fill="auto"/>
            <w:vAlign w:val="center"/>
            <w:hideMark/>
          </w:tcPr>
          <w:p w14:paraId="6C7D7EFA" w14:textId="77777777" w:rsidR="0088085F" w:rsidRPr="00314FFC" w:rsidRDefault="0088085F" w:rsidP="00314FFC">
            <w:pPr>
              <w:pStyle w:val="cuatexto"/>
              <w:jc w:val="right"/>
              <w:rPr>
                <w:color w:val="000000"/>
                <w:sz w:val="19"/>
                <w:szCs w:val="19"/>
              </w:rPr>
            </w:pPr>
            <w:r>
              <w:rPr>
                <w:color w:val="000000"/>
                <w:sz w:val="19"/>
                <w:szCs w:val="19"/>
              </w:rPr>
              <w:t>77,75</w:t>
            </w:r>
          </w:p>
        </w:tc>
        <w:tc>
          <w:tcPr>
            <w:tcW w:w="627" w:type="pct"/>
            <w:tcBorders>
              <w:top w:val="single" w:sz="2" w:space="0" w:color="000000"/>
              <w:left w:val="nil"/>
              <w:bottom w:val="single" w:sz="4" w:space="0" w:color="000000"/>
              <w:right w:val="nil"/>
            </w:tcBorders>
            <w:shd w:val="clear" w:color="auto" w:fill="auto"/>
            <w:vAlign w:val="center"/>
            <w:hideMark/>
          </w:tcPr>
          <w:p w14:paraId="257D3E86" w14:textId="77777777" w:rsidR="0088085F" w:rsidRPr="00314FFC" w:rsidRDefault="0088085F" w:rsidP="00314FFC">
            <w:pPr>
              <w:pStyle w:val="cuatexto"/>
              <w:jc w:val="right"/>
              <w:rPr>
                <w:color w:val="000000"/>
                <w:sz w:val="19"/>
                <w:szCs w:val="19"/>
              </w:rPr>
            </w:pPr>
            <w:r>
              <w:rPr>
                <w:color w:val="000000"/>
                <w:sz w:val="19"/>
                <w:szCs w:val="19"/>
              </w:rPr>
              <w:t>71,82</w:t>
            </w:r>
          </w:p>
        </w:tc>
        <w:tc>
          <w:tcPr>
            <w:tcW w:w="532" w:type="pct"/>
            <w:tcBorders>
              <w:top w:val="single" w:sz="2" w:space="0" w:color="000000"/>
              <w:left w:val="nil"/>
              <w:bottom w:val="single" w:sz="4" w:space="0" w:color="000000"/>
              <w:right w:val="nil"/>
            </w:tcBorders>
            <w:shd w:val="clear" w:color="auto" w:fill="auto"/>
            <w:vAlign w:val="center"/>
            <w:hideMark/>
          </w:tcPr>
          <w:p w14:paraId="50D45E57" w14:textId="77777777" w:rsidR="0088085F" w:rsidRPr="00314FFC" w:rsidRDefault="0088085F" w:rsidP="00314FFC">
            <w:pPr>
              <w:pStyle w:val="cuatexto"/>
              <w:jc w:val="right"/>
              <w:rPr>
                <w:rFonts w:cs="Calibri"/>
                <w:sz w:val="19"/>
                <w:szCs w:val="19"/>
              </w:rPr>
            </w:pPr>
            <w:r>
              <w:rPr>
                <w:sz w:val="19"/>
                <w:szCs w:val="19"/>
              </w:rPr>
              <w:t>8,1</w:t>
            </w:r>
          </w:p>
        </w:tc>
        <w:tc>
          <w:tcPr>
            <w:tcW w:w="442" w:type="pct"/>
            <w:tcBorders>
              <w:top w:val="single" w:sz="2" w:space="0" w:color="000000"/>
              <w:left w:val="nil"/>
              <w:bottom w:val="single" w:sz="4" w:space="0" w:color="000000"/>
              <w:right w:val="nil"/>
            </w:tcBorders>
            <w:shd w:val="clear" w:color="auto" w:fill="auto"/>
            <w:vAlign w:val="center"/>
            <w:hideMark/>
          </w:tcPr>
          <w:p w14:paraId="7E340A44" w14:textId="77777777" w:rsidR="0088085F" w:rsidRPr="00314FFC" w:rsidRDefault="0088085F" w:rsidP="00314FFC">
            <w:pPr>
              <w:pStyle w:val="cuatexto"/>
              <w:jc w:val="right"/>
              <w:rPr>
                <w:rFonts w:cs="Calibri"/>
                <w:sz w:val="19"/>
                <w:szCs w:val="19"/>
              </w:rPr>
            </w:pPr>
            <w:r>
              <w:rPr>
                <w:sz w:val="19"/>
                <w:szCs w:val="19"/>
              </w:rPr>
              <w:t>92</w:t>
            </w:r>
          </w:p>
        </w:tc>
        <w:tc>
          <w:tcPr>
            <w:tcW w:w="502" w:type="pct"/>
            <w:tcBorders>
              <w:top w:val="single" w:sz="2" w:space="0" w:color="000000"/>
              <w:left w:val="nil"/>
              <w:bottom w:val="single" w:sz="4" w:space="0" w:color="000000"/>
              <w:right w:val="nil"/>
            </w:tcBorders>
            <w:shd w:val="clear" w:color="auto" w:fill="auto"/>
            <w:noWrap/>
            <w:vAlign w:val="center"/>
            <w:hideMark/>
          </w:tcPr>
          <w:p w14:paraId="2D7ACAAA" w14:textId="77777777" w:rsidR="0088085F" w:rsidRPr="00314FFC" w:rsidRDefault="0088085F" w:rsidP="00314FFC">
            <w:pPr>
              <w:pStyle w:val="cuatexto"/>
              <w:jc w:val="right"/>
              <w:rPr>
                <w:sz w:val="19"/>
                <w:szCs w:val="19"/>
              </w:rPr>
            </w:pPr>
            <w:r>
              <w:rPr>
                <w:sz w:val="19"/>
                <w:szCs w:val="19"/>
              </w:rPr>
              <w:t>4</w:t>
            </w:r>
          </w:p>
        </w:tc>
        <w:tc>
          <w:tcPr>
            <w:tcW w:w="564" w:type="pct"/>
            <w:tcBorders>
              <w:top w:val="single" w:sz="2" w:space="0" w:color="000000"/>
              <w:left w:val="nil"/>
              <w:bottom w:val="single" w:sz="4" w:space="0" w:color="000000"/>
              <w:right w:val="nil"/>
            </w:tcBorders>
            <w:shd w:val="clear" w:color="auto" w:fill="auto"/>
            <w:vAlign w:val="center"/>
          </w:tcPr>
          <w:p w14:paraId="5ABDAE41" w14:textId="77777777" w:rsidR="0088085F" w:rsidRPr="00314FFC" w:rsidRDefault="0088085F" w:rsidP="00314FFC">
            <w:pPr>
              <w:pStyle w:val="cuatexto"/>
              <w:jc w:val="right"/>
              <w:rPr>
                <w:color w:val="000000"/>
                <w:sz w:val="19"/>
                <w:szCs w:val="19"/>
              </w:rPr>
            </w:pPr>
            <w:r>
              <w:rPr>
                <w:color w:val="000000"/>
                <w:sz w:val="19"/>
                <w:szCs w:val="19"/>
              </w:rPr>
              <w:t>71,82</w:t>
            </w:r>
          </w:p>
        </w:tc>
      </w:tr>
      <w:tr w:rsidR="0088085F" w:rsidRPr="002F5F1D" w14:paraId="77C191CA" w14:textId="77777777" w:rsidTr="002E3924">
        <w:trPr>
          <w:trHeight w:hRule="exact" w:val="238"/>
          <w:jc w:val="center"/>
        </w:trPr>
        <w:tc>
          <w:tcPr>
            <w:tcW w:w="1775" w:type="pct"/>
            <w:tcBorders>
              <w:top w:val="single" w:sz="4" w:space="0" w:color="000000"/>
              <w:left w:val="nil"/>
              <w:bottom w:val="single" w:sz="4" w:space="0" w:color="000000"/>
            </w:tcBorders>
            <w:shd w:val="clear" w:color="auto" w:fill="auto"/>
            <w:vAlign w:val="center"/>
            <w:hideMark/>
          </w:tcPr>
          <w:p w14:paraId="670C8DB7" w14:textId="77777777" w:rsidR="0088085F" w:rsidRPr="002F5F1D" w:rsidRDefault="0088085F" w:rsidP="00314FFC">
            <w:pPr>
              <w:pStyle w:val="cuatexto"/>
              <w:jc w:val="left"/>
              <w:rPr>
                <w:b/>
                <w:iCs/>
                <w:sz w:val="19"/>
                <w:szCs w:val="19"/>
              </w:rPr>
            </w:pPr>
            <w:r>
              <w:rPr>
                <w:b/>
                <w:iCs/>
                <w:sz w:val="19"/>
                <w:szCs w:val="19"/>
              </w:rPr>
              <w:t xml:space="preserve">     Eragiketa arruntak</w:t>
            </w:r>
          </w:p>
        </w:tc>
        <w:tc>
          <w:tcPr>
            <w:tcW w:w="558" w:type="pct"/>
            <w:tcBorders>
              <w:top w:val="single" w:sz="4" w:space="0" w:color="000000"/>
              <w:left w:val="nil"/>
              <w:bottom w:val="single" w:sz="4" w:space="0" w:color="000000"/>
              <w:right w:val="nil"/>
            </w:tcBorders>
            <w:shd w:val="clear" w:color="auto" w:fill="auto"/>
            <w:vAlign w:val="center"/>
            <w:hideMark/>
          </w:tcPr>
          <w:p w14:paraId="67A59BB7" w14:textId="77777777" w:rsidR="0088085F" w:rsidRPr="002F5F1D" w:rsidRDefault="0088085F" w:rsidP="00314FFC">
            <w:pPr>
              <w:pStyle w:val="cuatexto"/>
              <w:jc w:val="right"/>
              <w:rPr>
                <w:b/>
                <w:bCs/>
                <w:iCs/>
                <w:color w:val="000000"/>
                <w:sz w:val="19"/>
                <w:szCs w:val="19"/>
              </w:rPr>
            </w:pPr>
            <w:r>
              <w:rPr>
                <w:b/>
                <w:bCs/>
                <w:iCs/>
                <w:color w:val="000000"/>
                <w:sz w:val="19"/>
                <w:szCs w:val="19"/>
              </w:rPr>
              <w:t>691,52</w:t>
            </w:r>
          </w:p>
        </w:tc>
        <w:tc>
          <w:tcPr>
            <w:tcW w:w="627" w:type="pct"/>
            <w:tcBorders>
              <w:top w:val="single" w:sz="4" w:space="0" w:color="000000"/>
              <w:left w:val="nil"/>
              <w:bottom w:val="single" w:sz="4" w:space="0" w:color="000000"/>
              <w:right w:val="nil"/>
            </w:tcBorders>
            <w:shd w:val="clear" w:color="auto" w:fill="auto"/>
            <w:vAlign w:val="center"/>
            <w:hideMark/>
          </w:tcPr>
          <w:p w14:paraId="5753AD72" w14:textId="77777777" w:rsidR="0088085F" w:rsidRPr="002F5F1D" w:rsidRDefault="0088085F" w:rsidP="00314FFC">
            <w:pPr>
              <w:pStyle w:val="cuatexto"/>
              <w:jc w:val="right"/>
              <w:rPr>
                <w:b/>
                <w:bCs/>
                <w:iCs/>
                <w:color w:val="000000"/>
                <w:sz w:val="19"/>
                <w:szCs w:val="19"/>
              </w:rPr>
            </w:pPr>
            <w:r>
              <w:rPr>
                <w:b/>
                <w:bCs/>
                <w:iCs/>
                <w:color w:val="000000"/>
                <w:sz w:val="19"/>
                <w:szCs w:val="19"/>
              </w:rPr>
              <w:t>655,54</w:t>
            </w:r>
          </w:p>
        </w:tc>
        <w:tc>
          <w:tcPr>
            <w:tcW w:w="532" w:type="pct"/>
            <w:tcBorders>
              <w:top w:val="single" w:sz="4" w:space="0" w:color="000000"/>
              <w:left w:val="nil"/>
              <w:bottom w:val="single" w:sz="4" w:space="0" w:color="000000"/>
              <w:right w:val="nil"/>
            </w:tcBorders>
            <w:shd w:val="clear" w:color="auto" w:fill="auto"/>
            <w:vAlign w:val="center"/>
            <w:hideMark/>
          </w:tcPr>
          <w:p w14:paraId="4031D2D1" w14:textId="77777777" w:rsidR="0088085F" w:rsidRPr="002F5F1D" w:rsidRDefault="0088085F" w:rsidP="00314FFC">
            <w:pPr>
              <w:pStyle w:val="cuatexto"/>
              <w:jc w:val="right"/>
              <w:rPr>
                <w:rFonts w:cs="Calibri"/>
                <w:b/>
                <w:bCs/>
                <w:iCs/>
                <w:sz w:val="19"/>
                <w:szCs w:val="19"/>
              </w:rPr>
            </w:pPr>
            <w:r>
              <w:rPr>
                <w:b/>
                <w:bCs/>
                <w:iCs/>
                <w:sz w:val="19"/>
                <w:szCs w:val="19"/>
              </w:rPr>
              <w:t>74,0</w:t>
            </w:r>
          </w:p>
        </w:tc>
        <w:tc>
          <w:tcPr>
            <w:tcW w:w="442" w:type="pct"/>
            <w:tcBorders>
              <w:top w:val="single" w:sz="4" w:space="0" w:color="000000"/>
              <w:left w:val="nil"/>
              <w:bottom w:val="single" w:sz="4" w:space="0" w:color="000000"/>
              <w:right w:val="nil"/>
            </w:tcBorders>
            <w:shd w:val="clear" w:color="auto" w:fill="auto"/>
            <w:vAlign w:val="center"/>
            <w:hideMark/>
          </w:tcPr>
          <w:p w14:paraId="5271850D" w14:textId="77777777" w:rsidR="0088085F" w:rsidRPr="002F5F1D" w:rsidRDefault="0088085F" w:rsidP="00314FFC">
            <w:pPr>
              <w:pStyle w:val="cuatexto"/>
              <w:jc w:val="right"/>
              <w:rPr>
                <w:rFonts w:cs="Calibri"/>
                <w:b/>
                <w:bCs/>
                <w:iCs/>
                <w:sz w:val="19"/>
                <w:szCs w:val="19"/>
              </w:rPr>
            </w:pPr>
            <w:r>
              <w:rPr>
                <w:b/>
                <w:bCs/>
                <w:iCs/>
                <w:sz w:val="19"/>
                <w:szCs w:val="19"/>
              </w:rPr>
              <w:t>95</w:t>
            </w:r>
          </w:p>
        </w:tc>
        <w:tc>
          <w:tcPr>
            <w:tcW w:w="502" w:type="pct"/>
            <w:tcBorders>
              <w:top w:val="single" w:sz="4" w:space="0" w:color="000000"/>
              <w:left w:val="nil"/>
              <w:bottom w:val="single" w:sz="4" w:space="0" w:color="000000"/>
              <w:right w:val="nil"/>
            </w:tcBorders>
            <w:shd w:val="clear" w:color="auto" w:fill="auto"/>
            <w:noWrap/>
            <w:vAlign w:val="center"/>
            <w:hideMark/>
          </w:tcPr>
          <w:p w14:paraId="680A177E" w14:textId="77777777" w:rsidR="0088085F" w:rsidRPr="002F5F1D" w:rsidRDefault="0088085F" w:rsidP="00314FFC">
            <w:pPr>
              <w:pStyle w:val="cuatexto"/>
              <w:jc w:val="right"/>
              <w:rPr>
                <w:b/>
                <w:bCs/>
                <w:iCs/>
                <w:sz w:val="19"/>
                <w:szCs w:val="19"/>
              </w:rPr>
            </w:pPr>
            <w:r>
              <w:rPr>
                <w:b/>
                <w:bCs/>
                <w:iCs/>
                <w:sz w:val="19"/>
                <w:szCs w:val="19"/>
              </w:rPr>
              <w:t>4</w:t>
            </w:r>
          </w:p>
        </w:tc>
        <w:tc>
          <w:tcPr>
            <w:tcW w:w="564" w:type="pct"/>
            <w:tcBorders>
              <w:top w:val="single" w:sz="4" w:space="0" w:color="000000"/>
              <w:left w:val="nil"/>
              <w:bottom w:val="single" w:sz="4" w:space="0" w:color="000000"/>
              <w:right w:val="nil"/>
            </w:tcBorders>
            <w:shd w:val="clear" w:color="auto" w:fill="auto"/>
            <w:vAlign w:val="center"/>
          </w:tcPr>
          <w:p w14:paraId="66341975" w14:textId="77777777" w:rsidR="0088085F" w:rsidRPr="002F5F1D" w:rsidRDefault="0088085F" w:rsidP="00314FFC">
            <w:pPr>
              <w:pStyle w:val="cuatexto"/>
              <w:jc w:val="right"/>
              <w:rPr>
                <w:b/>
                <w:bCs/>
                <w:iCs/>
                <w:color w:val="000000"/>
                <w:sz w:val="19"/>
                <w:szCs w:val="19"/>
              </w:rPr>
            </w:pPr>
            <w:r>
              <w:rPr>
                <w:b/>
                <w:bCs/>
                <w:iCs/>
                <w:color w:val="000000"/>
                <w:sz w:val="19"/>
                <w:szCs w:val="19"/>
              </w:rPr>
              <w:t>714,70</w:t>
            </w:r>
          </w:p>
        </w:tc>
      </w:tr>
      <w:tr w:rsidR="0088085F" w:rsidRPr="00314FFC" w14:paraId="342EB1B5" w14:textId="77777777" w:rsidTr="002E3924">
        <w:trPr>
          <w:trHeight w:hRule="exact" w:val="238"/>
          <w:jc w:val="center"/>
        </w:trPr>
        <w:tc>
          <w:tcPr>
            <w:tcW w:w="1775" w:type="pct"/>
            <w:tcBorders>
              <w:top w:val="single" w:sz="4" w:space="0" w:color="000000"/>
              <w:left w:val="nil"/>
              <w:bottom w:val="single" w:sz="2" w:space="0" w:color="000000"/>
            </w:tcBorders>
            <w:shd w:val="clear" w:color="auto" w:fill="auto"/>
            <w:vAlign w:val="center"/>
            <w:hideMark/>
          </w:tcPr>
          <w:p w14:paraId="5802EEFD" w14:textId="77777777" w:rsidR="0088085F" w:rsidRPr="00314FFC" w:rsidRDefault="0088085F" w:rsidP="00314FFC">
            <w:pPr>
              <w:pStyle w:val="cuatexto"/>
              <w:jc w:val="left"/>
              <w:rPr>
                <w:sz w:val="19"/>
                <w:szCs w:val="19"/>
              </w:rPr>
            </w:pPr>
            <w:r>
              <w:rPr>
                <w:sz w:val="19"/>
                <w:szCs w:val="19"/>
              </w:rPr>
              <w:t>5   Kontingentzia Funtsa</w:t>
            </w:r>
          </w:p>
        </w:tc>
        <w:tc>
          <w:tcPr>
            <w:tcW w:w="558" w:type="pct"/>
            <w:tcBorders>
              <w:top w:val="single" w:sz="4" w:space="0" w:color="000000"/>
              <w:left w:val="nil"/>
              <w:bottom w:val="single" w:sz="2" w:space="0" w:color="000000"/>
              <w:right w:val="nil"/>
            </w:tcBorders>
            <w:shd w:val="clear" w:color="auto" w:fill="auto"/>
            <w:vAlign w:val="center"/>
            <w:hideMark/>
          </w:tcPr>
          <w:p w14:paraId="03973C73" w14:textId="77777777" w:rsidR="0088085F" w:rsidRPr="00314FFC" w:rsidRDefault="0088085F" w:rsidP="00314FFC">
            <w:pPr>
              <w:pStyle w:val="cuatexto"/>
              <w:jc w:val="right"/>
              <w:rPr>
                <w:color w:val="000000"/>
                <w:sz w:val="19"/>
                <w:szCs w:val="19"/>
              </w:rPr>
            </w:pPr>
            <w:r>
              <w:rPr>
                <w:color w:val="000000"/>
                <w:sz w:val="19"/>
                <w:szCs w:val="19"/>
              </w:rPr>
              <w:t>0,38</w:t>
            </w:r>
          </w:p>
        </w:tc>
        <w:tc>
          <w:tcPr>
            <w:tcW w:w="627" w:type="pct"/>
            <w:tcBorders>
              <w:top w:val="single" w:sz="4" w:space="0" w:color="000000"/>
              <w:left w:val="nil"/>
              <w:bottom w:val="single" w:sz="2" w:space="0" w:color="000000"/>
              <w:right w:val="nil"/>
            </w:tcBorders>
            <w:shd w:val="clear" w:color="auto" w:fill="auto"/>
            <w:vAlign w:val="center"/>
            <w:hideMark/>
          </w:tcPr>
          <w:p w14:paraId="5BF6C7C4" w14:textId="77777777" w:rsidR="0088085F" w:rsidRPr="00314FFC" w:rsidRDefault="0088085F" w:rsidP="00314FFC">
            <w:pPr>
              <w:pStyle w:val="cuatexto"/>
              <w:jc w:val="right"/>
              <w:rPr>
                <w:color w:val="000000"/>
                <w:sz w:val="19"/>
                <w:szCs w:val="19"/>
              </w:rPr>
            </w:pPr>
            <w:r>
              <w:rPr>
                <w:color w:val="000000"/>
                <w:sz w:val="19"/>
                <w:szCs w:val="19"/>
              </w:rPr>
              <w:t>0,00</w:t>
            </w:r>
          </w:p>
        </w:tc>
        <w:tc>
          <w:tcPr>
            <w:tcW w:w="532" w:type="pct"/>
            <w:tcBorders>
              <w:top w:val="single" w:sz="4" w:space="0" w:color="000000"/>
              <w:left w:val="nil"/>
              <w:bottom w:val="single" w:sz="2" w:space="0" w:color="000000"/>
              <w:right w:val="nil"/>
            </w:tcBorders>
            <w:shd w:val="clear" w:color="auto" w:fill="auto"/>
            <w:vAlign w:val="center"/>
            <w:hideMark/>
          </w:tcPr>
          <w:p w14:paraId="255A88B1" w14:textId="77777777" w:rsidR="0088085F" w:rsidRPr="00314FFC" w:rsidRDefault="0088085F" w:rsidP="00314FFC">
            <w:pPr>
              <w:pStyle w:val="cuatexto"/>
              <w:jc w:val="right"/>
              <w:rPr>
                <w:rFonts w:cs="Calibri"/>
                <w:sz w:val="19"/>
                <w:szCs w:val="19"/>
              </w:rPr>
            </w:pPr>
            <w:r>
              <w:rPr>
                <w:sz w:val="19"/>
                <w:szCs w:val="19"/>
              </w:rPr>
              <w:t>0,0</w:t>
            </w:r>
          </w:p>
        </w:tc>
        <w:tc>
          <w:tcPr>
            <w:tcW w:w="442" w:type="pct"/>
            <w:tcBorders>
              <w:top w:val="single" w:sz="4" w:space="0" w:color="000000"/>
              <w:left w:val="nil"/>
              <w:bottom w:val="single" w:sz="2" w:space="0" w:color="000000"/>
              <w:right w:val="nil"/>
            </w:tcBorders>
            <w:shd w:val="clear" w:color="auto" w:fill="auto"/>
            <w:vAlign w:val="center"/>
            <w:hideMark/>
          </w:tcPr>
          <w:p w14:paraId="1D3AA3A7" w14:textId="77777777" w:rsidR="0088085F" w:rsidRPr="00314FFC" w:rsidRDefault="0088085F" w:rsidP="00314FFC">
            <w:pPr>
              <w:pStyle w:val="cuatexto"/>
              <w:jc w:val="right"/>
              <w:rPr>
                <w:rFonts w:cs="Calibri"/>
                <w:sz w:val="19"/>
                <w:szCs w:val="19"/>
              </w:rPr>
            </w:pPr>
            <w:r>
              <w:rPr>
                <w:sz w:val="19"/>
                <w:szCs w:val="19"/>
              </w:rPr>
              <w:t>0</w:t>
            </w:r>
          </w:p>
        </w:tc>
        <w:tc>
          <w:tcPr>
            <w:tcW w:w="502" w:type="pct"/>
            <w:tcBorders>
              <w:top w:val="single" w:sz="4" w:space="0" w:color="000000"/>
              <w:left w:val="nil"/>
              <w:bottom w:val="single" w:sz="2" w:space="0" w:color="000000"/>
              <w:right w:val="nil"/>
            </w:tcBorders>
            <w:shd w:val="clear" w:color="auto" w:fill="auto"/>
            <w:noWrap/>
            <w:vAlign w:val="center"/>
            <w:hideMark/>
          </w:tcPr>
          <w:p w14:paraId="6DA4FDBB" w14:textId="77777777" w:rsidR="0088085F" w:rsidRPr="00314FFC" w:rsidRDefault="0088085F" w:rsidP="00314FFC">
            <w:pPr>
              <w:pStyle w:val="cuatexto"/>
              <w:jc w:val="right"/>
              <w:rPr>
                <w:b/>
                <w:bCs/>
                <w:i/>
                <w:iCs/>
                <w:sz w:val="19"/>
                <w:szCs w:val="19"/>
              </w:rPr>
            </w:pPr>
            <w:r>
              <w:rPr>
                <w:b/>
                <w:bCs/>
                <w:i/>
                <w:iCs/>
                <w:sz w:val="19"/>
                <w:szCs w:val="19"/>
              </w:rPr>
              <w:t>-</w:t>
            </w:r>
          </w:p>
        </w:tc>
        <w:tc>
          <w:tcPr>
            <w:tcW w:w="564" w:type="pct"/>
            <w:tcBorders>
              <w:top w:val="single" w:sz="4" w:space="0" w:color="000000"/>
              <w:left w:val="nil"/>
              <w:bottom w:val="single" w:sz="2" w:space="0" w:color="000000"/>
              <w:right w:val="nil"/>
            </w:tcBorders>
            <w:shd w:val="clear" w:color="auto" w:fill="auto"/>
            <w:vAlign w:val="center"/>
          </w:tcPr>
          <w:p w14:paraId="6DA6D462" w14:textId="77777777" w:rsidR="0088085F" w:rsidRPr="00314FFC" w:rsidRDefault="0088085F" w:rsidP="00314FFC">
            <w:pPr>
              <w:pStyle w:val="cuatexto"/>
              <w:jc w:val="right"/>
              <w:rPr>
                <w:color w:val="000000"/>
                <w:sz w:val="19"/>
                <w:szCs w:val="19"/>
              </w:rPr>
            </w:pPr>
            <w:r>
              <w:rPr>
                <w:color w:val="000000"/>
                <w:sz w:val="19"/>
                <w:szCs w:val="19"/>
              </w:rPr>
              <w:t>0,00</w:t>
            </w:r>
          </w:p>
        </w:tc>
      </w:tr>
      <w:tr w:rsidR="0088085F" w:rsidRPr="002F5F1D" w14:paraId="3BBA0323"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7E643B33" w14:textId="77777777" w:rsidR="0088085F" w:rsidRPr="002F5F1D" w:rsidRDefault="0088085F" w:rsidP="00314FFC">
            <w:pPr>
              <w:pStyle w:val="cuatexto"/>
              <w:jc w:val="left"/>
              <w:rPr>
                <w:b/>
                <w:iCs/>
                <w:sz w:val="19"/>
                <w:szCs w:val="19"/>
              </w:rPr>
            </w:pPr>
            <w:r>
              <w:rPr>
                <w:b/>
                <w:iCs/>
                <w:sz w:val="19"/>
                <w:szCs w:val="19"/>
              </w:rPr>
              <w:t xml:space="preserve">     Kontingentzia Funtsa</w:t>
            </w:r>
          </w:p>
        </w:tc>
        <w:tc>
          <w:tcPr>
            <w:tcW w:w="558" w:type="pct"/>
            <w:tcBorders>
              <w:top w:val="single" w:sz="2" w:space="0" w:color="000000"/>
              <w:left w:val="nil"/>
              <w:bottom w:val="single" w:sz="2" w:space="0" w:color="000000"/>
              <w:right w:val="nil"/>
            </w:tcBorders>
            <w:shd w:val="clear" w:color="auto" w:fill="auto"/>
            <w:vAlign w:val="center"/>
            <w:hideMark/>
          </w:tcPr>
          <w:p w14:paraId="66401A8C" w14:textId="77777777" w:rsidR="0088085F" w:rsidRPr="002F5F1D" w:rsidRDefault="0088085F" w:rsidP="00314FFC">
            <w:pPr>
              <w:pStyle w:val="cuatexto"/>
              <w:jc w:val="right"/>
              <w:rPr>
                <w:b/>
                <w:bCs/>
                <w:iCs/>
                <w:color w:val="000000"/>
                <w:sz w:val="19"/>
                <w:szCs w:val="19"/>
              </w:rPr>
            </w:pPr>
            <w:r>
              <w:rPr>
                <w:b/>
                <w:bCs/>
                <w:iCs/>
                <w:color w:val="000000"/>
                <w:sz w:val="19"/>
                <w:szCs w:val="19"/>
              </w:rPr>
              <w:t>0,38</w:t>
            </w:r>
          </w:p>
        </w:tc>
        <w:tc>
          <w:tcPr>
            <w:tcW w:w="627" w:type="pct"/>
            <w:tcBorders>
              <w:top w:val="single" w:sz="2" w:space="0" w:color="000000"/>
              <w:left w:val="nil"/>
              <w:bottom w:val="single" w:sz="2" w:space="0" w:color="000000"/>
              <w:right w:val="nil"/>
            </w:tcBorders>
            <w:shd w:val="clear" w:color="auto" w:fill="auto"/>
            <w:vAlign w:val="center"/>
            <w:hideMark/>
          </w:tcPr>
          <w:p w14:paraId="444752FD" w14:textId="77777777" w:rsidR="0088085F" w:rsidRPr="002F5F1D" w:rsidRDefault="0088085F" w:rsidP="00314FFC">
            <w:pPr>
              <w:pStyle w:val="cuatexto"/>
              <w:jc w:val="right"/>
              <w:rPr>
                <w:b/>
                <w:bCs/>
                <w:iCs/>
                <w:color w:val="000000"/>
                <w:sz w:val="19"/>
                <w:szCs w:val="19"/>
              </w:rPr>
            </w:pPr>
            <w:r>
              <w:rPr>
                <w:b/>
                <w:bCs/>
                <w:iCs/>
                <w:color w:val="000000"/>
                <w:sz w:val="19"/>
                <w:szCs w:val="19"/>
              </w:rPr>
              <w:t>0,00</w:t>
            </w:r>
          </w:p>
        </w:tc>
        <w:tc>
          <w:tcPr>
            <w:tcW w:w="532" w:type="pct"/>
            <w:tcBorders>
              <w:top w:val="single" w:sz="2" w:space="0" w:color="000000"/>
              <w:left w:val="nil"/>
              <w:bottom w:val="single" w:sz="2" w:space="0" w:color="000000"/>
              <w:right w:val="nil"/>
            </w:tcBorders>
            <w:shd w:val="clear" w:color="auto" w:fill="auto"/>
            <w:vAlign w:val="center"/>
            <w:hideMark/>
          </w:tcPr>
          <w:p w14:paraId="7F477D7C" w14:textId="77777777" w:rsidR="0088085F" w:rsidRPr="002F5F1D" w:rsidRDefault="0088085F" w:rsidP="00314FFC">
            <w:pPr>
              <w:pStyle w:val="cuatexto"/>
              <w:jc w:val="right"/>
              <w:rPr>
                <w:rFonts w:cs="Calibri"/>
                <w:b/>
                <w:bCs/>
                <w:iCs/>
                <w:sz w:val="19"/>
                <w:szCs w:val="19"/>
              </w:rPr>
            </w:pPr>
            <w:r>
              <w:rPr>
                <w:b/>
                <w:bCs/>
                <w:iCs/>
                <w:sz w:val="19"/>
                <w:szCs w:val="19"/>
              </w:rPr>
              <w:t>0,0</w:t>
            </w:r>
          </w:p>
        </w:tc>
        <w:tc>
          <w:tcPr>
            <w:tcW w:w="442" w:type="pct"/>
            <w:tcBorders>
              <w:top w:val="single" w:sz="2" w:space="0" w:color="000000"/>
              <w:left w:val="nil"/>
              <w:bottom w:val="single" w:sz="2" w:space="0" w:color="000000"/>
              <w:right w:val="nil"/>
            </w:tcBorders>
            <w:shd w:val="clear" w:color="auto" w:fill="auto"/>
            <w:vAlign w:val="center"/>
            <w:hideMark/>
          </w:tcPr>
          <w:p w14:paraId="74A60C7C" w14:textId="77777777" w:rsidR="0088085F" w:rsidRPr="002F5F1D" w:rsidRDefault="0088085F" w:rsidP="00314FFC">
            <w:pPr>
              <w:pStyle w:val="cuatexto"/>
              <w:jc w:val="right"/>
              <w:rPr>
                <w:rFonts w:cs="Calibri"/>
                <w:b/>
                <w:bCs/>
                <w:iCs/>
                <w:sz w:val="19"/>
                <w:szCs w:val="19"/>
              </w:rPr>
            </w:pPr>
            <w:r>
              <w:rPr>
                <w:b/>
                <w:bCs/>
                <w:iCs/>
                <w:sz w:val="19"/>
                <w:szCs w:val="19"/>
              </w:rPr>
              <w:t>0</w:t>
            </w:r>
          </w:p>
        </w:tc>
        <w:tc>
          <w:tcPr>
            <w:tcW w:w="502" w:type="pct"/>
            <w:tcBorders>
              <w:top w:val="single" w:sz="2" w:space="0" w:color="000000"/>
              <w:left w:val="nil"/>
              <w:bottom w:val="single" w:sz="2" w:space="0" w:color="000000"/>
              <w:right w:val="nil"/>
            </w:tcBorders>
            <w:shd w:val="clear" w:color="auto" w:fill="auto"/>
            <w:noWrap/>
            <w:vAlign w:val="center"/>
            <w:hideMark/>
          </w:tcPr>
          <w:p w14:paraId="2139D66D" w14:textId="77777777" w:rsidR="0088085F" w:rsidRPr="002F5F1D" w:rsidRDefault="0088085F" w:rsidP="00314FFC">
            <w:pPr>
              <w:pStyle w:val="cuatexto"/>
              <w:jc w:val="right"/>
              <w:rPr>
                <w:b/>
                <w:bCs/>
                <w:iCs/>
                <w:sz w:val="19"/>
                <w:szCs w:val="19"/>
              </w:rPr>
            </w:pPr>
            <w:r>
              <w:rPr>
                <w:b/>
                <w:bCs/>
                <w:iCs/>
                <w:sz w:val="19"/>
                <w:szCs w:val="19"/>
              </w:rPr>
              <w:t>-</w:t>
            </w:r>
          </w:p>
        </w:tc>
        <w:tc>
          <w:tcPr>
            <w:tcW w:w="564" w:type="pct"/>
            <w:tcBorders>
              <w:top w:val="single" w:sz="2" w:space="0" w:color="000000"/>
              <w:left w:val="nil"/>
              <w:bottom w:val="single" w:sz="2" w:space="0" w:color="000000"/>
              <w:right w:val="nil"/>
            </w:tcBorders>
            <w:shd w:val="clear" w:color="auto" w:fill="auto"/>
            <w:vAlign w:val="center"/>
          </w:tcPr>
          <w:p w14:paraId="42E3E44C" w14:textId="77777777" w:rsidR="0088085F" w:rsidRPr="002F5F1D" w:rsidRDefault="0088085F" w:rsidP="00314FFC">
            <w:pPr>
              <w:pStyle w:val="cuatexto"/>
              <w:jc w:val="right"/>
              <w:rPr>
                <w:b/>
                <w:bCs/>
                <w:iCs/>
                <w:color w:val="000000"/>
                <w:sz w:val="19"/>
                <w:szCs w:val="19"/>
              </w:rPr>
            </w:pPr>
            <w:r>
              <w:rPr>
                <w:b/>
                <w:bCs/>
                <w:iCs/>
                <w:color w:val="000000"/>
                <w:sz w:val="19"/>
                <w:szCs w:val="19"/>
              </w:rPr>
              <w:t>0,00</w:t>
            </w:r>
          </w:p>
        </w:tc>
      </w:tr>
      <w:tr w:rsidR="0088085F" w:rsidRPr="00314FFC" w14:paraId="3BBABC41" w14:textId="77777777" w:rsidTr="002E3924">
        <w:trPr>
          <w:trHeight w:hRule="exact" w:val="238"/>
          <w:jc w:val="center"/>
        </w:trPr>
        <w:tc>
          <w:tcPr>
            <w:tcW w:w="1775" w:type="pct"/>
            <w:tcBorders>
              <w:top w:val="single" w:sz="2" w:space="0" w:color="000000"/>
              <w:left w:val="nil"/>
              <w:bottom w:val="single" w:sz="2" w:space="0" w:color="000000"/>
            </w:tcBorders>
            <w:shd w:val="clear" w:color="auto" w:fill="auto"/>
            <w:vAlign w:val="center"/>
            <w:hideMark/>
          </w:tcPr>
          <w:p w14:paraId="6A173326" w14:textId="77777777" w:rsidR="0088085F" w:rsidRPr="00314FFC" w:rsidRDefault="0088085F" w:rsidP="00314FFC">
            <w:pPr>
              <w:pStyle w:val="cuatexto"/>
              <w:jc w:val="left"/>
              <w:rPr>
                <w:sz w:val="19"/>
                <w:szCs w:val="19"/>
              </w:rPr>
            </w:pPr>
            <w:r>
              <w:rPr>
                <w:sz w:val="19"/>
                <w:szCs w:val="19"/>
              </w:rPr>
              <w:t>6   Inbertsio errealak</w:t>
            </w:r>
          </w:p>
        </w:tc>
        <w:tc>
          <w:tcPr>
            <w:tcW w:w="558" w:type="pct"/>
            <w:tcBorders>
              <w:top w:val="single" w:sz="2" w:space="0" w:color="000000"/>
              <w:left w:val="nil"/>
              <w:bottom w:val="single" w:sz="2" w:space="0" w:color="000000"/>
              <w:right w:val="nil"/>
            </w:tcBorders>
            <w:shd w:val="clear" w:color="auto" w:fill="auto"/>
            <w:vAlign w:val="center"/>
            <w:hideMark/>
          </w:tcPr>
          <w:p w14:paraId="1712260E" w14:textId="77777777" w:rsidR="0088085F" w:rsidRPr="00314FFC" w:rsidRDefault="0088085F" w:rsidP="00314FFC">
            <w:pPr>
              <w:pStyle w:val="cuatexto"/>
              <w:jc w:val="right"/>
              <w:rPr>
                <w:color w:val="000000"/>
                <w:sz w:val="19"/>
                <w:szCs w:val="19"/>
              </w:rPr>
            </w:pPr>
            <w:r>
              <w:rPr>
                <w:color w:val="000000"/>
                <w:sz w:val="19"/>
                <w:szCs w:val="19"/>
              </w:rPr>
              <w:t>301,84</w:t>
            </w:r>
          </w:p>
        </w:tc>
        <w:tc>
          <w:tcPr>
            <w:tcW w:w="627" w:type="pct"/>
            <w:tcBorders>
              <w:top w:val="single" w:sz="2" w:space="0" w:color="000000"/>
              <w:left w:val="nil"/>
              <w:bottom w:val="single" w:sz="2" w:space="0" w:color="000000"/>
              <w:right w:val="nil"/>
            </w:tcBorders>
            <w:shd w:val="clear" w:color="auto" w:fill="auto"/>
            <w:vAlign w:val="center"/>
            <w:hideMark/>
          </w:tcPr>
          <w:p w14:paraId="2E4A941F" w14:textId="77777777" w:rsidR="0088085F" w:rsidRPr="00314FFC" w:rsidRDefault="0088085F" w:rsidP="00314FFC">
            <w:pPr>
              <w:pStyle w:val="cuatexto"/>
              <w:jc w:val="right"/>
              <w:rPr>
                <w:color w:val="000000"/>
                <w:sz w:val="19"/>
                <w:szCs w:val="19"/>
              </w:rPr>
            </w:pPr>
            <w:r>
              <w:rPr>
                <w:color w:val="000000"/>
                <w:sz w:val="19"/>
                <w:szCs w:val="19"/>
              </w:rPr>
              <w:t>182,67</w:t>
            </w:r>
          </w:p>
        </w:tc>
        <w:tc>
          <w:tcPr>
            <w:tcW w:w="532" w:type="pct"/>
            <w:tcBorders>
              <w:top w:val="single" w:sz="2" w:space="0" w:color="000000"/>
              <w:left w:val="nil"/>
              <w:bottom w:val="single" w:sz="2" w:space="0" w:color="000000"/>
              <w:right w:val="nil"/>
            </w:tcBorders>
            <w:shd w:val="clear" w:color="auto" w:fill="auto"/>
            <w:vAlign w:val="center"/>
            <w:hideMark/>
          </w:tcPr>
          <w:p w14:paraId="7E21231A" w14:textId="77777777" w:rsidR="0088085F" w:rsidRPr="00314FFC" w:rsidRDefault="0088085F" w:rsidP="00314FFC">
            <w:pPr>
              <w:pStyle w:val="cuatexto"/>
              <w:jc w:val="right"/>
              <w:rPr>
                <w:rFonts w:cs="Calibri"/>
                <w:sz w:val="19"/>
                <w:szCs w:val="19"/>
              </w:rPr>
            </w:pPr>
            <w:r>
              <w:rPr>
                <w:sz w:val="19"/>
                <w:szCs w:val="19"/>
              </w:rPr>
              <w:t>20,6</w:t>
            </w:r>
          </w:p>
        </w:tc>
        <w:tc>
          <w:tcPr>
            <w:tcW w:w="442" w:type="pct"/>
            <w:tcBorders>
              <w:top w:val="single" w:sz="2" w:space="0" w:color="000000"/>
              <w:left w:val="nil"/>
              <w:bottom w:val="single" w:sz="2" w:space="0" w:color="000000"/>
              <w:right w:val="nil"/>
            </w:tcBorders>
            <w:shd w:val="clear" w:color="auto" w:fill="auto"/>
            <w:vAlign w:val="center"/>
            <w:hideMark/>
          </w:tcPr>
          <w:p w14:paraId="584CA557" w14:textId="77777777" w:rsidR="0088085F" w:rsidRPr="00314FFC" w:rsidRDefault="0088085F" w:rsidP="00314FFC">
            <w:pPr>
              <w:pStyle w:val="cuatexto"/>
              <w:jc w:val="right"/>
              <w:rPr>
                <w:rFonts w:cs="Calibri"/>
                <w:sz w:val="19"/>
                <w:szCs w:val="19"/>
              </w:rPr>
            </w:pPr>
            <w:r>
              <w:rPr>
                <w:sz w:val="19"/>
                <w:szCs w:val="19"/>
              </w:rPr>
              <w:t>61</w:t>
            </w:r>
          </w:p>
        </w:tc>
        <w:tc>
          <w:tcPr>
            <w:tcW w:w="502" w:type="pct"/>
            <w:tcBorders>
              <w:top w:val="single" w:sz="2" w:space="0" w:color="000000"/>
              <w:left w:val="nil"/>
              <w:bottom w:val="single" w:sz="2" w:space="0" w:color="000000"/>
              <w:right w:val="nil"/>
            </w:tcBorders>
            <w:shd w:val="clear" w:color="auto" w:fill="auto"/>
            <w:noWrap/>
            <w:vAlign w:val="center"/>
            <w:hideMark/>
          </w:tcPr>
          <w:p w14:paraId="0F6FCF0E" w14:textId="77777777" w:rsidR="0088085F" w:rsidRPr="00314FFC" w:rsidRDefault="0088085F" w:rsidP="00314FFC">
            <w:pPr>
              <w:pStyle w:val="cuatexto"/>
              <w:jc w:val="right"/>
              <w:rPr>
                <w:sz w:val="19"/>
                <w:szCs w:val="19"/>
              </w:rPr>
            </w:pPr>
            <w:r>
              <w:rPr>
                <w:sz w:val="19"/>
                <w:szCs w:val="19"/>
              </w:rPr>
              <w:t>58</w:t>
            </w:r>
          </w:p>
        </w:tc>
        <w:tc>
          <w:tcPr>
            <w:tcW w:w="564" w:type="pct"/>
            <w:tcBorders>
              <w:top w:val="single" w:sz="2" w:space="0" w:color="000000"/>
              <w:left w:val="nil"/>
              <w:bottom w:val="single" w:sz="2" w:space="0" w:color="000000"/>
              <w:right w:val="nil"/>
            </w:tcBorders>
            <w:shd w:val="clear" w:color="auto" w:fill="auto"/>
            <w:vAlign w:val="center"/>
          </w:tcPr>
          <w:p w14:paraId="4F66F466" w14:textId="77777777" w:rsidR="0088085F" w:rsidRPr="00314FFC" w:rsidRDefault="0088085F" w:rsidP="00314FFC">
            <w:pPr>
              <w:pStyle w:val="cuatexto"/>
              <w:jc w:val="right"/>
              <w:rPr>
                <w:color w:val="000000"/>
                <w:sz w:val="19"/>
                <w:szCs w:val="19"/>
              </w:rPr>
            </w:pPr>
            <w:r>
              <w:rPr>
                <w:color w:val="000000"/>
                <w:sz w:val="19"/>
                <w:szCs w:val="19"/>
              </w:rPr>
              <w:t>193,71</w:t>
            </w:r>
          </w:p>
        </w:tc>
      </w:tr>
      <w:tr w:rsidR="0088085F" w:rsidRPr="00314FFC" w14:paraId="736B7B05"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05D4E33B" w14:textId="77777777" w:rsidR="0088085F" w:rsidRPr="00314FFC" w:rsidRDefault="0088085F" w:rsidP="00314FFC">
            <w:pPr>
              <w:pStyle w:val="cuatexto"/>
              <w:jc w:val="left"/>
              <w:rPr>
                <w:sz w:val="19"/>
                <w:szCs w:val="19"/>
              </w:rPr>
            </w:pPr>
            <w:r>
              <w:rPr>
                <w:sz w:val="19"/>
                <w:szCs w:val="19"/>
              </w:rPr>
              <w:t>7   Kapital-transferentziak</w:t>
            </w:r>
          </w:p>
        </w:tc>
        <w:tc>
          <w:tcPr>
            <w:tcW w:w="558" w:type="pct"/>
            <w:tcBorders>
              <w:top w:val="single" w:sz="2" w:space="0" w:color="000000"/>
              <w:left w:val="nil"/>
              <w:bottom w:val="single" w:sz="4" w:space="0" w:color="000000"/>
              <w:right w:val="nil"/>
            </w:tcBorders>
            <w:shd w:val="clear" w:color="auto" w:fill="auto"/>
            <w:vAlign w:val="center"/>
            <w:hideMark/>
          </w:tcPr>
          <w:p w14:paraId="531E0B33" w14:textId="77777777" w:rsidR="0088085F" w:rsidRPr="00314FFC" w:rsidRDefault="0088085F" w:rsidP="00314FFC">
            <w:pPr>
              <w:pStyle w:val="cuatexto"/>
              <w:jc w:val="right"/>
              <w:rPr>
                <w:color w:val="000000"/>
                <w:sz w:val="19"/>
                <w:szCs w:val="19"/>
              </w:rPr>
            </w:pPr>
            <w:r>
              <w:rPr>
                <w:color w:val="000000"/>
                <w:sz w:val="19"/>
                <w:szCs w:val="19"/>
              </w:rPr>
              <w:t>20,16</w:t>
            </w:r>
          </w:p>
        </w:tc>
        <w:tc>
          <w:tcPr>
            <w:tcW w:w="627" w:type="pct"/>
            <w:tcBorders>
              <w:top w:val="single" w:sz="2" w:space="0" w:color="000000"/>
              <w:left w:val="nil"/>
              <w:bottom w:val="single" w:sz="4" w:space="0" w:color="000000"/>
              <w:right w:val="nil"/>
            </w:tcBorders>
            <w:shd w:val="clear" w:color="auto" w:fill="auto"/>
            <w:vAlign w:val="center"/>
            <w:hideMark/>
          </w:tcPr>
          <w:p w14:paraId="42A08948" w14:textId="77777777" w:rsidR="0088085F" w:rsidRPr="00314FFC" w:rsidRDefault="0088085F" w:rsidP="00314FFC">
            <w:pPr>
              <w:pStyle w:val="cuatexto"/>
              <w:jc w:val="right"/>
              <w:rPr>
                <w:color w:val="000000"/>
                <w:sz w:val="19"/>
                <w:szCs w:val="19"/>
              </w:rPr>
            </w:pPr>
            <w:r>
              <w:rPr>
                <w:color w:val="000000"/>
                <w:sz w:val="19"/>
                <w:szCs w:val="19"/>
              </w:rPr>
              <w:t>16,74</w:t>
            </w:r>
          </w:p>
        </w:tc>
        <w:tc>
          <w:tcPr>
            <w:tcW w:w="532" w:type="pct"/>
            <w:tcBorders>
              <w:top w:val="single" w:sz="2" w:space="0" w:color="000000"/>
              <w:left w:val="nil"/>
              <w:bottom w:val="single" w:sz="4" w:space="0" w:color="000000"/>
              <w:right w:val="nil"/>
            </w:tcBorders>
            <w:shd w:val="clear" w:color="auto" w:fill="auto"/>
            <w:vAlign w:val="center"/>
            <w:hideMark/>
          </w:tcPr>
          <w:p w14:paraId="23BF5C42" w14:textId="77777777" w:rsidR="0088085F" w:rsidRPr="00314FFC" w:rsidRDefault="0088085F" w:rsidP="00314FFC">
            <w:pPr>
              <w:pStyle w:val="cuatexto"/>
              <w:jc w:val="right"/>
              <w:rPr>
                <w:rFonts w:cs="Calibri"/>
                <w:sz w:val="19"/>
                <w:szCs w:val="19"/>
              </w:rPr>
            </w:pPr>
            <w:r>
              <w:rPr>
                <w:sz w:val="19"/>
                <w:szCs w:val="19"/>
              </w:rPr>
              <w:t>1,9</w:t>
            </w:r>
          </w:p>
        </w:tc>
        <w:tc>
          <w:tcPr>
            <w:tcW w:w="442" w:type="pct"/>
            <w:tcBorders>
              <w:top w:val="single" w:sz="2" w:space="0" w:color="000000"/>
              <w:left w:val="nil"/>
              <w:bottom w:val="single" w:sz="4" w:space="0" w:color="000000"/>
              <w:right w:val="nil"/>
            </w:tcBorders>
            <w:shd w:val="clear" w:color="auto" w:fill="auto"/>
            <w:vAlign w:val="center"/>
            <w:hideMark/>
          </w:tcPr>
          <w:p w14:paraId="7F43264A" w14:textId="77777777" w:rsidR="0088085F" w:rsidRPr="00314FFC" w:rsidRDefault="0088085F" w:rsidP="00314FFC">
            <w:pPr>
              <w:pStyle w:val="cuatexto"/>
              <w:jc w:val="right"/>
              <w:rPr>
                <w:rFonts w:cs="Calibri"/>
                <w:sz w:val="19"/>
                <w:szCs w:val="19"/>
              </w:rPr>
            </w:pPr>
            <w:r>
              <w:rPr>
                <w:sz w:val="19"/>
                <w:szCs w:val="19"/>
              </w:rPr>
              <w:t>83</w:t>
            </w:r>
          </w:p>
        </w:tc>
        <w:tc>
          <w:tcPr>
            <w:tcW w:w="502" w:type="pct"/>
            <w:tcBorders>
              <w:top w:val="single" w:sz="2" w:space="0" w:color="000000"/>
              <w:left w:val="nil"/>
              <w:bottom w:val="single" w:sz="4" w:space="0" w:color="000000"/>
              <w:right w:val="nil"/>
            </w:tcBorders>
            <w:shd w:val="clear" w:color="auto" w:fill="auto"/>
            <w:noWrap/>
            <w:vAlign w:val="center"/>
            <w:hideMark/>
          </w:tcPr>
          <w:p w14:paraId="4E20EEAD" w14:textId="77777777" w:rsidR="0088085F" w:rsidRPr="00314FFC" w:rsidRDefault="0088085F" w:rsidP="00314FFC">
            <w:pPr>
              <w:pStyle w:val="cuatexto"/>
              <w:jc w:val="right"/>
              <w:rPr>
                <w:sz w:val="19"/>
                <w:szCs w:val="19"/>
              </w:rPr>
            </w:pPr>
            <w:r>
              <w:rPr>
                <w:sz w:val="19"/>
                <w:szCs w:val="19"/>
              </w:rPr>
              <w:t>84</w:t>
            </w:r>
          </w:p>
        </w:tc>
        <w:tc>
          <w:tcPr>
            <w:tcW w:w="564" w:type="pct"/>
            <w:tcBorders>
              <w:top w:val="single" w:sz="2" w:space="0" w:color="000000"/>
              <w:left w:val="nil"/>
              <w:bottom w:val="single" w:sz="4" w:space="0" w:color="000000"/>
              <w:right w:val="nil"/>
            </w:tcBorders>
            <w:shd w:val="clear" w:color="auto" w:fill="auto"/>
            <w:vAlign w:val="center"/>
          </w:tcPr>
          <w:p w14:paraId="60713E2F" w14:textId="77777777" w:rsidR="0088085F" w:rsidRPr="00314FFC" w:rsidRDefault="0088085F" w:rsidP="00314FFC">
            <w:pPr>
              <w:pStyle w:val="cuatexto"/>
              <w:jc w:val="right"/>
              <w:rPr>
                <w:color w:val="000000"/>
                <w:sz w:val="19"/>
                <w:szCs w:val="19"/>
              </w:rPr>
            </w:pPr>
            <w:r>
              <w:rPr>
                <w:color w:val="000000"/>
                <w:sz w:val="19"/>
                <w:szCs w:val="19"/>
              </w:rPr>
              <w:t>16,74</w:t>
            </w:r>
          </w:p>
        </w:tc>
      </w:tr>
      <w:tr w:rsidR="0088085F" w:rsidRPr="002F5F1D" w14:paraId="61AE32EC" w14:textId="77777777" w:rsidTr="002E3924">
        <w:trPr>
          <w:trHeight w:hRule="exact" w:val="238"/>
          <w:jc w:val="center"/>
        </w:trPr>
        <w:tc>
          <w:tcPr>
            <w:tcW w:w="1775" w:type="pct"/>
            <w:tcBorders>
              <w:top w:val="single" w:sz="4" w:space="0" w:color="000000"/>
              <w:left w:val="nil"/>
              <w:bottom w:val="single" w:sz="4" w:space="0" w:color="000000"/>
            </w:tcBorders>
            <w:shd w:val="clear" w:color="auto" w:fill="auto"/>
            <w:vAlign w:val="center"/>
            <w:hideMark/>
          </w:tcPr>
          <w:p w14:paraId="7D5B68DF" w14:textId="77777777" w:rsidR="0088085F" w:rsidRPr="002F5F1D" w:rsidRDefault="0088085F" w:rsidP="00314FFC">
            <w:pPr>
              <w:pStyle w:val="cuatexto"/>
              <w:jc w:val="left"/>
              <w:rPr>
                <w:b/>
                <w:iCs/>
                <w:sz w:val="19"/>
                <w:szCs w:val="19"/>
              </w:rPr>
            </w:pPr>
            <w:r>
              <w:rPr>
                <w:b/>
                <w:iCs/>
                <w:sz w:val="19"/>
                <w:szCs w:val="19"/>
              </w:rPr>
              <w:t xml:space="preserve">     Kapital-eragiketak</w:t>
            </w:r>
          </w:p>
        </w:tc>
        <w:tc>
          <w:tcPr>
            <w:tcW w:w="558" w:type="pct"/>
            <w:tcBorders>
              <w:top w:val="single" w:sz="4" w:space="0" w:color="000000"/>
              <w:left w:val="nil"/>
              <w:bottom w:val="single" w:sz="4" w:space="0" w:color="000000"/>
              <w:right w:val="nil"/>
            </w:tcBorders>
            <w:shd w:val="clear" w:color="auto" w:fill="auto"/>
            <w:vAlign w:val="center"/>
            <w:hideMark/>
          </w:tcPr>
          <w:p w14:paraId="36D32F2B" w14:textId="77777777" w:rsidR="0088085F" w:rsidRPr="002F5F1D" w:rsidRDefault="0088085F" w:rsidP="00314FFC">
            <w:pPr>
              <w:pStyle w:val="cuatexto"/>
              <w:jc w:val="right"/>
              <w:rPr>
                <w:b/>
                <w:bCs/>
                <w:iCs/>
                <w:color w:val="000000"/>
                <w:sz w:val="19"/>
                <w:szCs w:val="19"/>
              </w:rPr>
            </w:pPr>
            <w:r>
              <w:rPr>
                <w:b/>
                <w:bCs/>
                <w:iCs/>
                <w:color w:val="000000"/>
                <w:sz w:val="19"/>
                <w:szCs w:val="19"/>
              </w:rPr>
              <w:t>322,00</w:t>
            </w:r>
          </w:p>
        </w:tc>
        <w:tc>
          <w:tcPr>
            <w:tcW w:w="627" w:type="pct"/>
            <w:tcBorders>
              <w:top w:val="single" w:sz="4" w:space="0" w:color="000000"/>
              <w:left w:val="nil"/>
              <w:bottom w:val="single" w:sz="4" w:space="0" w:color="000000"/>
              <w:right w:val="nil"/>
            </w:tcBorders>
            <w:shd w:val="clear" w:color="auto" w:fill="auto"/>
            <w:vAlign w:val="center"/>
            <w:hideMark/>
          </w:tcPr>
          <w:p w14:paraId="5EC55DB6" w14:textId="77777777" w:rsidR="0088085F" w:rsidRPr="002F5F1D" w:rsidRDefault="0088085F" w:rsidP="00314FFC">
            <w:pPr>
              <w:pStyle w:val="cuatexto"/>
              <w:jc w:val="right"/>
              <w:rPr>
                <w:b/>
                <w:bCs/>
                <w:iCs/>
                <w:color w:val="000000"/>
                <w:sz w:val="19"/>
                <w:szCs w:val="19"/>
              </w:rPr>
            </w:pPr>
            <w:r>
              <w:rPr>
                <w:b/>
                <w:bCs/>
                <w:iCs/>
                <w:color w:val="000000"/>
                <w:sz w:val="19"/>
                <w:szCs w:val="19"/>
              </w:rPr>
              <w:t>199,42</w:t>
            </w:r>
          </w:p>
        </w:tc>
        <w:tc>
          <w:tcPr>
            <w:tcW w:w="532" w:type="pct"/>
            <w:tcBorders>
              <w:top w:val="single" w:sz="4" w:space="0" w:color="000000"/>
              <w:left w:val="nil"/>
              <w:bottom w:val="single" w:sz="4" w:space="0" w:color="000000"/>
              <w:right w:val="nil"/>
            </w:tcBorders>
            <w:shd w:val="clear" w:color="auto" w:fill="auto"/>
            <w:vAlign w:val="center"/>
            <w:hideMark/>
          </w:tcPr>
          <w:p w14:paraId="54A8E7D5" w14:textId="77777777" w:rsidR="0088085F" w:rsidRPr="002F5F1D" w:rsidRDefault="0088085F" w:rsidP="00314FFC">
            <w:pPr>
              <w:pStyle w:val="cuatexto"/>
              <w:jc w:val="right"/>
              <w:rPr>
                <w:rFonts w:cs="Calibri"/>
                <w:b/>
                <w:bCs/>
                <w:iCs/>
                <w:sz w:val="19"/>
                <w:szCs w:val="19"/>
              </w:rPr>
            </w:pPr>
            <w:r>
              <w:rPr>
                <w:b/>
                <w:bCs/>
                <w:iCs/>
                <w:sz w:val="19"/>
                <w:szCs w:val="19"/>
              </w:rPr>
              <w:t>22,5</w:t>
            </w:r>
          </w:p>
        </w:tc>
        <w:tc>
          <w:tcPr>
            <w:tcW w:w="442" w:type="pct"/>
            <w:tcBorders>
              <w:top w:val="single" w:sz="4" w:space="0" w:color="000000"/>
              <w:left w:val="nil"/>
              <w:bottom w:val="single" w:sz="4" w:space="0" w:color="000000"/>
              <w:right w:val="nil"/>
            </w:tcBorders>
            <w:shd w:val="clear" w:color="auto" w:fill="auto"/>
            <w:vAlign w:val="center"/>
            <w:hideMark/>
          </w:tcPr>
          <w:p w14:paraId="6ED2B29D" w14:textId="77777777" w:rsidR="0088085F" w:rsidRPr="002F5F1D" w:rsidRDefault="0088085F" w:rsidP="00314FFC">
            <w:pPr>
              <w:pStyle w:val="cuatexto"/>
              <w:jc w:val="right"/>
              <w:rPr>
                <w:rFonts w:cs="Calibri"/>
                <w:b/>
                <w:bCs/>
                <w:iCs/>
                <w:sz w:val="19"/>
                <w:szCs w:val="19"/>
              </w:rPr>
            </w:pPr>
            <w:r>
              <w:rPr>
                <w:b/>
                <w:bCs/>
                <w:iCs/>
                <w:sz w:val="19"/>
                <w:szCs w:val="19"/>
              </w:rPr>
              <w:t>62</w:t>
            </w:r>
          </w:p>
        </w:tc>
        <w:tc>
          <w:tcPr>
            <w:tcW w:w="502" w:type="pct"/>
            <w:tcBorders>
              <w:top w:val="single" w:sz="4" w:space="0" w:color="000000"/>
              <w:left w:val="nil"/>
              <w:bottom w:val="single" w:sz="4" w:space="0" w:color="000000"/>
              <w:right w:val="nil"/>
            </w:tcBorders>
            <w:shd w:val="clear" w:color="auto" w:fill="auto"/>
            <w:noWrap/>
            <w:vAlign w:val="center"/>
            <w:hideMark/>
          </w:tcPr>
          <w:p w14:paraId="241B21E1" w14:textId="77777777" w:rsidR="0088085F" w:rsidRPr="002F5F1D" w:rsidRDefault="0088085F" w:rsidP="00314FFC">
            <w:pPr>
              <w:pStyle w:val="cuatexto"/>
              <w:jc w:val="right"/>
              <w:rPr>
                <w:b/>
                <w:bCs/>
                <w:iCs/>
                <w:sz w:val="19"/>
                <w:szCs w:val="19"/>
              </w:rPr>
            </w:pPr>
            <w:r>
              <w:rPr>
                <w:b/>
                <w:bCs/>
                <w:iCs/>
                <w:sz w:val="19"/>
                <w:szCs w:val="19"/>
              </w:rPr>
              <w:t>59</w:t>
            </w:r>
          </w:p>
        </w:tc>
        <w:tc>
          <w:tcPr>
            <w:tcW w:w="564" w:type="pct"/>
            <w:tcBorders>
              <w:top w:val="single" w:sz="4" w:space="0" w:color="000000"/>
              <w:left w:val="nil"/>
              <w:bottom w:val="single" w:sz="4" w:space="0" w:color="000000"/>
              <w:right w:val="nil"/>
            </w:tcBorders>
            <w:shd w:val="clear" w:color="auto" w:fill="auto"/>
            <w:vAlign w:val="center"/>
          </w:tcPr>
          <w:p w14:paraId="3FEF7D7E" w14:textId="77777777" w:rsidR="0088085F" w:rsidRPr="002F5F1D" w:rsidRDefault="0088085F" w:rsidP="00314FFC">
            <w:pPr>
              <w:pStyle w:val="cuatexto"/>
              <w:jc w:val="right"/>
              <w:rPr>
                <w:b/>
                <w:bCs/>
                <w:iCs/>
                <w:color w:val="000000"/>
                <w:sz w:val="19"/>
                <w:szCs w:val="19"/>
              </w:rPr>
            </w:pPr>
            <w:r>
              <w:rPr>
                <w:b/>
                <w:bCs/>
                <w:iCs/>
                <w:color w:val="000000"/>
                <w:sz w:val="19"/>
                <w:szCs w:val="19"/>
              </w:rPr>
              <w:t>210,45</w:t>
            </w:r>
          </w:p>
        </w:tc>
      </w:tr>
      <w:tr w:rsidR="0088085F" w:rsidRPr="00314FFC" w14:paraId="24A20050" w14:textId="77777777" w:rsidTr="002E3924">
        <w:trPr>
          <w:trHeight w:hRule="exact" w:val="238"/>
          <w:jc w:val="center"/>
        </w:trPr>
        <w:tc>
          <w:tcPr>
            <w:tcW w:w="1775" w:type="pct"/>
            <w:tcBorders>
              <w:top w:val="single" w:sz="4" w:space="0" w:color="000000"/>
              <w:left w:val="nil"/>
              <w:bottom w:val="single" w:sz="2" w:space="0" w:color="000000"/>
            </w:tcBorders>
            <w:shd w:val="clear" w:color="auto" w:fill="auto"/>
            <w:vAlign w:val="center"/>
            <w:hideMark/>
          </w:tcPr>
          <w:p w14:paraId="72E47401" w14:textId="77777777" w:rsidR="0088085F" w:rsidRPr="00314FFC" w:rsidRDefault="0088085F" w:rsidP="00314FFC">
            <w:pPr>
              <w:pStyle w:val="cuatexto"/>
              <w:jc w:val="left"/>
              <w:rPr>
                <w:sz w:val="19"/>
                <w:szCs w:val="19"/>
              </w:rPr>
            </w:pPr>
            <w:r>
              <w:rPr>
                <w:sz w:val="19"/>
                <w:szCs w:val="19"/>
              </w:rPr>
              <w:t>8   Aktibo finantzarioak</w:t>
            </w:r>
          </w:p>
        </w:tc>
        <w:tc>
          <w:tcPr>
            <w:tcW w:w="558" w:type="pct"/>
            <w:tcBorders>
              <w:top w:val="single" w:sz="4" w:space="0" w:color="000000"/>
              <w:left w:val="nil"/>
              <w:bottom w:val="single" w:sz="2" w:space="0" w:color="000000"/>
              <w:right w:val="nil"/>
            </w:tcBorders>
            <w:shd w:val="clear" w:color="auto" w:fill="auto"/>
            <w:vAlign w:val="center"/>
            <w:hideMark/>
          </w:tcPr>
          <w:p w14:paraId="41433643" w14:textId="77777777" w:rsidR="0088085F" w:rsidRPr="00314FFC" w:rsidRDefault="0088085F" w:rsidP="00314FFC">
            <w:pPr>
              <w:pStyle w:val="cuatexto"/>
              <w:jc w:val="right"/>
              <w:rPr>
                <w:color w:val="000000"/>
                <w:sz w:val="19"/>
                <w:szCs w:val="19"/>
              </w:rPr>
            </w:pPr>
            <w:r>
              <w:rPr>
                <w:color w:val="000000"/>
                <w:sz w:val="19"/>
                <w:szCs w:val="19"/>
              </w:rPr>
              <w:t>2,95</w:t>
            </w:r>
          </w:p>
        </w:tc>
        <w:tc>
          <w:tcPr>
            <w:tcW w:w="627" w:type="pct"/>
            <w:tcBorders>
              <w:top w:val="single" w:sz="4" w:space="0" w:color="000000"/>
              <w:left w:val="nil"/>
              <w:bottom w:val="single" w:sz="2" w:space="0" w:color="000000"/>
              <w:right w:val="nil"/>
            </w:tcBorders>
            <w:shd w:val="clear" w:color="auto" w:fill="auto"/>
            <w:vAlign w:val="center"/>
            <w:hideMark/>
          </w:tcPr>
          <w:p w14:paraId="4A857165" w14:textId="77777777" w:rsidR="0088085F" w:rsidRPr="00314FFC" w:rsidRDefault="0088085F" w:rsidP="00314FFC">
            <w:pPr>
              <w:pStyle w:val="cuatexto"/>
              <w:jc w:val="right"/>
              <w:rPr>
                <w:color w:val="000000"/>
                <w:sz w:val="19"/>
                <w:szCs w:val="19"/>
              </w:rPr>
            </w:pPr>
            <w:r>
              <w:rPr>
                <w:color w:val="000000"/>
                <w:sz w:val="19"/>
                <w:szCs w:val="19"/>
              </w:rPr>
              <w:t>1,51</w:t>
            </w:r>
          </w:p>
        </w:tc>
        <w:tc>
          <w:tcPr>
            <w:tcW w:w="532" w:type="pct"/>
            <w:tcBorders>
              <w:top w:val="single" w:sz="4" w:space="0" w:color="000000"/>
              <w:left w:val="nil"/>
              <w:bottom w:val="single" w:sz="2" w:space="0" w:color="000000"/>
              <w:right w:val="nil"/>
            </w:tcBorders>
            <w:shd w:val="clear" w:color="auto" w:fill="auto"/>
            <w:vAlign w:val="center"/>
            <w:hideMark/>
          </w:tcPr>
          <w:p w14:paraId="7C5C0D59" w14:textId="77777777" w:rsidR="0088085F" w:rsidRPr="00314FFC" w:rsidRDefault="0088085F" w:rsidP="00314FFC">
            <w:pPr>
              <w:pStyle w:val="cuatexto"/>
              <w:jc w:val="right"/>
              <w:rPr>
                <w:rFonts w:cs="Calibri"/>
                <w:sz w:val="19"/>
                <w:szCs w:val="19"/>
              </w:rPr>
            </w:pPr>
            <w:r>
              <w:rPr>
                <w:sz w:val="19"/>
                <w:szCs w:val="19"/>
              </w:rPr>
              <w:t>0,2</w:t>
            </w:r>
          </w:p>
        </w:tc>
        <w:tc>
          <w:tcPr>
            <w:tcW w:w="442" w:type="pct"/>
            <w:tcBorders>
              <w:top w:val="single" w:sz="4" w:space="0" w:color="000000"/>
              <w:left w:val="nil"/>
              <w:bottom w:val="single" w:sz="2" w:space="0" w:color="000000"/>
              <w:right w:val="nil"/>
            </w:tcBorders>
            <w:shd w:val="clear" w:color="auto" w:fill="auto"/>
            <w:vAlign w:val="center"/>
            <w:hideMark/>
          </w:tcPr>
          <w:p w14:paraId="7279117B" w14:textId="77777777" w:rsidR="0088085F" w:rsidRPr="00314FFC" w:rsidRDefault="0088085F" w:rsidP="00314FFC">
            <w:pPr>
              <w:pStyle w:val="cuatexto"/>
              <w:jc w:val="right"/>
              <w:rPr>
                <w:rFonts w:cs="Calibri"/>
                <w:sz w:val="19"/>
                <w:szCs w:val="19"/>
              </w:rPr>
            </w:pPr>
            <w:r>
              <w:rPr>
                <w:sz w:val="19"/>
                <w:szCs w:val="19"/>
              </w:rPr>
              <w:t>51</w:t>
            </w:r>
          </w:p>
        </w:tc>
        <w:tc>
          <w:tcPr>
            <w:tcW w:w="502" w:type="pct"/>
            <w:tcBorders>
              <w:top w:val="single" w:sz="4" w:space="0" w:color="000000"/>
              <w:left w:val="nil"/>
              <w:bottom w:val="single" w:sz="2" w:space="0" w:color="000000"/>
              <w:right w:val="nil"/>
            </w:tcBorders>
            <w:shd w:val="clear" w:color="auto" w:fill="auto"/>
            <w:noWrap/>
            <w:vAlign w:val="center"/>
            <w:hideMark/>
          </w:tcPr>
          <w:p w14:paraId="29A08928" w14:textId="77777777" w:rsidR="0088085F" w:rsidRPr="00314FFC" w:rsidRDefault="0088085F" w:rsidP="00314FFC">
            <w:pPr>
              <w:pStyle w:val="cuatexto"/>
              <w:jc w:val="right"/>
              <w:rPr>
                <w:sz w:val="19"/>
                <w:szCs w:val="19"/>
              </w:rPr>
            </w:pPr>
            <w:r>
              <w:rPr>
                <w:sz w:val="19"/>
                <w:szCs w:val="19"/>
              </w:rPr>
              <w:t>-19</w:t>
            </w:r>
          </w:p>
        </w:tc>
        <w:tc>
          <w:tcPr>
            <w:tcW w:w="564" w:type="pct"/>
            <w:tcBorders>
              <w:top w:val="single" w:sz="4" w:space="0" w:color="000000"/>
              <w:left w:val="nil"/>
              <w:bottom w:val="single" w:sz="2" w:space="0" w:color="000000"/>
              <w:right w:val="nil"/>
            </w:tcBorders>
            <w:shd w:val="clear" w:color="auto" w:fill="auto"/>
            <w:vAlign w:val="center"/>
          </w:tcPr>
          <w:p w14:paraId="0EBA858C" w14:textId="77777777" w:rsidR="0088085F" w:rsidRPr="00314FFC" w:rsidRDefault="0088085F" w:rsidP="00314FFC">
            <w:pPr>
              <w:pStyle w:val="cuatexto"/>
              <w:jc w:val="right"/>
              <w:rPr>
                <w:color w:val="000000"/>
                <w:sz w:val="19"/>
                <w:szCs w:val="19"/>
              </w:rPr>
            </w:pPr>
            <w:r>
              <w:rPr>
                <w:color w:val="000000"/>
                <w:sz w:val="19"/>
                <w:szCs w:val="19"/>
              </w:rPr>
              <w:t>1,51</w:t>
            </w:r>
          </w:p>
        </w:tc>
      </w:tr>
      <w:tr w:rsidR="0088085F" w:rsidRPr="00314FFC" w14:paraId="2A67F211" w14:textId="77777777" w:rsidTr="002E3924">
        <w:trPr>
          <w:trHeight w:hRule="exact" w:val="238"/>
          <w:jc w:val="center"/>
        </w:trPr>
        <w:tc>
          <w:tcPr>
            <w:tcW w:w="1775" w:type="pct"/>
            <w:tcBorders>
              <w:top w:val="single" w:sz="2" w:space="0" w:color="000000"/>
              <w:left w:val="nil"/>
              <w:bottom w:val="single" w:sz="4" w:space="0" w:color="000000"/>
            </w:tcBorders>
            <w:shd w:val="clear" w:color="auto" w:fill="auto"/>
            <w:vAlign w:val="center"/>
            <w:hideMark/>
          </w:tcPr>
          <w:p w14:paraId="75F2B63B" w14:textId="77777777" w:rsidR="0088085F" w:rsidRPr="00314FFC" w:rsidRDefault="0088085F" w:rsidP="00314FFC">
            <w:pPr>
              <w:pStyle w:val="cuatexto"/>
              <w:jc w:val="left"/>
              <w:rPr>
                <w:sz w:val="19"/>
                <w:szCs w:val="19"/>
              </w:rPr>
            </w:pPr>
            <w:r>
              <w:rPr>
                <w:sz w:val="19"/>
                <w:szCs w:val="19"/>
              </w:rPr>
              <w:t>9   Pasibo finantzarioak</w:t>
            </w:r>
          </w:p>
        </w:tc>
        <w:tc>
          <w:tcPr>
            <w:tcW w:w="558" w:type="pct"/>
            <w:tcBorders>
              <w:top w:val="single" w:sz="2" w:space="0" w:color="000000"/>
              <w:left w:val="nil"/>
              <w:bottom w:val="single" w:sz="4" w:space="0" w:color="000000"/>
              <w:right w:val="nil"/>
            </w:tcBorders>
            <w:shd w:val="clear" w:color="auto" w:fill="auto"/>
            <w:vAlign w:val="center"/>
            <w:hideMark/>
          </w:tcPr>
          <w:p w14:paraId="7B45E5F9" w14:textId="77777777" w:rsidR="0088085F" w:rsidRPr="00314FFC" w:rsidRDefault="0088085F" w:rsidP="00314FFC">
            <w:pPr>
              <w:pStyle w:val="cuatexto"/>
              <w:jc w:val="right"/>
              <w:rPr>
                <w:color w:val="000000"/>
                <w:sz w:val="19"/>
                <w:szCs w:val="19"/>
              </w:rPr>
            </w:pPr>
            <w:r>
              <w:rPr>
                <w:color w:val="000000"/>
                <w:sz w:val="19"/>
                <w:szCs w:val="19"/>
              </w:rPr>
              <w:t>29,31</w:t>
            </w:r>
          </w:p>
        </w:tc>
        <w:tc>
          <w:tcPr>
            <w:tcW w:w="627" w:type="pct"/>
            <w:tcBorders>
              <w:top w:val="single" w:sz="2" w:space="0" w:color="000000"/>
              <w:left w:val="nil"/>
              <w:bottom w:val="single" w:sz="4" w:space="0" w:color="000000"/>
              <w:right w:val="nil"/>
            </w:tcBorders>
            <w:shd w:val="clear" w:color="auto" w:fill="auto"/>
            <w:vAlign w:val="center"/>
            <w:hideMark/>
          </w:tcPr>
          <w:p w14:paraId="43947B11" w14:textId="77777777" w:rsidR="0088085F" w:rsidRPr="00314FFC" w:rsidRDefault="0088085F" w:rsidP="00314FFC">
            <w:pPr>
              <w:pStyle w:val="cuatexto"/>
              <w:jc w:val="right"/>
              <w:rPr>
                <w:color w:val="000000"/>
                <w:sz w:val="19"/>
                <w:szCs w:val="19"/>
              </w:rPr>
            </w:pPr>
            <w:r>
              <w:rPr>
                <w:color w:val="000000"/>
                <w:sz w:val="19"/>
                <w:szCs w:val="19"/>
              </w:rPr>
              <w:t>28,91</w:t>
            </w:r>
          </w:p>
        </w:tc>
        <w:tc>
          <w:tcPr>
            <w:tcW w:w="532" w:type="pct"/>
            <w:tcBorders>
              <w:top w:val="single" w:sz="2" w:space="0" w:color="000000"/>
              <w:left w:val="nil"/>
              <w:bottom w:val="single" w:sz="4" w:space="0" w:color="000000"/>
              <w:right w:val="nil"/>
            </w:tcBorders>
            <w:shd w:val="clear" w:color="auto" w:fill="auto"/>
            <w:vAlign w:val="center"/>
            <w:hideMark/>
          </w:tcPr>
          <w:p w14:paraId="32420D86" w14:textId="77777777" w:rsidR="0088085F" w:rsidRPr="00314FFC" w:rsidRDefault="0088085F" w:rsidP="00314FFC">
            <w:pPr>
              <w:pStyle w:val="cuatexto"/>
              <w:jc w:val="right"/>
              <w:rPr>
                <w:rFonts w:cs="Calibri"/>
                <w:sz w:val="19"/>
                <w:szCs w:val="19"/>
              </w:rPr>
            </w:pPr>
            <w:r>
              <w:rPr>
                <w:sz w:val="19"/>
                <w:szCs w:val="19"/>
              </w:rPr>
              <w:t>3,3</w:t>
            </w:r>
          </w:p>
        </w:tc>
        <w:tc>
          <w:tcPr>
            <w:tcW w:w="442" w:type="pct"/>
            <w:tcBorders>
              <w:top w:val="single" w:sz="2" w:space="0" w:color="000000"/>
              <w:left w:val="nil"/>
              <w:bottom w:val="single" w:sz="4" w:space="0" w:color="000000"/>
              <w:right w:val="nil"/>
            </w:tcBorders>
            <w:shd w:val="clear" w:color="auto" w:fill="auto"/>
            <w:vAlign w:val="center"/>
            <w:hideMark/>
          </w:tcPr>
          <w:p w14:paraId="2B0D990F" w14:textId="77777777" w:rsidR="0088085F" w:rsidRPr="00314FFC" w:rsidRDefault="0088085F" w:rsidP="00314FFC">
            <w:pPr>
              <w:pStyle w:val="cuatexto"/>
              <w:jc w:val="right"/>
              <w:rPr>
                <w:rFonts w:cs="Calibri"/>
                <w:sz w:val="19"/>
                <w:szCs w:val="19"/>
              </w:rPr>
            </w:pPr>
            <w:r>
              <w:rPr>
                <w:sz w:val="19"/>
                <w:szCs w:val="19"/>
              </w:rPr>
              <w:t>99</w:t>
            </w:r>
          </w:p>
        </w:tc>
        <w:tc>
          <w:tcPr>
            <w:tcW w:w="502" w:type="pct"/>
            <w:tcBorders>
              <w:top w:val="single" w:sz="2" w:space="0" w:color="000000"/>
              <w:left w:val="nil"/>
              <w:bottom w:val="single" w:sz="4" w:space="0" w:color="000000"/>
              <w:right w:val="nil"/>
            </w:tcBorders>
            <w:shd w:val="clear" w:color="auto" w:fill="auto"/>
            <w:noWrap/>
            <w:vAlign w:val="center"/>
            <w:hideMark/>
          </w:tcPr>
          <w:p w14:paraId="43B5A3F3" w14:textId="77777777" w:rsidR="0088085F" w:rsidRPr="00314FFC" w:rsidRDefault="0088085F" w:rsidP="00314FFC">
            <w:pPr>
              <w:pStyle w:val="cuatexto"/>
              <w:jc w:val="right"/>
              <w:rPr>
                <w:sz w:val="19"/>
                <w:szCs w:val="19"/>
              </w:rPr>
            </w:pPr>
            <w:r>
              <w:rPr>
                <w:sz w:val="19"/>
                <w:szCs w:val="19"/>
              </w:rPr>
              <w:t>-12</w:t>
            </w:r>
          </w:p>
        </w:tc>
        <w:tc>
          <w:tcPr>
            <w:tcW w:w="564" w:type="pct"/>
            <w:tcBorders>
              <w:top w:val="single" w:sz="2" w:space="0" w:color="000000"/>
              <w:left w:val="nil"/>
              <w:bottom w:val="single" w:sz="4" w:space="0" w:color="000000"/>
              <w:right w:val="nil"/>
            </w:tcBorders>
            <w:shd w:val="clear" w:color="auto" w:fill="auto"/>
            <w:vAlign w:val="center"/>
          </w:tcPr>
          <w:p w14:paraId="2A5F7067" w14:textId="77777777" w:rsidR="0088085F" w:rsidRPr="00314FFC" w:rsidRDefault="0088085F" w:rsidP="00314FFC">
            <w:pPr>
              <w:pStyle w:val="cuatexto"/>
              <w:jc w:val="right"/>
              <w:rPr>
                <w:color w:val="000000"/>
                <w:sz w:val="19"/>
                <w:szCs w:val="19"/>
              </w:rPr>
            </w:pPr>
            <w:r>
              <w:rPr>
                <w:color w:val="000000"/>
                <w:sz w:val="19"/>
                <w:szCs w:val="19"/>
              </w:rPr>
              <w:t>28,91</w:t>
            </w:r>
          </w:p>
        </w:tc>
      </w:tr>
      <w:tr w:rsidR="0088085F" w:rsidRPr="002F5F1D" w14:paraId="5D6D2059" w14:textId="77777777" w:rsidTr="002E3924">
        <w:trPr>
          <w:trHeight w:hRule="exact" w:val="238"/>
          <w:jc w:val="center"/>
        </w:trPr>
        <w:tc>
          <w:tcPr>
            <w:tcW w:w="1775" w:type="pct"/>
            <w:tcBorders>
              <w:top w:val="single" w:sz="4" w:space="0" w:color="000000"/>
              <w:left w:val="nil"/>
              <w:bottom w:val="single" w:sz="4" w:space="0" w:color="auto"/>
            </w:tcBorders>
            <w:shd w:val="clear" w:color="auto" w:fill="auto"/>
            <w:vAlign w:val="center"/>
            <w:hideMark/>
          </w:tcPr>
          <w:p w14:paraId="70BE3710" w14:textId="77777777" w:rsidR="0088085F" w:rsidRPr="002F5F1D" w:rsidRDefault="0088085F" w:rsidP="00314FFC">
            <w:pPr>
              <w:pStyle w:val="cuatexto"/>
              <w:jc w:val="left"/>
              <w:rPr>
                <w:b/>
                <w:iCs/>
                <w:sz w:val="19"/>
                <w:szCs w:val="19"/>
              </w:rPr>
            </w:pPr>
            <w:r>
              <w:rPr>
                <w:b/>
                <w:iCs/>
                <w:sz w:val="19"/>
                <w:szCs w:val="19"/>
              </w:rPr>
              <w:t xml:space="preserve">     Finantza-eragiketak</w:t>
            </w:r>
          </w:p>
        </w:tc>
        <w:tc>
          <w:tcPr>
            <w:tcW w:w="558" w:type="pct"/>
            <w:tcBorders>
              <w:top w:val="single" w:sz="4" w:space="0" w:color="000000"/>
              <w:left w:val="nil"/>
              <w:bottom w:val="single" w:sz="4" w:space="0" w:color="auto"/>
              <w:right w:val="nil"/>
            </w:tcBorders>
            <w:shd w:val="clear" w:color="auto" w:fill="auto"/>
            <w:vAlign w:val="center"/>
            <w:hideMark/>
          </w:tcPr>
          <w:p w14:paraId="4C534631" w14:textId="77777777" w:rsidR="0088085F" w:rsidRPr="002F5F1D" w:rsidRDefault="0088085F" w:rsidP="00314FFC">
            <w:pPr>
              <w:pStyle w:val="cuatexto"/>
              <w:jc w:val="right"/>
              <w:rPr>
                <w:b/>
                <w:bCs/>
                <w:iCs/>
                <w:color w:val="000000"/>
                <w:sz w:val="19"/>
                <w:szCs w:val="19"/>
              </w:rPr>
            </w:pPr>
            <w:r>
              <w:rPr>
                <w:b/>
                <w:bCs/>
                <w:iCs/>
                <w:color w:val="000000"/>
                <w:sz w:val="19"/>
                <w:szCs w:val="19"/>
              </w:rPr>
              <w:t>32,26</w:t>
            </w:r>
          </w:p>
        </w:tc>
        <w:tc>
          <w:tcPr>
            <w:tcW w:w="627" w:type="pct"/>
            <w:tcBorders>
              <w:top w:val="single" w:sz="4" w:space="0" w:color="000000"/>
              <w:left w:val="nil"/>
              <w:bottom w:val="single" w:sz="4" w:space="0" w:color="auto"/>
              <w:right w:val="nil"/>
            </w:tcBorders>
            <w:shd w:val="clear" w:color="auto" w:fill="auto"/>
            <w:vAlign w:val="center"/>
            <w:hideMark/>
          </w:tcPr>
          <w:p w14:paraId="31B89680" w14:textId="77777777" w:rsidR="0088085F" w:rsidRPr="002F5F1D" w:rsidRDefault="0088085F" w:rsidP="00314FFC">
            <w:pPr>
              <w:pStyle w:val="cuatexto"/>
              <w:jc w:val="right"/>
              <w:rPr>
                <w:color w:val="000000"/>
                <w:sz w:val="19"/>
                <w:szCs w:val="19"/>
              </w:rPr>
            </w:pPr>
            <w:r>
              <w:rPr>
                <w:b/>
                <w:bCs/>
                <w:iCs/>
                <w:color w:val="000000"/>
                <w:sz w:val="19"/>
                <w:szCs w:val="19"/>
              </w:rPr>
              <w:t>30,41</w:t>
            </w:r>
          </w:p>
        </w:tc>
        <w:tc>
          <w:tcPr>
            <w:tcW w:w="532" w:type="pct"/>
            <w:tcBorders>
              <w:top w:val="single" w:sz="4" w:space="0" w:color="000000"/>
              <w:left w:val="nil"/>
              <w:bottom w:val="single" w:sz="4" w:space="0" w:color="auto"/>
              <w:right w:val="nil"/>
            </w:tcBorders>
            <w:shd w:val="clear" w:color="auto" w:fill="auto"/>
            <w:vAlign w:val="center"/>
            <w:hideMark/>
          </w:tcPr>
          <w:p w14:paraId="11727808" w14:textId="77777777" w:rsidR="0088085F" w:rsidRPr="002F5F1D" w:rsidRDefault="0088085F" w:rsidP="00314FFC">
            <w:pPr>
              <w:pStyle w:val="cuatexto"/>
              <w:jc w:val="right"/>
              <w:rPr>
                <w:rFonts w:cs="Calibri"/>
                <w:b/>
                <w:bCs/>
                <w:iCs/>
                <w:sz w:val="19"/>
                <w:szCs w:val="19"/>
              </w:rPr>
            </w:pPr>
            <w:r>
              <w:rPr>
                <w:b/>
                <w:bCs/>
                <w:iCs/>
                <w:sz w:val="19"/>
                <w:szCs w:val="19"/>
              </w:rPr>
              <w:t>3,4</w:t>
            </w:r>
          </w:p>
        </w:tc>
        <w:tc>
          <w:tcPr>
            <w:tcW w:w="442" w:type="pct"/>
            <w:tcBorders>
              <w:top w:val="single" w:sz="4" w:space="0" w:color="000000"/>
              <w:bottom w:val="single" w:sz="4" w:space="0" w:color="auto"/>
            </w:tcBorders>
            <w:shd w:val="clear" w:color="auto" w:fill="auto"/>
            <w:vAlign w:val="center"/>
            <w:hideMark/>
          </w:tcPr>
          <w:p w14:paraId="6F7381FA" w14:textId="77777777" w:rsidR="0088085F" w:rsidRPr="002F5F1D" w:rsidRDefault="0088085F" w:rsidP="00314FFC">
            <w:pPr>
              <w:pStyle w:val="cuatexto"/>
              <w:jc w:val="right"/>
              <w:rPr>
                <w:rFonts w:cs="Calibri"/>
                <w:b/>
                <w:bCs/>
                <w:iCs/>
                <w:sz w:val="19"/>
                <w:szCs w:val="19"/>
              </w:rPr>
            </w:pPr>
            <w:r>
              <w:rPr>
                <w:b/>
                <w:bCs/>
                <w:iCs/>
                <w:sz w:val="19"/>
                <w:szCs w:val="19"/>
              </w:rPr>
              <w:t>94</w:t>
            </w:r>
          </w:p>
          <w:p w14:paraId="3D4E4111" w14:textId="77777777" w:rsidR="0088085F" w:rsidRPr="002F5F1D" w:rsidRDefault="0088085F" w:rsidP="00314FFC">
            <w:pPr>
              <w:pStyle w:val="cuatexto"/>
              <w:jc w:val="right"/>
              <w:rPr>
                <w:b/>
                <w:iCs/>
                <w:sz w:val="19"/>
                <w:szCs w:val="19"/>
                <w:lang w:val="es-ES" w:eastAsia="es-ES"/>
              </w:rPr>
            </w:pPr>
          </w:p>
        </w:tc>
        <w:tc>
          <w:tcPr>
            <w:tcW w:w="502" w:type="pct"/>
            <w:tcBorders>
              <w:top w:val="single" w:sz="4" w:space="0" w:color="000000"/>
              <w:left w:val="nil"/>
              <w:bottom w:val="single" w:sz="4" w:space="0" w:color="auto"/>
              <w:right w:val="nil"/>
            </w:tcBorders>
            <w:shd w:val="clear" w:color="auto" w:fill="auto"/>
            <w:noWrap/>
            <w:vAlign w:val="center"/>
            <w:hideMark/>
          </w:tcPr>
          <w:p w14:paraId="7E22FCB8" w14:textId="77777777" w:rsidR="0088085F" w:rsidRPr="002F5F1D" w:rsidRDefault="0088085F" w:rsidP="00314FFC">
            <w:pPr>
              <w:pStyle w:val="cuatexto"/>
              <w:jc w:val="right"/>
              <w:rPr>
                <w:b/>
                <w:bCs/>
                <w:iCs/>
                <w:sz w:val="19"/>
                <w:szCs w:val="19"/>
              </w:rPr>
            </w:pPr>
            <w:r>
              <w:rPr>
                <w:b/>
                <w:bCs/>
                <w:iCs/>
                <w:sz w:val="19"/>
                <w:szCs w:val="19"/>
              </w:rPr>
              <w:t>-12</w:t>
            </w:r>
          </w:p>
        </w:tc>
        <w:tc>
          <w:tcPr>
            <w:tcW w:w="564" w:type="pct"/>
            <w:tcBorders>
              <w:top w:val="single" w:sz="4" w:space="0" w:color="000000"/>
              <w:left w:val="nil"/>
              <w:bottom w:val="single" w:sz="4" w:space="0" w:color="auto"/>
              <w:right w:val="nil"/>
            </w:tcBorders>
            <w:shd w:val="clear" w:color="auto" w:fill="auto"/>
            <w:vAlign w:val="center"/>
          </w:tcPr>
          <w:p w14:paraId="1F460CFE" w14:textId="77777777" w:rsidR="0088085F" w:rsidRPr="002F5F1D" w:rsidRDefault="0088085F" w:rsidP="00314FFC">
            <w:pPr>
              <w:pStyle w:val="cuatexto"/>
              <w:jc w:val="right"/>
              <w:rPr>
                <w:color w:val="000000"/>
                <w:sz w:val="19"/>
                <w:szCs w:val="19"/>
              </w:rPr>
            </w:pPr>
            <w:r>
              <w:rPr>
                <w:b/>
                <w:bCs/>
                <w:iCs/>
                <w:color w:val="000000"/>
                <w:sz w:val="19"/>
                <w:szCs w:val="19"/>
              </w:rPr>
              <w:t>30,41</w:t>
            </w:r>
          </w:p>
        </w:tc>
      </w:tr>
      <w:tr w:rsidR="0088085F" w:rsidRPr="00B81E61" w14:paraId="4F1CEA8E" w14:textId="77777777" w:rsidTr="002E3924">
        <w:trPr>
          <w:trHeight w:val="284"/>
          <w:jc w:val="center"/>
        </w:trPr>
        <w:tc>
          <w:tcPr>
            <w:tcW w:w="1775" w:type="pct"/>
            <w:tcBorders>
              <w:top w:val="single" w:sz="4" w:space="0" w:color="auto"/>
              <w:left w:val="nil"/>
              <w:bottom w:val="single" w:sz="4" w:space="0" w:color="000000"/>
              <w:right w:val="nil"/>
            </w:tcBorders>
            <w:shd w:val="clear" w:color="000000" w:fill="F4B084"/>
            <w:vAlign w:val="center"/>
            <w:hideMark/>
          </w:tcPr>
          <w:p w14:paraId="3E7ED963" w14:textId="77777777" w:rsidR="0088085F" w:rsidRPr="00B81E61" w:rsidRDefault="0088085F" w:rsidP="00314FFC">
            <w:pPr>
              <w:pStyle w:val="cuadroCabe"/>
              <w:jc w:val="left"/>
              <w:rPr>
                <w:color w:val="000000" w:themeColor="text1"/>
              </w:rPr>
            </w:pPr>
            <w:r>
              <w:rPr>
                <w:color w:val="000000" w:themeColor="text1"/>
              </w:rPr>
              <w:t xml:space="preserve"> Guztira</w:t>
            </w:r>
          </w:p>
        </w:tc>
        <w:tc>
          <w:tcPr>
            <w:tcW w:w="558" w:type="pct"/>
            <w:tcBorders>
              <w:top w:val="single" w:sz="4" w:space="0" w:color="auto"/>
              <w:left w:val="nil"/>
              <w:bottom w:val="single" w:sz="4" w:space="0" w:color="000000"/>
              <w:right w:val="nil"/>
            </w:tcBorders>
            <w:shd w:val="clear" w:color="000000" w:fill="F4B084"/>
            <w:vAlign w:val="center"/>
            <w:hideMark/>
          </w:tcPr>
          <w:p w14:paraId="236689C0" w14:textId="77777777" w:rsidR="0088085F" w:rsidRPr="00B81E61" w:rsidRDefault="0088085F" w:rsidP="00314FFC">
            <w:pPr>
              <w:pStyle w:val="cuadroCabe"/>
              <w:jc w:val="right"/>
              <w:rPr>
                <w:color w:val="000000" w:themeColor="text1"/>
              </w:rPr>
            </w:pPr>
            <w:r>
              <w:rPr>
                <w:color w:val="000000" w:themeColor="text1"/>
              </w:rPr>
              <w:t>1.046,16</w:t>
            </w:r>
          </w:p>
        </w:tc>
        <w:tc>
          <w:tcPr>
            <w:tcW w:w="627" w:type="pct"/>
            <w:tcBorders>
              <w:top w:val="single" w:sz="4" w:space="0" w:color="auto"/>
              <w:left w:val="nil"/>
              <w:bottom w:val="single" w:sz="4" w:space="0" w:color="000000"/>
              <w:right w:val="nil"/>
            </w:tcBorders>
            <w:shd w:val="clear" w:color="000000" w:fill="F4B084"/>
            <w:vAlign w:val="center"/>
            <w:hideMark/>
          </w:tcPr>
          <w:p w14:paraId="2FBF5BF9" w14:textId="77777777" w:rsidR="0088085F" w:rsidRPr="00B81E61" w:rsidRDefault="0088085F" w:rsidP="00314FFC">
            <w:pPr>
              <w:pStyle w:val="cuadroCabe"/>
              <w:jc w:val="right"/>
              <w:rPr>
                <w:color w:val="000000" w:themeColor="text1"/>
              </w:rPr>
            </w:pPr>
            <w:r>
              <w:rPr>
                <w:color w:val="000000" w:themeColor="text1"/>
              </w:rPr>
              <w:t>885,37</w:t>
            </w:r>
          </w:p>
        </w:tc>
        <w:tc>
          <w:tcPr>
            <w:tcW w:w="532" w:type="pct"/>
            <w:tcBorders>
              <w:top w:val="single" w:sz="4" w:space="0" w:color="auto"/>
              <w:left w:val="nil"/>
              <w:bottom w:val="single" w:sz="4" w:space="0" w:color="000000"/>
              <w:right w:val="nil"/>
            </w:tcBorders>
            <w:shd w:val="clear" w:color="000000" w:fill="F4B084"/>
            <w:vAlign w:val="center"/>
            <w:hideMark/>
          </w:tcPr>
          <w:p w14:paraId="5B383566" w14:textId="77777777" w:rsidR="0088085F" w:rsidRPr="00B81E61" w:rsidRDefault="0088085F" w:rsidP="00314FFC">
            <w:pPr>
              <w:pStyle w:val="cuadroCabe"/>
              <w:jc w:val="right"/>
              <w:rPr>
                <w:color w:val="000000" w:themeColor="text1"/>
              </w:rPr>
            </w:pPr>
            <w:r>
              <w:rPr>
                <w:color w:val="000000" w:themeColor="text1"/>
              </w:rPr>
              <w:t>100</w:t>
            </w:r>
          </w:p>
        </w:tc>
        <w:tc>
          <w:tcPr>
            <w:tcW w:w="442" w:type="pct"/>
            <w:tcBorders>
              <w:top w:val="single" w:sz="4" w:space="0" w:color="auto"/>
              <w:left w:val="nil"/>
              <w:bottom w:val="single" w:sz="4" w:space="0" w:color="000000"/>
              <w:right w:val="nil"/>
            </w:tcBorders>
            <w:shd w:val="clear" w:color="000000" w:fill="F4B084"/>
            <w:vAlign w:val="center"/>
            <w:hideMark/>
          </w:tcPr>
          <w:p w14:paraId="16657102" w14:textId="77777777" w:rsidR="0088085F" w:rsidRPr="00B81E61" w:rsidRDefault="0088085F" w:rsidP="00314FFC">
            <w:pPr>
              <w:pStyle w:val="cuadroCabe"/>
              <w:jc w:val="right"/>
              <w:rPr>
                <w:color w:val="000000" w:themeColor="text1"/>
              </w:rPr>
            </w:pPr>
            <w:r>
              <w:rPr>
                <w:color w:val="000000" w:themeColor="text1"/>
              </w:rPr>
              <w:t>85</w:t>
            </w:r>
          </w:p>
        </w:tc>
        <w:tc>
          <w:tcPr>
            <w:tcW w:w="502" w:type="pct"/>
            <w:tcBorders>
              <w:top w:val="single" w:sz="4" w:space="0" w:color="auto"/>
              <w:left w:val="nil"/>
              <w:bottom w:val="single" w:sz="4" w:space="0" w:color="000000"/>
              <w:right w:val="nil"/>
            </w:tcBorders>
            <w:shd w:val="clear" w:color="000000" w:fill="F4B084"/>
            <w:vAlign w:val="center"/>
            <w:hideMark/>
          </w:tcPr>
          <w:p w14:paraId="4CAD233B" w14:textId="77777777" w:rsidR="0088085F" w:rsidRPr="00B81E61" w:rsidRDefault="0088085F" w:rsidP="00314FFC">
            <w:pPr>
              <w:pStyle w:val="cuadroCabe"/>
              <w:jc w:val="right"/>
              <w:rPr>
                <w:rFonts w:cs="Arial"/>
                <w:bCs/>
                <w:color w:val="000000" w:themeColor="text1"/>
              </w:rPr>
            </w:pPr>
            <w:r>
              <w:rPr>
                <w:bCs/>
                <w:color w:val="000000" w:themeColor="text1"/>
              </w:rPr>
              <w:t>12</w:t>
            </w:r>
          </w:p>
        </w:tc>
        <w:tc>
          <w:tcPr>
            <w:tcW w:w="564" w:type="pct"/>
            <w:tcBorders>
              <w:top w:val="single" w:sz="4" w:space="0" w:color="auto"/>
              <w:left w:val="nil"/>
              <w:bottom w:val="single" w:sz="4" w:space="0" w:color="000000"/>
              <w:right w:val="nil"/>
            </w:tcBorders>
            <w:shd w:val="clear" w:color="000000" w:fill="F4B084"/>
            <w:vAlign w:val="center"/>
          </w:tcPr>
          <w:p w14:paraId="292D6F8B" w14:textId="77777777" w:rsidR="0088085F" w:rsidRPr="00B81E61" w:rsidRDefault="0088085F" w:rsidP="00314FFC">
            <w:pPr>
              <w:pStyle w:val="cuadroCabe"/>
              <w:jc w:val="right"/>
              <w:rPr>
                <w:color w:val="000000" w:themeColor="text1"/>
              </w:rPr>
            </w:pPr>
            <w:r>
              <w:rPr>
                <w:color w:val="000000" w:themeColor="text1"/>
              </w:rPr>
              <w:t>955,57</w:t>
            </w:r>
          </w:p>
        </w:tc>
      </w:tr>
    </w:tbl>
    <w:p w14:paraId="235F393B" w14:textId="77777777" w:rsidR="0088085F" w:rsidRPr="00A96563" w:rsidRDefault="00665642" w:rsidP="001C5C55">
      <w:pPr>
        <w:pStyle w:val="texto"/>
        <w:spacing w:before="80" w:after="40"/>
        <w:ind w:left="-14" w:firstLine="0"/>
        <w:rPr>
          <w:rFonts w:ascii="Arial" w:hAnsi="Arial" w:cs="Arial"/>
          <w:color w:val="000000" w:themeColor="text1"/>
          <w:sz w:val="16"/>
          <w:szCs w:val="16"/>
        </w:rPr>
      </w:pPr>
      <w:r>
        <w:rPr>
          <w:rFonts w:ascii="Arial" w:hAnsi="Arial"/>
          <w:color w:val="000000" w:themeColor="text1"/>
          <w:sz w:val="16"/>
          <w:szCs w:val="16"/>
        </w:rPr>
        <w:t xml:space="preserve">  (*) </w:t>
      </w:r>
      <w:proofErr w:type="spellStart"/>
      <w:r>
        <w:rPr>
          <w:rFonts w:ascii="Arial" w:hAnsi="Arial"/>
          <w:color w:val="000000" w:themeColor="text1"/>
          <w:sz w:val="16"/>
          <w:szCs w:val="16"/>
        </w:rPr>
        <w:t>SCPSArekin</w:t>
      </w:r>
      <w:proofErr w:type="spellEnd"/>
      <w:r>
        <w:rPr>
          <w:rFonts w:ascii="Arial" w:hAnsi="Arial"/>
          <w:color w:val="000000" w:themeColor="text1"/>
          <w:sz w:val="16"/>
          <w:szCs w:val="16"/>
        </w:rPr>
        <w:t xml:space="preserve"> bateratutako gastuak.</w:t>
      </w:r>
    </w:p>
    <w:p w14:paraId="172358A3" w14:textId="77777777" w:rsidR="0088085F" w:rsidRPr="00262228" w:rsidRDefault="0088085F" w:rsidP="00CA4FBF">
      <w:pPr>
        <w:pStyle w:val="texto"/>
        <w:spacing w:before="220"/>
      </w:pPr>
      <w:r>
        <w:t>2019ko ekitaldirako behin betiko kredituak 1.046,16 milioi eurokoak izan ziren, eta ehuneko 85eko betetze-maila izan zuten. Gastu arruntak eta finantza-eragiketekin lotuak ehuneko 95eko eta ehuneko 94ko betetze-mailan egon ziren, hurrenez hurren. Aitzitik, kapitaleko gastuen betetze-maila ehuneko 62koa izan zen.</w:t>
      </w:r>
    </w:p>
    <w:p w14:paraId="420C34A4" w14:textId="77777777" w:rsidR="0088085F" w:rsidRPr="00262228" w:rsidRDefault="0088085F" w:rsidP="00CA4FBF">
      <w:pPr>
        <w:pStyle w:val="texto"/>
      </w:pPr>
      <w:r>
        <w:lastRenderedPageBreak/>
        <w:t xml:space="preserve">Toki sektore publikoaren gastuak 885,37 milioi eurokoak izan ziren 2019an, eta 2018koak baino ehuneko 12 handiagoak izan ziren; nabarmentzekoak dira langile-gastuak eta ondasun arrunten eta zerbitzuen gastuak, zeinek aitortutako gastu guztien ehuneko 34 eta ehuneko 32 egiten baitute, hurrenez hurren. Bestalde, inbertsioetako gastua guztizko gastuen ehuneko 21 da. </w:t>
      </w:r>
    </w:p>
    <w:p w14:paraId="694C3FBB" w14:textId="77777777" w:rsidR="0088085F" w:rsidRPr="00262228" w:rsidRDefault="0088085F" w:rsidP="00CA4FBF">
      <w:pPr>
        <w:pStyle w:val="texto"/>
      </w:pPr>
      <w:r>
        <w:t xml:space="preserve">2018ko datuekin alderatuta, alde nabarmenenak kapital-eragiketetako gastuetan izan dira, ehuneko 59 handitu baitira. Jaitsierei dagokienez, alde nabarmenena finantza-eragiketetan dago, ehuneko 12ko jaitsierarekin. Kopuru absolututan, inbertsioetako gastuaren 67 milioiko gehikuntza nabarmentzen da, eta berari zor zaio guztizko gastuen </w:t>
      </w:r>
      <w:r>
        <w:rPr>
          <w:color w:val="000000" w:themeColor="text1"/>
        </w:rPr>
        <w:t xml:space="preserve">ehuneko 69ko igoera; eta ondoren langile-gastuen 19 milioiko gehikuntza,  </w:t>
      </w:r>
      <w:r>
        <w:t xml:space="preserve">hain zuzen ere gehikuntza osoaren ehuneko 20. </w:t>
      </w:r>
    </w:p>
    <w:p w14:paraId="2D35E611" w14:textId="77777777" w:rsidR="0088085F" w:rsidRPr="00262228" w:rsidRDefault="0088085F" w:rsidP="00CA4FBF">
      <w:pPr>
        <w:pStyle w:val="texto"/>
      </w:pPr>
      <w:r>
        <w:t xml:space="preserve">Gastu guztien ehuneko 85 udalei eta kontzejuei dagozkie, eta gainerako ehuneko 15a, berriz, mankomunitateei eta batasunei. </w:t>
      </w:r>
    </w:p>
    <w:p w14:paraId="07C7DAB1" w14:textId="77777777" w:rsidR="0088085F" w:rsidRPr="00262228" w:rsidRDefault="0088085F" w:rsidP="00CA4FBF">
      <w:pPr>
        <w:pStyle w:val="texto"/>
      </w:pPr>
      <w:proofErr w:type="spellStart"/>
      <w:r>
        <w:t>SCPSAk</w:t>
      </w:r>
      <w:proofErr w:type="spellEnd"/>
      <w:r>
        <w:t xml:space="preserve"> 70 milioiko gastua izan du, ehuneko 49 ondasun eta zerbitzuetako gastu arruntetan eta ehuneko 36 langile-gastuetan. Gainerako ehuneko 15a inbertsioetako gastua da. </w:t>
      </w:r>
    </w:p>
    <w:p w14:paraId="191D7AD7" w14:textId="77777777" w:rsidR="0088085F" w:rsidRPr="00262228" w:rsidRDefault="0088085F" w:rsidP="000B2291">
      <w:pPr>
        <w:pStyle w:val="texto"/>
        <w:spacing w:after="180"/>
      </w:pPr>
      <w:r>
        <w:t>Hurrengo taulan gastu horien sailkapen funtzionala erakusten dugu:</w:t>
      </w:r>
    </w:p>
    <w:p w14:paraId="1AFE48F9" w14:textId="77777777" w:rsidR="0088085F" w:rsidRPr="00E029EF" w:rsidRDefault="0088085F" w:rsidP="00E029EF">
      <w:pPr>
        <w:pStyle w:val="texto"/>
        <w:spacing w:after="60"/>
        <w:rPr>
          <w:color w:val="000000" w:themeColor="text1"/>
          <w:sz w:val="17"/>
          <w:szCs w:val="17"/>
        </w:rPr>
      </w:pPr>
      <w:r>
        <w:rPr>
          <w:color w:val="000000" w:themeColor="text1"/>
          <w:sz w:val="17"/>
          <w:szCs w:val="17"/>
        </w:rPr>
        <w:t xml:space="preserve">                                                                                                                                                           (milioitan)</w:t>
      </w:r>
    </w:p>
    <w:tbl>
      <w:tblPr>
        <w:tblW w:w="5000" w:type="pct"/>
        <w:jc w:val="center"/>
        <w:tblCellMar>
          <w:left w:w="70" w:type="dxa"/>
          <w:right w:w="70" w:type="dxa"/>
        </w:tblCellMar>
        <w:tblLook w:val="04A0" w:firstRow="1" w:lastRow="0" w:firstColumn="1" w:lastColumn="0" w:noHBand="0" w:noVBand="1"/>
      </w:tblPr>
      <w:tblGrid>
        <w:gridCol w:w="3780"/>
        <w:gridCol w:w="1421"/>
        <w:gridCol w:w="1126"/>
        <w:gridCol w:w="1341"/>
        <w:gridCol w:w="1121"/>
      </w:tblGrid>
      <w:tr w:rsidR="0088085F" w:rsidRPr="00B81E61" w14:paraId="2F6B3346" w14:textId="77777777" w:rsidTr="006F2D94">
        <w:trPr>
          <w:trHeight w:val="255"/>
          <w:jc w:val="center"/>
        </w:trPr>
        <w:tc>
          <w:tcPr>
            <w:tcW w:w="2150" w:type="pct"/>
            <w:tcBorders>
              <w:top w:val="single" w:sz="4" w:space="0" w:color="auto"/>
              <w:left w:val="nil"/>
              <w:bottom w:val="single" w:sz="4" w:space="0" w:color="auto"/>
              <w:right w:val="nil"/>
            </w:tcBorders>
            <w:shd w:val="clear" w:color="000000" w:fill="FABF8F"/>
            <w:vAlign w:val="center"/>
            <w:hideMark/>
          </w:tcPr>
          <w:p w14:paraId="28423B25" w14:textId="77777777" w:rsidR="0088085F" w:rsidRPr="00B81E61" w:rsidRDefault="0088085F" w:rsidP="000B2291">
            <w:pPr>
              <w:pStyle w:val="cuadroCabe"/>
              <w:jc w:val="left"/>
            </w:pPr>
            <w:r>
              <w:t>Gastu-politika</w:t>
            </w:r>
          </w:p>
        </w:tc>
        <w:tc>
          <w:tcPr>
            <w:tcW w:w="808" w:type="pct"/>
            <w:tcBorders>
              <w:top w:val="single" w:sz="4" w:space="0" w:color="auto"/>
              <w:left w:val="nil"/>
              <w:bottom w:val="single" w:sz="4" w:space="0" w:color="auto"/>
              <w:right w:val="nil"/>
            </w:tcBorders>
            <w:shd w:val="clear" w:color="000000" w:fill="FABF8F"/>
            <w:vAlign w:val="center"/>
          </w:tcPr>
          <w:p w14:paraId="0FE3C73F" w14:textId="77777777" w:rsidR="0088085F" w:rsidRPr="00B81E61" w:rsidRDefault="0088085F" w:rsidP="000B2291">
            <w:pPr>
              <w:pStyle w:val="cuadroCabe"/>
              <w:jc w:val="right"/>
            </w:pPr>
            <w:r>
              <w:t>2018ko zenbatekoa</w:t>
            </w:r>
          </w:p>
        </w:tc>
        <w:tc>
          <w:tcPr>
            <w:tcW w:w="640" w:type="pct"/>
            <w:tcBorders>
              <w:top w:val="single" w:sz="4" w:space="0" w:color="auto"/>
              <w:left w:val="nil"/>
              <w:bottom w:val="single" w:sz="4" w:space="0" w:color="auto"/>
              <w:right w:val="nil"/>
            </w:tcBorders>
            <w:shd w:val="clear" w:color="000000" w:fill="FABF8F"/>
            <w:vAlign w:val="center"/>
            <w:hideMark/>
          </w:tcPr>
          <w:p w14:paraId="305F7655" w14:textId="77777777" w:rsidR="0088085F" w:rsidRPr="00B81E61" w:rsidRDefault="0088085F" w:rsidP="000B2291">
            <w:pPr>
              <w:pStyle w:val="cuadroCabe"/>
              <w:jc w:val="right"/>
            </w:pPr>
            <w:r>
              <w:t>2019ko zenbatekoa</w:t>
            </w:r>
          </w:p>
        </w:tc>
        <w:tc>
          <w:tcPr>
            <w:tcW w:w="763" w:type="pct"/>
            <w:tcBorders>
              <w:top w:val="single" w:sz="4" w:space="0" w:color="auto"/>
              <w:left w:val="nil"/>
              <w:bottom w:val="single" w:sz="4" w:space="0" w:color="auto"/>
              <w:right w:val="nil"/>
            </w:tcBorders>
            <w:shd w:val="clear" w:color="000000" w:fill="FABF8F"/>
            <w:vAlign w:val="center"/>
            <w:hideMark/>
          </w:tcPr>
          <w:p w14:paraId="594B686E" w14:textId="77777777" w:rsidR="0088085F" w:rsidRPr="00B81E61" w:rsidRDefault="0088085F" w:rsidP="000B2291">
            <w:pPr>
              <w:pStyle w:val="cuadroCabe"/>
              <w:jc w:val="right"/>
            </w:pPr>
            <w:r>
              <w:t>2019ko gastu guztien gainean (%)</w:t>
            </w:r>
          </w:p>
        </w:tc>
        <w:tc>
          <w:tcPr>
            <w:tcW w:w="638" w:type="pct"/>
            <w:tcBorders>
              <w:top w:val="single" w:sz="4" w:space="0" w:color="auto"/>
              <w:left w:val="nil"/>
              <w:bottom w:val="single" w:sz="4" w:space="0" w:color="auto"/>
              <w:right w:val="nil"/>
            </w:tcBorders>
            <w:shd w:val="clear" w:color="000000" w:fill="FABF8F"/>
            <w:vAlign w:val="center"/>
            <w:hideMark/>
          </w:tcPr>
          <w:p w14:paraId="3CF21DBA" w14:textId="77777777" w:rsidR="0088085F" w:rsidRPr="00B81E61" w:rsidRDefault="0088085F" w:rsidP="000B2291">
            <w:pPr>
              <w:pStyle w:val="cuadroCabe"/>
              <w:jc w:val="right"/>
            </w:pPr>
            <w:r>
              <w:t>2019/2018 aldea (%)</w:t>
            </w:r>
          </w:p>
        </w:tc>
      </w:tr>
      <w:tr w:rsidR="0088085F" w:rsidRPr="00B81E61" w14:paraId="016F354E" w14:textId="77777777" w:rsidTr="006F2D94">
        <w:trPr>
          <w:trHeight w:val="198"/>
          <w:jc w:val="center"/>
        </w:trPr>
        <w:tc>
          <w:tcPr>
            <w:tcW w:w="2150" w:type="pct"/>
            <w:tcBorders>
              <w:top w:val="single" w:sz="4" w:space="0" w:color="auto"/>
              <w:left w:val="nil"/>
              <w:bottom w:val="single" w:sz="2" w:space="0" w:color="auto"/>
              <w:right w:val="nil"/>
            </w:tcBorders>
            <w:shd w:val="clear" w:color="auto" w:fill="auto"/>
            <w:vAlign w:val="center"/>
            <w:hideMark/>
          </w:tcPr>
          <w:p w14:paraId="3E9AE1F1" w14:textId="77777777" w:rsidR="0088085F" w:rsidRPr="00B81E61" w:rsidRDefault="0088085F" w:rsidP="000B2291">
            <w:pPr>
              <w:pStyle w:val="cuatexto"/>
              <w:jc w:val="left"/>
            </w:pPr>
            <w:r>
              <w:t>Ongizate komunitarioa</w:t>
            </w:r>
          </w:p>
        </w:tc>
        <w:tc>
          <w:tcPr>
            <w:tcW w:w="808" w:type="pct"/>
            <w:tcBorders>
              <w:top w:val="single" w:sz="4" w:space="0" w:color="auto"/>
              <w:left w:val="nil"/>
              <w:bottom w:val="single" w:sz="2" w:space="0" w:color="auto"/>
              <w:right w:val="nil"/>
            </w:tcBorders>
            <w:vAlign w:val="center"/>
          </w:tcPr>
          <w:p w14:paraId="56DAA866" w14:textId="77777777" w:rsidR="0088085F" w:rsidRPr="00B81E61" w:rsidRDefault="0088085F" w:rsidP="000B2291">
            <w:pPr>
              <w:pStyle w:val="cuatexto"/>
              <w:jc w:val="right"/>
            </w:pPr>
            <w:r>
              <w:t>108,48</w:t>
            </w:r>
          </w:p>
        </w:tc>
        <w:tc>
          <w:tcPr>
            <w:tcW w:w="640" w:type="pct"/>
            <w:tcBorders>
              <w:top w:val="single" w:sz="4" w:space="0" w:color="auto"/>
              <w:left w:val="nil"/>
              <w:bottom w:val="single" w:sz="2" w:space="0" w:color="auto"/>
              <w:right w:val="nil"/>
            </w:tcBorders>
            <w:shd w:val="clear" w:color="auto" w:fill="auto"/>
            <w:vAlign w:val="center"/>
            <w:hideMark/>
          </w:tcPr>
          <w:p w14:paraId="1D7B46B2" w14:textId="77777777" w:rsidR="0088085F" w:rsidRPr="00F979C5" w:rsidRDefault="0088085F" w:rsidP="000B2291">
            <w:pPr>
              <w:pStyle w:val="cuatexto"/>
              <w:jc w:val="right"/>
            </w:pPr>
            <w:r>
              <w:t>139,18</w:t>
            </w:r>
          </w:p>
        </w:tc>
        <w:tc>
          <w:tcPr>
            <w:tcW w:w="763" w:type="pct"/>
            <w:tcBorders>
              <w:top w:val="single" w:sz="4" w:space="0" w:color="auto"/>
              <w:left w:val="nil"/>
              <w:bottom w:val="single" w:sz="2" w:space="0" w:color="auto"/>
              <w:right w:val="nil"/>
            </w:tcBorders>
            <w:shd w:val="clear" w:color="auto" w:fill="auto"/>
            <w:vAlign w:val="center"/>
            <w:hideMark/>
          </w:tcPr>
          <w:p w14:paraId="1D53D4E3" w14:textId="77777777" w:rsidR="0088085F" w:rsidRPr="00B81E61" w:rsidRDefault="0088085F" w:rsidP="000B2291">
            <w:pPr>
              <w:pStyle w:val="cuatexto"/>
              <w:jc w:val="right"/>
            </w:pPr>
            <w:r>
              <w:t>16</w:t>
            </w:r>
          </w:p>
        </w:tc>
        <w:tc>
          <w:tcPr>
            <w:tcW w:w="638" w:type="pct"/>
            <w:tcBorders>
              <w:top w:val="single" w:sz="4" w:space="0" w:color="auto"/>
              <w:left w:val="nil"/>
              <w:bottom w:val="single" w:sz="2" w:space="0" w:color="auto"/>
              <w:right w:val="nil"/>
            </w:tcBorders>
            <w:shd w:val="clear" w:color="auto" w:fill="auto"/>
            <w:noWrap/>
            <w:vAlign w:val="center"/>
            <w:hideMark/>
          </w:tcPr>
          <w:p w14:paraId="341AC11D" w14:textId="77777777" w:rsidR="0088085F" w:rsidRPr="00A60044" w:rsidRDefault="0088085F" w:rsidP="000B2291">
            <w:pPr>
              <w:pStyle w:val="cuatexto"/>
              <w:jc w:val="right"/>
              <w:rPr>
                <w:rFonts w:cs="Calibri"/>
                <w:szCs w:val="20"/>
              </w:rPr>
            </w:pPr>
            <w:r>
              <w:t>28</w:t>
            </w:r>
          </w:p>
        </w:tc>
      </w:tr>
      <w:tr w:rsidR="0088085F" w:rsidRPr="00B81E61" w14:paraId="2FF9750D"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225C948E" w14:textId="77777777" w:rsidR="0088085F" w:rsidRPr="00B81E61" w:rsidRDefault="0088085F" w:rsidP="000B2291">
            <w:pPr>
              <w:pStyle w:val="cuatexto"/>
              <w:jc w:val="left"/>
            </w:pPr>
            <w:r>
              <w:t>Zerbitzu orokorrak</w:t>
            </w:r>
          </w:p>
        </w:tc>
        <w:tc>
          <w:tcPr>
            <w:tcW w:w="808" w:type="pct"/>
            <w:tcBorders>
              <w:top w:val="single" w:sz="2" w:space="0" w:color="auto"/>
              <w:left w:val="nil"/>
              <w:bottom w:val="single" w:sz="2" w:space="0" w:color="auto"/>
              <w:right w:val="nil"/>
            </w:tcBorders>
            <w:vAlign w:val="center"/>
          </w:tcPr>
          <w:p w14:paraId="54BBCD4C" w14:textId="77777777" w:rsidR="0088085F" w:rsidRPr="00B81E61" w:rsidRDefault="0088085F" w:rsidP="000B2291">
            <w:pPr>
              <w:pStyle w:val="cuatexto"/>
              <w:jc w:val="right"/>
            </w:pPr>
            <w:r>
              <w:t>92,34</w:t>
            </w:r>
          </w:p>
        </w:tc>
        <w:tc>
          <w:tcPr>
            <w:tcW w:w="640" w:type="pct"/>
            <w:tcBorders>
              <w:top w:val="single" w:sz="2" w:space="0" w:color="auto"/>
              <w:left w:val="nil"/>
              <w:bottom w:val="single" w:sz="2" w:space="0" w:color="auto"/>
              <w:right w:val="nil"/>
            </w:tcBorders>
            <w:shd w:val="clear" w:color="auto" w:fill="auto"/>
            <w:vAlign w:val="center"/>
            <w:hideMark/>
          </w:tcPr>
          <w:p w14:paraId="43BFCD6A" w14:textId="77777777" w:rsidR="0088085F" w:rsidRPr="00F979C5" w:rsidRDefault="0088085F" w:rsidP="000B2291">
            <w:pPr>
              <w:pStyle w:val="cuatexto"/>
              <w:jc w:val="right"/>
            </w:pPr>
            <w:r>
              <w:t>96,25</w:t>
            </w:r>
          </w:p>
        </w:tc>
        <w:tc>
          <w:tcPr>
            <w:tcW w:w="763" w:type="pct"/>
            <w:tcBorders>
              <w:top w:val="single" w:sz="2" w:space="0" w:color="auto"/>
              <w:left w:val="nil"/>
              <w:bottom w:val="single" w:sz="2" w:space="0" w:color="auto"/>
              <w:right w:val="nil"/>
            </w:tcBorders>
            <w:shd w:val="clear" w:color="auto" w:fill="auto"/>
            <w:vAlign w:val="center"/>
            <w:hideMark/>
          </w:tcPr>
          <w:p w14:paraId="303833C6" w14:textId="77777777" w:rsidR="0088085F" w:rsidRPr="00B81E61" w:rsidRDefault="0088085F" w:rsidP="000B2291">
            <w:pPr>
              <w:pStyle w:val="cuatexto"/>
              <w:jc w:val="right"/>
            </w:pPr>
            <w:r>
              <w:t>11</w:t>
            </w:r>
          </w:p>
        </w:tc>
        <w:tc>
          <w:tcPr>
            <w:tcW w:w="638" w:type="pct"/>
            <w:tcBorders>
              <w:top w:val="single" w:sz="2" w:space="0" w:color="auto"/>
              <w:left w:val="nil"/>
              <w:bottom w:val="single" w:sz="2" w:space="0" w:color="auto"/>
              <w:right w:val="nil"/>
            </w:tcBorders>
            <w:shd w:val="clear" w:color="auto" w:fill="auto"/>
            <w:noWrap/>
            <w:vAlign w:val="center"/>
            <w:hideMark/>
          </w:tcPr>
          <w:p w14:paraId="77270BB7" w14:textId="77777777" w:rsidR="0088085F" w:rsidRPr="00A60044" w:rsidRDefault="0088085F" w:rsidP="000B2291">
            <w:pPr>
              <w:pStyle w:val="cuatexto"/>
              <w:jc w:val="right"/>
              <w:rPr>
                <w:rFonts w:cs="Calibri"/>
                <w:szCs w:val="20"/>
              </w:rPr>
            </w:pPr>
            <w:r>
              <w:t>4</w:t>
            </w:r>
          </w:p>
        </w:tc>
      </w:tr>
      <w:tr w:rsidR="0088085F" w:rsidRPr="00B81E61" w14:paraId="01B98FA6"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100C3A15" w14:textId="77777777" w:rsidR="0088085F" w:rsidRPr="00B81E61" w:rsidRDefault="0088085F" w:rsidP="000B2291">
            <w:pPr>
              <w:pStyle w:val="cuatexto"/>
              <w:jc w:val="left"/>
            </w:pPr>
            <w:r>
              <w:t xml:space="preserve">Etxebizitza eta hirigintza </w:t>
            </w:r>
          </w:p>
        </w:tc>
        <w:tc>
          <w:tcPr>
            <w:tcW w:w="808" w:type="pct"/>
            <w:tcBorders>
              <w:top w:val="single" w:sz="2" w:space="0" w:color="auto"/>
              <w:left w:val="nil"/>
              <w:bottom w:val="single" w:sz="2" w:space="0" w:color="auto"/>
              <w:right w:val="nil"/>
            </w:tcBorders>
            <w:vAlign w:val="center"/>
          </w:tcPr>
          <w:p w14:paraId="401D009C" w14:textId="77777777" w:rsidR="0088085F" w:rsidRPr="00B81E61" w:rsidRDefault="0088085F" w:rsidP="000B2291">
            <w:pPr>
              <w:pStyle w:val="cuatexto"/>
              <w:jc w:val="right"/>
            </w:pPr>
            <w:r>
              <w:t>66,33</w:t>
            </w:r>
          </w:p>
        </w:tc>
        <w:tc>
          <w:tcPr>
            <w:tcW w:w="640" w:type="pct"/>
            <w:tcBorders>
              <w:top w:val="single" w:sz="2" w:space="0" w:color="auto"/>
              <w:left w:val="nil"/>
              <w:bottom w:val="single" w:sz="2" w:space="0" w:color="auto"/>
              <w:right w:val="nil"/>
            </w:tcBorders>
            <w:shd w:val="clear" w:color="auto" w:fill="auto"/>
            <w:vAlign w:val="center"/>
            <w:hideMark/>
          </w:tcPr>
          <w:p w14:paraId="33AD375D" w14:textId="77777777" w:rsidR="0088085F" w:rsidRPr="00F979C5" w:rsidRDefault="0088085F" w:rsidP="000B2291">
            <w:pPr>
              <w:pStyle w:val="cuatexto"/>
              <w:jc w:val="right"/>
            </w:pPr>
            <w:r>
              <w:t>89,06</w:t>
            </w:r>
          </w:p>
        </w:tc>
        <w:tc>
          <w:tcPr>
            <w:tcW w:w="763" w:type="pct"/>
            <w:tcBorders>
              <w:top w:val="single" w:sz="2" w:space="0" w:color="auto"/>
              <w:left w:val="nil"/>
              <w:bottom w:val="single" w:sz="2" w:space="0" w:color="auto"/>
              <w:right w:val="nil"/>
            </w:tcBorders>
            <w:shd w:val="clear" w:color="auto" w:fill="auto"/>
            <w:vAlign w:val="center"/>
            <w:hideMark/>
          </w:tcPr>
          <w:p w14:paraId="1731CAB2" w14:textId="77777777" w:rsidR="0088085F" w:rsidRPr="00B81E61" w:rsidRDefault="0088085F" w:rsidP="000B2291">
            <w:pPr>
              <w:pStyle w:val="cuatexto"/>
              <w:jc w:val="right"/>
            </w:pPr>
            <w:r>
              <w:t>10</w:t>
            </w:r>
          </w:p>
        </w:tc>
        <w:tc>
          <w:tcPr>
            <w:tcW w:w="638" w:type="pct"/>
            <w:tcBorders>
              <w:top w:val="single" w:sz="2" w:space="0" w:color="auto"/>
              <w:left w:val="nil"/>
              <w:bottom w:val="single" w:sz="2" w:space="0" w:color="auto"/>
              <w:right w:val="nil"/>
            </w:tcBorders>
            <w:shd w:val="clear" w:color="auto" w:fill="auto"/>
            <w:noWrap/>
            <w:vAlign w:val="center"/>
            <w:hideMark/>
          </w:tcPr>
          <w:p w14:paraId="6C39D552" w14:textId="77777777" w:rsidR="0088085F" w:rsidRPr="00A60044" w:rsidRDefault="0088085F" w:rsidP="000B2291">
            <w:pPr>
              <w:pStyle w:val="cuatexto"/>
              <w:jc w:val="right"/>
              <w:rPr>
                <w:rFonts w:cs="Calibri"/>
                <w:szCs w:val="20"/>
              </w:rPr>
            </w:pPr>
            <w:r>
              <w:t>41</w:t>
            </w:r>
          </w:p>
        </w:tc>
      </w:tr>
      <w:tr w:rsidR="0088085F" w:rsidRPr="00B81E61" w14:paraId="7896B69B"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6C8734D" w14:textId="77777777" w:rsidR="0088085F" w:rsidRPr="00B81E61" w:rsidRDefault="0088085F" w:rsidP="000B2291">
            <w:pPr>
              <w:pStyle w:val="cuatexto"/>
              <w:jc w:val="left"/>
            </w:pPr>
            <w:r>
              <w:t>Hezkuntza</w:t>
            </w:r>
          </w:p>
        </w:tc>
        <w:tc>
          <w:tcPr>
            <w:tcW w:w="808" w:type="pct"/>
            <w:tcBorders>
              <w:top w:val="single" w:sz="2" w:space="0" w:color="auto"/>
              <w:left w:val="nil"/>
              <w:bottom w:val="single" w:sz="2" w:space="0" w:color="auto"/>
              <w:right w:val="nil"/>
            </w:tcBorders>
            <w:vAlign w:val="center"/>
          </w:tcPr>
          <w:p w14:paraId="12FC19F5" w14:textId="77777777" w:rsidR="0088085F" w:rsidRPr="00B81E61" w:rsidRDefault="0088085F" w:rsidP="000B2291">
            <w:pPr>
              <w:pStyle w:val="cuatexto"/>
              <w:jc w:val="right"/>
            </w:pPr>
            <w:r>
              <w:t>70,41</w:t>
            </w:r>
          </w:p>
        </w:tc>
        <w:tc>
          <w:tcPr>
            <w:tcW w:w="640" w:type="pct"/>
            <w:tcBorders>
              <w:top w:val="single" w:sz="2" w:space="0" w:color="auto"/>
              <w:left w:val="nil"/>
              <w:bottom w:val="single" w:sz="2" w:space="0" w:color="auto"/>
              <w:right w:val="nil"/>
            </w:tcBorders>
            <w:shd w:val="clear" w:color="auto" w:fill="auto"/>
            <w:vAlign w:val="center"/>
            <w:hideMark/>
          </w:tcPr>
          <w:p w14:paraId="6C7C9355" w14:textId="77777777" w:rsidR="0088085F" w:rsidRPr="00F979C5" w:rsidRDefault="0088085F" w:rsidP="000B2291">
            <w:pPr>
              <w:pStyle w:val="cuatexto"/>
              <w:jc w:val="right"/>
            </w:pPr>
            <w:r>
              <w:t>73,86</w:t>
            </w:r>
          </w:p>
        </w:tc>
        <w:tc>
          <w:tcPr>
            <w:tcW w:w="763" w:type="pct"/>
            <w:tcBorders>
              <w:top w:val="single" w:sz="2" w:space="0" w:color="auto"/>
              <w:left w:val="nil"/>
              <w:bottom w:val="single" w:sz="2" w:space="0" w:color="auto"/>
              <w:right w:val="nil"/>
            </w:tcBorders>
            <w:shd w:val="clear" w:color="auto" w:fill="auto"/>
            <w:vAlign w:val="center"/>
            <w:hideMark/>
          </w:tcPr>
          <w:p w14:paraId="022D2117" w14:textId="77777777" w:rsidR="0088085F" w:rsidRPr="00B81E61" w:rsidRDefault="0088085F" w:rsidP="000B2291">
            <w:pPr>
              <w:pStyle w:val="cuatexto"/>
              <w:jc w:val="right"/>
            </w:pPr>
            <w:r>
              <w:t>8</w:t>
            </w:r>
          </w:p>
        </w:tc>
        <w:tc>
          <w:tcPr>
            <w:tcW w:w="638" w:type="pct"/>
            <w:tcBorders>
              <w:top w:val="single" w:sz="2" w:space="0" w:color="auto"/>
              <w:left w:val="nil"/>
              <w:bottom w:val="single" w:sz="2" w:space="0" w:color="auto"/>
              <w:right w:val="nil"/>
            </w:tcBorders>
            <w:shd w:val="clear" w:color="auto" w:fill="auto"/>
            <w:noWrap/>
            <w:vAlign w:val="center"/>
            <w:hideMark/>
          </w:tcPr>
          <w:p w14:paraId="185B108D" w14:textId="77777777" w:rsidR="0088085F" w:rsidRPr="00A60044" w:rsidRDefault="0088085F" w:rsidP="000B2291">
            <w:pPr>
              <w:pStyle w:val="cuatexto"/>
              <w:jc w:val="right"/>
              <w:rPr>
                <w:rFonts w:cs="Calibri"/>
                <w:szCs w:val="20"/>
              </w:rPr>
            </w:pPr>
            <w:r>
              <w:t>5</w:t>
            </w:r>
          </w:p>
        </w:tc>
      </w:tr>
      <w:tr w:rsidR="0088085F" w:rsidRPr="00B81E61" w14:paraId="485B2EEB"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8E850CB" w14:textId="77777777" w:rsidR="0088085F" w:rsidRPr="00B81E61" w:rsidRDefault="0088085F" w:rsidP="000B2291">
            <w:pPr>
              <w:pStyle w:val="cuatexto"/>
              <w:jc w:val="left"/>
            </w:pPr>
            <w:r>
              <w:t>Gizarte zerbitzuak eta gizarte sustapena</w:t>
            </w:r>
          </w:p>
        </w:tc>
        <w:tc>
          <w:tcPr>
            <w:tcW w:w="808" w:type="pct"/>
            <w:tcBorders>
              <w:top w:val="single" w:sz="2" w:space="0" w:color="auto"/>
              <w:left w:val="nil"/>
              <w:bottom w:val="single" w:sz="2" w:space="0" w:color="auto"/>
              <w:right w:val="nil"/>
            </w:tcBorders>
            <w:vAlign w:val="center"/>
          </w:tcPr>
          <w:p w14:paraId="13705896" w14:textId="77777777" w:rsidR="0088085F" w:rsidRPr="00B81E61" w:rsidRDefault="0088085F" w:rsidP="000B2291">
            <w:pPr>
              <w:pStyle w:val="cuatexto"/>
              <w:jc w:val="right"/>
            </w:pPr>
            <w:r>
              <w:t>67,45</w:t>
            </w:r>
          </w:p>
        </w:tc>
        <w:tc>
          <w:tcPr>
            <w:tcW w:w="640" w:type="pct"/>
            <w:tcBorders>
              <w:top w:val="single" w:sz="2" w:space="0" w:color="auto"/>
              <w:left w:val="nil"/>
              <w:bottom w:val="single" w:sz="2" w:space="0" w:color="auto"/>
              <w:right w:val="nil"/>
            </w:tcBorders>
            <w:shd w:val="clear" w:color="auto" w:fill="auto"/>
            <w:vAlign w:val="center"/>
            <w:hideMark/>
          </w:tcPr>
          <w:p w14:paraId="580327FD" w14:textId="77777777" w:rsidR="0088085F" w:rsidRPr="00F979C5" w:rsidRDefault="0088085F" w:rsidP="000B2291">
            <w:pPr>
              <w:pStyle w:val="cuatexto"/>
              <w:jc w:val="right"/>
            </w:pPr>
            <w:r>
              <w:t>71,44</w:t>
            </w:r>
          </w:p>
        </w:tc>
        <w:tc>
          <w:tcPr>
            <w:tcW w:w="763" w:type="pct"/>
            <w:tcBorders>
              <w:top w:val="single" w:sz="2" w:space="0" w:color="auto"/>
              <w:left w:val="nil"/>
              <w:bottom w:val="single" w:sz="2" w:space="0" w:color="auto"/>
              <w:right w:val="nil"/>
            </w:tcBorders>
            <w:shd w:val="clear" w:color="auto" w:fill="auto"/>
            <w:vAlign w:val="center"/>
            <w:hideMark/>
          </w:tcPr>
          <w:p w14:paraId="0C220947" w14:textId="77777777" w:rsidR="0088085F" w:rsidRPr="00B81E61" w:rsidRDefault="0088085F" w:rsidP="000B2291">
            <w:pPr>
              <w:pStyle w:val="cuatexto"/>
              <w:jc w:val="right"/>
            </w:pPr>
            <w:r>
              <w:t>8</w:t>
            </w:r>
          </w:p>
        </w:tc>
        <w:tc>
          <w:tcPr>
            <w:tcW w:w="638" w:type="pct"/>
            <w:tcBorders>
              <w:top w:val="single" w:sz="2" w:space="0" w:color="auto"/>
              <w:left w:val="nil"/>
              <w:bottom w:val="single" w:sz="2" w:space="0" w:color="auto"/>
              <w:right w:val="nil"/>
            </w:tcBorders>
            <w:shd w:val="clear" w:color="auto" w:fill="auto"/>
            <w:noWrap/>
            <w:vAlign w:val="center"/>
            <w:hideMark/>
          </w:tcPr>
          <w:p w14:paraId="10CA9FA5" w14:textId="77777777" w:rsidR="0088085F" w:rsidRPr="00A60044" w:rsidRDefault="0088085F" w:rsidP="000B2291">
            <w:pPr>
              <w:pStyle w:val="cuatexto"/>
              <w:jc w:val="right"/>
              <w:rPr>
                <w:rFonts w:cs="Calibri"/>
                <w:szCs w:val="20"/>
              </w:rPr>
            </w:pPr>
            <w:r>
              <w:t>6</w:t>
            </w:r>
          </w:p>
        </w:tc>
      </w:tr>
      <w:tr w:rsidR="0088085F" w:rsidRPr="00B81E61" w14:paraId="2555FFCF"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D23CD21" w14:textId="77777777" w:rsidR="0088085F" w:rsidRPr="00B81E61" w:rsidRDefault="0088085F" w:rsidP="000B2291">
            <w:pPr>
              <w:pStyle w:val="cuatexto"/>
              <w:jc w:val="left"/>
            </w:pPr>
            <w:r>
              <w:t>Kultura</w:t>
            </w:r>
          </w:p>
        </w:tc>
        <w:tc>
          <w:tcPr>
            <w:tcW w:w="808" w:type="pct"/>
            <w:tcBorders>
              <w:top w:val="single" w:sz="2" w:space="0" w:color="auto"/>
              <w:left w:val="nil"/>
              <w:bottom w:val="single" w:sz="2" w:space="0" w:color="auto"/>
              <w:right w:val="nil"/>
            </w:tcBorders>
            <w:vAlign w:val="center"/>
          </w:tcPr>
          <w:p w14:paraId="11814A13" w14:textId="77777777" w:rsidR="0088085F" w:rsidRPr="00B81E61" w:rsidRDefault="0088085F" w:rsidP="000B2291">
            <w:pPr>
              <w:pStyle w:val="cuatexto"/>
              <w:jc w:val="right"/>
            </w:pPr>
            <w:r>
              <w:t>64,78</w:t>
            </w:r>
          </w:p>
        </w:tc>
        <w:tc>
          <w:tcPr>
            <w:tcW w:w="640" w:type="pct"/>
            <w:tcBorders>
              <w:top w:val="single" w:sz="2" w:space="0" w:color="auto"/>
              <w:left w:val="nil"/>
              <w:bottom w:val="single" w:sz="2" w:space="0" w:color="auto"/>
              <w:right w:val="nil"/>
            </w:tcBorders>
            <w:shd w:val="clear" w:color="auto" w:fill="auto"/>
            <w:vAlign w:val="center"/>
            <w:hideMark/>
          </w:tcPr>
          <w:p w14:paraId="280381B6" w14:textId="77777777" w:rsidR="0088085F" w:rsidRPr="00F979C5" w:rsidRDefault="0088085F" w:rsidP="000B2291">
            <w:pPr>
              <w:pStyle w:val="cuatexto"/>
              <w:jc w:val="right"/>
            </w:pPr>
            <w:r>
              <w:t>69,15</w:t>
            </w:r>
          </w:p>
        </w:tc>
        <w:tc>
          <w:tcPr>
            <w:tcW w:w="763" w:type="pct"/>
            <w:tcBorders>
              <w:top w:val="single" w:sz="2" w:space="0" w:color="auto"/>
              <w:left w:val="nil"/>
              <w:bottom w:val="single" w:sz="2" w:space="0" w:color="auto"/>
              <w:right w:val="nil"/>
            </w:tcBorders>
            <w:shd w:val="clear" w:color="auto" w:fill="auto"/>
            <w:vAlign w:val="center"/>
            <w:hideMark/>
          </w:tcPr>
          <w:p w14:paraId="2993EF8C" w14:textId="77777777" w:rsidR="0088085F" w:rsidRPr="00B81E61" w:rsidRDefault="0088085F" w:rsidP="000B2291">
            <w:pPr>
              <w:pStyle w:val="cuatexto"/>
              <w:jc w:val="right"/>
            </w:pPr>
            <w:r>
              <w:t>8</w:t>
            </w:r>
          </w:p>
        </w:tc>
        <w:tc>
          <w:tcPr>
            <w:tcW w:w="638" w:type="pct"/>
            <w:tcBorders>
              <w:top w:val="single" w:sz="2" w:space="0" w:color="auto"/>
              <w:left w:val="nil"/>
              <w:bottom w:val="single" w:sz="2" w:space="0" w:color="auto"/>
              <w:right w:val="nil"/>
            </w:tcBorders>
            <w:shd w:val="clear" w:color="auto" w:fill="auto"/>
            <w:noWrap/>
            <w:vAlign w:val="center"/>
            <w:hideMark/>
          </w:tcPr>
          <w:p w14:paraId="2B598BD4" w14:textId="77777777" w:rsidR="0088085F" w:rsidRPr="00A60044" w:rsidRDefault="0088085F" w:rsidP="000B2291">
            <w:pPr>
              <w:pStyle w:val="cuatexto"/>
              <w:jc w:val="right"/>
              <w:rPr>
                <w:rFonts w:cs="Calibri"/>
                <w:szCs w:val="20"/>
              </w:rPr>
            </w:pPr>
            <w:r>
              <w:t>7</w:t>
            </w:r>
          </w:p>
        </w:tc>
      </w:tr>
      <w:tr w:rsidR="0088085F" w:rsidRPr="00B81E61" w14:paraId="04C3E4B3"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F438016" w14:textId="77777777" w:rsidR="0088085F" w:rsidRPr="00B81E61" w:rsidRDefault="0088085F" w:rsidP="000B2291">
            <w:pPr>
              <w:pStyle w:val="cuatexto"/>
              <w:jc w:val="left"/>
            </w:pPr>
            <w:r>
              <w:t>Kirola</w:t>
            </w:r>
          </w:p>
        </w:tc>
        <w:tc>
          <w:tcPr>
            <w:tcW w:w="808" w:type="pct"/>
            <w:tcBorders>
              <w:top w:val="single" w:sz="2" w:space="0" w:color="auto"/>
              <w:left w:val="nil"/>
              <w:bottom w:val="single" w:sz="2" w:space="0" w:color="auto"/>
              <w:right w:val="nil"/>
            </w:tcBorders>
            <w:vAlign w:val="center"/>
          </w:tcPr>
          <w:p w14:paraId="0B95CEAC" w14:textId="77777777" w:rsidR="0088085F" w:rsidRPr="00B81E61" w:rsidRDefault="0088085F" w:rsidP="000B2291">
            <w:pPr>
              <w:pStyle w:val="cuatexto"/>
              <w:jc w:val="right"/>
            </w:pPr>
            <w:r>
              <w:t xml:space="preserve"> 48,81</w:t>
            </w:r>
          </w:p>
        </w:tc>
        <w:tc>
          <w:tcPr>
            <w:tcW w:w="640" w:type="pct"/>
            <w:tcBorders>
              <w:top w:val="single" w:sz="2" w:space="0" w:color="auto"/>
              <w:left w:val="nil"/>
              <w:bottom w:val="single" w:sz="2" w:space="0" w:color="auto"/>
              <w:right w:val="nil"/>
            </w:tcBorders>
            <w:shd w:val="clear" w:color="auto" w:fill="auto"/>
            <w:vAlign w:val="center"/>
            <w:hideMark/>
          </w:tcPr>
          <w:p w14:paraId="0D264792" w14:textId="77777777" w:rsidR="0088085F" w:rsidRPr="00F979C5" w:rsidRDefault="0088085F" w:rsidP="000B2291">
            <w:pPr>
              <w:pStyle w:val="cuatexto"/>
              <w:jc w:val="right"/>
            </w:pPr>
            <w:r>
              <w:t>64,36</w:t>
            </w:r>
          </w:p>
        </w:tc>
        <w:tc>
          <w:tcPr>
            <w:tcW w:w="763" w:type="pct"/>
            <w:tcBorders>
              <w:top w:val="single" w:sz="2" w:space="0" w:color="auto"/>
              <w:left w:val="nil"/>
              <w:bottom w:val="single" w:sz="2" w:space="0" w:color="auto"/>
              <w:right w:val="nil"/>
            </w:tcBorders>
            <w:shd w:val="clear" w:color="auto" w:fill="auto"/>
            <w:vAlign w:val="center"/>
            <w:hideMark/>
          </w:tcPr>
          <w:p w14:paraId="10947087" w14:textId="77777777" w:rsidR="0088085F" w:rsidRPr="00B81E61" w:rsidRDefault="0088085F" w:rsidP="000B2291">
            <w:pPr>
              <w:pStyle w:val="cuatexto"/>
              <w:jc w:val="right"/>
            </w:pPr>
            <w:r>
              <w:t>7</w:t>
            </w:r>
          </w:p>
        </w:tc>
        <w:tc>
          <w:tcPr>
            <w:tcW w:w="638" w:type="pct"/>
            <w:tcBorders>
              <w:top w:val="single" w:sz="2" w:space="0" w:color="auto"/>
              <w:left w:val="nil"/>
              <w:bottom w:val="single" w:sz="2" w:space="0" w:color="auto"/>
              <w:right w:val="nil"/>
            </w:tcBorders>
            <w:shd w:val="clear" w:color="auto" w:fill="auto"/>
            <w:noWrap/>
            <w:vAlign w:val="center"/>
            <w:hideMark/>
          </w:tcPr>
          <w:p w14:paraId="29AD9F45" w14:textId="77777777" w:rsidR="0088085F" w:rsidRPr="00A60044" w:rsidRDefault="0088085F" w:rsidP="000B2291">
            <w:pPr>
              <w:pStyle w:val="cuatexto"/>
              <w:jc w:val="right"/>
              <w:rPr>
                <w:rFonts w:cs="Calibri"/>
                <w:szCs w:val="20"/>
              </w:rPr>
            </w:pPr>
            <w:r>
              <w:t>32</w:t>
            </w:r>
          </w:p>
        </w:tc>
      </w:tr>
      <w:tr w:rsidR="0088085F" w:rsidRPr="00B81E61" w14:paraId="5735FA8C"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A295734" w14:textId="77777777" w:rsidR="0088085F" w:rsidRPr="00B81E61" w:rsidRDefault="0088085F" w:rsidP="000B2291">
            <w:pPr>
              <w:pStyle w:val="cuatexto"/>
              <w:jc w:val="left"/>
            </w:pPr>
            <w:r>
              <w:t>Herritarren segurtasuna eta mugikortasuna</w:t>
            </w:r>
          </w:p>
        </w:tc>
        <w:tc>
          <w:tcPr>
            <w:tcW w:w="808" w:type="pct"/>
            <w:tcBorders>
              <w:top w:val="single" w:sz="2" w:space="0" w:color="auto"/>
              <w:left w:val="nil"/>
              <w:bottom w:val="single" w:sz="2" w:space="0" w:color="auto"/>
              <w:right w:val="nil"/>
            </w:tcBorders>
            <w:vAlign w:val="center"/>
          </w:tcPr>
          <w:p w14:paraId="4F035E3A" w14:textId="77777777" w:rsidR="0088085F" w:rsidRPr="00B81E61" w:rsidRDefault="0088085F" w:rsidP="000B2291">
            <w:pPr>
              <w:pStyle w:val="cuatexto"/>
              <w:jc w:val="right"/>
            </w:pPr>
            <w:r>
              <w:t>53,36</w:t>
            </w:r>
          </w:p>
        </w:tc>
        <w:tc>
          <w:tcPr>
            <w:tcW w:w="640" w:type="pct"/>
            <w:tcBorders>
              <w:top w:val="single" w:sz="2" w:space="0" w:color="auto"/>
              <w:left w:val="nil"/>
              <w:bottom w:val="single" w:sz="2" w:space="0" w:color="auto"/>
              <w:right w:val="nil"/>
            </w:tcBorders>
            <w:shd w:val="clear" w:color="auto" w:fill="auto"/>
            <w:vAlign w:val="center"/>
            <w:hideMark/>
          </w:tcPr>
          <w:p w14:paraId="4F42A5F8" w14:textId="77777777" w:rsidR="0088085F" w:rsidRPr="00F979C5" w:rsidRDefault="0088085F" w:rsidP="000B2291">
            <w:pPr>
              <w:pStyle w:val="cuatexto"/>
              <w:jc w:val="right"/>
            </w:pPr>
            <w:r>
              <w:t>56,03</w:t>
            </w:r>
          </w:p>
        </w:tc>
        <w:tc>
          <w:tcPr>
            <w:tcW w:w="763" w:type="pct"/>
            <w:tcBorders>
              <w:top w:val="single" w:sz="2" w:space="0" w:color="auto"/>
              <w:left w:val="nil"/>
              <w:bottom w:val="single" w:sz="2" w:space="0" w:color="auto"/>
              <w:right w:val="nil"/>
            </w:tcBorders>
            <w:shd w:val="clear" w:color="auto" w:fill="auto"/>
            <w:vAlign w:val="center"/>
            <w:hideMark/>
          </w:tcPr>
          <w:p w14:paraId="4AE5FF33" w14:textId="77777777" w:rsidR="0088085F" w:rsidRPr="00B81E61" w:rsidRDefault="0088085F" w:rsidP="000B2291">
            <w:pPr>
              <w:pStyle w:val="cuatexto"/>
              <w:jc w:val="right"/>
            </w:pPr>
            <w:r>
              <w:t>6</w:t>
            </w:r>
          </w:p>
        </w:tc>
        <w:tc>
          <w:tcPr>
            <w:tcW w:w="638" w:type="pct"/>
            <w:tcBorders>
              <w:top w:val="single" w:sz="2" w:space="0" w:color="auto"/>
              <w:left w:val="nil"/>
              <w:bottom w:val="single" w:sz="2" w:space="0" w:color="auto"/>
              <w:right w:val="nil"/>
            </w:tcBorders>
            <w:shd w:val="clear" w:color="auto" w:fill="auto"/>
            <w:noWrap/>
            <w:vAlign w:val="center"/>
            <w:hideMark/>
          </w:tcPr>
          <w:p w14:paraId="747C14C7" w14:textId="77777777" w:rsidR="0088085F" w:rsidRPr="00A60044" w:rsidRDefault="0088085F" w:rsidP="000B2291">
            <w:pPr>
              <w:pStyle w:val="cuatexto"/>
              <w:jc w:val="right"/>
              <w:rPr>
                <w:rFonts w:cs="Calibri"/>
                <w:szCs w:val="20"/>
              </w:rPr>
            </w:pPr>
            <w:r>
              <w:t>5</w:t>
            </w:r>
          </w:p>
        </w:tc>
      </w:tr>
      <w:tr w:rsidR="0088085F" w:rsidRPr="00B81E61" w14:paraId="41EDF6EC"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4CD9A832" w14:textId="77777777" w:rsidR="0088085F" w:rsidRPr="00B81E61" w:rsidRDefault="0088085F" w:rsidP="000B2291">
            <w:pPr>
              <w:pStyle w:val="cuatexto"/>
              <w:jc w:val="left"/>
            </w:pPr>
            <w:r>
              <w:t>Pentsioak</w:t>
            </w:r>
          </w:p>
        </w:tc>
        <w:tc>
          <w:tcPr>
            <w:tcW w:w="808" w:type="pct"/>
            <w:tcBorders>
              <w:top w:val="single" w:sz="2" w:space="0" w:color="auto"/>
              <w:left w:val="nil"/>
              <w:bottom w:val="single" w:sz="2" w:space="0" w:color="auto"/>
              <w:right w:val="nil"/>
            </w:tcBorders>
            <w:vAlign w:val="center"/>
          </w:tcPr>
          <w:p w14:paraId="5516701D" w14:textId="77777777" w:rsidR="0088085F" w:rsidRPr="00B81E61" w:rsidRDefault="0088085F" w:rsidP="000B2291">
            <w:pPr>
              <w:pStyle w:val="cuatexto"/>
              <w:jc w:val="right"/>
            </w:pPr>
            <w:r>
              <w:t>51,88</w:t>
            </w:r>
          </w:p>
        </w:tc>
        <w:tc>
          <w:tcPr>
            <w:tcW w:w="640" w:type="pct"/>
            <w:tcBorders>
              <w:top w:val="single" w:sz="2" w:space="0" w:color="auto"/>
              <w:left w:val="nil"/>
              <w:bottom w:val="single" w:sz="2" w:space="0" w:color="auto"/>
              <w:right w:val="nil"/>
            </w:tcBorders>
            <w:shd w:val="clear" w:color="auto" w:fill="auto"/>
            <w:vAlign w:val="center"/>
            <w:hideMark/>
          </w:tcPr>
          <w:p w14:paraId="58D7DC3B" w14:textId="77777777" w:rsidR="0088085F" w:rsidRPr="00F979C5" w:rsidRDefault="0088085F" w:rsidP="000B2291">
            <w:pPr>
              <w:pStyle w:val="cuatexto"/>
              <w:jc w:val="right"/>
            </w:pPr>
            <w:r>
              <w:t>51,92</w:t>
            </w:r>
          </w:p>
        </w:tc>
        <w:tc>
          <w:tcPr>
            <w:tcW w:w="763" w:type="pct"/>
            <w:tcBorders>
              <w:top w:val="single" w:sz="2" w:space="0" w:color="auto"/>
              <w:left w:val="nil"/>
              <w:bottom w:val="single" w:sz="2" w:space="0" w:color="auto"/>
              <w:right w:val="nil"/>
            </w:tcBorders>
            <w:shd w:val="clear" w:color="auto" w:fill="auto"/>
            <w:vAlign w:val="center"/>
            <w:hideMark/>
          </w:tcPr>
          <w:p w14:paraId="6C289926" w14:textId="77777777" w:rsidR="0088085F" w:rsidRPr="00B81E61" w:rsidRDefault="0088085F" w:rsidP="000B2291">
            <w:pPr>
              <w:pStyle w:val="cuatexto"/>
              <w:jc w:val="right"/>
            </w:pPr>
            <w:r>
              <w:t>6</w:t>
            </w:r>
          </w:p>
        </w:tc>
        <w:tc>
          <w:tcPr>
            <w:tcW w:w="638" w:type="pct"/>
            <w:tcBorders>
              <w:top w:val="single" w:sz="2" w:space="0" w:color="auto"/>
              <w:left w:val="nil"/>
              <w:bottom w:val="single" w:sz="2" w:space="0" w:color="auto"/>
              <w:right w:val="nil"/>
            </w:tcBorders>
            <w:shd w:val="clear" w:color="auto" w:fill="auto"/>
            <w:noWrap/>
            <w:vAlign w:val="center"/>
            <w:hideMark/>
          </w:tcPr>
          <w:p w14:paraId="6C883F36" w14:textId="77777777" w:rsidR="0088085F" w:rsidRPr="00A60044" w:rsidRDefault="0088085F" w:rsidP="000B2291">
            <w:pPr>
              <w:pStyle w:val="cuatexto"/>
              <w:jc w:val="right"/>
              <w:rPr>
                <w:rFonts w:cs="Calibri"/>
                <w:szCs w:val="20"/>
              </w:rPr>
            </w:pPr>
            <w:r>
              <w:t>0</w:t>
            </w:r>
          </w:p>
        </w:tc>
      </w:tr>
      <w:tr w:rsidR="0088085F" w:rsidRPr="00B81E61" w14:paraId="672461A0" w14:textId="77777777" w:rsidTr="006F2D94">
        <w:trPr>
          <w:trHeight w:val="198"/>
          <w:jc w:val="center"/>
        </w:trPr>
        <w:tc>
          <w:tcPr>
            <w:tcW w:w="2150" w:type="pct"/>
            <w:tcBorders>
              <w:top w:val="single" w:sz="2" w:space="0" w:color="auto"/>
              <w:left w:val="nil"/>
              <w:bottom w:val="single" w:sz="2" w:space="0" w:color="auto"/>
              <w:right w:val="nil"/>
            </w:tcBorders>
            <w:shd w:val="clear" w:color="auto" w:fill="auto"/>
            <w:vAlign w:val="center"/>
            <w:hideMark/>
          </w:tcPr>
          <w:p w14:paraId="6126A2C2" w14:textId="77777777" w:rsidR="0088085F" w:rsidRPr="00B81E61" w:rsidRDefault="0088085F" w:rsidP="000B2291">
            <w:pPr>
              <w:pStyle w:val="cuatexto"/>
              <w:jc w:val="left"/>
            </w:pPr>
            <w:r>
              <w:t>Zor publikoa</w:t>
            </w:r>
          </w:p>
        </w:tc>
        <w:tc>
          <w:tcPr>
            <w:tcW w:w="808" w:type="pct"/>
            <w:tcBorders>
              <w:top w:val="single" w:sz="2" w:space="0" w:color="auto"/>
              <w:left w:val="nil"/>
              <w:bottom w:val="single" w:sz="2" w:space="0" w:color="auto"/>
              <w:right w:val="nil"/>
            </w:tcBorders>
            <w:vAlign w:val="center"/>
          </w:tcPr>
          <w:p w14:paraId="223EE351" w14:textId="77777777" w:rsidR="0088085F" w:rsidRPr="00B81E61" w:rsidRDefault="0088085F" w:rsidP="000B2291">
            <w:pPr>
              <w:pStyle w:val="cuatexto"/>
              <w:jc w:val="right"/>
            </w:pPr>
            <w:r>
              <w:t>33,37</w:t>
            </w:r>
          </w:p>
        </w:tc>
        <w:tc>
          <w:tcPr>
            <w:tcW w:w="640" w:type="pct"/>
            <w:tcBorders>
              <w:top w:val="single" w:sz="2" w:space="0" w:color="auto"/>
              <w:left w:val="nil"/>
              <w:bottom w:val="single" w:sz="2" w:space="0" w:color="auto"/>
              <w:right w:val="nil"/>
            </w:tcBorders>
            <w:shd w:val="clear" w:color="auto" w:fill="auto"/>
            <w:vAlign w:val="center"/>
            <w:hideMark/>
          </w:tcPr>
          <w:p w14:paraId="61A3510C" w14:textId="77777777" w:rsidR="0088085F" w:rsidRPr="00F979C5" w:rsidRDefault="0088085F" w:rsidP="000B2291">
            <w:pPr>
              <w:pStyle w:val="cuatexto"/>
              <w:jc w:val="right"/>
            </w:pPr>
            <w:r>
              <w:t>29,03</w:t>
            </w:r>
          </w:p>
        </w:tc>
        <w:tc>
          <w:tcPr>
            <w:tcW w:w="763" w:type="pct"/>
            <w:tcBorders>
              <w:top w:val="single" w:sz="2" w:space="0" w:color="auto"/>
              <w:left w:val="nil"/>
              <w:bottom w:val="single" w:sz="2" w:space="0" w:color="auto"/>
              <w:right w:val="nil"/>
            </w:tcBorders>
            <w:shd w:val="clear" w:color="auto" w:fill="auto"/>
            <w:vAlign w:val="center"/>
            <w:hideMark/>
          </w:tcPr>
          <w:p w14:paraId="51692328" w14:textId="77777777" w:rsidR="0088085F" w:rsidRPr="00B81E61" w:rsidRDefault="0088085F" w:rsidP="000B2291">
            <w:pPr>
              <w:pStyle w:val="cuatexto"/>
              <w:jc w:val="right"/>
            </w:pPr>
            <w:r>
              <w:t>3</w:t>
            </w:r>
          </w:p>
        </w:tc>
        <w:tc>
          <w:tcPr>
            <w:tcW w:w="638" w:type="pct"/>
            <w:tcBorders>
              <w:top w:val="single" w:sz="2" w:space="0" w:color="auto"/>
              <w:left w:val="nil"/>
              <w:bottom w:val="single" w:sz="2" w:space="0" w:color="auto"/>
              <w:right w:val="nil"/>
            </w:tcBorders>
            <w:shd w:val="clear" w:color="auto" w:fill="auto"/>
            <w:noWrap/>
            <w:vAlign w:val="center"/>
            <w:hideMark/>
          </w:tcPr>
          <w:p w14:paraId="4976A1A7" w14:textId="77777777" w:rsidR="0088085F" w:rsidRPr="00A60044" w:rsidRDefault="0088085F" w:rsidP="000B2291">
            <w:pPr>
              <w:pStyle w:val="cuatexto"/>
              <w:jc w:val="right"/>
              <w:rPr>
                <w:rFonts w:cs="Calibri"/>
                <w:szCs w:val="20"/>
              </w:rPr>
            </w:pPr>
            <w:r>
              <w:t>-13</w:t>
            </w:r>
          </w:p>
        </w:tc>
      </w:tr>
      <w:tr w:rsidR="0088085F" w:rsidRPr="00B81E61" w14:paraId="6859126F" w14:textId="77777777" w:rsidTr="006F2D94">
        <w:trPr>
          <w:trHeight w:val="198"/>
          <w:jc w:val="center"/>
        </w:trPr>
        <w:tc>
          <w:tcPr>
            <w:tcW w:w="2150" w:type="pct"/>
            <w:tcBorders>
              <w:top w:val="single" w:sz="2" w:space="0" w:color="auto"/>
              <w:left w:val="nil"/>
              <w:bottom w:val="single" w:sz="4" w:space="0" w:color="auto"/>
              <w:right w:val="nil"/>
            </w:tcBorders>
            <w:shd w:val="clear" w:color="auto" w:fill="auto"/>
            <w:vAlign w:val="center"/>
            <w:hideMark/>
          </w:tcPr>
          <w:p w14:paraId="79C22EC8" w14:textId="77777777" w:rsidR="0088085F" w:rsidRPr="00B81E61" w:rsidRDefault="0088085F" w:rsidP="000B2291">
            <w:pPr>
              <w:pStyle w:val="cuatexto"/>
              <w:jc w:val="left"/>
            </w:pPr>
            <w:r>
              <w:t>Beste batzuk</w:t>
            </w:r>
          </w:p>
        </w:tc>
        <w:tc>
          <w:tcPr>
            <w:tcW w:w="808" w:type="pct"/>
            <w:tcBorders>
              <w:top w:val="single" w:sz="2" w:space="0" w:color="auto"/>
              <w:left w:val="nil"/>
              <w:bottom w:val="single" w:sz="4" w:space="0" w:color="auto"/>
              <w:right w:val="nil"/>
            </w:tcBorders>
            <w:vAlign w:val="center"/>
          </w:tcPr>
          <w:p w14:paraId="2989B1EF" w14:textId="77777777" w:rsidR="0088085F" w:rsidRPr="00B81E61" w:rsidRDefault="0088085F" w:rsidP="000B2291">
            <w:pPr>
              <w:pStyle w:val="cuatexto"/>
              <w:jc w:val="right"/>
            </w:pPr>
            <w:r>
              <w:t>133,76</w:t>
            </w:r>
          </w:p>
        </w:tc>
        <w:tc>
          <w:tcPr>
            <w:tcW w:w="640" w:type="pct"/>
            <w:tcBorders>
              <w:top w:val="single" w:sz="2" w:space="0" w:color="auto"/>
              <w:left w:val="nil"/>
              <w:bottom w:val="single" w:sz="4" w:space="0" w:color="auto"/>
              <w:right w:val="nil"/>
            </w:tcBorders>
            <w:shd w:val="clear" w:color="auto" w:fill="auto"/>
            <w:vAlign w:val="center"/>
            <w:hideMark/>
          </w:tcPr>
          <w:p w14:paraId="227BDA4B" w14:textId="77777777" w:rsidR="0088085F" w:rsidRPr="00F979C5" w:rsidRDefault="0088085F" w:rsidP="000B2291">
            <w:pPr>
              <w:pStyle w:val="cuatexto"/>
              <w:jc w:val="right"/>
            </w:pPr>
            <w:r>
              <w:t>145,08</w:t>
            </w:r>
          </w:p>
        </w:tc>
        <w:tc>
          <w:tcPr>
            <w:tcW w:w="763" w:type="pct"/>
            <w:tcBorders>
              <w:top w:val="single" w:sz="2" w:space="0" w:color="auto"/>
              <w:left w:val="nil"/>
              <w:bottom w:val="single" w:sz="4" w:space="0" w:color="auto"/>
              <w:right w:val="nil"/>
            </w:tcBorders>
            <w:shd w:val="clear" w:color="auto" w:fill="auto"/>
            <w:vAlign w:val="center"/>
            <w:hideMark/>
          </w:tcPr>
          <w:p w14:paraId="04723921" w14:textId="77777777" w:rsidR="0088085F" w:rsidRPr="00B81E61" w:rsidRDefault="0088085F" w:rsidP="000B2291">
            <w:pPr>
              <w:pStyle w:val="cuatexto"/>
              <w:jc w:val="right"/>
            </w:pPr>
            <w:r>
              <w:t>16</w:t>
            </w:r>
          </w:p>
        </w:tc>
        <w:tc>
          <w:tcPr>
            <w:tcW w:w="638" w:type="pct"/>
            <w:tcBorders>
              <w:top w:val="single" w:sz="2" w:space="0" w:color="auto"/>
              <w:left w:val="nil"/>
              <w:bottom w:val="single" w:sz="4" w:space="0" w:color="auto"/>
              <w:right w:val="nil"/>
            </w:tcBorders>
            <w:shd w:val="clear" w:color="auto" w:fill="auto"/>
            <w:noWrap/>
            <w:vAlign w:val="center"/>
            <w:hideMark/>
          </w:tcPr>
          <w:p w14:paraId="2D065E36" w14:textId="77777777" w:rsidR="0088085F" w:rsidRPr="00A60044" w:rsidRDefault="0088085F" w:rsidP="000B2291">
            <w:pPr>
              <w:pStyle w:val="cuatexto"/>
              <w:jc w:val="right"/>
              <w:rPr>
                <w:rFonts w:cs="Calibri"/>
                <w:szCs w:val="20"/>
              </w:rPr>
            </w:pPr>
            <w:r>
              <w:t>8</w:t>
            </w:r>
          </w:p>
        </w:tc>
      </w:tr>
      <w:tr w:rsidR="0088085F" w:rsidRPr="00B81E61" w14:paraId="63396215" w14:textId="77777777" w:rsidTr="006F2D94">
        <w:trPr>
          <w:trHeight w:val="255"/>
          <w:jc w:val="center"/>
        </w:trPr>
        <w:tc>
          <w:tcPr>
            <w:tcW w:w="2150" w:type="pct"/>
            <w:tcBorders>
              <w:top w:val="nil"/>
              <w:left w:val="nil"/>
              <w:bottom w:val="single" w:sz="4" w:space="0" w:color="auto"/>
              <w:right w:val="nil"/>
            </w:tcBorders>
            <w:shd w:val="clear" w:color="auto" w:fill="FABF8F" w:themeFill="accent6" w:themeFillTint="99"/>
            <w:vAlign w:val="center"/>
            <w:hideMark/>
          </w:tcPr>
          <w:p w14:paraId="3C251DD7" w14:textId="77777777" w:rsidR="0088085F" w:rsidRPr="00B81E61" w:rsidRDefault="0088085F" w:rsidP="000B2291">
            <w:pPr>
              <w:pStyle w:val="cuadroCabe"/>
              <w:jc w:val="left"/>
            </w:pPr>
            <w:r>
              <w:t>Guztira</w:t>
            </w:r>
          </w:p>
        </w:tc>
        <w:tc>
          <w:tcPr>
            <w:tcW w:w="808" w:type="pct"/>
            <w:tcBorders>
              <w:top w:val="nil"/>
              <w:left w:val="nil"/>
              <w:bottom w:val="single" w:sz="4" w:space="0" w:color="auto"/>
              <w:right w:val="nil"/>
            </w:tcBorders>
            <w:shd w:val="clear" w:color="auto" w:fill="FABF8F" w:themeFill="accent6" w:themeFillTint="99"/>
            <w:vAlign w:val="center"/>
          </w:tcPr>
          <w:p w14:paraId="76F6A20F" w14:textId="77777777" w:rsidR="0088085F" w:rsidRPr="00B81E61" w:rsidRDefault="0088085F" w:rsidP="000B2291">
            <w:pPr>
              <w:pStyle w:val="cuadroCabe"/>
              <w:jc w:val="right"/>
            </w:pPr>
            <w:r>
              <w:t>787,98</w:t>
            </w:r>
          </w:p>
        </w:tc>
        <w:tc>
          <w:tcPr>
            <w:tcW w:w="640" w:type="pct"/>
            <w:tcBorders>
              <w:top w:val="nil"/>
              <w:left w:val="nil"/>
              <w:bottom w:val="single" w:sz="4" w:space="0" w:color="auto"/>
              <w:right w:val="nil"/>
            </w:tcBorders>
            <w:shd w:val="clear" w:color="auto" w:fill="FABF8F" w:themeFill="accent6" w:themeFillTint="99"/>
            <w:vAlign w:val="center"/>
            <w:hideMark/>
          </w:tcPr>
          <w:p w14:paraId="6EB41B4C" w14:textId="77777777" w:rsidR="0088085F" w:rsidRPr="00B81E61" w:rsidRDefault="0088085F" w:rsidP="000B2291">
            <w:pPr>
              <w:pStyle w:val="cuadroCabe"/>
              <w:jc w:val="right"/>
            </w:pPr>
            <w:r>
              <w:t>885,37</w:t>
            </w:r>
          </w:p>
        </w:tc>
        <w:tc>
          <w:tcPr>
            <w:tcW w:w="763" w:type="pct"/>
            <w:tcBorders>
              <w:top w:val="nil"/>
              <w:left w:val="nil"/>
              <w:bottom w:val="single" w:sz="4" w:space="0" w:color="auto"/>
              <w:right w:val="nil"/>
            </w:tcBorders>
            <w:shd w:val="clear" w:color="auto" w:fill="FABF8F" w:themeFill="accent6" w:themeFillTint="99"/>
            <w:vAlign w:val="center"/>
            <w:hideMark/>
          </w:tcPr>
          <w:p w14:paraId="0E882A93" w14:textId="77777777" w:rsidR="0088085F" w:rsidRPr="00B81E61" w:rsidRDefault="0088085F" w:rsidP="000B2291">
            <w:pPr>
              <w:pStyle w:val="cuadroCabe"/>
              <w:jc w:val="right"/>
            </w:pPr>
            <w:r>
              <w:t>100</w:t>
            </w:r>
          </w:p>
        </w:tc>
        <w:tc>
          <w:tcPr>
            <w:tcW w:w="638" w:type="pct"/>
            <w:tcBorders>
              <w:top w:val="nil"/>
              <w:left w:val="nil"/>
              <w:bottom w:val="single" w:sz="4" w:space="0" w:color="auto"/>
              <w:right w:val="nil"/>
            </w:tcBorders>
            <w:shd w:val="clear" w:color="auto" w:fill="FABF8F" w:themeFill="accent6" w:themeFillTint="99"/>
            <w:vAlign w:val="center"/>
            <w:hideMark/>
          </w:tcPr>
          <w:p w14:paraId="18D5F58A" w14:textId="77777777" w:rsidR="0088085F" w:rsidRPr="00A60044" w:rsidRDefault="0088085F" w:rsidP="000B2291">
            <w:pPr>
              <w:pStyle w:val="cuadroCabe"/>
              <w:jc w:val="right"/>
              <w:rPr>
                <w:rFonts w:ascii="Arial Narrow" w:hAnsi="Arial Narrow"/>
                <w:sz w:val="20"/>
                <w:szCs w:val="20"/>
              </w:rPr>
            </w:pPr>
            <w:r>
              <w:rPr>
                <w:rFonts w:ascii="Arial Narrow" w:hAnsi="Arial Narrow"/>
                <w:sz w:val="20"/>
                <w:szCs w:val="20"/>
              </w:rPr>
              <w:t>12</w:t>
            </w:r>
          </w:p>
        </w:tc>
      </w:tr>
    </w:tbl>
    <w:p w14:paraId="2B74AD40" w14:textId="77777777" w:rsidR="0088085F" w:rsidRPr="00262228" w:rsidRDefault="0088085F" w:rsidP="00527F65">
      <w:pPr>
        <w:pStyle w:val="texto"/>
        <w:spacing w:before="220" w:after="160"/>
      </w:pPr>
      <w:r>
        <w:t xml:space="preserve">Ongizate komunitarioa (hondakinen bilketa, kudeaketa eta tratamendua, ur hornidura, argiteria eta kale garbiketa, besteak beste) izan zen toki sektore publikoan 2019an zenbateko handiena izan zuen gastu politika (139,18 milioi, zenbateko osoaren ehuneko 16), eta ondoren daude zerbitzu orokorrak (96,25 milioi, hau da, ehuneko 11) eta etxebizitza eta hirigintza (89,06 milioi, hau da, ehuneko hamar). </w:t>
      </w:r>
    </w:p>
    <w:p w14:paraId="36274020" w14:textId="77777777" w:rsidR="0088085F" w:rsidRPr="00262228" w:rsidRDefault="00FD5739" w:rsidP="00527F65">
      <w:pPr>
        <w:pStyle w:val="texto"/>
        <w:spacing w:after="160"/>
      </w:pPr>
      <w:r>
        <w:rPr>
          <w:color w:val="000000" w:themeColor="text1"/>
        </w:rPr>
        <w:t xml:space="preserve">Zor publikoa ehuneko 13 jaitsi zen 2018koaren aldean. Gainerako </w:t>
      </w:r>
      <w:r>
        <w:t>gastu-politikak hazi egin ziren aurreko ekitaldiko aldean.</w:t>
      </w:r>
    </w:p>
    <w:p w14:paraId="1AD3D73B" w14:textId="77777777" w:rsidR="0088085F" w:rsidRPr="00262228" w:rsidRDefault="0088085F" w:rsidP="00527F65">
      <w:pPr>
        <w:pStyle w:val="texto"/>
        <w:spacing w:after="160"/>
      </w:pPr>
      <w:r>
        <w:lastRenderedPageBreak/>
        <w:t xml:space="preserve">Etxebizitza eta hirigintza arloko gastu-politikaren igoera nabarmentzen da: 2018ko aldean ehuneko 41 hazi zen eta guztizko zenbatekoan pisu handiena zutenetatik hirugarrena izan zen, 2018an seigarren lekuan zegoen arren. Halaber, kirol arloko gastu-politikak ehuneko 32 egin zuen gora aurreko ekitaldiarekin alderatuta. </w:t>
      </w:r>
    </w:p>
    <w:p w14:paraId="4BF4B079" w14:textId="77777777" w:rsidR="0088085F" w:rsidRPr="00262228" w:rsidRDefault="0088085F" w:rsidP="00BD33B6">
      <w:pPr>
        <w:pStyle w:val="texto"/>
        <w:spacing w:after="120"/>
      </w:pPr>
      <w:r>
        <w:t xml:space="preserve">Hona hemen </w:t>
      </w:r>
      <w:proofErr w:type="spellStart"/>
      <w:r>
        <w:t>SCPSArekiko</w:t>
      </w:r>
      <w:proofErr w:type="spellEnd"/>
      <w:r>
        <w:t xml:space="preserve"> bateratzeak eragindako gastu-politiken konparazio-taula:  </w:t>
      </w:r>
    </w:p>
    <w:p w14:paraId="0522FB16" w14:textId="77777777" w:rsidR="0088085F" w:rsidRPr="0082013A" w:rsidRDefault="0088085F" w:rsidP="0082013A">
      <w:pPr>
        <w:pStyle w:val="texto"/>
        <w:spacing w:after="60"/>
        <w:rPr>
          <w:color w:val="000000" w:themeColor="text1"/>
          <w:sz w:val="17"/>
          <w:szCs w:val="17"/>
        </w:rPr>
      </w:pPr>
      <w:r>
        <w:rPr>
          <w:color w:val="000000" w:themeColor="text1"/>
          <w:sz w:val="17"/>
          <w:szCs w:val="17"/>
        </w:rPr>
        <w:t xml:space="preserve">                                                                                                                                                           (milioitan)</w:t>
      </w:r>
    </w:p>
    <w:tbl>
      <w:tblPr>
        <w:tblW w:w="5064" w:type="pct"/>
        <w:jc w:val="center"/>
        <w:tblCellMar>
          <w:left w:w="70" w:type="dxa"/>
          <w:right w:w="70" w:type="dxa"/>
        </w:tblCellMar>
        <w:tblLook w:val="04A0" w:firstRow="1" w:lastRow="0" w:firstColumn="1" w:lastColumn="0" w:noHBand="0" w:noVBand="1"/>
      </w:tblPr>
      <w:tblGrid>
        <w:gridCol w:w="3641"/>
        <w:gridCol w:w="1251"/>
        <w:gridCol w:w="1171"/>
        <w:gridCol w:w="951"/>
        <w:gridCol w:w="951"/>
        <w:gridCol w:w="936"/>
      </w:tblGrid>
      <w:tr w:rsidR="00433C0C" w:rsidRPr="00527F65" w14:paraId="6F0F4573" w14:textId="77777777" w:rsidTr="00433C0C">
        <w:trPr>
          <w:trHeight w:val="450"/>
          <w:jc w:val="center"/>
        </w:trPr>
        <w:tc>
          <w:tcPr>
            <w:tcW w:w="2045" w:type="pct"/>
            <w:tcBorders>
              <w:top w:val="single" w:sz="4" w:space="0" w:color="auto"/>
              <w:left w:val="nil"/>
              <w:bottom w:val="single" w:sz="4" w:space="0" w:color="auto"/>
              <w:right w:val="nil"/>
            </w:tcBorders>
            <w:shd w:val="clear" w:color="000000" w:fill="FABF8F" w:themeFill="accent6" w:themeFillTint="99"/>
            <w:vAlign w:val="center"/>
            <w:hideMark/>
          </w:tcPr>
          <w:p w14:paraId="2A072867" w14:textId="77777777" w:rsidR="0088085F" w:rsidRPr="00527F65" w:rsidRDefault="0088085F" w:rsidP="00527F65">
            <w:pPr>
              <w:pStyle w:val="cuadroCabe"/>
              <w:jc w:val="left"/>
              <w:rPr>
                <w:sz w:val="16"/>
                <w:szCs w:val="16"/>
              </w:rPr>
            </w:pPr>
            <w:r>
              <w:rPr>
                <w:sz w:val="16"/>
                <w:szCs w:val="16"/>
              </w:rPr>
              <w:t>Gastu-politika</w:t>
            </w:r>
          </w:p>
        </w:tc>
        <w:tc>
          <w:tcPr>
            <w:tcW w:w="703" w:type="pct"/>
            <w:tcBorders>
              <w:top w:val="single" w:sz="4" w:space="0" w:color="auto"/>
              <w:left w:val="nil"/>
              <w:bottom w:val="single" w:sz="4" w:space="0" w:color="auto"/>
              <w:right w:val="nil"/>
            </w:tcBorders>
            <w:shd w:val="clear" w:color="000000" w:fill="FABF8F" w:themeFill="accent6" w:themeFillTint="99"/>
            <w:vAlign w:val="center"/>
          </w:tcPr>
          <w:p w14:paraId="6FA5ADBD" w14:textId="77777777" w:rsidR="0088085F" w:rsidRPr="00527F65" w:rsidRDefault="0088085F" w:rsidP="00527F65">
            <w:pPr>
              <w:pStyle w:val="cuadroCabe"/>
              <w:jc w:val="right"/>
              <w:rPr>
                <w:sz w:val="16"/>
                <w:szCs w:val="16"/>
              </w:rPr>
            </w:pPr>
            <w:r>
              <w:rPr>
                <w:sz w:val="16"/>
                <w:szCs w:val="16"/>
              </w:rPr>
              <w:t>2019ko zenbatekoa (SCPSA gabe)</w:t>
            </w:r>
          </w:p>
        </w:tc>
        <w:tc>
          <w:tcPr>
            <w:tcW w:w="658" w:type="pct"/>
            <w:tcBorders>
              <w:top w:val="single" w:sz="4" w:space="0" w:color="auto"/>
              <w:left w:val="nil"/>
              <w:bottom w:val="single" w:sz="4" w:space="0" w:color="auto"/>
              <w:right w:val="nil"/>
            </w:tcBorders>
            <w:shd w:val="clear" w:color="000000" w:fill="FABF8F" w:themeFill="accent6" w:themeFillTint="99"/>
            <w:vAlign w:val="center"/>
            <w:hideMark/>
          </w:tcPr>
          <w:p w14:paraId="42071FF3" w14:textId="77777777" w:rsidR="0088085F" w:rsidRPr="00527F65" w:rsidRDefault="0088085F" w:rsidP="00527F65">
            <w:pPr>
              <w:pStyle w:val="cuadroCabe"/>
              <w:jc w:val="right"/>
              <w:rPr>
                <w:sz w:val="16"/>
                <w:szCs w:val="16"/>
              </w:rPr>
            </w:pPr>
            <w:r>
              <w:rPr>
                <w:sz w:val="16"/>
                <w:szCs w:val="16"/>
              </w:rPr>
              <w:t>2019ko zenbatekoa (</w:t>
            </w:r>
            <w:proofErr w:type="spellStart"/>
            <w:r>
              <w:rPr>
                <w:sz w:val="16"/>
                <w:szCs w:val="16"/>
              </w:rPr>
              <w:t>SCPSArekin</w:t>
            </w:r>
            <w:proofErr w:type="spellEnd"/>
            <w:r>
              <w:rPr>
                <w:sz w:val="16"/>
                <w:szCs w:val="16"/>
              </w:rPr>
              <w:t>)</w:t>
            </w:r>
          </w:p>
        </w:tc>
        <w:tc>
          <w:tcPr>
            <w:tcW w:w="534" w:type="pct"/>
            <w:tcBorders>
              <w:top w:val="single" w:sz="4" w:space="0" w:color="auto"/>
              <w:left w:val="nil"/>
              <w:bottom w:val="single" w:sz="4" w:space="0" w:color="auto"/>
              <w:right w:val="nil"/>
            </w:tcBorders>
            <w:shd w:val="clear" w:color="000000" w:fill="FABF8F" w:themeFill="accent6" w:themeFillTint="99"/>
            <w:vAlign w:val="center"/>
          </w:tcPr>
          <w:p w14:paraId="26618386" w14:textId="77777777" w:rsidR="0088085F" w:rsidRPr="00527F65" w:rsidRDefault="0088085F" w:rsidP="00527F65">
            <w:pPr>
              <w:pStyle w:val="cuadroCabe"/>
              <w:jc w:val="right"/>
              <w:rPr>
                <w:sz w:val="16"/>
                <w:szCs w:val="16"/>
              </w:rPr>
            </w:pPr>
            <w:r>
              <w:rPr>
                <w:sz w:val="16"/>
                <w:szCs w:val="16"/>
              </w:rPr>
              <w:t>Aldea</w:t>
            </w:r>
          </w:p>
        </w:tc>
        <w:tc>
          <w:tcPr>
            <w:tcW w:w="534" w:type="pct"/>
            <w:tcBorders>
              <w:top w:val="single" w:sz="4" w:space="0" w:color="auto"/>
              <w:left w:val="nil"/>
              <w:bottom w:val="single" w:sz="4" w:space="0" w:color="auto"/>
              <w:right w:val="nil"/>
            </w:tcBorders>
            <w:shd w:val="clear" w:color="000000" w:fill="FABF8F" w:themeFill="accent6" w:themeFillTint="99"/>
            <w:vAlign w:val="center"/>
            <w:hideMark/>
          </w:tcPr>
          <w:p w14:paraId="05FF61C8" w14:textId="77777777" w:rsidR="0088085F" w:rsidRPr="00527F65" w:rsidRDefault="0088085F" w:rsidP="00527F65">
            <w:pPr>
              <w:pStyle w:val="cuadroCabe"/>
              <w:jc w:val="right"/>
              <w:rPr>
                <w:sz w:val="16"/>
                <w:szCs w:val="16"/>
              </w:rPr>
            </w:pPr>
            <w:r>
              <w:rPr>
                <w:sz w:val="16"/>
                <w:szCs w:val="16"/>
              </w:rPr>
              <w:t>Gastuaren gainean, soz. gabe (%)</w:t>
            </w:r>
          </w:p>
        </w:tc>
        <w:tc>
          <w:tcPr>
            <w:tcW w:w="526" w:type="pct"/>
            <w:tcBorders>
              <w:top w:val="single" w:sz="4" w:space="0" w:color="auto"/>
              <w:left w:val="nil"/>
              <w:bottom w:val="single" w:sz="4" w:space="0" w:color="auto"/>
              <w:right w:val="nil"/>
            </w:tcBorders>
            <w:shd w:val="clear" w:color="000000" w:fill="FABF8F" w:themeFill="accent6" w:themeFillTint="99"/>
            <w:vAlign w:val="center"/>
            <w:hideMark/>
          </w:tcPr>
          <w:p w14:paraId="3156EEAE" w14:textId="77777777" w:rsidR="0088085F" w:rsidRPr="00527F65" w:rsidRDefault="0088085F" w:rsidP="00527F65">
            <w:pPr>
              <w:pStyle w:val="cuadroCabe"/>
              <w:jc w:val="right"/>
              <w:rPr>
                <w:sz w:val="16"/>
                <w:szCs w:val="16"/>
              </w:rPr>
            </w:pPr>
            <w:r>
              <w:rPr>
                <w:sz w:val="16"/>
                <w:szCs w:val="16"/>
              </w:rPr>
              <w:t>Gastuaren gainean, soz. (%)</w:t>
            </w:r>
          </w:p>
        </w:tc>
      </w:tr>
      <w:tr w:rsidR="00433C0C" w:rsidRPr="00BD33B6" w14:paraId="487AC2C1" w14:textId="77777777" w:rsidTr="00433C0C">
        <w:trPr>
          <w:trHeight w:hRule="exact" w:val="255"/>
          <w:jc w:val="center"/>
        </w:trPr>
        <w:tc>
          <w:tcPr>
            <w:tcW w:w="2045" w:type="pct"/>
            <w:tcBorders>
              <w:top w:val="single" w:sz="4" w:space="0" w:color="auto"/>
              <w:left w:val="nil"/>
              <w:bottom w:val="single" w:sz="2" w:space="0" w:color="auto"/>
              <w:right w:val="nil"/>
            </w:tcBorders>
            <w:shd w:val="clear" w:color="auto" w:fill="auto"/>
            <w:vAlign w:val="center"/>
            <w:hideMark/>
          </w:tcPr>
          <w:p w14:paraId="37E84E7B" w14:textId="77777777" w:rsidR="0088085F" w:rsidRPr="00BD33B6" w:rsidRDefault="0088085F" w:rsidP="002B693F">
            <w:pPr>
              <w:pStyle w:val="cuatexto"/>
              <w:jc w:val="left"/>
              <w:rPr>
                <w:sz w:val="18"/>
                <w:szCs w:val="18"/>
              </w:rPr>
            </w:pPr>
            <w:r>
              <w:rPr>
                <w:sz w:val="18"/>
                <w:szCs w:val="18"/>
              </w:rPr>
              <w:t>Hondakinen bilketa, kudeaketa eta tratamendua</w:t>
            </w:r>
          </w:p>
        </w:tc>
        <w:tc>
          <w:tcPr>
            <w:tcW w:w="703" w:type="pct"/>
            <w:tcBorders>
              <w:top w:val="single" w:sz="4" w:space="0" w:color="auto"/>
              <w:left w:val="nil"/>
              <w:bottom w:val="single" w:sz="2" w:space="0" w:color="auto"/>
              <w:right w:val="nil"/>
            </w:tcBorders>
            <w:vAlign w:val="center"/>
          </w:tcPr>
          <w:p w14:paraId="66178858" w14:textId="77777777" w:rsidR="0088085F" w:rsidRPr="00BD33B6" w:rsidRDefault="0088085F" w:rsidP="00527F65">
            <w:pPr>
              <w:pStyle w:val="cuatexto"/>
              <w:jc w:val="right"/>
              <w:rPr>
                <w:color w:val="000000" w:themeColor="text1"/>
                <w:sz w:val="18"/>
                <w:szCs w:val="18"/>
              </w:rPr>
            </w:pPr>
            <w:r>
              <w:rPr>
                <w:color w:val="000000" w:themeColor="text1"/>
                <w:sz w:val="18"/>
                <w:szCs w:val="18"/>
              </w:rPr>
              <w:t>36,74</w:t>
            </w:r>
          </w:p>
        </w:tc>
        <w:tc>
          <w:tcPr>
            <w:tcW w:w="658" w:type="pct"/>
            <w:tcBorders>
              <w:top w:val="single" w:sz="4" w:space="0" w:color="auto"/>
              <w:left w:val="nil"/>
              <w:bottom w:val="single" w:sz="2" w:space="0" w:color="auto"/>
              <w:right w:val="nil"/>
            </w:tcBorders>
            <w:shd w:val="clear" w:color="auto" w:fill="auto"/>
            <w:vAlign w:val="center"/>
            <w:hideMark/>
          </w:tcPr>
          <w:p w14:paraId="2FD672A2" w14:textId="77777777" w:rsidR="0088085F" w:rsidRPr="00BD33B6" w:rsidRDefault="0088085F" w:rsidP="00527F65">
            <w:pPr>
              <w:pStyle w:val="cuatexto"/>
              <w:jc w:val="right"/>
              <w:rPr>
                <w:color w:val="000000" w:themeColor="text1"/>
                <w:sz w:val="18"/>
                <w:szCs w:val="18"/>
              </w:rPr>
            </w:pPr>
            <w:r>
              <w:rPr>
                <w:color w:val="000000" w:themeColor="text1"/>
                <w:sz w:val="18"/>
                <w:szCs w:val="18"/>
              </w:rPr>
              <w:t>71,34</w:t>
            </w:r>
          </w:p>
        </w:tc>
        <w:tc>
          <w:tcPr>
            <w:tcW w:w="534" w:type="pct"/>
            <w:tcBorders>
              <w:top w:val="single" w:sz="4" w:space="0" w:color="auto"/>
              <w:left w:val="nil"/>
              <w:bottom w:val="single" w:sz="2" w:space="0" w:color="auto"/>
              <w:right w:val="nil"/>
            </w:tcBorders>
            <w:vAlign w:val="center"/>
          </w:tcPr>
          <w:p w14:paraId="50F88273" w14:textId="77777777" w:rsidR="0088085F" w:rsidRPr="00BD33B6" w:rsidRDefault="0088085F" w:rsidP="00527F65">
            <w:pPr>
              <w:pStyle w:val="cuatexto"/>
              <w:jc w:val="right"/>
              <w:rPr>
                <w:color w:val="000000" w:themeColor="text1"/>
                <w:sz w:val="18"/>
                <w:szCs w:val="18"/>
              </w:rPr>
            </w:pPr>
            <w:r>
              <w:rPr>
                <w:color w:val="000000" w:themeColor="text1"/>
                <w:sz w:val="18"/>
                <w:szCs w:val="18"/>
              </w:rPr>
              <w:t>34,60</w:t>
            </w:r>
          </w:p>
        </w:tc>
        <w:tc>
          <w:tcPr>
            <w:tcW w:w="534" w:type="pct"/>
            <w:tcBorders>
              <w:top w:val="single" w:sz="4" w:space="0" w:color="auto"/>
              <w:left w:val="nil"/>
              <w:bottom w:val="single" w:sz="2" w:space="0" w:color="auto"/>
              <w:right w:val="nil"/>
            </w:tcBorders>
            <w:shd w:val="clear" w:color="auto" w:fill="auto"/>
            <w:vAlign w:val="center"/>
            <w:hideMark/>
          </w:tcPr>
          <w:p w14:paraId="68B14832" w14:textId="77777777" w:rsidR="0088085F" w:rsidRPr="00BD33B6" w:rsidRDefault="0088085F" w:rsidP="00527F65">
            <w:pPr>
              <w:pStyle w:val="cuatexto"/>
              <w:jc w:val="right"/>
              <w:rPr>
                <w:color w:val="000000" w:themeColor="text1"/>
                <w:sz w:val="18"/>
                <w:szCs w:val="18"/>
              </w:rPr>
            </w:pPr>
            <w:r>
              <w:rPr>
                <w:color w:val="000000" w:themeColor="text1"/>
                <w:sz w:val="18"/>
                <w:szCs w:val="18"/>
              </w:rPr>
              <w:t>26</w:t>
            </w:r>
          </w:p>
        </w:tc>
        <w:tc>
          <w:tcPr>
            <w:tcW w:w="526" w:type="pct"/>
            <w:tcBorders>
              <w:top w:val="single" w:sz="4" w:space="0" w:color="auto"/>
              <w:left w:val="nil"/>
              <w:bottom w:val="single" w:sz="2" w:space="0" w:color="auto"/>
              <w:right w:val="nil"/>
            </w:tcBorders>
            <w:shd w:val="clear" w:color="auto" w:fill="auto"/>
            <w:noWrap/>
            <w:vAlign w:val="center"/>
            <w:hideMark/>
          </w:tcPr>
          <w:p w14:paraId="742B9EDF" w14:textId="77777777" w:rsidR="0088085F" w:rsidRPr="00BD33B6" w:rsidRDefault="0088085F" w:rsidP="00527F65">
            <w:pPr>
              <w:pStyle w:val="cuatexto"/>
              <w:jc w:val="right"/>
              <w:rPr>
                <w:color w:val="000000" w:themeColor="text1"/>
                <w:sz w:val="18"/>
                <w:szCs w:val="18"/>
              </w:rPr>
            </w:pPr>
            <w:r>
              <w:rPr>
                <w:color w:val="000000" w:themeColor="text1"/>
                <w:sz w:val="18"/>
                <w:szCs w:val="18"/>
              </w:rPr>
              <w:t>34</w:t>
            </w:r>
          </w:p>
        </w:tc>
      </w:tr>
      <w:tr w:rsidR="00433C0C" w:rsidRPr="00BD33B6" w14:paraId="7FB7C244"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288E35C4" w14:textId="77777777" w:rsidR="0088085F" w:rsidRPr="00BD33B6" w:rsidRDefault="0088085F" w:rsidP="00527F65">
            <w:pPr>
              <w:pStyle w:val="cuatexto"/>
              <w:jc w:val="left"/>
              <w:rPr>
                <w:sz w:val="18"/>
                <w:szCs w:val="18"/>
              </w:rPr>
            </w:pPr>
            <w:r>
              <w:rPr>
                <w:sz w:val="18"/>
                <w:szCs w:val="18"/>
              </w:rPr>
              <w:t>Edateko ur hornidura etxeetan</w:t>
            </w:r>
          </w:p>
        </w:tc>
        <w:tc>
          <w:tcPr>
            <w:tcW w:w="703" w:type="pct"/>
            <w:tcBorders>
              <w:top w:val="single" w:sz="2" w:space="0" w:color="auto"/>
              <w:left w:val="nil"/>
              <w:bottom w:val="single" w:sz="2" w:space="0" w:color="auto"/>
              <w:right w:val="nil"/>
            </w:tcBorders>
            <w:vAlign w:val="center"/>
          </w:tcPr>
          <w:p w14:paraId="72B156E6" w14:textId="77777777" w:rsidR="0088085F" w:rsidRPr="00BD33B6" w:rsidRDefault="0088085F" w:rsidP="00527F65">
            <w:pPr>
              <w:pStyle w:val="cuatexto"/>
              <w:jc w:val="right"/>
              <w:rPr>
                <w:color w:val="000000" w:themeColor="text1"/>
                <w:sz w:val="18"/>
                <w:szCs w:val="18"/>
              </w:rPr>
            </w:pPr>
            <w:r>
              <w:rPr>
                <w:color w:val="000000" w:themeColor="text1"/>
                <w:sz w:val="18"/>
                <w:szCs w:val="18"/>
              </w:rPr>
              <w:t>44,50</w:t>
            </w:r>
          </w:p>
        </w:tc>
        <w:tc>
          <w:tcPr>
            <w:tcW w:w="658" w:type="pct"/>
            <w:tcBorders>
              <w:top w:val="single" w:sz="2" w:space="0" w:color="auto"/>
              <w:left w:val="nil"/>
              <w:bottom w:val="single" w:sz="2" w:space="0" w:color="auto"/>
              <w:right w:val="nil"/>
            </w:tcBorders>
            <w:shd w:val="clear" w:color="auto" w:fill="auto"/>
            <w:vAlign w:val="center"/>
            <w:hideMark/>
          </w:tcPr>
          <w:p w14:paraId="185FA653" w14:textId="77777777" w:rsidR="0088085F" w:rsidRPr="00BD33B6" w:rsidRDefault="0088085F" w:rsidP="00527F65">
            <w:pPr>
              <w:pStyle w:val="cuatexto"/>
              <w:jc w:val="right"/>
              <w:rPr>
                <w:color w:val="000000" w:themeColor="text1"/>
                <w:sz w:val="18"/>
                <w:szCs w:val="18"/>
              </w:rPr>
            </w:pPr>
            <w:r>
              <w:rPr>
                <w:color w:val="000000" w:themeColor="text1"/>
                <w:sz w:val="18"/>
                <w:szCs w:val="18"/>
              </w:rPr>
              <w:t>66,60</w:t>
            </w:r>
          </w:p>
        </w:tc>
        <w:tc>
          <w:tcPr>
            <w:tcW w:w="534" w:type="pct"/>
            <w:tcBorders>
              <w:top w:val="single" w:sz="2" w:space="0" w:color="auto"/>
              <w:left w:val="nil"/>
              <w:bottom w:val="single" w:sz="2" w:space="0" w:color="auto"/>
              <w:right w:val="nil"/>
            </w:tcBorders>
            <w:vAlign w:val="center"/>
          </w:tcPr>
          <w:p w14:paraId="287C7FDE" w14:textId="77777777" w:rsidR="0088085F" w:rsidRPr="00BD33B6" w:rsidRDefault="0088085F" w:rsidP="00527F65">
            <w:pPr>
              <w:pStyle w:val="cuatexto"/>
              <w:jc w:val="right"/>
              <w:rPr>
                <w:color w:val="000000" w:themeColor="text1"/>
                <w:sz w:val="18"/>
                <w:szCs w:val="18"/>
              </w:rPr>
            </w:pPr>
            <w:r>
              <w:rPr>
                <w:color w:val="000000" w:themeColor="text1"/>
                <w:sz w:val="18"/>
                <w:szCs w:val="18"/>
              </w:rPr>
              <w:t>22,10</w:t>
            </w:r>
          </w:p>
        </w:tc>
        <w:tc>
          <w:tcPr>
            <w:tcW w:w="534" w:type="pct"/>
            <w:tcBorders>
              <w:top w:val="single" w:sz="2" w:space="0" w:color="auto"/>
              <w:left w:val="nil"/>
              <w:bottom w:val="single" w:sz="2" w:space="0" w:color="auto"/>
              <w:right w:val="nil"/>
            </w:tcBorders>
            <w:shd w:val="clear" w:color="auto" w:fill="auto"/>
            <w:vAlign w:val="center"/>
            <w:hideMark/>
          </w:tcPr>
          <w:p w14:paraId="4B422696" w14:textId="77777777" w:rsidR="0088085F" w:rsidRPr="00BD33B6" w:rsidRDefault="0088085F" w:rsidP="00527F65">
            <w:pPr>
              <w:pStyle w:val="cuatexto"/>
              <w:jc w:val="right"/>
              <w:rPr>
                <w:color w:val="000000" w:themeColor="text1"/>
                <w:sz w:val="18"/>
                <w:szCs w:val="18"/>
              </w:rPr>
            </w:pPr>
            <w:r>
              <w:rPr>
                <w:color w:val="000000" w:themeColor="text1"/>
                <w:sz w:val="18"/>
                <w:szCs w:val="18"/>
              </w:rPr>
              <w:t>32</w:t>
            </w:r>
          </w:p>
        </w:tc>
        <w:tc>
          <w:tcPr>
            <w:tcW w:w="526" w:type="pct"/>
            <w:tcBorders>
              <w:top w:val="single" w:sz="2" w:space="0" w:color="auto"/>
              <w:left w:val="nil"/>
              <w:bottom w:val="single" w:sz="2" w:space="0" w:color="auto"/>
              <w:right w:val="nil"/>
            </w:tcBorders>
            <w:shd w:val="clear" w:color="auto" w:fill="auto"/>
            <w:noWrap/>
            <w:vAlign w:val="center"/>
            <w:hideMark/>
          </w:tcPr>
          <w:p w14:paraId="43CF3883" w14:textId="77777777" w:rsidR="0088085F" w:rsidRPr="00BD33B6" w:rsidRDefault="0088085F" w:rsidP="00527F65">
            <w:pPr>
              <w:pStyle w:val="cuatexto"/>
              <w:jc w:val="right"/>
              <w:rPr>
                <w:color w:val="000000" w:themeColor="text1"/>
                <w:sz w:val="18"/>
                <w:szCs w:val="18"/>
              </w:rPr>
            </w:pPr>
            <w:r>
              <w:rPr>
                <w:color w:val="000000" w:themeColor="text1"/>
                <w:sz w:val="18"/>
                <w:szCs w:val="18"/>
              </w:rPr>
              <w:t>32</w:t>
            </w:r>
          </w:p>
        </w:tc>
      </w:tr>
      <w:tr w:rsidR="00433C0C" w:rsidRPr="00BD33B6" w14:paraId="06A40B06"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47A4B240" w14:textId="77777777" w:rsidR="0088085F" w:rsidRPr="00BD33B6" w:rsidRDefault="0088085F" w:rsidP="00527F65">
            <w:pPr>
              <w:pStyle w:val="cuatexto"/>
              <w:jc w:val="left"/>
              <w:rPr>
                <w:sz w:val="18"/>
                <w:szCs w:val="18"/>
              </w:rPr>
            </w:pPr>
            <w:r>
              <w:rPr>
                <w:sz w:val="18"/>
                <w:szCs w:val="18"/>
              </w:rPr>
              <w:t>Argiteria publikoa</w:t>
            </w:r>
          </w:p>
        </w:tc>
        <w:tc>
          <w:tcPr>
            <w:tcW w:w="703" w:type="pct"/>
            <w:tcBorders>
              <w:top w:val="single" w:sz="2" w:space="0" w:color="auto"/>
              <w:left w:val="nil"/>
              <w:bottom w:val="single" w:sz="2" w:space="0" w:color="auto"/>
              <w:right w:val="nil"/>
            </w:tcBorders>
            <w:vAlign w:val="center"/>
          </w:tcPr>
          <w:p w14:paraId="14570B5B" w14:textId="77777777" w:rsidR="0088085F" w:rsidRPr="00BD33B6" w:rsidRDefault="0088085F" w:rsidP="00527F65">
            <w:pPr>
              <w:pStyle w:val="cuatexto"/>
              <w:jc w:val="right"/>
              <w:rPr>
                <w:color w:val="000000" w:themeColor="text1"/>
                <w:sz w:val="18"/>
                <w:szCs w:val="18"/>
              </w:rPr>
            </w:pPr>
            <w:r>
              <w:rPr>
                <w:color w:val="000000" w:themeColor="text1"/>
                <w:sz w:val="18"/>
                <w:szCs w:val="18"/>
              </w:rPr>
              <w:t>29,46</w:t>
            </w:r>
          </w:p>
        </w:tc>
        <w:tc>
          <w:tcPr>
            <w:tcW w:w="658" w:type="pct"/>
            <w:tcBorders>
              <w:top w:val="single" w:sz="2" w:space="0" w:color="auto"/>
              <w:left w:val="nil"/>
              <w:bottom w:val="single" w:sz="2" w:space="0" w:color="auto"/>
              <w:right w:val="nil"/>
            </w:tcBorders>
            <w:shd w:val="clear" w:color="auto" w:fill="auto"/>
            <w:vAlign w:val="center"/>
            <w:hideMark/>
          </w:tcPr>
          <w:p w14:paraId="6A5B6E2F" w14:textId="77777777" w:rsidR="0088085F" w:rsidRPr="00BD33B6" w:rsidRDefault="0088085F" w:rsidP="00527F65">
            <w:pPr>
              <w:pStyle w:val="cuatexto"/>
              <w:jc w:val="right"/>
              <w:rPr>
                <w:color w:val="000000" w:themeColor="text1"/>
                <w:sz w:val="18"/>
                <w:szCs w:val="18"/>
              </w:rPr>
            </w:pPr>
            <w:r>
              <w:rPr>
                <w:color w:val="000000" w:themeColor="text1"/>
                <w:sz w:val="18"/>
                <w:szCs w:val="18"/>
              </w:rPr>
              <w:t>29,46</w:t>
            </w:r>
          </w:p>
        </w:tc>
        <w:tc>
          <w:tcPr>
            <w:tcW w:w="534" w:type="pct"/>
            <w:tcBorders>
              <w:top w:val="single" w:sz="2" w:space="0" w:color="auto"/>
              <w:left w:val="nil"/>
              <w:bottom w:val="single" w:sz="2" w:space="0" w:color="auto"/>
              <w:right w:val="nil"/>
            </w:tcBorders>
            <w:vAlign w:val="center"/>
          </w:tcPr>
          <w:p w14:paraId="509EEFE4" w14:textId="77777777" w:rsidR="0088085F" w:rsidRPr="00BD33B6" w:rsidRDefault="0088085F" w:rsidP="00527F65">
            <w:pPr>
              <w:pStyle w:val="cuatexto"/>
              <w:jc w:val="right"/>
              <w:rPr>
                <w:color w:val="000000" w:themeColor="text1"/>
                <w:sz w:val="18"/>
                <w:szCs w:val="18"/>
              </w:rPr>
            </w:pPr>
            <w:r>
              <w:rPr>
                <w:color w:val="000000" w:themeColor="text1"/>
                <w:sz w:val="18"/>
                <w:szCs w:val="18"/>
              </w:rPr>
              <w:t>-</w:t>
            </w:r>
          </w:p>
        </w:tc>
        <w:tc>
          <w:tcPr>
            <w:tcW w:w="534" w:type="pct"/>
            <w:tcBorders>
              <w:top w:val="single" w:sz="2" w:space="0" w:color="auto"/>
              <w:left w:val="nil"/>
              <w:bottom w:val="single" w:sz="2" w:space="0" w:color="auto"/>
              <w:right w:val="nil"/>
            </w:tcBorders>
            <w:shd w:val="clear" w:color="auto" w:fill="auto"/>
            <w:vAlign w:val="center"/>
            <w:hideMark/>
          </w:tcPr>
          <w:p w14:paraId="7C65F077" w14:textId="77777777" w:rsidR="0088085F" w:rsidRPr="00BD33B6" w:rsidRDefault="0088085F" w:rsidP="00527F65">
            <w:pPr>
              <w:pStyle w:val="cuatexto"/>
              <w:jc w:val="right"/>
              <w:rPr>
                <w:color w:val="000000" w:themeColor="text1"/>
                <w:sz w:val="18"/>
                <w:szCs w:val="18"/>
              </w:rPr>
            </w:pPr>
            <w:r>
              <w:rPr>
                <w:color w:val="000000" w:themeColor="text1"/>
                <w:sz w:val="18"/>
                <w:szCs w:val="18"/>
              </w:rPr>
              <w:t>21</w:t>
            </w:r>
          </w:p>
        </w:tc>
        <w:tc>
          <w:tcPr>
            <w:tcW w:w="526" w:type="pct"/>
            <w:tcBorders>
              <w:top w:val="single" w:sz="2" w:space="0" w:color="auto"/>
              <w:left w:val="nil"/>
              <w:bottom w:val="single" w:sz="2" w:space="0" w:color="auto"/>
              <w:right w:val="nil"/>
            </w:tcBorders>
            <w:shd w:val="clear" w:color="auto" w:fill="auto"/>
            <w:noWrap/>
            <w:vAlign w:val="center"/>
            <w:hideMark/>
          </w:tcPr>
          <w:p w14:paraId="6DC701FC" w14:textId="77777777" w:rsidR="0088085F" w:rsidRPr="00BD33B6" w:rsidRDefault="0088085F" w:rsidP="00527F65">
            <w:pPr>
              <w:pStyle w:val="cuatexto"/>
              <w:jc w:val="right"/>
              <w:rPr>
                <w:color w:val="000000" w:themeColor="text1"/>
                <w:sz w:val="18"/>
                <w:szCs w:val="18"/>
              </w:rPr>
            </w:pPr>
            <w:r>
              <w:rPr>
                <w:color w:val="000000" w:themeColor="text1"/>
                <w:sz w:val="18"/>
                <w:szCs w:val="18"/>
              </w:rPr>
              <w:t>14</w:t>
            </w:r>
          </w:p>
        </w:tc>
      </w:tr>
      <w:tr w:rsidR="00433C0C" w:rsidRPr="00BD33B6" w14:paraId="222149D1"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5E479D00" w14:textId="77777777" w:rsidR="0088085F" w:rsidRPr="00BD33B6" w:rsidRDefault="0088085F" w:rsidP="00282AA4">
            <w:pPr>
              <w:pStyle w:val="cuatexto"/>
              <w:jc w:val="left"/>
              <w:rPr>
                <w:sz w:val="18"/>
                <w:szCs w:val="18"/>
              </w:rPr>
            </w:pPr>
            <w:r>
              <w:rPr>
                <w:sz w:val="18"/>
                <w:szCs w:val="18"/>
              </w:rPr>
              <w:t xml:space="preserve">Estolderia, hondakin uren </w:t>
            </w:r>
            <w:proofErr w:type="spellStart"/>
            <w:r>
              <w:rPr>
                <w:sz w:val="18"/>
                <w:szCs w:val="18"/>
              </w:rPr>
              <w:t>hust</w:t>
            </w:r>
            <w:proofErr w:type="spellEnd"/>
            <w:r>
              <w:rPr>
                <w:sz w:val="18"/>
                <w:szCs w:val="18"/>
              </w:rPr>
              <w:t>. eta tratamendua</w:t>
            </w:r>
          </w:p>
        </w:tc>
        <w:tc>
          <w:tcPr>
            <w:tcW w:w="703" w:type="pct"/>
            <w:tcBorders>
              <w:top w:val="single" w:sz="2" w:space="0" w:color="auto"/>
              <w:left w:val="nil"/>
              <w:bottom w:val="single" w:sz="2" w:space="0" w:color="auto"/>
              <w:right w:val="nil"/>
            </w:tcBorders>
            <w:vAlign w:val="center"/>
          </w:tcPr>
          <w:p w14:paraId="7C5EEF33" w14:textId="77777777" w:rsidR="0088085F" w:rsidRPr="00BD33B6" w:rsidRDefault="0088085F" w:rsidP="00527F65">
            <w:pPr>
              <w:pStyle w:val="cuatexto"/>
              <w:jc w:val="right"/>
              <w:rPr>
                <w:color w:val="000000" w:themeColor="text1"/>
                <w:sz w:val="18"/>
                <w:szCs w:val="18"/>
              </w:rPr>
            </w:pPr>
            <w:r>
              <w:rPr>
                <w:color w:val="000000" w:themeColor="text1"/>
                <w:sz w:val="18"/>
                <w:szCs w:val="18"/>
              </w:rPr>
              <w:t>6,08</w:t>
            </w:r>
          </w:p>
        </w:tc>
        <w:tc>
          <w:tcPr>
            <w:tcW w:w="658" w:type="pct"/>
            <w:tcBorders>
              <w:top w:val="single" w:sz="2" w:space="0" w:color="auto"/>
              <w:left w:val="nil"/>
              <w:bottom w:val="single" w:sz="2" w:space="0" w:color="auto"/>
              <w:right w:val="nil"/>
            </w:tcBorders>
            <w:shd w:val="clear" w:color="auto" w:fill="auto"/>
            <w:vAlign w:val="center"/>
            <w:hideMark/>
          </w:tcPr>
          <w:p w14:paraId="610B6E70" w14:textId="77777777" w:rsidR="0088085F" w:rsidRPr="00BD33B6" w:rsidRDefault="0088085F" w:rsidP="00527F65">
            <w:pPr>
              <w:pStyle w:val="cuatexto"/>
              <w:jc w:val="right"/>
              <w:rPr>
                <w:color w:val="000000" w:themeColor="text1"/>
                <w:sz w:val="18"/>
                <w:szCs w:val="18"/>
              </w:rPr>
            </w:pPr>
            <w:r>
              <w:rPr>
                <w:color w:val="000000" w:themeColor="text1"/>
                <w:sz w:val="18"/>
                <w:szCs w:val="18"/>
              </w:rPr>
              <w:t>19,58</w:t>
            </w:r>
          </w:p>
        </w:tc>
        <w:tc>
          <w:tcPr>
            <w:tcW w:w="534" w:type="pct"/>
            <w:tcBorders>
              <w:top w:val="single" w:sz="2" w:space="0" w:color="auto"/>
              <w:left w:val="nil"/>
              <w:bottom w:val="single" w:sz="2" w:space="0" w:color="auto"/>
              <w:right w:val="nil"/>
            </w:tcBorders>
            <w:vAlign w:val="center"/>
          </w:tcPr>
          <w:p w14:paraId="0E98A2B8" w14:textId="77777777" w:rsidR="0088085F" w:rsidRPr="00BD33B6" w:rsidRDefault="0088085F" w:rsidP="00527F65">
            <w:pPr>
              <w:pStyle w:val="cuatexto"/>
              <w:jc w:val="right"/>
              <w:rPr>
                <w:color w:val="000000" w:themeColor="text1"/>
                <w:sz w:val="18"/>
                <w:szCs w:val="18"/>
              </w:rPr>
            </w:pPr>
            <w:r>
              <w:rPr>
                <w:color w:val="000000" w:themeColor="text1"/>
                <w:sz w:val="18"/>
                <w:szCs w:val="18"/>
              </w:rPr>
              <w:t>13,50</w:t>
            </w:r>
          </w:p>
        </w:tc>
        <w:tc>
          <w:tcPr>
            <w:tcW w:w="534" w:type="pct"/>
            <w:tcBorders>
              <w:top w:val="single" w:sz="2" w:space="0" w:color="auto"/>
              <w:left w:val="nil"/>
              <w:bottom w:val="single" w:sz="2" w:space="0" w:color="auto"/>
              <w:right w:val="nil"/>
            </w:tcBorders>
            <w:shd w:val="clear" w:color="auto" w:fill="auto"/>
            <w:vAlign w:val="center"/>
            <w:hideMark/>
          </w:tcPr>
          <w:p w14:paraId="10A73321" w14:textId="77777777" w:rsidR="0088085F" w:rsidRPr="00BD33B6" w:rsidRDefault="0088085F" w:rsidP="00527F65">
            <w:pPr>
              <w:pStyle w:val="cuatexto"/>
              <w:jc w:val="right"/>
              <w:rPr>
                <w:color w:val="000000" w:themeColor="text1"/>
                <w:sz w:val="18"/>
                <w:szCs w:val="18"/>
              </w:rPr>
            </w:pPr>
            <w:r>
              <w:rPr>
                <w:color w:val="000000" w:themeColor="text1"/>
                <w:sz w:val="18"/>
                <w:szCs w:val="18"/>
              </w:rPr>
              <w:t>4</w:t>
            </w:r>
          </w:p>
        </w:tc>
        <w:tc>
          <w:tcPr>
            <w:tcW w:w="526" w:type="pct"/>
            <w:tcBorders>
              <w:top w:val="single" w:sz="2" w:space="0" w:color="auto"/>
              <w:left w:val="nil"/>
              <w:bottom w:val="single" w:sz="2" w:space="0" w:color="auto"/>
              <w:right w:val="nil"/>
            </w:tcBorders>
            <w:shd w:val="clear" w:color="auto" w:fill="auto"/>
            <w:noWrap/>
            <w:vAlign w:val="center"/>
            <w:hideMark/>
          </w:tcPr>
          <w:p w14:paraId="79613AFF" w14:textId="77777777" w:rsidR="0088085F" w:rsidRPr="00BD33B6" w:rsidRDefault="0088085F" w:rsidP="00527F65">
            <w:pPr>
              <w:pStyle w:val="cuatexto"/>
              <w:jc w:val="right"/>
              <w:rPr>
                <w:color w:val="000000" w:themeColor="text1"/>
                <w:sz w:val="18"/>
                <w:szCs w:val="18"/>
              </w:rPr>
            </w:pPr>
            <w:r>
              <w:rPr>
                <w:color w:val="000000" w:themeColor="text1"/>
                <w:sz w:val="18"/>
                <w:szCs w:val="18"/>
              </w:rPr>
              <w:t>9</w:t>
            </w:r>
          </w:p>
        </w:tc>
      </w:tr>
      <w:tr w:rsidR="00433C0C" w:rsidRPr="00BD33B6" w14:paraId="23B2F6C8"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72199018" w14:textId="77777777" w:rsidR="0088085F" w:rsidRPr="00BD33B6" w:rsidRDefault="0088085F" w:rsidP="00527F65">
            <w:pPr>
              <w:pStyle w:val="cuatexto"/>
              <w:jc w:val="left"/>
              <w:rPr>
                <w:sz w:val="18"/>
                <w:szCs w:val="18"/>
              </w:rPr>
            </w:pPr>
            <w:r>
              <w:rPr>
                <w:sz w:val="18"/>
                <w:szCs w:val="18"/>
              </w:rPr>
              <w:t>Kale garbiketa</w:t>
            </w:r>
          </w:p>
        </w:tc>
        <w:tc>
          <w:tcPr>
            <w:tcW w:w="703" w:type="pct"/>
            <w:tcBorders>
              <w:top w:val="single" w:sz="2" w:space="0" w:color="auto"/>
              <w:left w:val="nil"/>
              <w:bottom w:val="single" w:sz="2" w:space="0" w:color="auto"/>
              <w:right w:val="nil"/>
            </w:tcBorders>
            <w:vAlign w:val="center"/>
          </w:tcPr>
          <w:p w14:paraId="59B9D943" w14:textId="77777777" w:rsidR="0088085F" w:rsidRPr="00BD33B6" w:rsidRDefault="0088085F" w:rsidP="00527F65">
            <w:pPr>
              <w:pStyle w:val="cuatexto"/>
              <w:jc w:val="right"/>
              <w:rPr>
                <w:color w:val="000000" w:themeColor="text1"/>
                <w:sz w:val="18"/>
                <w:szCs w:val="18"/>
              </w:rPr>
            </w:pPr>
            <w:r>
              <w:rPr>
                <w:color w:val="000000" w:themeColor="text1"/>
                <w:sz w:val="18"/>
                <w:szCs w:val="18"/>
              </w:rPr>
              <w:t>17,22</w:t>
            </w:r>
          </w:p>
        </w:tc>
        <w:tc>
          <w:tcPr>
            <w:tcW w:w="658" w:type="pct"/>
            <w:tcBorders>
              <w:top w:val="single" w:sz="2" w:space="0" w:color="auto"/>
              <w:left w:val="nil"/>
              <w:bottom w:val="single" w:sz="2" w:space="0" w:color="auto"/>
              <w:right w:val="nil"/>
            </w:tcBorders>
            <w:shd w:val="clear" w:color="auto" w:fill="auto"/>
            <w:vAlign w:val="center"/>
            <w:hideMark/>
          </w:tcPr>
          <w:p w14:paraId="49D0B296" w14:textId="77777777" w:rsidR="0088085F" w:rsidRPr="00BD33B6" w:rsidRDefault="0088085F" w:rsidP="00527F65">
            <w:pPr>
              <w:pStyle w:val="cuatexto"/>
              <w:jc w:val="right"/>
              <w:rPr>
                <w:color w:val="000000" w:themeColor="text1"/>
                <w:sz w:val="18"/>
                <w:szCs w:val="18"/>
              </w:rPr>
            </w:pPr>
            <w:r>
              <w:rPr>
                <w:color w:val="000000" w:themeColor="text1"/>
                <w:sz w:val="18"/>
                <w:szCs w:val="18"/>
              </w:rPr>
              <w:t>17,22</w:t>
            </w:r>
          </w:p>
        </w:tc>
        <w:tc>
          <w:tcPr>
            <w:tcW w:w="534" w:type="pct"/>
            <w:tcBorders>
              <w:top w:val="single" w:sz="2" w:space="0" w:color="auto"/>
              <w:left w:val="nil"/>
              <w:bottom w:val="single" w:sz="2" w:space="0" w:color="auto"/>
              <w:right w:val="nil"/>
            </w:tcBorders>
            <w:vAlign w:val="center"/>
          </w:tcPr>
          <w:p w14:paraId="665FF6C3" w14:textId="77777777" w:rsidR="0088085F" w:rsidRPr="00BD33B6" w:rsidRDefault="0088085F" w:rsidP="00527F65">
            <w:pPr>
              <w:pStyle w:val="cuatexto"/>
              <w:jc w:val="right"/>
              <w:rPr>
                <w:color w:val="000000" w:themeColor="text1"/>
                <w:sz w:val="18"/>
                <w:szCs w:val="18"/>
              </w:rPr>
            </w:pPr>
            <w:r>
              <w:rPr>
                <w:color w:val="000000" w:themeColor="text1"/>
                <w:sz w:val="18"/>
                <w:szCs w:val="18"/>
              </w:rPr>
              <w:t>-</w:t>
            </w:r>
          </w:p>
        </w:tc>
        <w:tc>
          <w:tcPr>
            <w:tcW w:w="534" w:type="pct"/>
            <w:tcBorders>
              <w:top w:val="single" w:sz="2" w:space="0" w:color="auto"/>
              <w:left w:val="nil"/>
              <w:bottom w:val="single" w:sz="2" w:space="0" w:color="auto"/>
              <w:right w:val="nil"/>
            </w:tcBorders>
            <w:shd w:val="clear" w:color="auto" w:fill="auto"/>
            <w:vAlign w:val="center"/>
            <w:hideMark/>
          </w:tcPr>
          <w:p w14:paraId="0A8A819E" w14:textId="77777777" w:rsidR="0088085F" w:rsidRPr="00BD33B6" w:rsidRDefault="0088085F" w:rsidP="00527F65">
            <w:pPr>
              <w:pStyle w:val="cuatexto"/>
              <w:jc w:val="right"/>
              <w:rPr>
                <w:color w:val="000000" w:themeColor="text1"/>
                <w:sz w:val="18"/>
                <w:szCs w:val="18"/>
              </w:rPr>
            </w:pPr>
            <w:r>
              <w:rPr>
                <w:color w:val="000000" w:themeColor="text1"/>
                <w:sz w:val="18"/>
                <w:szCs w:val="18"/>
              </w:rPr>
              <w:t>12</w:t>
            </w:r>
          </w:p>
        </w:tc>
        <w:tc>
          <w:tcPr>
            <w:tcW w:w="526" w:type="pct"/>
            <w:tcBorders>
              <w:top w:val="single" w:sz="2" w:space="0" w:color="auto"/>
              <w:left w:val="nil"/>
              <w:bottom w:val="single" w:sz="2" w:space="0" w:color="auto"/>
              <w:right w:val="nil"/>
            </w:tcBorders>
            <w:shd w:val="clear" w:color="auto" w:fill="auto"/>
            <w:noWrap/>
            <w:vAlign w:val="center"/>
            <w:hideMark/>
          </w:tcPr>
          <w:p w14:paraId="7E9B37A7" w14:textId="77777777" w:rsidR="0088085F" w:rsidRPr="00BD33B6" w:rsidRDefault="0088085F" w:rsidP="00527F65">
            <w:pPr>
              <w:pStyle w:val="cuatexto"/>
              <w:jc w:val="right"/>
              <w:rPr>
                <w:color w:val="000000" w:themeColor="text1"/>
                <w:sz w:val="18"/>
                <w:szCs w:val="18"/>
              </w:rPr>
            </w:pPr>
            <w:r>
              <w:rPr>
                <w:color w:val="000000" w:themeColor="text1"/>
                <w:sz w:val="18"/>
                <w:szCs w:val="18"/>
              </w:rPr>
              <w:t>8</w:t>
            </w:r>
          </w:p>
        </w:tc>
      </w:tr>
      <w:tr w:rsidR="00433C0C" w:rsidRPr="00BD33B6" w14:paraId="41B7ED62" w14:textId="77777777" w:rsidTr="00433C0C">
        <w:trPr>
          <w:trHeight w:hRule="exact" w:val="255"/>
          <w:jc w:val="center"/>
        </w:trPr>
        <w:tc>
          <w:tcPr>
            <w:tcW w:w="2045" w:type="pct"/>
            <w:tcBorders>
              <w:top w:val="single" w:sz="2" w:space="0" w:color="auto"/>
              <w:left w:val="nil"/>
              <w:bottom w:val="single" w:sz="2" w:space="0" w:color="auto"/>
              <w:right w:val="nil"/>
            </w:tcBorders>
            <w:shd w:val="clear" w:color="auto" w:fill="auto"/>
            <w:vAlign w:val="center"/>
            <w:hideMark/>
          </w:tcPr>
          <w:p w14:paraId="23B22CE7" w14:textId="77777777" w:rsidR="0088085F" w:rsidRPr="00BD33B6" w:rsidRDefault="0088085F" w:rsidP="00527F65">
            <w:pPr>
              <w:pStyle w:val="cuatexto"/>
              <w:jc w:val="left"/>
              <w:rPr>
                <w:sz w:val="18"/>
                <w:szCs w:val="18"/>
              </w:rPr>
            </w:pPr>
            <w:r>
              <w:rPr>
                <w:sz w:val="18"/>
                <w:szCs w:val="18"/>
              </w:rPr>
              <w:t>Ongizate komunitarioko beste zerbitzu batzuk</w:t>
            </w:r>
          </w:p>
        </w:tc>
        <w:tc>
          <w:tcPr>
            <w:tcW w:w="703" w:type="pct"/>
            <w:tcBorders>
              <w:top w:val="single" w:sz="2" w:space="0" w:color="auto"/>
              <w:left w:val="nil"/>
              <w:bottom w:val="single" w:sz="2" w:space="0" w:color="auto"/>
              <w:right w:val="nil"/>
            </w:tcBorders>
            <w:vAlign w:val="center"/>
          </w:tcPr>
          <w:p w14:paraId="05715005" w14:textId="77777777" w:rsidR="0088085F" w:rsidRPr="00BD33B6" w:rsidRDefault="0088085F" w:rsidP="00527F65">
            <w:pPr>
              <w:pStyle w:val="cuatexto"/>
              <w:jc w:val="right"/>
              <w:rPr>
                <w:color w:val="000000" w:themeColor="text1"/>
                <w:sz w:val="18"/>
                <w:szCs w:val="18"/>
              </w:rPr>
            </w:pPr>
            <w:r>
              <w:rPr>
                <w:color w:val="000000" w:themeColor="text1"/>
                <w:sz w:val="18"/>
                <w:szCs w:val="18"/>
              </w:rPr>
              <w:t>2,86</w:t>
            </w:r>
          </w:p>
        </w:tc>
        <w:tc>
          <w:tcPr>
            <w:tcW w:w="658" w:type="pct"/>
            <w:tcBorders>
              <w:top w:val="single" w:sz="2" w:space="0" w:color="auto"/>
              <w:left w:val="nil"/>
              <w:bottom w:val="single" w:sz="2" w:space="0" w:color="auto"/>
              <w:right w:val="nil"/>
            </w:tcBorders>
            <w:shd w:val="clear" w:color="auto" w:fill="auto"/>
            <w:vAlign w:val="center"/>
            <w:hideMark/>
          </w:tcPr>
          <w:p w14:paraId="671788D6" w14:textId="77777777" w:rsidR="0088085F" w:rsidRPr="00BD33B6" w:rsidRDefault="0088085F" w:rsidP="00527F65">
            <w:pPr>
              <w:pStyle w:val="cuatexto"/>
              <w:jc w:val="right"/>
              <w:rPr>
                <w:color w:val="000000" w:themeColor="text1"/>
                <w:sz w:val="18"/>
                <w:szCs w:val="18"/>
              </w:rPr>
            </w:pPr>
            <w:r>
              <w:rPr>
                <w:color w:val="000000" w:themeColor="text1"/>
                <w:sz w:val="18"/>
                <w:szCs w:val="18"/>
              </w:rPr>
              <w:t>2,86</w:t>
            </w:r>
          </w:p>
        </w:tc>
        <w:tc>
          <w:tcPr>
            <w:tcW w:w="534" w:type="pct"/>
            <w:tcBorders>
              <w:top w:val="single" w:sz="2" w:space="0" w:color="auto"/>
              <w:left w:val="nil"/>
              <w:bottom w:val="single" w:sz="2" w:space="0" w:color="auto"/>
              <w:right w:val="nil"/>
            </w:tcBorders>
            <w:vAlign w:val="center"/>
          </w:tcPr>
          <w:p w14:paraId="0CE95C5A" w14:textId="77777777" w:rsidR="0088085F" w:rsidRPr="00BD33B6" w:rsidRDefault="0088085F" w:rsidP="00527F65">
            <w:pPr>
              <w:pStyle w:val="cuatexto"/>
              <w:jc w:val="right"/>
              <w:rPr>
                <w:color w:val="000000" w:themeColor="text1"/>
                <w:sz w:val="18"/>
                <w:szCs w:val="18"/>
              </w:rPr>
            </w:pPr>
            <w:r>
              <w:rPr>
                <w:color w:val="000000" w:themeColor="text1"/>
                <w:sz w:val="18"/>
                <w:szCs w:val="18"/>
              </w:rPr>
              <w:t>-</w:t>
            </w:r>
          </w:p>
        </w:tc>
        <w:tc>
          <w:tcPr>
            <w:tcW w:w="534" w:type="pct"/>
            <w:tcBorders>
              <w:top w:val="single" w:sz="2" w:space="0" w:color="auto"/>
              <w:left w:val="nil"/>
              <w:bottom w:val="single" w:sz="2" w:space="0" w:color="auto"/>
              <w:right w:val="nil"/>
            </w:tcBorders>
            <w:shd w:val="clear" w:color="auto" w:fill="auto"/>
            <w:vAlign w:val="center"/>
            <w:hideMark/>
          </w:tcPr>
          <w:p w14:paraId="6F889DAB" w14:textId="77777777" w:rsidR="0088085F" w:rsidRPr="00BD33B6" w:rsidRDefault="0088085F" w:rsidP="00527F65">
            <w:pPr>
              <w:pStyle w:val="cuatexto"/>
              <w:jc w:val="right"/>
              <w:rPr>
                <w:color w:val="000000" w:themeColor="text1"/>
                <w:sz w:val="18"/>
                <w:szCs w:val="18"/>
              </w:rPr>
            </w:pPr>
            <w:r>
              <w:rPr>
                <w:color w:val="000000" w:themeColor="text1"/>
                <w:sz w:val="18"/>
                <w:szCs w:val="18"/>
              </w:rPr>
              <w:t>2</w:t>
            </w:r>
          </w:p>
        </w:tc>
        <w:tc>
          <w:tcPr>
            <w:tcW w:w="526" w:type="pct"/>
            <w:tcBorders>
              <w:top w:val="single" w:sz="2" w:space="0" w:color="auto"/>
              <w:left w:val="nil"/>
              <w:bottom w:val="single" w:sz="2" w:space="0" w:color="auto"/>
              <w:right w:val="nil"/>
            </w:tcBorders>
            <w:shd w:val="clear" w:color="auto" w:fill="auto"/>
            <w:noWrap/>
            <w:vAlign w:val="center"/>
            <w:hideMark/>
          </w:tcPr>
          <w:p w14:paraId="67159311" w14:textId="77777777" w:rsidR="0088085F" w:rsidRPr="00BD33B6" w:rsidRDefault="0088085F" w:rsidP="00527F65">
            <w:pPr>
              <w:pStyle w:val="cuatexto"/>
              <w:jc w:val="right"/>
              <w:rPr>
                <w:color w:val="000000" w:themeColor="text1"/>
                <w:sz w:val="18"/>
                <w:szCs w:val="18"/>
              </w:rPr>
            </w:pPr>
            <w:r>
              <w:rPr>
                <w:color w:val="000000" w:themeColor="text1"/>
                <w:sz w:val="18"/>
                <w:szCs w:val="18"/>
              </w:rPr>
              <w:t>1</w:t>
            </w:r>
          </w:p>
        </w:tc>
      </w:tr>
      <w:tr w:rsidR="00433C0C" w:rsidRPr="00BD33B6" w14:paraId="35055347" w14:textId="77777777" w:rsidTr="00433C0C">
        <w:trPr>
          <w:trHeight w:hRule="exact" w:val="255"/>
          <w:jc w:val="center"/>
        </w:trPr>
        <w:tc>
          <w:tcPr>
            <w:tcW w:w="2045" w:type="pct"/>
            <w:tcBorders>
              <w:top w:val="single" w:sz="2" w:space="0" w:color="auto"/>
              <w:left w:val="nil"/>
              <w:bottom w:val="single" w:sz="4" w:space="0" w:color="auto"/>
              <w:right w:val="nil"/>
            </w:tcBorders>
            <w:shd w:val="clear" w:color="auto" w:fill="auto"/>
            <w:vAlign w:val="center"/>
          </w:tcPr>
          <w:p w14:paraId="481AAC42" w14:textId="77777777" w:rsidR="0088085F" w:rsidRPr="00BD33B6" w:rsidRDefault="0088085F" w:rsidP="00527F65">
            <w:pPr>
              <w:pStyle w:val="cuatexto"/>
              <w:jc w:val="left"/>
              <w:rPr>
                <w:sz w:val="18"/>
                <w:szCs w:val="18"/>
              </w:rPr>
            </w:pPr>
            <w:r>
              <w:rPr>
                <w:sz w:val="18"/>
                <w:szCs w:val="18"/>
              </w:rPr>
              <w:t>Hilerria</w:t>
            </w:r>
          </w:p>
        </w:tc>
        <w:tc>
          <w:tcPr>
            <w:tcW w:w="703" w:type="pct"/>
            <w:tcBorders>
              <w:top w:val="single" w:sz="2" w:space="0" w:color="auto"/>
              <w:left w:val="nil"/>
              <w:bottom w:val="single" w:sz="4" w:space="0" w:color="auto"/>
              <w:right w:val="nil"/>
            </w:tcBorders>
            <w:vAlign w:val="center"/>
          </w:tcPr>
          <w:p w14:paraId="424F29C8" w14:textId="77777777" w:rsidR="0088085F" w:rsidRPr="00BD33B6" w:rsidRDefault="0088085F" w:rsidP="00527F65">
            <w:pPr>
              <w:pStyle w:val="cuatexto"/>
              <w:jc w:val="right"/>
              <w:rPr>
                <w:color w:val="000000" w:themeColor="text1"/>
                <w:sz w:val="18"/>
                <w:szCs w:val="18"/>
              </w:rPr>
            </w:pPr>
            <w:r>
              <w:rPr>
                <w:color w:val="000000" w:themeColor="text1"/>
                <w:sz w:val="18"/>
                <w:szCs w:val="18"/>
              </w:rPr>
              <w:t>2,33</w:t>
            </w:r>
          </w:p>
        </w:tc>
        <w:tc>
          <w:tcPr>
            <w:tcW w:w="658" w:type="pct"/>
            <w:tcBorders>
              <w:top w:val="single" w:sz="2" w:space="0" w:color="auto"/>
              <w:left w:val="nil"/>
              <w:bottom w:val="single" w:sz="4" w:space="0" w:color="auto"/>
              <w:right w:val="nil"/>
            </w:tcBorders>
            <w:shd w:val="clear" w:color="auto" w:fill="auto"/>
            <w:vAlign w:val="center"/>
          </w:tcPr>
          <w:p w14:paraId="7202B445" w14:textId="77777777" w:rsidR="0088085F" w:rsidRPr="00BD33B6" w:rsidRDefault="0088085F" w:rsidP="00527F65">
            <w:pPr>
              <w:pStyle w:val="cuatexto"/>
              <w:jc w:val="right"/>
              <w:rPr>
                <w:color w:val="000000" w:themeColor="text1"/>
                <w:sz w:val="18"/>
                <w:szCs w:val="18"/>
              </w:rPr>
            </w:pPr>
            <w:r>
              <w:rPr>
                <w:color w:val="000000" w:themeColor="text1"/>
                <w:sz w:val="18"/>
                <w:szCs w:val="18"/>
              </w:rPr>
              <w:t>2,33</w:t>
            </w:r>
          </w:p>
        </w:tc>
        <w:tc>
          <w:tcPr>
            <w:tcW w:w="534" w:type="pct"/>
            <w:tcBorders>
              <w:top w:val="single" w:sz="2" w:space="0" w:color="auto"/>
              <w:left w:val="nil"/>
              <w:bottom w:val="single" w:sz="4" w:space="0" w:color="auto"/>
              <w:right w:val="nil"/>
            </w:tcBorders>
            <w:vAlign w:val="center"/>
          </w:tcPr>
          <w:p w14:paraId="6CCABA5E" w14:textId="77777777" w:rsidR="0088085F" w:rsidRPr="00BD33B6" w:rsidRDefault="0088085F" w:rsidP="00527F65">
            <w:pPr>
              <w:pStyle w:val="cuatexto"/>
              <w:jc w:val="right"/>
              <w:rPr>
                <w:color w:val="000000" w:themeColor="text1"/>
                <w:sz w:val="18"/>
                <w:szCs w:val="18"/>
              </w:rPr>
            </w:pPr>
            <w:r>
              <w:rPr>
                <w:color w:val="000000" w:themeColor="text1"/>
                <w:sz w:val="18"/>
                <w:szCs w:val="18"/>
              </w:rPr>
              <w:t>-</w:t>
            </w:r>
          </w:p>
        </w:tc>
        <w:tc>
          <w:tcPr>
            <w:tcW w:w="534" w:type="pct"/>
            <w:tcBorders>
              <w:top w:val="single" w:sz="2" w:space="0" w:color="auto"/>
              <w:left w:val="nil"/>
              <w:bottom w:val="single" w:sz="4" w:space="0" w:color="auto"/>
              <w:right w:val="nil"/>
            </w:tcBorders>
            <w:shd w:val="clear" w:color="auto" w:fill="auto"/>
            <w:vAlign w:val="center"/>
          </w:tcPr>
          <w:p w14:paraId="385C995E" w14:textId="77777777" w:rsidR="0088085F" w:rsidRPr="00BD33B6" w:rsidRDefault="0088085F" w:rsidP="00527F65">
            <w:pPr>
              <w:pStyle w:val="cuatexto"/>
              <w:jc w:val="right"/>
              <w:rPr>
                <w:color w:val="000000" w:themeColor="text1"/>
                <w:sz w:val="18"/>
                <w:szCs w:val="18"/>
              </w:rPr>
            </w:pPr>
            <w:r>
              <w:rPr>
                <w:color w:val="000000" w:themeColor="text1"/>
                <w:sz w:val="18"/>
                <w:szCs w:val="18"/>
              </w:rPr>
              <w:t>2</w:t>
            </w:r>
          </w:p>
        </w:tc>
        <w:tc>
          <w:tcPr>
            <w:tcW w:w="526" w:type="pct"/>
            <w:tcBorders>
              <w:top w:val="single" w:sz="2" w:space="0" w:color="auto"/>
              <w:left w:val="nil"/>
              <w:bottom w:val="single" w:sz="4" w:space="0" w:color="auto"/>
              <w:right w:val="nil"/>
            </w:tcBorders>
            <w:shd w:val="clear" w:color="auto" w:fill="auto"/>
            <w:noWrap/>
            <w:vAlign w:val="center"/>
          </w:tcPr>
          <w:p w14:paraId="5374704E" w14:textId="77777777" w:rsidR="0088085F" w:rsidRPr="00BD33B6" w:rsidRDefault="0088085F" w:rsidP="00527F65">
            <w:pPr>
              <w:pStyle w:val="cuatexto"/>
              <w:jc w:val="right"/>
              <w:rPr>
                <w:color w:val="000000" w:themeColor="text1"/>
                <w:sz w:val="18"/>
                <w:szCs w:val="18"/>
              </w:rPr>
            </w:pPr>
            <w:r>
              <w:rPr>
                <w:color w:val="000000" w:themeColor="text1"/>
                <w:sz w:val="18"/>
                <w:szCs w:val="18"/>
              </w:rPr>
              <w:t>1</w:t>
            </w:r>
          </w:p>
        </w:tc>
      </w:tr>
      <w:tr w:rsidR="00433C0C" w:rsidRPr="00B70238" w14:paraId="55551F56" w14:textId="77777777" w:rsidTr="00433C0C">
        <w:trPr>
          <w:trHeight w:val="312"/>
          <w:jc w:val="center"/>
        </w:trPr>
        <w:tc>
          <w:tcPr>
            <w:tcW w:w="2045" w:type="pct"/>
            <w:tcBorders>
              <w:top w:val="single" w:sz="4" w:space="0" w:color="auto"/>
              <w:left w:val="nil"/>
              <w:bottom w:val="single" w:sz="4" w:space="0" w:color="auto"/>
              <w:right w:val="nil"/>
            </w:tcBorders>
            <w:shd w:val="clear" w:color="auto" w:fill="FABF8F" w:themeFill="accent6" w:themeFillTint="99"/>
            <w:vAlign w:val="center"/>
          </w:tcPr>
          <w:p w14:paraId="285896B2" w14:textId="77777777" w:rsidR="0088085F" w:rsidRPr="00B70238" w:rsidRDefault="0088085F" w:rsidP="00527F65">
            <w:pPr>
              <w:pStyle w:val="cuadroCabe"/>
              <w:jc w:val="left"/>
              <w:rPr>
                <w:rFonts w:cs="Arial"/>
                <w:sz w:val="16"/>
                <w:szCs w:val="16"/>
              </w:rPr>
            </w:pPr>
            <w:r>
              <w:rPr>
                <w:sz w:val="16"/>
                <w:szCs w:val="16"/>
              </w:rPr>
              <w:t>Ongizate komunitarioa, guztira</w:t>
            </w:r>
          </w:p>
        </w:tc>
        <w:tc>
          <w:tcPr>
            <w:tcW w:w="703" w:type="pct"/>
            <w:tcBorders>
              <w:top w:val="single" w:sz="4" w:space="0" w:color="auto"/>
              <w:left w:val="nil"/>
              <w:bottom w:val="single" w:sz="4" w:space="0" w:color="auto"/>
              <w:right w:val="nil"/>
            </w:tcBorders>
            <w:shd w:val="clear" w:color="auto" w:fill="FABF8F" w:themeFill="accent6" w:themeFillTint="99"/>
            <w:vAlign w:val="center"/>
          </w:tcPr>
          <w:p w14:paraId="699A0493" w14:textId="77777777" w:rsidR="0088085F" w:rsidRPr="00B70238" w:rsidRDefault="0088085F" w:rsidP="00527F65">
            <w:pPr>
              <w:pStyle w:val="cuadroCabe"/>
              <w:jc w:val="right"/>
              <w:rPr>
                <w:rFonts w:cs="Arial"/>
                <w:color w:val="000000" w:themeColor="text1"/>
                <w:sz w:val="16"/>
                <w:szCs w:val="16"/>
              </w:rPr>
            </w:pPr>
            <w:r>
              <w:rPr>
                <w:color w:val="000000" w:themeColor="text1"/>
                <w:sz w:val="16"/>
                <w:szCs w:val="16"/>
              </w:rPr>
              <w:t>139,18</w:t>
            </w:r>
          </w:p>
        </w:tc>
        <w:tc>
          <w:tcPr>
            <w:tcW w:w="658" w:type="pct"/>
            <w:tcBorders>
              <w:top w:val="single" w:sz="4" w:space="0" w:color="auto"/>
              <w:left w:val="nil"/>
              <w:bottom w:val="single" w:sz="4" w:space="0" w:color="auto"/>
              <w:right w:val="nil"/>
            </w:tcBorders>
            <w:shd w:val="clear" w:color="auto" w:fill="FABF8F" w:themeFill="accent6" w:themeFillTint="99"/>
            <w:vAlign w:val="center"/>
          </w:tcPr>
          <w:p w14:paraId="54AE7A68" w14:textId="77777777" w:rsidR="0088085F" w:rsidRPr="00B70238" w:rsidRDefault="0088085F" w:rsidP="00527F65">
            <w:pPr>
              <w:pStyle w:val="cuadroCabe"/>
              <w:jc w:val="right"/>
              <w:rPr>
                <w:rFonts w:cs="Arial"/>
                <w:color w:val="000000" w:themeColor="text1"/>
                <w:sz w:val="16"/>
                <w:szCs w:val="16"/>
              </w:rPr>
            </w:pPr>
            <w:r>
              <w:rPr>
                <w:color w:val="000000" w:themeColor="text1"/>
                <w:sz w:val="16"/>
                <w:szCs w:val="16"/>
              </w:rPr>
              <w:t>209,38</w:t>
            </w:r>
          </w:p>
        </w:tc>
        <w:tc>
          <w:tcPr>
            <w:tcW w:w="534" w:type="pct"/>
            <w:tcBorders>
              <w:top w:val="single" w:sz="4" w:space="0" w:color="auto"/>
              <w:left w:val="nil"/>
              <w:bottom w:val="single" w:sz="4" w:space="0" w:color="auto"/>
              <w:right w:val="nil"/>
            </w:tcBorders>
            <w:shd w:val="clear" w:color="auto" w:fill="FABF8F" w:themeFill="accent6" w:themeFillTint="99"/>
            <w:vAlign w:val="center"/>
          </w:tcPr>
          <w:p w14:paraId="449ABD0D" w14:textId="77777777" w:rsidR="0088085F" w:rsidRPr="00B70238" w:rsidRDefault="0088085F" w:rsidP="00527F65">
            <w:pPr>
              <w:pStyle w:val="cuadroCabe"/>
              <w:jc w:val="right"/>
              <w:rPr>
                <w:rFonts w:cs="Arial"/>
                <w:color w:val="000000" w:themeColor="text1"/>
                <w:sz w:val="16"/>
                <w:szCs w:val="16"/>
              </w:rPr>
            </w:pPr>
            <w:r>
              <w:rPr>
                <w:color w:val="000000" w:themeColor="text1"/>
                <w:sz w:val="16"/>
                <w:szCs w:val="16"/>
              </w:rPr>
              <w:t>70,20</w:t>
            </w:r>
          </w:p>
        </w:tc>
        <w:tc>
          <w:tcPr>
            <w:tcW w:w="534" w:type="pct"/>
            <w:tcBorders>
              <w:top w:val="single" w:sz="4" w:space="0" w:color="auto"/>
              <w:left w:val="nil"/>
              <w:bottom w:val="single" w:sz="4" w:space="0" w:color="auto"/>
              <w:right w:val="nil"/>
            </w:tcBorders>
            <w:shd w:val="clear" w:color="auto" w:fill="FABF8F" w:themeFill="accent6" w:themeFillTint="99"/>
            <w:vAlign w:val="center"/>
          </w:tcPr>
          <w:p w14:paraId="7F536A52" w14:textId="77777777" w:rsidR="0088085F" w:rsidRPr="00B70238" w:rsidRDefault="0088085F" w:rsidP="00527F65">
            <w:pPr>
              <w:pStyle w:val="cuadroCabe"/>
              <w:jc w:val="right"/>
              <w:rPr>
                <w:rFonts w:cs="Arial"/>
                <w:color w:val="000000" w:themeColor="text1"/>
                <w:sz w:val="16"/>
                <w:szCs w:val="16"/>
              </w:rPr>
            </w:pPr>
            <w:r>
              <w:rPr>
                <w:color w:val="000000" w:themeColor="text1"/>
                <w:sz w:val="16"/>
                <w:szCs w:val="16"/>
              </w:rPr>
              <w:t>100</w:t>
            </w:r>
          </w:p>
        </w:tc>
        <w:tc>
          <w:tcPr>
            <w:tcW w:w="526" w:type="pct"/>
            <w:tcBorders>
              <w:top w:val="single" w:sz="4" w:space="0" w:color="auto"/>
              <w:left w:val="nil"/>
              <w:bottom w:val="single" w:sz="4" w:space="0" w:color="auto"/>
              <w:right w:val="nil"/>
            </w:tcBorders>
            <w:shd w:val="clear" w:color="auto" w:fill="FABF8F" w:themeFill="accent6" w:themeFillTint="99"/>
            <w:noWrap/>
            <w:vAlign w:val="center"/>
          </w:tcPr>
          <w:p w14:paraId="3E22BA62" w14:textId="77777777" w:rsidR="0088085F" w:rsidRPr="00B70238" w:rsidRDefault="0088085F" w:rsidP="00527F65">
            <w:pPr>
              <w:pStyle w:val="cuadroCabe"/>
              <w:jc w:val="right"/>
              <w:rPr>
                <w:rFonts w:cs="Arial"/>
                <w:color w:val="000000" w:themeColor="text1"/>
                <w:sz w:val="16"/>
                <w:szCs w:val="16"/>
              </w:rPr>
            </w:pPr>
            <w:r>
              <w:rPr>
                <w:color w:val="000000" w:themeColor="text1"/>
                <w:sz w:val="16"/>
                <w:szCs w:val="16"/>
              </w:rPr>
              <w:t>100</w:t>
            </w:r>
          </w:p>
        </w:tc>
      </w:tr>
    </w:tbl>
    <w:p w14:paraId="3DA00900" w14:textId="77777777" w:rsidR="0088085F" w:rsidRPr="00262228" w:rsidRDefault="0088085F" w:rsidP="00527F65">
      <w:pPr>
        <w:pStyle w:val="texto"/>
        <w:spacing w:before="240"/>
      </w:pPr>
      <w:proofErr w:type="spellStart"/>
      <w:r>
        <w:t>SCPSAren</w:t>
      </w:r>
      <w:proofErr w:type="spellEnd"/>
      <w:r>
        <w:t xml:space="preserve"> gastu osoa, 70,2 milioi euro, ongizate komunitarioaren arloko gastu-politikari dagokio. Politika horrek 209,38 milioiko gastu bateratua du, eta hori gastu-politika osoen ehuneko 22 da, hau da, bateratu gabeko gastuetan politika horrek hartzen zuen ehunekoa baino sei puntu gehiago. Hauek dira gora egin duten zenbatekoak eta programa multzoak:  34,6 milioi hondakinen bilketan, kudeaketan eta tratamenduan, 22,1 milioi edateko uraren horniduran eta 13,5 milioi estolderian eta hondakin uren hustuketan eta tratamenduan.  </w:t>
      </w:r>
    </w:p>
    <w:p w14:paraId="3F8607E9" w14:textId="77777777" w:rsidR="00527F65" w:rsidRDefault="00527F65">
      <w:pPr>
        <w:spacing w:after="0"/>
        <w:ind w:firstLine="0"/>
        <w:jc w:val="left"/>
        <w:rPr>
          <w:rFonts w:ascii="Arial" w:hAnsi="Arial"/>
          <w:bCs/>
          <w:iCs/>
          <w:color w:val="000000" w:themeColor="text1"/>
          <w:spacing w:val="10"/>
          <w:kern w:val="28"/>
          <w:sz w:val="25"/>
          <w:szCs w:val="26"/>
        </w:rPr>
      </w:pPr>
      <w:bookmarkStart w:id="75" w:name="_Toc465686690"/>
      <w:bookmarkStart w:id="76" w:name="_Toc529773884"/>
      <w:bookmarkStart w:id="77" w:name="_Toc24100145"/>
      <w:bookmarkStart w:id="78" w:name="_Toc52348293"/>
      <w:bookmarkStart w:id="79" w:name="_Toc89161270"/>
      <w:r>
        <w:br w:type="page"/>
      </w:r>
    </w:p>
    <w:p w14:paraId="13EA575B" w14:textId="77777777" w:rsidR="0088085F" w:rsidRPr="00B81E61" w:rsidRDefault="0088085F" w:rsidP="0088085F">
      <w:pPr>
        <w:pStyle w:val="atitulo2"/>
        <w:spacing w:before="180" w:after="120"/>
        <w:rPr>
          <w:color w:val="000000" w:themeColor="text1"/>
        </w:rPr>
      </w:pPr>
      <w:bookmarkStart w:id="80" w:name="_Toc94871725"/>
      <w:r>
        <w:rPr>
          <w:color w:val="000000" w:themeColor="text1"/>
        </w:rPr>
        <w:lastRenderedPageBreak/>
        <w:t xml:space="preserve">V.3. </w:t>
      </w:r>
      <w:bookmarkEnd w:id="75"/>
      <w:r>
        <w:rPr>
          <w:color w:val="000000" w:themeColor="text1"/>
        </w:rPr>
        <w:t>Adierazleak</w:t>
      </w:r>
      <w:bookmarkEnd w:id="76"/>
      <w:bookmarkEnd w:id="77"/>
      <w:bookmarkEnd w:id="78"/>
      <w:bookmarkEnd w:id="79"/>
      <w:bookmarkEnd w:id="80"/>
    </w:p>
    <w:p w14:paraId="2025EC24" w14:textId="77777777" w:rsidR="0088085F" w:rsidRPr="00262228" w:rsidRDefault="0088085F" w:rsidP="00CF6E96">
      <w:pPr>
        <w:pStyle w:val="texto"/>
        <w:spacing w:after="200"/>
      </w:pPr>
      <w:r>
        <w:t xml:space="preserve">Hurrengo taulan, toki sektore publikoan gastatutako 100 euroko kopuru bakoitzaren bilakaera eta banaketa erakusten dugu, bai eta haien finantzaketa ere, </w:t>
      </w:r>
      <w:proofErr w:type="spellStart"/>
      <w:r>
        <w:t>SCPSAren</w:t>
      </w:r>
      <w:proofErr w:type="spellEnd"/>
      <w:r>
        <w:t xml:space="preserve"> datuak kontuan hartu gabe:</w:t>
      </w:r>
    </w:p>
    <w:tbl>
      <w:tblPr>
        <w:tblW w:w="876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52"/>
        <w:gridCol w:w="780"/>
        <w:gridCol w:w="989"/>
        <w:gridCol w:w="2622"/>
        <w:gridCol w:w="799"/>
        <w:gridCol w:w="1019"/>
      </w:tblGrid>
      <w:tr w:rsidR="0088085F" w:rsidRPr="00B81E61" w14:paraId="4BADA22E" w14:textId="77777777" w:rsidTr="002A2D86">
        <w:trPr>
          <w:trHeight w:val="284"/>
          <w:jc w:val="center"/>
        </w:trPr>
        <w:tc>
          <w:tcPr>
            <w:tcW w:w="2552" w:type="dxa"/>
            <w:tcBorders>
              <w:bottom w:val="single" w:sz="4" w:space="0" w:color="auto"/>
            </w:tcBorders>
            <w:shd w:val="clear" w:color="auto" w:fill="FABF8F" w:themeFill="accent6" w:themeFillTint="99"/>
            <w:vAlign w:val="center"/>
          </w:tcPr>
          <w:p w14:paraId="69E0EFC0" w14:textId="77777777" w:rsidR="0088085F" w:rsidRPr="00B81E61" w:rsidRDefault="0088085F" w:rsidP="00527F65">
            <w:pPr>
              <w:pStyle w:val="cuadroCabe"/>
              <w:jc w:val="left"/>
              <w:rPr>
                <w:color w:val="000000" w:themeColor="text1"/>
              </w:rPr>
            </w:pPr>
            <w:r>
              <w:rPr>
                <w:color w:val="000000" w:themeColor="text1"/>
              </w:rPr>
              <w:t>Gastuaren izaera</w:t>
            </w:r>
          </w:p>
        </w:tc>
        <w:tc>
          <w:tcPr>
            <w:tcW w:w="780" w:type="dxa"/>
            <w:tcBorders>
              <w:bottom w:val="single" w:sz="4" w:space="0" w:color="auto"/>
              <w:right w:val="nil"/>
            </w:tcBorders>
            <w:shd w:val="clear" w:color="auto" w:fill="FABF8F" w:themeFill="accent6" w:themeFillTint="99"/>
            <w:vAlign w:val="center"/>
          </w:tcPr>
          <w:p w14:paraId="755A8E4F" w14:textId="77777777" w:rsidR="0088085F" w:rsidRPr="00B81E61" w:rsidRDefault="0088085F" w:rsidP="00527F65">
            <w:pPr>
              <w:pStyle w:val="cuadroCabe"/>
              <w:jc w:val="right"/>
              <w:rPr>
                <w:color w:val="000000" w:themeColor="text1"/>
              </w:rPr>
            </w:pPr>
            <w:r>
              <w:rPr>
                <w:color w:val="000000" w:themeColor="text1"/>
              </w:rPr>
              <w:t xml:space="preserve">2018 </w:t>
            </w:r>
          </w:p>
        </w:tc>
        <w:tc>
          <w:tcPr>
            <w:tcW w:w="989" w:type="dxa"/>
            <w:tcBorders>
              <w:left w:val="nil"/>
              <w:bottom w:val="single" w:sz="4" w:space="0" w:color="auto"/>
              <w:right w:val="single" w:sz="4" w:space="0" w:color="auto"/>
            </w:tcBorders>
            <w:shd w:val="clear" w:color="auto" w:fill="FABF8F" w:themeFill="accent6" w:themeFillTint="99"/>
            <w:vAlign w:val="center"/>
          </w:tcPr>
          <w:p w14:paraId="2E126CAE" w14:textId="77777777" w:rsidR="0088085F" w:rsidRPr="00B81E61" w:rsidRDefault="0088085F" w:rsidP="00527F65">
            <w:pPr>
              <w:pStyle w:val="cuadroCabe"/>
              <w:jc w:val="right"/>
              <w:rPr>
                <w:color w:val="000000" w:themeColor="text1"/>
              </w:rPr>
            </w:pPr>
            <w:r>
              <w:rPr>
                <w:color w:val="000000" w:themeColor="text1"/>
              </w:rPr>
              <w:t>2019</w:t>
            </w:r>
          </w:p>
        </w:tc>
        <w:tc>
          <w:tcPr>
            <w:tcW w:w="2622" w:type="dxa"/>
            <w:tcBorders>
              <w:left w:val="single" w:sz="4" w:space="0" w:color="auto"/>
              <w:bottom w:val="single" w:sz="4" w:space="0" w:color="auto"/>
            </w:tcBorders>
            <w:shd w:val="clear" w:color="auto" w:fill="FABF8F" w:themeFill="accent6" w:themeFillTint="99"/>
            <w:vAlign w:val="center"/>
          </w:tcPr>
          <w:p w14:paraId="13E00BFB" w14:textId="77777777" w:rsidR="0088085F" w:rsidRPr="00B81E61" w:rsidRDefault="0088085F" w:rsidP="00527F65">
            <w:pPr>
              <w:pStyle w:val="cuadroCabe"/>
              <w:jc w:val="left"/>
              <w:rPr>
                <w:color w:val="000000" w:themeColor="text1"/>
              </w:rPr>
            </w:pPr>
            <w:r>
              <w:rPr>
                <w:color w:val="000000" w:themeColor="text1"/>
              </w:rPr>
              <w:t>Finantzatze-iturria</w:t>
            </w:r>
          </w:p>
        </w:tc>
        <w:tc>
          <w:tcPr>
            <w:tcW w:w="799" w:type="dxa"/>
            <w:tcBorders>
              <w:bottom w:val="single" w:sz="4" w:space="0" w:color="auto"/>
            </w:tcBorders>
            <w:shd w:val="clear" w:color="auto" w:fill="FABF8F" w:themeFill="accent6" w:themeFillTint="99"/>
            <w:vAlign w:val="center"/>
          </w:tcPr>
          <w:p w14:paraId="15385B93" w14:textId="77777777" w:rsidR="0088085F" w:rsidRPr="00B81E61" w:rsidRDefault="0088085F" w:rsidP="00C13CE1">
            <w:pPr>
              <w:pStyle w:val="cuadroCabe"/>
              <w:jc w:val="right"/>
              <w:rPr>
                <w:color w:val="000000" w:themeColor="text1"/>
              </w:rPr>
            </w:pPr>
            <w:r>
              <w:rPr>
                <w:color w:val="000000" w:themeColor="text1"/>
              </w:rPr>
              <w:t>2018</w:t>
            </w:r>
          </w:p>
        </w:tc>
        <w:tc>
          <w:tcPr>
            <w:tcW w:w="1019" w:type="dxa"/>
            <w:tcBorders>
              <w:bottom w:val="single" w:sz="4" w:space="0" w:color="auto"/>
            </w:tcBorders>
            <w:shd w:val="clear" w:color="auto" w:fill="FABF8F" w:themeFill="accent6" w:themeFillTint="99"/>
            <w:vAlign w:val="center"/>
          </w:tcPr>
          <w:p w14:paraId="2E1DE381" w14:textId="77777777" w:rsidR="0088085F" w:rsidRPr="00B81E61" w:rsidRDefault="0088085F" w:rsidP="00C13CE1">
            <w:pPr>
              <w:pStyle w:val="cuadroCabe"/>
              <w:jc w:val="right"/>
              <w:rPr>
                <w:color w:val="000000" w:themeColor="text1"/>
              </w:rPr>
            </w:pPr>
            <w:r>
              <w:rPr>
                <w:color w:val="000000" w:themeColor="text1"/>
              </w:rPr>
              <w:t>2019</w:t>
            </w:r>
          </w:p>
        </w:tc>
      </w:tr>
      <w:tr w:rsidR="0088085F" w:rsidRPr="00B81E61" w14:paraId="0B7371BC" w14:textId="77777777" w:rsidTr="002A2D86">
        <w:trPr>
          <w:trHeight w:val="198"/>
          <w:jc w:val="center"/>
        </w:trPr>
        <w:tc>
          <w:tcPr>
            <w:tcW w:w="2552" w:type="dxa"/>
            <w:tcBorders>
              <w:bottom w:val="single" w:sz="2" w:space="0" w:color="auto"/>
            </w:tcBorders>
            <w:vAlign w:val="center"/>
          </w:tcPr>
          <w:p w14:paraId="5F33A224" w14:textId="77777777" w:rsidR="0088085F" w:rsidRPr="00B81E61" w:rsidRDefault="0088085F" w:rsidP="00527F65">
            <w:pPr>
              <w:pStyle w:val="cuatexto"/>
              <w:jc w:val="left"/>
              <w:rPr>
                <w:color w:val="000000" w:themeColor="text1"/>
                <w:szCs w:val="18"/>
              </w:rPr>
            </w:pPr>
            <w:r>
              <w:rPr>
                <w:color w:val="000000" w:themeColor="text1"/>
                <w:szCs w:val="18"/>
              </w:rPr>
              <w:t>Langileak</w:t>
            </w:r>
          </w:p>
        </w:tc>
        <w:tc>
          <w:tcPr>
            <w:tcW w:w="780" w:type="dxa"/>
            <w:tcBorders>
              <w:left w:val="nil"/>
              <w:bottom w:val="single" w:sz="2" w:space="0" w:color="auto"/>
              <w:right w:val="nil"/>
            </w:tcBorders>
            <w:vAlign w:val="center"/>
          </w:tcPr>
          <w:p w14:paraId="5AE01A57" w14:textId="77777777" w:rsidR="0088085F" w:rsidRPr="00B81E61" w:rsidRDefault="0088085F" w:rsidP="00527F65">
            <w:pPr>
              <w:pStyle w:val="cuatexto"/>
              <w:jc w:val="right"/>
              <w:rPr>
                <w:color w:val="000000" w:themeColor="text1"/>
                <w:szCs w:val="18"/>
              </w:rPr>
            </w:pPr>
            <w:r>
              <w:rPr>
                <w:color w:val="000000" w:themeColor="text1"/>
                <w:szCs w:val="18"/>
              </w:rPr>
              <w:t>36</w:t>
            </w:r>
          </w:p>
        </w:tc>
        <w:tc>
          <w:tcPr>
            <w:tcW w:w="989" w:type="dxa"/>
            <w:tcBorders>
              <w:left w:val="nil"/>
              <w:bottom w:val="single" w:sz="2" w:space="0" w:color="auto"/>
              <w:right w:val="single" w:sz="4" w:space="0" w:color="auto"/>
            </w:tcBorders>
            <w:vAlign w:val="center"/>
          </w:tcPr>
          <w:p w14:paraId="625F5E95" w14:textId="77777777" w:rsidR="0088085F" w:rsidRPr="00B81E61" w:rsidRDefault="0088085F" w:rsidP="00527F65">
            <w:pPr>
              <w:pStyle w:val="cuatexto"/>
              <w:jc w:val="right"/>
              <w:rPr>
                <w:color w:val="000000" w:themeColor="text1"/>
                <w:szCs w:val="18"/>
              </w:rPr>
            </w:pPr>
            <w:r>
              <w:rPr>
                <w:color w:val="000000" w:themeColor="text1"/>
                <w:szCs w:val="18"/>
              </w:rPr>
              <w:t>34</w:t>
            </w:r>
          </w:p>
        </w:tc>
        <w:tc>
          <w:tcPr>
            <w:tcW w:w="2622" w:type="dxa"/>
            <w:tcBorders>
              <w:left w:val="single" w:sz="4" w:space="0" w:color="auto"/>
              <w:bottom w:val="single" w:sz="2" w:space="0" w:color="auto"/>
            </w:tcBorders>
            <w:vAlign w:val="center"/>
          </w:tcPr>
          <w:p w14:paraId="7FBC784E" w14:textId="77777777" w:rsidR="0088085F" w:rsidRPr="00B81E61" w:rsidRDefault="0088085F" w:rsidP="00527F65">
            <w:pPr>
              <w:pStyle w:val="cuatexto"/>
              <w:jc w:val="left"/>
              <w:rPr>
                <w:color w:val="000000" w:themeColor="text1"/>
                <w:szCs w:val="18"/>
              </w:rPr>
            </w:pPr>
            <w:r>
              <w:rPr>
                <w:color w:val="000000" w:themeColor="text1"/>
                <w:szCs w:val="18"/>
              </w:rPr>
              <w:t>Tributu bidezko diru-sarrerak</w:t>
            </w:r>
          </w:p>
        </w:tc>
        <w:tc>
          <w:tcPr>
            <w:tcW w:w="799" w:type="dxa"/>
            <w:tcBorders>
              <w:bottom w:val="single" w:sz="2" w:space="0" w:color="auto"/>
            </w:tcBorders>
            <w:vAlign w:val="center"/>
          </w:tcPr>
          <w:p w14:paraId="7C60440A" w14:textId="77777777" w:rsidR="0088085F" w:rsidRPr="00B81E61" w:rsidRDefault="0088085F" w:rsidP="00C13CE1">
            <w:pPr>
              <w:pStyle w:val="cuatexto"/>
              <w:jc w:val="right"/>
              <w:rPr>
                <w:color w:val="000000" w:themeColor="text1"/>
                <w:szCs w:val="18"/>
              </w:rPr>
            </w:pPr>
            <w:r>
              <w:rPr>
                <w:color w:val="000000" w:themeColor="text1"/>
                <w:szCs w:val="18"/>
              </w:rPr>
              <w:t>46</w:t>
            </w:r>
          </w:p>
        </w:tc>
        <w:tc>
          <w:tcPr>
            <w:tcW w:w="1019" w:type="dxa"/>
            <w:tcBorders>
              <w:bottom w:val="single" w:sz="2" w:space="0" w:color="auto"/>
            </w:tcBorders>
            <w:vAlign w:val="center"/>
          </w:tcPr>
          <w:p w14:paraId="141F2FA4" w14:textId="77777777" w:rsidR="0088085F" w:rsidRPr="00B81E61" w:rsidRDefault="0088085F" w:rsidP="00C13CE1">
            <w:pPr>
              <w:pStyle w:val="cuatexto"/>
              <w:jc w:val="right"/>
              <w:rPr>
                <w:color w:val="000000" w:themeColor="text1"/>
                <w:szCs w:val="18"/>
              </w:rPr>
            </w:pPr>
            <w:r>
              <w:rPr>
                <w:color w:val="000000" w:themeColor="text1"/>
                <w:szCs w:val="18"/>
              </w:rPr>
              <w:t>45</w:t>
            </w:r>
          </w:p>
        </w:tc>
      </w:tr>
      <w:tr w:rsidR="0088085F" w:rsidRPr="00B81E61" w14:paraId="4F8A5641" w14:textId="77777777" w:rsidTr="002A2D86">
        <w:trPr>
          <w:trHeight w:val="198"/>
          <w:jc w:val="center"/>
        </w:trPr>
        <w:tc>
          <w:tcPr>
            <w:tcW w:w="2552" w:type="dxa"/>
            <w:tcBorders>
              <w:top w:val="single" w:sz="2" w:space="0" w:color="auto"/>
              <w:bottom w:val="single" w:sz="2" w:space="0" w:color="auto"/>
            </w:tcBorders>
            <w:vAlign w:val="center"/>
          </w:tcPr>
          <w:p w14:paraId="66DEF3E4" w14:textId="77777777" w:rsidR="0088085F" w:rsidRPr="00B81E61" w:rsidRDefault="0088085F" w:rsidP="00527F65">
            <w:pPr>
              <w:pStyle w:val="cuatexto"/>
              <w:jc w:val="left"/>
              <w:rPr>
                <w:color w:val="000000" w:themeColor="text1"/>
                <w:szCs w:val="18"/>
              </w:rPr>
            </w:pPr>
            <w:r>
              <w:rPr>
                <w:color w:val="000000" w:themeColor="text1"/>
                <w:szCs w:val="18"/>
              </w:rPr>
              <w:t>Ondasun arruntak eta zerbitzuak</w:t>
            </w:r>
          </w:p>
        </w:tc>
        <w:tc>
          <w:tcPr>
            <w:tcW w:w="780" w:type="dxa"/>
            <w:tcBorders>
              <w:top w:val="single" w:sz="2" w:space="0" w:color="auto"/>
              <w:left w:val="nil"/>
              <w:bottom w:val="single" w:sz="2" w:space="0" w:color="auto"/>
              <w:right w:val="nil"/>
            </w:tcBorders>
            <w:vAlign w:val="center"/>
          </w:tcPr>
          <w:p w14:paraId="123F4D52" w14:textId="77777777" w:rsidR="0088085F" w:rsidRPr="00B81E61" w:rsidRDefault="0088085F" w:rsidP="00527F65">
            <w:pPr>
              <w:pStyle w:val="cuatexto"/>
              <w:jc w:val="right"/>
              <w:rPr>
                <w:color w:val="000000" w:themeColor="text1"/>
                <w:szCs w:val="18"/>
              </w:rPr>
            </w:pPr>
            <w:r>
              <w:rPr>
                <w:color w:val="000000" w:themeColor="text1"/>
                <w:szCs w:val="18"/>
              </w:rPr>
              <w:t>35</w:t>
            </w:r>
          </w:p>
        </w:tc>
        <w:tc>
          <w:tcPr>
            <w:tcW w:w="989" w:type="dxa"/>
            <w:tcBorders>
              <w:top w:val="single" w:sz="2" w:space="0" w:color="auto"/>
              <w:left w:val="nil"/>
              <w:bottom w:val="single" w:sz="2" w:space="0" w:color="auto"/>
              <w:right w:val="single" w:sz="4" w:space="0" w:color="auto"/>
            </w:tcBorders>
            <w:vAlign w:val="center"/>
          </w:tcPr>
          <w:p w14:paraId="2185EDF3" w14:textId="77777777" w:rsidR="0088085F" w:rsidRPr="00B81E61" w:rsidRDefault="0088085F" w:rsidP="00527F65">
            <w:pPr>
              <w:pStyle w:val="cuatexto"/>
              <w:jc w:val="right"/>
              <w:rPr>
                <w:color w:val="000000" w:themeColor="text1"/>
                <w:szCs w:val="18"/>
              </w:rPr>
            </w:pPr>
            <w:r>
              <w:rPr>
                <w:color w:val="000000" w:themeColor="text1"/>
                <w:szCs w:val="18"/>
              </w:rPr>
              <w:t>32</w:t>
            </w:r>
          </w:p>
        </w:tc>
        <w:tc>
          <w:tcPr>
            <w:tcW w:w="2622" w:type="dxa"/>
            <w:tcBorders>
              <w:top w:val="single" w:sz="2" w:space="0" w:color="auto"/>
              <w:left w:val="single" w:sz="4" w:space="0" w:color="auto"/>
              <w:bottom w:val="single" w:sz="2" w:space="0" w:color="auto"/>
            </w:tcBorders>
            <w:vAlign w:val="center"/>
          </w:tcPr>
          <w:p w14:paraId="2A064EBB" w14:textId="77777777" w:rsidR="0088085F" w:rsidRPr="00B81E61" w:rsidRDefault="0088085F" w:rsidP="00527F65">
            <w:pPr>
              <w:pStyle w:val="cuatexto"/>
              <w:jc w:val="left"/>
              <w:rPr>
                <w:color w:val="000000" w:themeColor="text1"/>
                <w:szCs w:val="18"/>
              </w:rPr>
            </w:pPr>
            <w:r>
              <w:rPr>
                <w:color w:val="000000" w:themeColor="text1"/>
                <w:szCs w:val="18"/>
              </w:rPr>
              <w:t>Transferentziengatiko diru-sarrerak</w:t>
            </w:r>
          </w:p>
        </w:tc>
        <w:tc>
          <w:tcPr>
            <w:tcW w:w="799" w:type="dxa"/>
            <w:tcBorders>
              <w:top w:val="single" w:sz="2" w:space="0" w:color="auto"/>
              <w:bottom w:val="single" w:sz="2" w:space="0" w:color="auto"/>
            </w:tcBorders>
            <w:vAlign w:val="center"/>
          </w:tcPr>
          <w:p w14:paraId="4F073266" w14:textId="77777777" w:rsidR="0088085F" w:rsidRPr="00B81E61" w:rsidRDefault="0088085F" w:rsidP="00C13CE1">
            <w:pPr>
              <w:pStyle w:val="cuatexto"/>
              <w:jc w:val="right"/>
              <w:rPr>
                <w:color w:val="000000" w:themeColor="text1"/>
                <w:szCs w:val="18"/>
              </w:rPr>
            </w:pPr>
            <w:r>
              <w:rPr>
                <w:color w:val="000000" w:themeColor="text1"/>
                <w:szCs w:val="18"/>
              </w:rPr>
              <w:t>46</w:t>
            </w:r>
          </w:p>
        </w:tc>
        <w:tc>
          <w:tcPr>
            <w:tcW w:w="1019" w:type="dxa"/>
            <w:tcBorders>
              <w:top w:val="single" w:sz="2" w:space="0" w:color="auto"/>
              <w:bottom w:val="single" w:sz="2" w:space="0" w:color="auto"/>
            </w:tcBorders>
            <w:vAlign w:val="center"/>
          </w:tcPr>
          <w:p w14:paraId="6225646B" w14:textId="77777777" w:rsidR="0088085F" w:rsidRPr="00B81E61" w:rsidRDefault="0088085F" w:rsidP="00C13CE1">
            <w:pPr>
              <w:pStyle w:val="cuatexto"/>
              <w:jc w:val="right"/>
              <w:rPr>
                <w:color w:val="000000" w:themeColor="text1"/>
                <w:szCs w:val="18"/>
              </w:rPr>
            </w:pPr>
            <w:r>
              <w:rPr>
                <w:color w:val="000000" w:themeColor="text1"/>
                <w:szCs w:val="18"/>
              </w:rPr>
              <w:t>48</w:t>
            </w:r>
          </w:p>
        </w:tc>
      </w:tr>
      <w:tr w:rsidR="0088085F" w:rsidRPr="00B81E61" w14:paraId="78F0351C" w14:textId="77777777" w:rsidTr="002A2D86">
        <w:trPr>
          <w:trHeight w:val="198"/>
          <w:jc w:val="center"/>
        </w:trPr>
        <w:tc>
          <w:tcPr>
            <w:tcW w:w="2552" w:type="dxa"/>
            <w:tcBorders>
              <w:top w:val="single" w:sz="2" w:space="0" w:color="auto"/>
              <w:bottom w:val="single" w:sz="2" w:space="0" w:color="auto"/>
            </w:tcBorders>
            <w:vAlign w:val="center"/>
          </w:tcPr>
          <w:p w14:paraId="091BDF59" w14:textId="77777777" w:rsidR="0088085F" w:rsidRPr="00B81E61" w:rsidRDefault="0088085F" w:rsidP="00527F65">
            <w:pPr>
              <w:pStyle w:val="cuatexto"/>
              <w:jc w:val="left"/>
              <w:rPr>
                <w:color w:val="000000" w:themeColor="text1"/>
                <w:szCs w:val="18"/>
              </w:rPr>
            </w:pPr>
            <w:r>
              <w:rPr>
                <w:color w:val="000000" w:themeColor="text1"/>
                <w:szCs w:val="18"/>
              </w:rPr>
              <w:t>Transferentziengatiko gastuak</w:t>
            </w:r>
          </w:p>
        </w:tc>
        <w:tc>
          <w:tcPr>
            <w:tcW w:w="780" w:type="dxa"/>
            <w:tcBorders>
              <w:top w:val="single" w:sz="2" w:space="0" w:color="auto"/>
              <w:left w:val="nil"/>
              <w:bottom w:val="single" w:sz="2" w:space="0" w:color="auto"/>
              <w:right w:val="nil"/>
            </w:tcBorders>
            <w:vAlign w:val="center"/>
          </w:tcPr>
          <w:p w14:paraId="0D5403BF" w14:textId="77777777" w:rsidR="0088085F" w:rsidRPr="00B81E61" w:rsidRDefault="0088085F" w:rsidP="00527F65">
            <w:pPr>
              <w:pStyle w:val="cuatexto"/>
              <w:jc w:val="right"/>
              <w:rPr>
                <w:color w:val="000000" w:themeColor="text1"/>
                <w:szCs w:val="18"/>
              </w:rPr>
            </w:pPr>
            <w:r>
              <w:rPr>
                <w:color w:val="000000" w:themeColor="text1"/>
                <w:szCs w:val="18"/>
              </w:rPr>
              <w:t>10</w:t>
            </w:r>
          </w:p>
        </w:tc>
        <w:tc>
          <w:tcPr>
            <w:tcW w:w="989" w:type="dxa"/>
            <w:tcBorders>
              <w:top w:val="single" w:sz="2" w:space="0" w:color="auto"/>
              <w:left w:val="nil"/>
              <w:bottom w:val="single" w:sz="2" w:space="0" w:color="auto"/>
              <w:right w:val="single" w:sz="4" w:space="0" w:color="auto"/>
            </w:tcBorders>
            <w:vAlign w:val="center"/>
          </w:tcPr>
          <w:p w14:paraId="6B206284" w14:textId="77777777" w:rsidR="0088085F" w:rsidRPr="00B81E61" w:rsidRDefault="0088085F" w:rsidP="00527F65">
            <w:pPr>
              <w:pStyle w:val="cuatexto"/>
              <w:jc w:val="right"/>
              <w:rPr>
                <w:color w:val="000000" w:themeColor="text1"/>
                <w:szCs w:val="18"/>
              </w:rPr>
            </w:pPr>
            <w:r>
              <w:rPr>
                <w:color w:val="000000" w:themeColor="text1"/>
                <w:szCs w:val="18"/>
              </w:rPr>
              <w:t>10</w:t>
            </w:r>
          </w:p>
        </w:tc>
        <w:tc>
          <w:tcPr>
            <w:tcW w:w="2622" w:type="dxa"/>
            <w:tcBorders>
              <w:top w:val="single" w:sz="2" w:space="0" w:color="auto"/>
              <w:left w:val="single" w:sz="4" w:space="0" w:color="auto"/>
              <w:bottom w:val="single" w:sz="2" w:space="0" w:color="auto"/>
            </w:tcBorders>
            <w:vAlign w:val="center"/>
          </w:tcPr>
          <w:p w14:paraId="547061A1" w14:textId="77777777" w:rsidR="0088085F" w:rsidRPr="00B81E61" w:rsidRDefault="0088085F" w:rsidP="00527F65">
            <w:pPr>
              <w:pStyle w:val="cuatexto"/>
              <w:jc w:val="left"/>
              <w:rPr>
                <w:color w:val="000000" w:themeColor="text1"/>
                <w:szCs w:val="18"/>
              </w:rPr>
            </w:pPr>
            <w:r>
              <w:rPr>
                <w:color w:val="000000" w:themeColor="text1"/>
                <w:szCs w:val="18"/>
              </w:rPr>
              <w:t>Ondare bidezko diru-sarrerak eta beste</w:t>
            </w:r>
          </w:p>
        </w:tc>
        <w:tc>
          <w:tcPr>
            <w:tcW w:w="799" w:type="dxa"/>
            <w:tcBorders>
              <w:top w:val="single" w:sz="2" w:space="0" w:color="auto"/>
              <w:bottom w:val="single" w:sz="2" w:space="0" w:color="auto"/>
            </w:tcBorders>
            <w:vAlign w:val="center"/>
          </w:tcPr>
          <w:p w14:paraId="765E4B1B" w14:textId="77777777" w:rsidR="0088085F" w:rsidRPr="00B81E61" w:rsidRDefault="0088085F" w:rsidP="00C13CE1">
            <w:pPr>
              <w:pStyle w:val="cuatexto"/>
              <w:jc w:val="right"/>
              <w:rPr>
                <w:color w:val="000000" w:themeColor="text1"/>
                <w:szCs w:val="18"/>
              </w:rPr>
            </w:pPr>
            <w:r>
              <w:rPr>
                <w:color w:val="000000" w:themeColor="text1"/>
                <w:szCs w:val="18"/>
              </w:rPr>
              <w:t>7</w:t>
            </w:r>
          </w:p>
        </w:tc>
        <w:tc>
          <w:tcPr>
            <w:tcW w:w="1019" w:type="dxa"/>
            <w:tcBorders>
              <w:top w:val="single" w:sz="2" w:space="0" w:color="auto"/>
              <w:bottom w:val="single" w:sz="2" w:space="0" w:color="auto"/>
            </w:tcBorders>
            <w:vAlign w:val="center"/>
          </w:tcPr>
          <w:p w14:paraId="1A74410C" w14:textId="77777777" w:rsidR="0088085F" w:rsidRPr="00B81E61" w:rsidRDefault="0088085F" w:rsidP="00C13CE1">
            <w:pPr>
              <w:pStyle w:val="cuatexto"/>
              <w:jc w:val="right"/>
              <w:rPr>
                <w:color w:val="000000" w:themeColor="text1"/>
                <w:szCs w:val="18"/>
              </w:rPr>
            </w:pPr>
            <w:r>
              <w:rPr>
                <w:color w:val="000000" w:themeColor="text1"/>
                <w:szCs w:val="18"/>
              </w:rPr>
              <w:t>6</w:t>
            </w:r>
          </w:p>
        </w:tc>
      </w:tr>
      <w:tr w:rsidR="0088085F" w:rsidRPr="00B81E61" w14:paraId="202BF5DC" w14:textId="77777777" w:rsidTr="002A2D86">
        <w:trPr>
          <w:trHeight w:val="198"/>
          <w:jc w:val="center"/>
        </w:trPr>
        <w:tc>
          <w:tcPr>
            <w:tcW w:w="2552" w:type="dxa"/>
            <w:tcBorders>
              <w:top w:val="single" w:sz="2" w:space="0" w:color="auto"/>
              <w:bottom w:val="single" w:sz="2" w:space="0" w:color="auto"/>
            </w:tcBorders>
            <w:vAlign w:val="center"/>
          </w:tcPr>
          <w:p w14:paraId="32326583" w14:textId="77777777" w:rsidR="0088085F" w:rsidRPr="00B81E61" w:rsidRDefault="0088085F" w:rsidP="00527F65">
            <w:pPr>
              <w:pStyle w:val="cuatexto"/>
              <w:jc w:val="left"/>
              <w:rPr>
                <w:color w:val="000000" w:themeColor="text1"/>
                <w:szCs w:val="18"/>
              </w:rPr>
            </w:pPr>
            <w:r>
              <w:rPr>
                <w:color w:val="000000" w:themeColor="text1"/>
                <w:szCs w:val="18"/>
              </w:rPr>
              <w:t>Inbertsio errealak</w:t>
            </w:r>
          </w:p>
        </w:tc>
        <w:tc>
          <w:tcPr>
            <w:tcW w:w="780" w:type="dxa"/>
            <w:tcBorders>
              <w:top w:val="single" w:sz="2" w:space="0" w:color="auto"/>
              <w:left w:val="nil"/>
              <w:bottom w:val="single" w:sz="2" w:space="0" w:color="auto"/>
              <w:right w:val="nil"/>
            </w:tcBorders>
            <w:vAlign w:val="center"/>
          </w:tcPr>
          <w:p w14:paraId="526D339F" w14:textId="77777777" w:rsidR="0088085F" w:rsidRPr="00B81E61" w:rsidRDefault="0088085F" w:rsidP="00527F65">
            <w:pPr>
              <w:pStyle w:val="cuatexto"/>
              <w:jc w:val="right"/>
              <w:rPr>
                <w:color w:val="000000" w:themeColor="text1"/>
                <w:szCs w:val="18"/>
              </w:rPr>
            </w:pPr>
            <w:r>
              <w:rPr>
                <w:color w:val="000000" w:themeColor="text1"/>
                <w:szCs w:val="18"/>
              </w:rPr>
              <w:t>15</w:t>
            </w:r>
          </w:p>
        </w:tc>
        <w:tc>
          <w:tcPr>
            <w:tcW w:w="989" w:type="dxa"/>
            <w:tcBorders>
              <w:top w:val="single" w:sz="2" w:space="0" w:color="auto"/>
              <w:left w:val="nil"/>
              <w:bottom w:val="single" w:sz="2" w:space="0" w:color="auto"/>
              <w:right w:val="single" w:sz="4" w:space="0" w:color="auto"/>
            </w:tcBorders>
            <w:vAlign w:val="center"/>
          </w:tcPr>
          <w:p w14:paraId="42623D38" w14:textId="77777777" w:rsidR="0088085F" w:rsidRPr="00B81E61" w:rsidRDefault="0088085F" w:rsidP="00527F65">
            <w:pPr>
              <w:pStyle w:val="cuatexto"/>
              <w:jc w:val="right"/>
              <w:rPr>
                <w:color w:val="000000" w:themeColor="text1"/>
                <w:szCs w:val="18"/>
              </w:rPr>
            </w:pPr>
            <w:r>
              <w:rPr>
                <w:color w:val="000000" w:themeColor="text1"/>
                <w:szCs w:val="18"/>
              </w:rPr>
              <w:t>21</w:t>
            </w:r>
          </w:p>
        </w:tc>
        <w:tc>
          <w:tcPr>
            <w:tcW w:w="2622" w:type="dxa"/>
            <w:tcBorders>
              <w:top w:val="single" w:sz="2" w:space="0" w:color="auto"/>
              <w:left w:val="single" w:sz="4" w:space="0" w:color="auto"/>
              <w:bottom w:val="single" w:sz="2" w:space="0" w:color="auto"/>
            </w:tcBorders>
            <w:vAlign w:val="center"/>
          </w:tcPr>
          <w:p w14:paraId="4DD35ABF" w14:textId="77777777" w:rsidR="0088085F" w:rsidRPr="00B81E61" w:rsidRDefault="0088085F" w:rsidP="00527F65">
            <w:pPr>
              <w:pStyle w:val="cuatexto"/>
              <w:jc w:val="left"/>
              <w:rPr>
                <w:color w:val="000000" w:themeColor="text1"/>
                <w:szCs w:val="18"/>
              </w:rPr>
            </w:pPr>
            <w:r>
              <w:rPr>
                <w:color w:val="000000" w:themeColor="text1"/>
                <w:szCs w:val="18"/>
              </w:rPr>
              <w:t>Inbertsioak besterentzea</w:t>
            </w:r>
          </w:p>
        </w:tc>
        <w:tc>
          <w:tcPr>
            <w:tcW w:w="799" w:type="dxa"/>
            <w:tcBorders>
              <w:top w:val="single" w:sz="2" w:space="0" w:color="auto"/>
              <w:bottom w:val="single" w:sz="2" w:space="0" w:color="auto"/>
            </w:tcBorders>
            <w:vAlign w:val="center"/>
          </w:tcPr>
          <w:p w14:paraId="404D1D37" w14:textId="77777777" w:rsidR="0088085F" w:rsidRPr="00B81E61" w:rsidRDefault="0088085F" w:rsidP="00C13CE1">
            <w:pPr>
              <w:pStyle w:val="cuatexto"/>
              <w:jc w:val="right"/>
              <w:rPr>
                <w:color w:val="000000" w:themeColor="text1"/>
                <w:szCs w:val="18"/>
              </w:rPr>
            </w:pPr>
            <w:r>
              <w:rPr>
                <w:color w:val="000000" w:themeColor="text1"/>
                <w:szCs w:val="18"/>
              </w:rPr>
              <w:t>1</w:t>
            </w:r>
          </w:p>
        </w:tc>
        <w:tc>
          <w:tcPr>
            <w:tcW w:w="1019" w:type="dxa"/>
            <w:tcBorders>
              <w:top w:val="single" w:sz="2" w:space="0" w:color="auto"/>
              <w:bottom w:val="single" w:sz="2" w:space="0" w:color="auto"/>
            </w:tcBorders>
            <w:vAlign w:val="center"/>
          </w:tcPr>
          <w:p w14:paraId="696699ED" w14:textId="77777777" w:rsidR="0088085F" w:rsidRPr="00B81E61" w:rsidRDefault="0088085F" w:rsidP="00C13CE1">
            <w:pPr>
              <w:pStyle w:val="cuatexto"/>
              <w:jc w:val="right"/>
              <w:rPr>
                <w:color w:val="000000" w:themeColor="text1"/>
                <w:szCs w:val="18"/>
              </w:rPr>
            </w:pPr>
            <w:r>
              <w:rPr>
                <w:color w:val="000000" w:themeColor="text1"/>
                <w:szCs w:val="18"/>
              </w:rPr>
              <w:t>1</w:t>
            </w:r>
          </w:p>
        </w:tc>
      </w:tr>
      <w:tr w:rsidR="0088085F" w:rsidRPr="00B81E61" w14:paraId="64E962F7" w14:textId="77777777" w:rsidTr="002A2D86">
        <w:trPr>
          <w:trHeight w:val="198"/>
          <w:jc w:val="center"/>
        </w:trPr>
        <w:tc>
          <w:tcPr>
            <w:tcW w:w="2552" w:type="dxa"/>
            <w:tcBorders>
              <w:top w:val="single" w:sz="2" w:space="0" w:color="auto"/>
              <w:bottom w:val="single" w:sz="2" w:space="0" w:color="auto"/>
            </w:tcBorders>
            <w:vAlign w:val="center"/>
          </w:tcPr>
          <w:p w14:paraId="5183CDD1" w14:textId="77777777" w:rsidR="0088085F" w:rsidRPr="00B81E61" w:rsidRDefault="0088085F" w:rsidP="00527F65">
            <w:pPr>
              <w:pStyle w:val="cuatexto"/>
              <w:jc w:val="left"/>
              <w:rPr>
                <w:color w:val="000000" w:themeColor="text1"/>
                <w:szCs w:val="18"/>
              </w:rPr>
            </w:pPr>
            <w:r>
              <w:rPr>
                <w:color w:val="000000" w:themeColor="text1"/>
                <w:szCs w:val="18"/>
              </w:rPr>
              <w:t>Finantza-zama</w:t>
            </w:r>
          </w:p>
        </w:tc>
        <w:tc>
          <w:tcPr>
            <w:tcW w:w="780" w:type="dxa"/>
            <w:tcBorders>
              <w:top w:val="single" w:sz="2" w:space="0" w:color="auto"/>
              <w:left w:val="nil"/>
              <w:bottom w:val="single" w:sz="2" w:space="0" w:color="auto"/>
              <w:right w:val="nil"/>
            </w:tcBorders>
            <w:vAlign w:val="center"/>
          </w:tcPr>
          <w:p w14:paraId="487B9D0C" w14:textId="77777777" w:rsidR="0088085F" w:rsidRPr="00B81E61" w:rsidRDefault="0088085F" w:rsidP="00527F65">
            <w:pPr>
              <w:pStyle w:val="cuatexto"/>
              <w:jc w:val="right"/>
              <w:rPr>
                <w:color w:val="000000" w:themeColor="text1"/>
                <w:szCs w:val="18"/>
              </w:rPr>
            </w:pPr>
            <w:r>
              <w:rPr>
                <w:color w:val="000000" w:themeColor="text1"/>
                <w:szCs w:val="18"/>
              </w:rPr>
              <w:t>4</w:t>
            </w:r>
          </w:p>
        </w:tc>
        <w:tc>
          <w:tcPr>
            <w:tcW w:w="989" w:type="dxa"/>
            <w:tcBorders>
              <w:top w:val="single" w:sz="2" w:space="0" w:color="auto"/>
              <w:left w:val="nil"/>
              <w:bottom w:val="single" w:sz="2" w:space="0" w:color="auto"/>
              <w:right w:val="single" w:sz="4" w:space="0" w:color="auto"/>
            </w:tcBorders>
            <w:vAlign w:val="center"/>
          </w:tcPr>
          <w:p w14:paraId="4944B232" w14:textId="77777777" w:rsidR="0088085F" w:rsidRPr="00B81E61" w:rsidRDefault="0088085F" w:rsidP="00527F65">
            <w:pPr>
              <w:pStyle w:val="cuatexto"/>
              <w:jc w:val="right"/>
              <w:rPr>
                <w:color w:val="000000" w:themeColor="text1"/>
                <w:szCs w:val="18"/>
              </w:rPr>
            </w:pPr>
            <w:r>
              <w:rPr>
                <w:color w:val="000000" w:themeColor="text1"/>
                <w:szCs w:val="18"/>
              </w:rPr>
              <w:t>3</w:t>
            </w:r>
          </w:p>
        </w:tc>
        <w:tc>
          <w:tcPr>
            <w:tcW w:w="2622" w:type="dxa"/>
            <w:tcBorders>
              <w:top w:val="single" w:sz="2" w:space="0" w:color="auto"/>
              <w:left w:val="single" w:sz="4" w:space="0" w:color="auto"/>
              <w:bottom w:val="single" w:sz="2" w:space="0" w:color="auto"/>
            </w:tcBorders>
            <w:vAlign w:val="center"/>
          </w:tcPr>
          <w:p w14:paraId="6B750406" w14:textId="77777777" w:rsidR="0088085F" w:rsidRPr="00B81E61" w:rsidRDefault="0088085F" w:rsidP="00527F65">
            <w:pPr>
              <w:pStyle w:val="cuatexto"/>
              <w:jc w:val="left"/>
              <w:rPr>
                <w:color w:val="000000" w:themeColor="text1"/>
                <w:szCs w:val="18"/>
                <w:lang w:val="es-ES" w:eastAsia="es-ES"/>
              </w:rPr>
            </w:pPr>
          </w:p>
        </w:tc>
        <w:tc>
          <w:tcPr>
            <w:tcW w:w="799" w:type="dxa"/>
            <w:tcBorders>
              <w:top w:val="single" w:sz="2" w:space="0" w:color="auto"/>
              <w:bottom w:val="single" w:sz="2" w:space="0" w:color="auto"/>
            </w:tcBorders>
            <w:vAlign w:val="center"/>
          </w:tcPr>
          <w:p w14:paraId="03284E8C" w14:textId="77777777" w:rsidR="0088085F" w:rsidRPr="00B81E61" w:rsidRDefault="0088085F" w:rsidP="00C13CE1">
            <w:pPr>
              <w:pStyle w:val="cuatexto"/>
              <w:jc w:val="right"/>
              <w:rPr>
                <w:color w:val="000000" w:themeColor="text1"/>
                <w:szCs w:val="18"/>
                <w:lang w:val="es-ES" w:eastAsia="es-ES"/>
              </w:rPr>
            </w:pPr>
          </w:p>
        </w:tc>
        <w:tc>
          <w:tcPr>
            <w:tcW w:w="1019" w:type="dxa"/>
            <w:tcBorders>
              <w:top w:val="single" w:sz="2" w:space="0" w:color="auto"/>
              <w:bottom w:val="single" w:sz="2" w:space="0" w:color="auto"/>
            </w:tcBorders>
            <w:vAlign w:val="center"/>
          </w:tcPr>
          <w:p w14:paraId="3C5A07C8" w14:textId="77777777" w:rsidR="0088085F" w:rsidRPr="00B81E61" w:rsidRDefault="0088085F" w:rsidP="00C13CE1">
            <w:pPr>
              <w:pStyle w:val="cuatexto"/>
              <w:jc w:val="right"/>
              <w:rPr>
                <w:color w:val="000000" w:themeColor="text1"/>
                <w:szCs w:val="18"/>
                <w:lang w:val="es-ES" w:eastAsia="es-ES"/>
              </w:rPr>
            </w:pPr>
          </w:p>
        </w:tc>
      </w:tr>
      <w:tr w:rsidR="0088085F" w:rsidRPr="00B81E61" w14:paraId="3CC9C8A1" w14:textId="77777777" w:rsidTr="002A2D86">
        <w:trPr>
          <w:trHeight w:val="255"/>
          <w:jc w:val="center"/>
        </w:trPr>
        <w:tc>
          <w:tcPr>
            <w:tcW w:w="2552" w:type="dxa"/>
            <w:shd w:val="clear" w:color="auto" w:fill="FABF8F" w:themeFill="accent6" w:themeFillTint="99"/>
            <w:vAlign w:val="center"/>
          </w:tcPr>
          <w:p w14:paraId="6886905E" w14:textId="77777777" w:rsidR="0088085F" w:rsidRPr="00B81E61" w:rsidRDefault="0088085F" w:rsidP="00527F65">
            <w:pPr>
              <w:pStyle w:val="cuadroCabe"/>
              <w:jc w:val="left"/>
              <w:rPr>
                <w:color w:val="000000" w:themeColor="text1"/>
                <w:lang w:val="es-ES" w:eastAsia="es-ES"/>
              </w:rPr>
            </w:pPr>
          </w:p>
        </w:tc>
        <w:tc>
          <w:tcPr>
            <w:tcW w:w="780" w:type="dxa"/>
            <w:tcBorders>
              <w:right w:val="nil"/>
            </w:tcBorders>
            <w:shd w:val="clear" w:color="auto" w:fill="FABF8F" w:themeFill="accent6" w:themeFillTint="99"/>
            <w:vAlign w:val="center"/>
          </w:tcPr>
          <w:p w14:paraId="0D5D62E8" w14:textId="77777777" w:rsidR="0088085F" w:rsidRPr="00B81E61" w:rsidRDefault="0088085F" w:rsidP="00527F65">
            <w:pPr>
              <w:pStyle w:val="cuadroCabe"/>
              <w:jc w:val="right"/>
              <w:rPr>
                <w:color w:val="000000" w:themeColor="text1"/>
              </w:rPr>
            </w:pPr>
            <w:r>
              <w:rPr>
                <w:color w:val="000000" w:themeColor="text1"/>
              </w:rPr>
              <w:t>100</w:t>
            </w:r>
          </w:p>
        </w:tc>
        <w:tc>
          <w:tcPr>
            <w:tcW w:w="989" w:type="dxa"/>
            <w:tcBorders>
              <w:left w:val="nil"/>
              <w:right w:val="single" w:sz="4" w:space="0" w:color="auto"/>
            </w:tcBorders>
            <w:shd w:val="clear" w:color="auto" w:fill="FABF8F" w:themeFill="accent6" w:themeFillTint="99"/>
            <w:vAlign w:val="center"/>
          </w:tcPr>
          <w:p w14:paraId="52A82251" w14:textId="77777777" w:rsidR="0088085F" w:rsidRPr="00B81E61" w:rsidRDefault="0088085F" w:rsidP="00527F65">
            <w:pPr>
              <w:pStyle w:val="cuadroCabe"/>
              <w:jc w:val="right"/>
              <w:rPr>
                <w:color w:val="000000" w:themeColor="text1"/>
              </w:rPr>
            </w:pPr>
            <w:r>
              <w:rPr>
                <w:color w:val="000000" w:themeColor="text1"/>
              </w:rPr>
              <w:t>100</w:t>
            </w:r>
          </w:p>
        </w:tc>
        <w:tc>
          <w:tcPr>
            <w:tcW w:w="2622" w:type="dxa"/>
            <w:tcBorders>
              <w:left w:val="single" w:sz="4" w:space="0" w:color="auto"/>
            </w:tcBorders>
            <w:shd w:val="clear" w:color="auto" w:fill="FABF8F" w:themeFill="accent6" w:themeFillTint="99"/>
            <w:vAlign w:val="center"/>
          </w:tcPr>
          <w:p w14:paraId="17395492" w14:textId="77777777" w:rsidR="0088085F" w:rsidRPr="00B81E61" w:rsidRDefault="0088085F" w:rsidP="00527F65">
            <w:pPr>
              <w:pStyle w:val="cuadroCabe"/>
              <w:jc w:val="left"/>
              <w:rPr>
                <w:color w:val="000000" w:themeColor="text1"/>
                <w:lang w:val="es-ES" w:eastAsia="es-ES"/>
              </w:rPr>
            </w:pPr>
          </w:p>
        </w:tc>
        <w:tc>
          <w:tcPr>
            <w:tcW w:w="799" w:type="dxa"/>
            <w:shd w:val="clear" w:color="auto" w:fill="FABF8F" w:themeFill="accent6" w:themeFillTint="99"/>
            <w:vAlign w:val="center"/>
          </w:tcPr>
          <w:p w14:paraId="0D6E2209" w14:textId="77777777" w:rsidR="0088085F" w:rsidRPr="00B81E61" w:rsidRDefault="0088085F" w:rsidP="00C13CE1">
            <w:pPr>
              <w:pStyle w:val="cuadroCabe"/>
              <w:jc w:val="right"/>
              <w:rPr>
                <w:color w:val="000000" w:themeColor="text1"/>
              </w:rPr>
            </w:pPr>
            <w:r>
              <w:rPr>
                <w:color w:val="000000" w:themeColor="text1"/>
              </w:rPr>
              <w:t>100</w:t>
            </w:r>
          </w:p>
        </w:tc>
        <w:tc>
          <w:tcPr>
            <w:tcW w:w="1019" w:type="dxa"/>
            <w:shd w:val="clear" w:color="auto" w:fill="FABF8F" w:themeFill="accent6" w:themeFillTint="99"/>
            <w:vAlign w:val="center"/>
          </w:tcPr>
          <w:p w14:paraId="551C6133" w14:textId="77777777" w:rsidR="0088085F" w:rsidRPr="00B81E61" w:rsidRDefault="0088085F" w:rsidP="00C13CE1">
            <w:pPr>
              <w:pStyle w:val="cuadroCabe"/>
              <w:jc w:val="right"/>
              <w:rPr>
                <w:color w:val="000000" w:themeColor="text1"/>
              </w:rPr>
            </w:pPr>
            <w:r>
              <w:rPr>
                <w:color w:val="000000" w:themeColor="text1"/>
              </w:rPr>
              <w:t>100</w:t>
            </w:r>
          </w:p>
        </w:tc>
      </w:tr>
    </w:tbl>
    <w:p w14:paraId="24229FEE" w14:textId="77777777" w:rsidR="0088085F" w:rsidRPr="00262228" w:rsidRDefault="0088085F" w:rsidP="00CF6E96">
      <w:pPr>
        <w:pStyle w:val="texto"/>
        <w:spacing w:before="200" w:after="120"/>
      </w:pPr>
      <w:r>
        <w:t xml:space="preserve">Antzeman daitekeen bezala, ekitaldi batetik besterako aldeak ez dira nabarmenak, baina gastuak inbertsioetan duen pisua igo egin da (sei puntu), eta konpentsatu egin da, behera egin dutelako langileen gastuen pisuak eta ondasun eta zerbitzuetako gastu arruntenak, puntu bat eta hiru puntu hurrenez hurren, eta finantza-zamarenak,  ehuneko-puntu bat; diru-sarreretan, zerga bidezko diru-sarreren pisua eta ondare bidezkoena ehuneko-puntu bana murriztu da, eta konpentsatu egin da transferentziengatiko diru-sarrerek izandako igoerarekin. </w:t>
      </w:r>
    </w:p>
    <w:p w14:paraId="5F5E4653" w14:textId="77777777" w:rsidR="0088085F" w:rsidRPr="00262228" w:rsidRDefault="0088085F" w:rsidP="00CF6E96">
      <w:pPr>
        <w:pStyle w:val="texto"/>
        <w:spacing w:after="120"/>
      </w:pPr>
      <w:r>
        <w:t>Inbertsioetako gastuek eta transferentziengatiko diru-sarrerek —batez ere kapital-transferentzien bidezkoek— izandako gehikuntza 2017-2019 aldirako Toki Inbertsioen Planaren betearazpenari zor zaio. Izan ere, 2019an 20 milioiko funts gehigarriak jarri ziren plan horretan, finantza aldetik jasangarriak diren inbertsioak finantzatzeko.</w:t>
      </w:r>
    </w:p>
    <w:p w14:paraId="3EBCC853" w14:textId="77777777" w:rsidR="0088085F" w:rsidRPr="00262228" w:rsidRDefault="0088085F" w:rsidP="00CF6E96">
      <w:pPr>
        <w:pStyle w:val="texto"/>
        <w:spacing w:after="120"/>
      </w:pPr>
      <w:r>
        <w:t>Jarraian, toki entitateen finantza egoeraren adierazle batzuek 2015-2019 aldian zehar izan duten bilakaera ageri da:</w:t>
      </w:r>
    </w:p>
    <w:p w14:paraId="6B5E00C0" w14:textId="77777777" w:rsidR="0088085F" w:rsidRPr="00760196" w:rsidRDefault="0088085F" w:rsidP="0088085F">
      <w:pPr>
        <w:pStyle w:val="texto"/>
        <w:spacing w:before="100" w:after="60"/>
        <w:jc w:val="right"/>
        <w:rPr>
          <w:rFonts w:ascii="Arial" w:hAnsi="Arial" w:cs="Arial"/>
          <w:color w:val="000000" w:themeColor="text1"/>
          <w:sz w:val="17"/>
          <w:szCs w:val="17"/>
        </w:rPr>
      </w:pPr>
      <w:r>
        <w:rPr>
          <w:rFonts w:ascii="Arial" w:hAnsi="Arial"/>
          <w:color w:val="000000" w:themeColor="text1"/>
          <w:sz w:val="17"/>
          <w:szCs w:val="17"/>
        </w:rPr>
        <w:t>(milioitan)</w:t>
      </w:r>
    </w:p>
    <w:tbl>
      <w:tblPr>
        <w:tblW w:w="5000" w:type="pct"/>
        <w:jc w:val="center"/>
        <w:tblCellMar>
          <w:left w:w="70" w:type="dxa"/>
          <w:right w:w="70" w:type="dxa"/>
        </w:tblCellMar>
        <w:tblLook w:val="04A0" w:firstRow="1" w:lastRow="0" w:firstColumn="1" w:lastColumn="0" w:noHBand="0" w:noVBand="1"/>
      </w:tblPr>
      <w:tblGrid>
        <w:gridCol w:w="2948"/>
        <w:gridCol w:w="913"/>
        <w:gridCol w:w="670"/>
        <w:gridCol w:w="670"/>
        <w:gridCol w:w="706"/>
        <w:gridCol w:w="665"/>
        <w:gridCol w:w="761"/>
        <w:gridCol w:w="761"/>
        <w:gridCol w:w="695"/>
      </w:tblGrid>
      <w:tr w:rsidR="0088085F" w:rsidRPr="00B81E61" w14:paraId="19DC5A3B" w14:textId="77777777" w:rsidTr="008A5DF5">
        <w:trPr>
          <w:trHeight w:val="227"/>
          <w:jc w:val="center"/>
        </w:trPr>
        <w:tc>
          <w:tcPr>
            <w:tcW w:w="1678" w:type="pct"/>
            <w:tcBorders>
              <w:top w:val="single" w:sz="4" w:space="0" w:color="auto"/>
              <w:left w:val="nil"/>
              <w:bottom w:val="single" w:sz="4" w:space="0" w:color="auto"/>
              <w:right w:val="nil"/>
            </w:tcBorders>
            <w:shd w:val="clear" w:color="000000" w:fill="FABF8F"/>
            <w:vAlign w:val="center"/>
            <w:hideMark/>
          </w:tcPr>
          <w:p w14:paraId="104FB579" w14:textId="77777777" w:rsidR="0088085F" w:rsidRPr="00B81E61" w:rsidRDefault="0088085F" w:rsidP="00C13CE1">
            <w:pPr>
              <w:pStyle w:val="cuadroCabe"/>
              <w:rPr>
                <w:color w:val="000000" w:themeColor="text1"/>
                <w:sz w:val="16"/>
                <w:szCs w:val="16"/>
              </w:rPr>
            </w:pPr>
            <w:r>
              <w:rPr>
                <w:color w:val="000000" w:themeColor="text1"/>
                <w:sz w:val="16"/>
                <w:szCs w:val="16"/>
              </w:rPr>
              <w:t>Adierazleak</w:t>
            </w:r>
          </w:p>
        </w:tc>
        <w:tc>
          <w:tcPr>
            <w:tcW w:w="520" w:type="pct"/>
            <w:tcBorders>
              <w:top w:val="single" w:sz="4" w:space="0" w:color="auto"/>
              <w:left w:val="nil"/>
              <w:bottom w:val="single" w:sz="4" w:space="0" w:color="auto"/>
              <w:right w:val="nil"/>
            </w:tcBorders>
            <w:shd w:val="clear" w:color="000000" w:fill="FABF8F"/>
            <w:vAlign w:val="center"/>
            <w:hideMark/>
          </w:tcPr>
          <w:p w14:paraId="5CF18FD6"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2015</w:t>
            </w:r>
          </w:p>
        </w:tc>
        <w:tc>
          <w:tcPr>
            <w:tcW w:w="382" w:type="pct"/>
            <w:tcBorders>
              <w:top w:val="single" w:sz="4" w:space="0" w:color="auto"/>
              <w:left w:val="nil"/>
              <w:bottom w:val="single" w:sz="4" w:space="0" w:color="auto"/>
              <w:right w:val="nil"/>
            </w:tcBorders>
            <w:shd w:val="clear" w:color="000000" w:fill="FABF8F"/>
            <w:vAlign w:val="center"/>
            <w:hideMark/>
          </w:tcPr>
          <w:p w14:paraId="3A27FD61"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2016</w:t>
            </w:r>
          </w:p>
        </w:tc>
        <w:tc>
          <w:tcPr>
            <w:tcW w:w="382" w:type="pct"/>
            <w:tcBorders>
              <w:top w:val="single" w:sz="4" w:space="0" w:color="auto"/>
              <w:left w:val="nil"/>
              <w:bottom w:val="single" w:sz="4" w:space="0" w:color="auto"/>
              <w:right w:val="nil"/>
            </w:tcBorders>
            <w:shd w:val="clear" w:color="000000" w:fill="FABF8F"/>
            <w:vAlign w:val="center"/>
            <w:hideMark/>
          </w:tcPr>
          <w:p w14:paraId="2B3036A6"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2017</w:t>
            </w:r>
          </w:p>
        </w:tc>
        <w:tc>
          <w:tcPr>
            <w:tcW w:w="402" w:type="pct"/>
            <w:tcBorders>
              <w:top w:val="single" w:sz="4" w:space="0" w:color="auto"/>
              <w:left w:val="nil"/>
              <w:bottom w:val="single" w:sz="4" w:space="0" w:color="auto"/>
              <w:right w:val="nil"/>
            </w:tcBorders>
            <w:shd w:val="clear" w:color="000000" w:fill="FABF8F"/>
            <w:vAlign w:val="center"/>
            <w:hideMark/>
          </w:tcPr>
          <w:p w14:paraId="73AD51EC"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2018</w:t>
            </w:r>
          </w:p>
        </w:tc>
        <w:tc>
          <w:tcPr>
            <w:tcW w:w="379" w:type="pct"/>
            <w:tcBorders>
              <w:top w:val="single" w:sz="4" w:space="0" w:color="auto"/>
              <w:left w:val="nil"/>
              <w:bottom w:val="single" w:sz="4" w:space="0" w:color="auto"/>
              <w:right w:val="nil"/>
            </w:tcBorders>
            <w:shd w:val="clear" w:color="000000" w:fill="FABF8F"/>
            <w:vAlign w:val="center"/>
          </w:tcPr>
          <w:p w14:paraId="5B2CBFD9"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2019</w:t>
            </w:r>
          </w:p>
        </w:tc>
        <w:tc>
          <w:tcPr>
            <w:tcW w:w="429" w:type="pct"/>
            <w:tcBorders>
              <w:top w:val="single" w:sz="4" w:space="0" w:color="auto"/>
              <w:left w:val="nil"/>
              <w:bottom w:val="single" w:sz="4" w:space="0" w:color="auto"/>
              <w:right w:val="nil"/>
            </w:tcBorders>
            <w:shd w:val="clear" w:color="000000" w:fill="FABF8F"/>
            <w:vAlign w:val="center"/>
            <w:hideMark/>
          </w:tcPr>
          <w:p w14:paraId="5EC8BE13" w14:textId="77777777" w:rsidR="0088085F" w:rsidRPr="00B81E61" w:rsidRDefault="0088085F" w:rsidP="00CF6E96">
            <w:pPr>
              <w:pStyle w:val="cuadroCabe"/>
              <w:tabs>
                <w:tab w:val="left" w:pos="210"/>
              </w:tabs>
              <w:rPr>
                <w:color w:val="000000" w:themeColor="text1"/>
                <w:sz w:val="16"/>
                <w:szCs w:val="16"/>
              </w:rPr>
            </w:pPr>
            <w:r>
              <w:rPr>
                <w:color w:val="000000" w:themeColor="text1"/>
                <w:sz w:val="16"/>
                <w:szCs w:val="16"/>
              </w:rPr>
              <w:t>2019/15 aldea (%)</w:t>
            </w:r>
          </w:p>
        </w:tc>
        <w:tc>
          <w:tcPr>
            <w:tcW w:w="432" w:type="pct"/>
            <w:tcBorders>
              <w:top w:val="single" w:sz="4" w:space="0" w:color="auto"/>
              <w:left w:val="nil"/>
              <w:bottom w:val="single" w:sz="4" w:space="0" w:color="auto"/>
              <w:right w:val="nil"/>
            </w:tcBorders>
            <w:shd w:val="clear" w:color="000000" w:fill="FABF8F"/>
            <w:vAlign w:val="center"/>
            <w:hideMark/>
          </w:tcPr>
          <w:p w14:paraId="5630BB5D"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2019/18 aldea (%)</w:t>
            </w:r>
          </w:p>
        </w:tc>
        <w:tc>
          <w:tcPr>
            <w:tcW w:w="396" w:type="pct"/>
            <w:tcBorders>
              <w:top w:val="single" w:sz="4" w:space="0" w:color="auto"/>
              <w:left w:val="nil"/>
              <w:bottom w:val="single" w:sz="4" w:space="0" w:color="auto"/>
              <w:right w:val="nil"/>
            </w:tcBorders>
            <w:shd w:val="clear" w:color="000000" w:fill="FABF8F"/>
            <w:vAlign w:val="center"/>
          </w:tcPr>
          <w:p w14:paraId="2690BE2C" w14:textId="77777777" w:rsidR="0088085F" w:rsidRPr="00B81E61" w:rsidRDefault="0088085F" w:rsidP="00C13CE1">
            <w:pPr>
              <w:pStyle w:val="cuadroCabe"/>
              <w:tabs>
                <w:tab w:val="left" w:pos="210"/>
              </w:tabs>
              <w:jc w:val="right"/>
              <w:rPr>
                <w:color w:val="000000" w:themeColor="text1"/>
                <w:sz w:val="16"/>
                <w:szCs w:val="16"/>
              </w:rPr>
            </w:pPr>
            <w:r>
              <w:rPr>
                <w:color w:val="000000" w:themeColor="text1"/>
                <w:sz w:val="16"/>
                <w:szCs w:val="16"/>
              </w:rPr>
              <w:t>2019 (*)</w:t>
            </w:r>
          </w:p>
        </w:tc>
      </w:tr>
      <w:tr w:rsidR="0088085F" w:rsidRPr="00CF6E96" w14:paraId="3BDB63F4" w14:textId="77777777" w:rsidTr="006A6C4E">
        <w:trPr>
          <w:trHeight w:hRule="exact" w:val="238"/>
          <w:jc w:val="center"/>
        </w:trPr>
        <w:tc>
          <w:tcPr>
            <w:tcW w:w="1678" w:type="pct"/>
            <w:tcBorders>
              <w:top w:val="single" w:sz="4" w:space="0" w:color="auto"/>
              <w:left w:val="nil"/>
              <w:bottom w:val="single" w:sz="2" w:space="0" w:color="auto"/>
              <w:right w:val="nil"/>
            </w:tcBorders>
            <w:shd w:val="clear" w:color="auto" w:fill="auto"/>
            <w:vAlign w:val="center"/>
            <w:hideMark/>
          </w:tcPr>
          <w:p w14:paraId="357E3E69"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Diru-sarrerak, guztira</w:t>
            </w:r>
          </w:p>
        </w:tc>
        <w:tc>
          <w:tcPr>
            <w:tcW w:w="520" w:type="pct"/>
            <w:tcBorders>
              <w:top w:val="single" w:sz="4" w:space="0" w:color="auto"/>
              <w:left w:val="nil"/>
              <w:bottom w:val="single" w:sz="2" w:space="0" w:color="auto"/>
              <w:right w:val="nil"/>
            </w:tcBorders>
            <w:shd w:val="clear" w:color="auto" w:fill="auto"/>
            <w:vAlign w:val="center"/>
            <w:hideMark/>
          </w:tcPr>
          <w:p w14:paraId="472D05BB"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751,27</w:t>
            </w:r>
          </w:p>
        </w:tc>
        <w:tc>
          <w:tcPr>
            <w:tcW w:w="382" w:type="pct"/>
            <w:tcBorders>
              <w:top w:val="single" w:sz="4" w:space="0" w:color="auto"/>
              <w:left w:val="nil"/>
              <w:bottom w:val="single" w:sz="2" w:space="0" w:color="auto"/>
              <w:right w:val="nil"/>
            </w:tcBorders>
            <w:shd w:val="clear" w:color="auto" w:fill="auto"/>
            <w:vAlign w:val="center"/>
            <w:hideMark/>
          </w:tcPr>
          <w:p w14:paraId="2541AAA1"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765,30</w:t>
            </w:r>
          </w:p>
        </w:tc>
        <w:tc>
          <w:tcPr>
            <w:tcW w:w="382" w:type="pct"/>
            <w:tcBorders>
              <w:top w:val="single" w:sz="4" w:space="0" w:color="auto"/>
              <w:left w:val="nil"/>
              <w:bottom w:val="single" w:sz="2" w:space="0" w:color="auto"/>
              <w:right w:val="nil"/>
            </w:tcBorders>
            <w:shd w:val="clear" w:color="auto" w:fill="auto"/>
            <w:vAlign w:val="center"/>
            <w:hideMark/>
          </w:tcPr>
          <w:p w14:paraId="633BB83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784,48</w:t>
            </w:r>
          </w:p>
        </w:tc>
        <w:tc>
          <w:tcPr>
            <w:tcW w:w="402" w:type="pct"/>
            <w:tcBorders>
              <w:top w:val="single" w:sz="4" w:space="0" w:color="auto"/>
              <w:left w:val="nil"/>
              <w:bottom w:val="single" w:sz="2" w:space="0" w:color="auto"/>
              <w:right w:val="nil"/>
            </w:tcBorders>
            <w:shd w:val="clear" w:color="auto" w:fill="auto"/>
            <w:vAlign w:val="center"/>
            <w:hideMark/>
          </w:tcPr>
          <w:p w14:paraId="05169B4E"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839,48</w:t>
            </w:r>
          </w:p>
        </w:tc>
        <w:tc>
          <w:tcPr>
            <w:tcW w:w="379" w:type="pct"/>
            <w:tcBorders>
              <w:top w:val="single" w:sz="4" w:space="0" w:color="auto"/>
              <w:left w:val="nil"/>
              <w:bottom w:val="single" w:sz="2" w:space="0" w:color="auto"/>
              <w:right w:val="nil"/>
            </w:tcBorders>
            <w:shd w:val="clear" w:color="auto" w:fill="auto"/>
            <w:vAlign w:val="center"/>
          </w:tcPr>
          <w:p w14:paraId="4F50AED7" w14:textId="77777777" w:rsidR="0088085F" w:rsidRPr="00CF6E96" w:rsidRDefault="0088085F" w:rsidP="00C13CE1">
            <w:pPr>
              <w:tabs>
                <w:tab w:val="left" w:pos="210"/>
              </w:tabs>
              <w:spacing w:after="0"/>
              <w:ind w:firstLine="0"/>
              <w:jc w:val="right"/>
              <w:rPr>
                <w:rFonts w:ascii="Arial Narrow" w:hAnsi="Arial Narrow" w:cs="Calibri"/>
                <w:color w:val="000000"/>
                <w:sz w:val="19"/>
                <w:szCs w:val="19"/>
              </w:rPr>
            </w:pPr>
            <w:r>
              <w:rPr>
                <w:rFonts w:ascii="Arial Narrow" w:hAnsi="Arial Narrow"/>
                <w:color w:val="000000"/>
                <w:sz w:val="19"/>
                <w:szCs w:val="19"/>
              </w:rPr>
              <w:t>891,40</w:t>
            </w:r>
          </w:p>
        </w:tc>
        <w:tc>
          <w:tcPr>
            <w:tcW w:w="429" w:type="pct"/>
            <w:tcBorders>
              <w:top w:val="single" w:sz="4" w:space="0" w:color="auto"/>
              <w:left w:val="nil"/>
              <w:bottom w:val="single" w:sz="2" w:space="0" w:color="auto"/>
              <w:right w:val="nil"/>
            </w:tcBorders>
            <w:shd w:val="clear" w:color="auto" w:fill="auto"/>
            <w:vAlign w:val="center"/>
            <w:hideMark/>
          </w:tcPr>
          <w:p w14:paraId="65504E16" w14:textId="77777777" w:rsidR="0088085F" w:rsidRPr="00CF6E96" w:rsidRDefault="0088085F" w:rsidP="00C13CE1">
            <w:pPr>
              <w:tabs>
                <w:tab w:val="left" w:pos="210"/>
              </w:tabs>
              <w:spacing w:after="0"/>
              <w:ind w:firstLine="0"/>
              <w:jc w:val="right"/>
              <w:rPr>
                <w:rFonts w:ascii="Arial Narrow" w:hAnsi="Arial Narrow" w:cs="Calibri"/>
                <w:sz w:val="19"/>
                <w:szCs w:val="19"/>
              </w:rPr>
            </w:pPr>
            <w:r>
              <w:rPr>
                <w:rFonts w:ascii="Arial Narrow" w:hAnsi="Arial Narrow"/>
                <w:sz w:val="19"/>
                <w:szCs w:val="19"/>
              </w:rPr>
              <w:t>19</w:t>
            </w:r>
          </w:p>
        </w:tc>
        <w:tc>
          <w:tcPr>
            <w:tcW w:w="432" w:type="pct"/>
            <w:tcBorders>
              <w:top w:val="single" w:sz="4" w:space="0" w:color="auto"/>
              <w:left w:val="nil"/>
              <w:bottom w:val="single" w:sz="2" w:space="0" w:color="auto"/>
              <w:right w:val="nil"/>
            </w:tcBorders>
            <w:shd w:val="clear" w:color="auto" w:fill="auto"/>
            <w:vAlign w:val="center"/>
            <w:hideMark/>
          </w:tcPr>
          <w:p w14:paraId="54D095FB" w14:textId="77777777" w:rsidR="0088085F" w:rsidRPr="00CF6E96" w:rsidRDefault="0088085F" w:rsidP="00C13CE1">
            <w:pPr>
              <w:tabs>
                <w:tab w:val="left" w:pos="210"/>
              </w:tabs>
              <w:spacing w:after="0"/>
              <w:ind w:firstLine="0"/>
              <w:jc w:val="right"/>
              <w:rPr>
                <w:rFonts w:ascii="Arial Narrow" w:hAnsi="Arial Narrow" w:cs="Calibri"/>
                <w:sz w:val="19"/>
                <w:szCs w:val="19"/>
              </w:rPr>
            </w:pPr>
            <w:r>
              <w:rPr>
                <w:rFonts w:ascii="Arial Narrow" w:hAnsi="Arial Narrow"/>
                <w:sz w:val="19"/>
                <w:szCs w:val="19"/>
              </w:rPr>
              <w:t>6</w:t>
            </w:r>
          </w:p>
        </w:tc>
        <w:tc>
          <w:tcPr>
            <w:tcW w:w="396" w:type="pct"/>
            <w:tcBorders>
              <w:top w:val="single" w:sz="4" w:space="0" w:color="auto"/>
              <w:left w:val="nil"/>
              <w:bottom w:val="single" w:sz="2" w:space="0" w:color="auto"/>
              <w:right w:val="nil"/>
            </w:tcBorders>
            <w:shd w:val="clear" w:color="auto" w:fill="auto"/>
            <w:vAlign w:val="center"/>
          </w:tcPr>
          <w:p w14:paraId="61169EEA" w14:textId="77777777" w:rsidR="0088085F" w:rsidRPr="00CF6E96" w:rsidRDefault="0088085F" w:rsidP="00C13CE1">
            <w:pPr>
              <w:tabs>
                <w:tab w:val="left" w:pos="210"/>
              </w:tabs>
              <w:spacing w:after="0"/>
              <w:ind w:firstLine="0"/>
              <w:jc w:val="right"/>
              <w:rPr>
                <w:rFonts w:ascii="Arial Narrow" w:hAnsi="Arial Narrow" w:cs="Calibri"/>
                <w:color w:val="000000"/>
                <w:sz w:val="19"/>
                <w:szCs w:val="19"/>
              </w:rPr>
            </w:pPr>
            <w:r>
              <w:rPr>
                <w:rFonts w:ascii="Arial Narrow" w:hAnsi="Arial Narrow"/>
                <w:color w:val="000000"/>
                <w:sz w:val="19"/>
                <w:szCs w:val="19"/>
              </w:rPr>
              <w:t>964,63</w:t>
            </w:r>
          </w:p>
        </w:tc>
      </w:tr>
      <w:tr w:rsidR="0088085F" w:rsidRPr="00CF6E96" w14:paraId="3C34E67E"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A966586"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Gastuak, guztira</w:t>
            </w:r>
          </w:p>
        </w:tc>
        <w:tc>
          <w:tcPr>
            <w:tcW w:w="520" w:type="pct"/>
            <w:tcBorders>
              <w:top w:val="single" w:sz="2" w:space="0" w:color="auto"/>
              <w:left w:val="nil"/>
              <w:bottom w:val="single" w:sz="2" w:space="0" w:color="auto"/>
              <w:right w:val="nil"/>
            </w:tcBorders>
            <w:shd w:val="clear" w:color="auto" w:fill="auto"/>
            <w:vAlign w:val="center"/>
            <w:hideMark/>
          </w:tcPr>
          <w:p w14:paraId="26C1B66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732,93</w:t>
            </w:r>
          </w:p>
        </w:tc>
        <w:tc>
          <w:tcPr>
            <w:tcW w:w="382" w:type="pct"/>
            <w:tcBorders>
              <w:top w:val="single" w:sz="2" w:space="0" w:color="auto"/>
              <w:left w:val="nil"/>
              <w:bottom w:val="single" w:sz="2" w:space="0" w:color="auto"/>
              <w:right w:val="nil"/>
            </w:tcBorders>
            <w:shd w:val="clear" w:color="auto" w:fill="auto"/>
            <w:vAlign w:val="center"/>
            <w:hideMark/>
          </w:tcPr>
          <w:p w14:paraId="707E3B8B"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717,40</w:t>
            </w:r>
          </w:p>
        </w:tc>
        <w:tc>
          <w:tcPr>
            <w:tcW w:w="382" w:type="pct"/>
            <w:tcBorders>
              <w:top w:val="single" w:sz="2" w:space="0" w:color="auto"/>
              <w:left w:val="nil"/>
              <w:bottom w:val="single" w:sz="2" w:space="0" w:color="auto"/>
              <w:right w:val="nil"/>
            </w:tcBorders>
            <w:shd w:val="clear" w:color="auto" w:fill="auto"/>
            <w:vAlign w:val="center"/>
            <w:hideMark/>
          </w:tcPr>
          <w:p w14:paraId="35BF25F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758,13</w:t>
            </w:r>
          </w:p>
        </w:tc>
        <w:tc>
          <w:tcPr>
            <w:tcW w:w="402" w:type="pct"/>
            <w:tcBorders>
              <w:top w:val="single" w:sz="2" w:space="0" w:color="auto"/>
              <w:left w:val="nil"/>
              <w:bottom w:val="single" w:sz="2" w:space="0" w:color="auto"/>
              <w:right w:val="nil"/>
            </w:tcBorders>
            <w:shd w:val="clear" w:color="auto" w:fill="auto"/>
            <w:vAlign w:val="center"/>
            <w:hideMark/>
          </w:tcPr>
          <w:p w14:paraId="011FCF32"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787,98</w:t>
            </w:r>
          </w:p>
        </w:tc>
        <w:tc>
          <w:tcPr>
            <w:tcW w:w="379" w:type="pct"/>
            <w:tcBorders>
              <w:top w:val="single" w:sz="2" w:space="0" w:color="auto"/>
              <w:left w:val="nil"/>
              <w:bottom w:val="single" w:sz="2" w:space="0" w:color="auto"/>
              <w:right w:val="nil"/>
            </w:tcBorders>
            <w:shd w:val="clear" w:color="auto" w:fill="auto"/>
            <w:vAlign w:val="center"/>
          </w:tcPr>
          <w:p w14:paraId="3C5C6491"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885,37</w:t>
            </w:r>
          </w:p>
        </w:tc>
        <w:tc>
          <w:tcPr>
            <w:tcW w:w="429" w:type="pct"/>
            <w:tcBorders>
              <w:top w:val="single" w:sz="2" w:space="0" w:color="auto"/>
              <w:left w:val="nil"/>
              <w:bottom w:val="single" w:sz="2" w:space="0" w:color="auto"/>
              <w:right w:val="nil"/>
            </w:tcBorders>
            <w:shd w:val="clear" w:color="auto" w:fill="auto"/>
            <w:vAlign w:val="center"/>
            <w:hideMark/>
          </w:tcPr>
          <w:p w14:paraId="3F8AD961"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21</w:t>
            </w:r>
          </w:p>
        </w:tc>
        <w:tc>
          <w:tcPr>
            <w:tcW w:w="432" w:type="pct"/>
            <w:tcBorders>
              <w:top w:val="single" w:sz="2" w:space="0" w:color="auto"/>
              <w:left w:val="nil"/>
              <w:bottom w:val="single" w:sz="2" w:space="0" w:color="auto"/>
              <w:right w:val="nil"/>
            </w:tcBorders>
            <w:shd w:val="clear" w:color="auto" w:fill="auto"/>
            <w:vAlign w:val="center"/>
            <w:hideMark/>
          </w:tcPr>
          <w:p w14:paraId="4CC24736"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12</w:t>
            </w:r>
          </w:p>
        </w:tc>
        <w:tc>
          <w:tcPr>
            <w:tcW w:w="396" w:type="pct"/>
            <w:tcBorders>
              <w:top w:val="single" w:sz="2" w:space="0" w:color="auto"/>
              <w:left w:val="nil"/>
              <w:bottom w:val="single" w:sz="2" w:space="0" w:color="auto"/>
              <w:right w:val="nil"/>
            </w:tcBorders>
            <w:shd w:val="clear" w:color="auto" w:fill="auto"/>
            <w:vAlign w:val="center"/>
          </w:tcPr>
          <w:p w14:paraId="5432CED0"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955,57</w:t>
            </w:r>
          </w:p>
        </w:tc>
      </w:tr>
      <w:tr w:rsidR="0088085F" w:rsidRPr="00CF6E96" w14:paraId="4A6B81FE"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547B3CF3"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Tributu bidezko diru-sarrerak</w:t>
            </w:r>
          </w:p>
        </w:tc>
        <w:tc>
          <w:tcPr>
            <w:tcW w:w="520" w:type="pct"/>
            <w:tcBorders>
              <w:top w:val="single" w:sz="2" w:space="0" w:color="auto"/>
              <w:left w:val="nil"/>
              <w:bottom w:val="single" w:sz="2" w:space="0" w:color="auto"/>
              <w:right w:val="nil"/>
            </w:tcBorders>
            <w:shd w:val="clear" w:color="auto" w:fill="auto"/>
            <w:vAlign w:val="center"/>
            <w:hideMark/>
          </w:tcPr>
          <w:p w14:paraId="16DE1391"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359,12</w:t>
            </w:r>
          </w:p>
        </w:tc>
        <w:tc>
          <w:tcPr>
            <w:tcW w:w="382" w:type="pct"/>
            <w:tcBorders>
              <w:top w:val="single" w:sz="2" w:space="0" w:color="auto"/>
              <w:left w:val="nil"/>
              <w:bottom w:val="single" w:sz="2" w:space="0" w:color="auto"/>
              <w:right w:val="nil"/>
            </w:tcBorders>
            <w:shd w:val="clear" w:color="auto" w:fill="auto"/>
            <w:vAlign w:val="center"/>
            <w:hideMark/>
          </w:tcPr>
          <w:p w14:paraId="60A15A9F"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371,55</w:t>
            </w:r>
          </w:p>
        </w:tc>
        <w:tc>
          <w:tcPr>
            <w:tcW w:w="382" w:type="pct"/>
            <w:tcBorders>
              <w:top w:val="single" w:sz="2" w:space="0" w:color="auto"/>
              <w:left w:val="nil"/>
              <w:bottom w:val="single" w:sz="2" w:space="0" w:color="auto"/>
              <w:right w:val="nil"/>
            </w:tcBorders>
            <w:shd w:val="clear" w:color="auto" w:fill="auto"/>
            <w:vAlign w:val="center"/>
            <w:hideMark/>
          </w:tcPr>
          <w:p w14:paraId="291E616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368,83</w:t>
            </w:r>
          </w:p>
        </w:tc>
        <w:tc>
          <w:tcPr>
            <w:tcW w:w="402" w:type="pct"/>
            <w:tcBorders>
              <w:top w:val="single" w:sz="2" w:space="0" w:color="auto"/>
              <w:left w:val="nil"/>
              <w:bottom w:val="single" w:sz="2" w:space="0" w:color="auto"/>
              <w:right w:val="nil"/>
            </w:tcBorders>
            <w:shd w:val="clear" w:color="auto" w:fill="auto"/>
            <w:vAlign w:val="center"/>
            <w:hideMark/>
          </w:tcPr>
          <w:p w14:paraId="0D8B658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385,04</w:t>
            </w:r>
          </w:p>
        </w:tc>
        <w:tc>
          <w:tcPr>
            <w:tcW w:w="379" w:type="pct"/>
            <w:tcBorders>
              <w:top w:val="single" w:sz="2" w:space="0" w:color="auto"/>
              <w:left w:val="nil"/>
              <w:bottom w:val="single" w:sz="2" w:space="0" w:color="auto"/>
              <w:right w:val="nil"/>
            </w:tcBorders>
            <w:shd w:val="clear" w:color="auto" w:fill="auto"/>
            <w:vAlign w:val="center"/>
          </w:tcPr>
          <w:p w14:paraId="37C23C2A"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402,08</w:t>
            </w:r>
          </w:p>
        </w:tc>
        <w:tc>
          <w:tcPr>
            <w:tcW w:w="429" w:type="pct"/>
            <w:tcBorders>
              <w:top w:val="single" w:sz="2" w:space="0" w:color="auto"/>
              <w:left w:val="nil"/>
              <w:bottom w:val="single" w:sz="2" w:space="0" w:color="auto"/>
              <w:right w:val="nil"/>
            </w:tcBorders>
            <w:shd w:val="clear" w:color="auto" w:fill="auto"/>
            <w:vAlign w:val="center"/>
            <w:hideMark/>
          </w:tcPr>
          <w:p w14:paraId="318AEE7A"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12</w:t>
            </w:r>
          </w:p>
        </w:tc>
        <w:tc>
          <w:tcPr>
            <w:tcW w:w="432" w:type="pct"/>
            <w:tcBorders>
              <w:top w:val="single" w:sz="2" w:space="0" w:color="auto"/>
              <w:left w:val="nil"/>
              <w:bottom w:val="single" w:sz="2" w:space="0" w:color="auto"/>
              <w:right w:val="nil"/>
            </w:tcBorders>
            <w:shd w:val="clear" w:color="auto" w:fill="auto"/>
            <w:vAlign w:val="center"/>
            <w:hideMark/>
          </w:tcPr>
          <w:p w14:paraId="39EB8248"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4</w:t>
            </w:r>
          </w:p>
        </w:tc>
        <w:tc>
          <w:tcPr>
            <w:tcW w:w="396" w:type="pct"/>
            <w:tcBorders>
              <w:top w:val="single" w:sz="2" w:space="0" w:color="auto"/>
              <w:left w:val="nil"/>
              <w:bottom w:val="single" w:sz="2" w:space="0" w:color="auto"/>
              <w:right w:val="nil"/>
            </w:tcBorders>
            <w:shd w:val="clear" w:color="auto" w:fill="auto"/>
            <w:vAlign w:val="center"/>
          </w:tcPr>
          <w:p w14:paraId="1AF1D455"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463,84</w:t>
            </w:r>
          </w:p>
        </w:tc>
      </w:tr>
      <w:tr w:rsidR="0088085F" w:rsidRPr="00CF6E96" w14:paraId="63B1AC47"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1966C132"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Transferentziengatiko diru-sarrerak</w:t>
            </w:r>
          </w:p>
        </w:tc>
        <w:tc>
          <w:tcPr>
            <w:tcW w:w="520" w:type="pct"/>
            <w:tcBorders>
              <w:top w:val="single" w:sz="2" w:space="0" w:color="auto"/>
              <w:left w:val="nil"/>
              <w:bottom w:val="single" w:sz="2" w:space="0" w:color="auto"/>
              <w:right w:val="nil"/>
            </w:tcBorders>
            <w:shd w:val="clear" w:color="auto" w:fill="auto"/>
            <w:vAlign w:val="center"/>
            <w:hideMark/>
          </w:tcPr>
          <w:p w14:paraId="160E5F6D"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323,05</w:t>
            </w:r>
          </w:p>
        </w:tc>
        <w:tc>
          <w:tcPr>
            <w:tcW w:w="382" w:type="pct"/>
            <w:tcBorders>
              <w:top w:val="single" w:sz="2" w:space="0" w:color="auto"/>
              <w:left w:val="nil"/>
              <w:bottom w:val="single" w:sz="2" w:space="0" w:color="auto"/>
              <w:right w:val="nil"/>
            </w:tcBorders>
            <w:shd w:val="clear" w:color="auto" w:fill="auto"/>
            <w:vAlign w:val="center"/>
            <w:hideMark/>
          </w:tcPr>
          <w:p w14:paraId="406F9E48"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332</w:t>
            </w:r>
          </w:p>
        </w:tc>
        <w:tc>
          <w:tcPr>
            <w:tcW w:w="382" w:type="pct"/>
            <w:tcBorders>
              <w:top w:val="single" w:sz="2" w:space="0" w:color="auto"/>
              <w:left w:val="nil"/>
              <w:bottom w:val="single" w:sz="2" w:space="0" w:color="auto"/>
              <w:right w:val="nil"/>
            </w:tcBorders>
            <w:shd w:val="clear" w:color="auto" w:fill="auto"/>
            <w:vAlign w:val="center"/>
            <w:hideMark/>
          </w:tcPr>
          <w:p w14:paraId="1518072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347,39</w:t>
            </w:r>
          </w:p>
        </w:tc>
        <w:tc>
          <w:tcPr>
            <w:tcW w:w="402" w:type="pct"/>
            <w:tcBorders>
              <w:top w:val="single" w:sz="2" w:space="0" w:color="auto"/>
              <w:left w:val="nil"/>
              <w:bottom w:val="single" w:sz="2" w:space="0" w:color="auto"/>
              <w:right w:val="nil"/>
            </w:tcBorders>
            <w:shd w:val="clear" w:color="auto" w:fill="auto"/>
            <w:vAlign w:val="center"/>
            <w:hideMark/>
          </w:tcPr>
          <w:p w14:paraId="55D71239"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390,26</w:t>
            </w:r>
          </w:p>
        </w:tc>
        <w:tc>
          <w:tcPr>
            <w:tcW w:w="379" w:type="pct"/>
            <w:tcBorders>
              <w:top w:val="single" w:sz="2" w:space="0" w:color="auto"/>
              <w:left w:val="nil"/>
              <w:bottom w:val="single" w:sz="2" w:space="0" w:color="auto"/>
              <w:right w:val="nil"/>
            </w:tcBorders>
            <w:shd w:val="clear" w:color="auto" w:fill="auto"/>
            <w:vAlign w:val="center"/>
          </w:tcPr>
          <w:p w14:paraId="36E2F13F"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424,10</w:t>
            </w:r>
          </w:p>
        </w:tc>
        <w:tc>
          <w:tcPr>
            <w:tcW w:w="429" w:type="pct"/>
            <w:tcBorders>
              <w:top w:val="single" w:sz="2" w:space="0" w:color="auto"/>
              <w:left w:val="nil"/>
              <w:bottom w:val="single" w:sz="2" w:space="0" w:color="auto"/>
              <w:right w:val="nil"/>
            </w:tcBorders>
            <w:shd w:val="clear" w:color="auto" w:fill="auto"/>
            <w:vAlign w:val="center"/>
            <w:hideMark/>
          </w:tcPr>
          <w:p w14:paraId="3B4DBDE0"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31</w:t>
            </w:r>
          </w:p>
        </w:tc>
        <w:tc>
          <w:tcPr>
            <w:tcW w:w="432" w:type="pct"/>
            <w:tcBorders>
              <w:top w:val="single" w:sz="2" w:space="0" w:color="auto"/>
              <w:left w:val="nil"/>
              <w:bottom w:val="single" w:sz="2" w:space="0" w:color="auto"/>
              <w:right w:val="nil"/>
            </w:tcBorders>
            <w:shd w:val="clear" w:color="auto" w:fill="auto"/>
            <w:vAlign w:val="center"/>
            <w:hideMark/>
          </w:tcPr>
          <w:p w14:paraId="307A18DC"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9</w:t>
            </w:r>
          </w:p>
        </w:tc>
        <w:tc>
          <w:tcPr>
            <w:tcW w:w="396" w:type="pct"/>
            <w:tcBorders>
              <w:top w:val="single" w:sz="2" w:space="0" w:color="auto"/>
              <w:left w:val="nil"/>
              <w:bottom w:val="single" w:sz="2" w:space="0" w:color="auto"/>
              <w:right w:val="nil"/>
            </w:tcBorders>
            <w:shd w:val="clear" w:color="auto" w:fill="auto"/>
            <w:vAlign w:val="center"/>
          </w:tcPr>
          <w:p w14:paraId="57188BA2" w14:textId="77777777" w:rsidR="0088085F" w:rsidRPr="00CF6E96" w:rsidRDefault="0088085F" w:rsidP="00C13CE1">
            <w:pPr>
              <w:tabs>
                <w:tab w:val="left" w:pos="210"/>
              </w:tabs>
              <w:ind w:firstLine="0"/>
              <w:jc w:val="right"/>
              <w:rPr>
                <w:rFonts w:ascii="Arial Narrow" w:hAnsi="Arial Narrow" w:cs="Calibri"/>
                <w:color w:val="000000"/>
                <w:sz w:val="19"/>
                <w:szCs w:val="19"/>
              </w:rPr>
            </w:pPr>
            <w:r>
              <w:rPr>
                <w:rFonts w:ascii="Arial Narrow" w:hAnsi="Arial Narrow"/>
                <w:color w:val="000000"/>
                <w:sz w:val="19"/>
                <w:szCs w:val="19"/>
              </w:rPr>
              <w:t>435,46</w:t>
            </w:r>
          </w:p>
        </w:tc>
      </w:tr>
      <w:tr w:rsidR="0088085F" w:rsidRPr="00CF6E96" w14:paraId="704FAED6"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22B053F"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Funtzionamendu-gastuak</w:t>
            </w:r>
          </w:p>
        </w:tc>
        <w:tc>
          <w:tcPr>
            <w:tcW w:w="520" w:type="pct"/>
            <w:tcBorders>
              <w:top w:val="single" w:sz="2" w:space="0" w:color="auto"/>
              <w:left w:val="nil"/>
              <w:bottom w:val="single" w:sz="2" w:space="0" w:color="auto"/>
              <w:right w:val="nil"/>
            </w:tcBorders>
            <w:shd w:val="clear" w:color="auto" w:fill="auto"/>
            <w:vAlign w:val="center"/>
            <w:hideMark/>
          </w:tcPr>
          <w:p w14:paraId="3775197B"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591,74</w:t>
            </w:r>
          </w:p>
        </w:tc>
        <w:tc>
          <w:tcPr>
            <w:tcW w:w="382" w:type="pct"/>
            <w:tcBorders>
              <w:top w:val="single" w:sz="2" w:space="0" w:color="auto"/>
              <w:left w:val="nil"/>
              <w:bottom w:val="single" w:sz="2" w:space="0" w:color="auto"/>
              <w:right w:val="nil"/>
            </w:tcBorders>
            <w:shd w:val="clear" w:color="auto" w:fill="auto"/>
            <w:vAlign w:val="center"/>
            <w:hideMark/>
          </w:tcPr>
          <w:p w14:paraId="225F442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598,92</w:t>
            </w:r>
          </w:p>
        </w:tc>
        <w:tc>
          <w:tcPr>
            <w:tcW w:w="382" w:type="pct"/>
            <w:tcBorders>
              <w:top w:val="single" w:sz="2" w:space="0" w:color="auto"/>
              <w:left w:val="nil"/>
              <w:bottom w:val="single" w:sz="2" w:space="0" w:color="auto"/>
              <w:right w:val="nil"/>
            </w:tcBorders>
            <w:shd w:val="clear" w:color="auto" w:fill="auto"/>
            <w:vAlign w:val="center"/>
            <w:hideMark/>
          </w:tcPr>
          <w:p w14:paraId="3BC53B32"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610,52</w:t>
            </w:r>
          </w:p>
        </w:tc>
        <w:tc>
          <w:tcPr>
            <w:tcW w:w="402" w:type="pct"/>
            <w:tcBorders>
              <w:top w:val="single" w:sz="2" w:space="0" w:color="auto"/>
              <w:left w:val="nil"/>
              <w:bottom w:val="single" w:sz="2" w:space="0" w:color="auto"/>
              <w:right w:val="nil"/>
            </w:tcBorders>
            <w:shd w:val="clear" w:color="auto" w:fill="auto"/>
            <w:vAlign w:val="center"/>
            <w:hideMark/>
          </w:tcPr>
          <w:p w14:paraId="187CB02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626,02</w:t>
            </w:r>
          </w:p>
        </w:tc>
        <w:tc>
          <w:tcPr>
            <w:tcW w:w="379" w:type="pct"/>
            <w:tcBorders>
              <w:top w:val="single" w:sz="2" w:space="0" w:color="auto"/>
              <w:left w:val="nil"/>
              <w:bottom w:val="single" w:sz="2" w:space="0" w:color="auto"/>
              <w:right w:val="nil"/>
            </w:tcBorders>
            <w:shd w:val="clear" w:color="auto" w:fill="auto"/>
            <w:vAlign w:val="center"/>
          </w:tcPr>
          <w:p w14:paraId="027E8A7C"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653,91</w:t>
            </w:r>
          </w:p>
        </w:tc>
        <w:tc>
          <w:tcPr>
            <w:tcW w:w="429" w:type="pct"/>
            <w:tcBorders>
              <w:top w:val="single" w:sz="2" w:space="0" w:color="auto"/>
              <w:left w:val="nil"/>
              <w:bottom w:val="single" w:sz="2" w:space="0" w:color="auto"/>
              <w:right w:val="nil"/>
            </w:tcBorders>
            <w:shd w:val="clear" w:color="auto" w:fill="auto"/>
            <w:vAlign w:val="center"/>
            <w:hideMark/>
          </w:tcPr>
          <w:p w14:paraId="4B936102"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11</w:t>
            </w:r>
          </w:p>
        </w:tc>
        <w:tc>
          <w:tcPr>
            <w:tcW w:w="432" w:type="pct"/>
            <w:tcBorders>
              <w:top w:val="single" w:sz="2" w:space="0" w:color="auto"/>
              <w:left w:val="nil"/>
              <w:bottom w:val="single" w:sz="2" w:space="0" w:color="auto"/>
              <w:right w:val="nil"/>
            </w:tcBorders>
            <w:shd w:val="clear" w:color="auto" w:fill="auto"/>
            <w:vAlign w:val="center"/>
            <w:hideMark/>
          </w:tcPr>
          <w:p w14:paraId="6FFD58C7"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4</w:t>
            </w:r>
          </w:p>
        </w:tc>
        <w:tc>
          <w:tcPr>
            <w:tcW w:w="396" w:type="pct"/>
            <w:tcBorders>
              <w:top w:val="single" w:sz="2" w:space="0" w:color="auto"/>
              <w:left w:val="nil"/>
              <w:bottom w:val="single" w:sz="2" w:space="0" w:color="auto"/>
              <w:right w:val="nil"/>
            </w:tcBorders>
            <w:shd w:val="clear" w:color="auto" w:fill="auto"/>
            <w:vAlign w:val="center"/>
          </w:tcPr>
          <w:p w14:paraId="6543ACF9"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713,07</w:t>
            </w:r>
          </w:p>
        </w:tc>
      </w:tr>
      <w:tr w:rsidR="0088085F" w:rsidRPr="00CF6E96" w14:paraId="044FC705"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BF3348A"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Kapitaleko gastuak</w:t>
            </w:r>
          </w:p>
        </w:tc>
        <w:tc>
          <w:tcPr>
            <w:tcW w:w="520" w:type="pct"/>
            <w:tcBorders>
              <w:top w:val="single" w:sz="2" w:space="0" w:color="auto"/>
              <w:left w:val="nil"/>
              <w:bottom w:val="single" w:sz="2" w:space="0" w:color="auto"/>
              <w:right w:val="nil"/>
            </w:tcBorders>
            <w:shd w:val="clear" w:color="auto" w:fill="auto"/>
            <w:vAlign w:val="center"/>
            <w:hideMark/>
          </w:tcPr>
          <w:p w14:paraId="7C33621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79,57</w:t>
            </w:r>
          </w:p>
        </w:tc>
        <w:tc>
          <w:tcPr>
            <w:tcW w:w="382" w:type="pct"/>
            <w:tcBorders>
              <w:top w:val="single" w:sz="2" w:space="0" w:color="auto"/>
              <w:left w:val="nil"/>
              <w:bottom w:val="single" w:sz="2" w:space="0" w:color="auto"/>
              <w:right w:val="nil"/>
            </w:tcBorders>
            <w:shd w:val="clear" w:color="auto" w:fill="auto"/>
            <w:vAlign w:val="center"/>
            <w:hideMark/>
          </w:tcPr>
          <w:p w14:paraId="5A46923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79,69</w:t>
            </w:r>
          </w:p>
        </w:tc>
        <w:tc>
          <w:tcPr>
            <w:tcW w:w="382" w:type="pct"/>
            <w:tcBorders>
              <w:top w:val="single" w:sz="2" w:space="0" w:color="auto"/>
              <w:left w:val="nil"/>
              <w:bottom w:val="single" w:sz="2" w:space="0" w:color="auto"/>
              <w:right w:val="nil"/>
            </w:tcBorders>
            <w:shd w:val="clear" w:color="auto" w:fill="auto"/>
            <w:vAlign w:val="center"/>
            <w:hideMark/>
          </w:tcPr>
          <w:p w14:paraId="60638EF5"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98,25</w:t>
            </w:r>
          </w:p>
        </w:tc>
        <w:tc>
          <w:tcPr>
            <w:tcW w:w="402" w:type="pct"/>
            <w:tcBorders>
              <w:top w:val="single" w:sz="2" w:space="0" w:color="auto"/>
              <w:left w:val="nil"/>
              <w:bottom w:val="single" w:sz="2" w:space="0" w:color="auto"/>
              <w:right w:val="nil"/>
            </w:tcBorders>
            <w:shd w:val="clear" w:color="auto" w:fill="auto"/>
            <w:vAlign w:val="center"/>
            <w:hideMark/>
          </w:tcPr>
          <w:p w14:paraId="6670447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125,09</w:t>
            </w:r>
          </w:p>
        </w:tc>
        <w:tc>
          <w:tcPr>
            <w:tcW w:w="379" w:type="pct"/>
            <w:tcBorders>
              <w:top w:val="single" w:sz="2" w:space="0" w:color="auto"/>
              <w:left w:val="nil"/>
              <w:bottom w:val="single" w:sz="2" w:space="0" w:color="auto"/>
              <w:right w:val="nil"/>
            </w:tcBorders>
            <w:shd w:val="clear" w:color="auto" w:fill="auto"/>
            <w:vAlign w:val="center"/>
          </w:tcPr>
          <w:p w14:paraId="7BFE6B0E"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199,42</w:t>
            </w:r>
          </w:p>
        </w:tc>
        <w:tc>
          <w:tcPr>
            <w:tcW w:w="429" w:type="pct"/>
            <w:tcBorders>
              <w:top w:val="single" w:sz="2" w:space="0" w:color="auto"/>
              <w:left w:val="nil"/>
              <w:bottom w:val="single" w:sz="2" w:space="0" w:color="auto"/>
              <w:right w:val="nil"/>
            </w:tcBorders>
            <w:shd w:val="clear" w:color="auto" w:fill="auto"/>
            <w:vAlign w:val="center"/>
            <w:hideMark/>
          </w:tcPr>
          <w:p w14:paraId="6A5DE747"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151</w:t>
            </w:r>
          </w:p>
        </w:tc>
        <w:tc>
          <w:tcPr>
            <w:tcW w:w="432" w:type="pct"/>
            <w:tcBorders>
              <w:top w:val="single" w:sz="2" w:space="0" w:color="auto"/>
              <w:left w:val="nil"/>
              <w:bottom w:val="single" w:sz="2" w:space="0" w:color="auto"/>
              <w:right w:val="nil"/>
            </w:tcBorders>
            <w:shd w:val="clear" w:color="auto" w:fill="auto"/>
            <w:vAlign w:val="center"/>
            <w:hideMark/>
          </w:tcPr>
          <w:p w14:paraId="2F7E7DEA"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59</w:t>
            </w:r>
          </w:p>
        </w:tc>
        <w:tc>
          <w:tcPr>
            <w:tcW w:w="396" w:type="pct"/>
            <w:tcBorders>
              <w:top w:val="single" w:sz="2" w:space="0" w:color="auto"/>
              <w:left w:val="nil"/>
              <w:bottom w:val="single" w:sz="2" w:space="0" w:color="auto"/>
              <w:right w:val="nil"/>
            </w:tcBorders>
            <w:shd w:val="clear" w:color="auto" w:fill="auto"/>
            <w:vAlign w:val="center"/>
          </w:tcPr>
          <w:p w14:paraId="22B13BCC"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210,45</w:t>
            </w:r>
          </w:p>
        </w:tc>
      </w:tr>
      <w:tr w:rsidR="0088085F" w:rsidRPr="00CF6E96" w14:paraId="44B319A7"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0392D05B" w14:textId="77777777" w:rsidR="0088085F" w:rsidRPr="00CF6E96" w:rsidRDefault="00040389" w:rsidP="00040389">
            <w:pPr>
              <w:pStyle w:val="cuatexto"/>
              <w:rPr>
                <w:rFonts w:cs="Calibri"/>
                <w:color w:val="000000" w:themeColor="text1"/>
                <w:sz w:val="19"/>
                <w:szCs w:val="19"/>
              </w:rPr>
            </w:pPr>
            <w:r>
              <w:rPr>
                <w:color w:val="000000" w:themeColor="text1"/>
                <w:sz w:val="19"/>
                <w:szCs w:val="19"/>
              </w:rPr>
              <w:t>Aurrek. emaitza ez-finantzarioa</w:t>
            </w:r>
          </w:p>
        </w:tc>
        <w:tc>
          <w:tcPr>
            <w:tcW w:w="520" w:type="pct"/>
            <w:tcBorders>
              <w:top w:val="single" w:sz="2" w:space="0" w:color="auto"/>
              <w:left w:val="nil"/>
              <w:bottom w:val="single" w:sz="2" w:space="0" w:color="auto"/>
              <w:right w:val="nil"/>
            </w:tcBorders>
            <w:shd w:val="clear" w:color="auto" w:fill="auto"/>
            <w:vAlign w:val="center"/>
            <w:hideMark/>
          </w:tcPr>
          <w:p w14:paraId="324FD5C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60,42</w:t>
            </w:r>
          </w:p>
        </w:tc>
        <w:tc>
          <w:tcPr>
            <w:tcW w:w="382" w:type="pct"/>
            <w:tcBorders>
              <w:top w:val="single" w:sz="2" w:space="0" w:color="auto"/>
              <w:left w:val="nil"/>
              <w:bottom w:val="single" w:sz="2" w:space="0" w:color="auto"/>
              <w:right w:val="nil"/>
            </w:tcBorders>
            <w:shd w:val="clear" w:color="auto" w:fill="auto"/>
            <w:vAlign w:val="center"/>
            <w:hideMark/>
          </w:tcPr>
          <w:p w14:paraId="3BC80469"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78,22</w:t>
            </w:r>
          </w:p>
        </w:tc>
        <w:tc>
          <w:tcPr>
            <w:tcW w:w="382" w:type="pct"/>
            <w:tcBorders>
              <w:top w:val="single" w:sz="2" w:space="0" w:color="auto"/>
              <w:left w:val="nil"/>
              <w:bottom w:val="single" w:sz="2" w:space="0" w:color="auto"/>
              <w:right w:val="nil"/>
            </w:tcBorders>
            <w:shd w:val="clear" w:color="auto" w:fill="auto"/>
            <w:vAlign w:val="center"/>
            <w:hideMark/>
          </w:tcPr>
          <w:p w14:paraId="035E0BF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62,70</w:t>
            </w:r>
          </w:p>
        </w:tc>
        <w:tc>
          <w:tcPr>
            <w:tcW w:w="402" w:type="pct"/>
            <w:tcBorders>
              <w:top w:val="single" w:sz="2" w:space="0" w:color="auto"/>
              <w:left w:val="nil"/>
              <w:bottom w:val="single" w:sz="2" w:space="0" w:color="auto"/>
              <w:right w:val="nil"/>
            </w:tcBorders>
            <w:shd w:val="clear" w:color="auto" w:fill="auto"/>
            <w:vAlign w:val="center"/>
            <w:hideMark/>
          </w:tcPr>
          <w:p w14:paraId="49FC96DB"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81,22</w:t>
            </w:r>
          </w:p>
        </w:tc>
        <w:tc>
          <w:tcPr>
            <w:tcW w:w="379" w:type="pct"/>
            <w:tcBorders>
              <w:top w:val="single" w:sz="2" w:space="0" w:color="auto"/>
              <w:left w:val="nil"/>
              <w:bottom w:val="single" w:sz="2" w:space="0" w:color="auto"/>
              <w:right w:val="nil"/>
            </w:tcBorders>
            <w:shd w:val="clear" w:color="auto" w:fill="auto"/>
            <w:vAlign w:val="center"/>
          </w:tcPr>
          <w:p w14:paraId="7A3430E3"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31,16</w:t>
            </w:r>
          </w:p>
        </w:tc>
        <w:tc>
          <w:tcPr>
            <w:tcW w:w="429" w:type="pct"/>
            <w:tcBorders>
              <w:top w:val="single" w:sz="2" w:space="0" w:color="auto"/>
              <w:left w:val="nil"/>
              <w:bottom w:val="single" w:sz="2" w:space="0" w:color="auto"/>
              <w:right w:val="nil"/>
            </w:tcBorders>
            <w:shd w:val="clear" w:color="auto" w:fill="auto"/>
            <w:vAlign w:val="center"/>
            <w:hideMark/>
          </w:tcPr>
          <w:p w14:paraId="3F4472CB"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-48</w:t>
            </w:r>
          </w:p>
        </w:tc>
        <w:tc>
          <w:tcPr>
            <w:tcW w:w="432" w:type="pct"/>
            <w:tcBorders>
              <w:top w:val="single" w:sz="2" w:space="0" w:color="auto"/>
              <w:left w:val="nil"/>
              <w:bottom w:val="single" w:sz="2" w:space="0" w:color="auto"/>
              <w:right w:val="nil"/>
            </w:tcBorders>
            <w:shd w:val="clear" w:color="auto" w:fill="auto"/>
            <w:vAlign w:val="center"/>
            <w:hideMark/>
          </w:tcPr>
          <w:p w14:paraId="3FF4B92D"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-62</w:t>
            </w:r>
          </w:p>
        </w:tc>
        <w:tc>
          <w:tcPr>
            <w:tcW w:w="396" w:type="pct"/>
            <w:tcBorders>
              <w:top w:val="single" w:sz="2" w:space="0" w:color="auto"/>
              <w:left w:val="nil"/>
              <w:bottom w:val="single" w:sz="2" w:space="0" w:color="auto"/>
              <w:right w:val="nil"/>
            </w:tcBorders>
            <w:shd w:val="clear" w:color="auto" w:fill="auto"/>
            <w:vAlign w:val="center"/>
          </w:tcPr>
          <w:p w14:paraId="2A70CE9D"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34,19</w:t>
            </w:r>
          </w:p>
        </w:tc>
      </w:tr>
      <w:tr w:rsidR="0088085F" w:rsidRPr="00CF6E96" w14:paraId="15948E90"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25EBF37C"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 xml:space="preserve">Aurrezki gordina </w:t>
            </w:r>
          </w:p>
        </w:tc>
        <w:tc>
          <w:tcPr>
            <w:tcW w:w="520" w:type="pct"/>
            <w:tcBorders>
              <w:top w:val="single" w:sz="2" w:space="0" w:color="auto"/>
              <w:left w:val="nil"/>
              <w:bottom w:val="single" w:sz="2" w:space="0" w:color="auto"/>
              <w:right w:val="nil"/>
            </w:tcBorders>
            <w:shd w:val="clear" w:color="auto" w:fill="auto"/>
            <w:vAlign w:val="center"/>
            <w:hideMark/>
          </w:tcPr>
          <w:p w14:paraId="67E8B16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112,95</w:t>
            </w:r>
          </w:p>
        </w:tc>
        <w:tc>
          <w:tcPr>
            <w:tcW w:w="382" w:type="pct"/>
            <w:tcBorders>
              <w:top w:val="single" w:sz="2" w:space="0" w:color="auto"/>
              <w:left w:val="nil"/>
              <w:bottom w:val="single" w:sz="2" w:space="0" w:color="auto"/>
              <w:right w:val="nil"/>
            </w:tcBorders>
            <w:shd w:val="clear" w:color="auto" w:fill="auto"/>
            <w:vAlign w:val="center"/>
            <w:hideMark/>
          </w:tcPr>
          <w:p w14:paraId="64EA1EE5"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123,24</w:t>
            </w:r>
          </w:p>
        </w:tc>
        <w:tc>
          <w:tcPr>
            <w:tcW w:w="382" w:type="pct"/>
            <w:tcBorders>
              <w:top w:val="single" w:sz="2" w:space="0" w:color="auto"/>
              <w:left w:val="nil"/>
              <w:bottom w:val="single" w:sz="2" w:space="0" w:color="auto"/>
              <w:right w:val="nil"/>
            </w:tcBorders>
            <w:shd w:val="clear" w:color="auto" w:fill="auto"/>
            <w:vAlign w:val="center"/>
            <w:hideMark/>
          </w:tcPr>
          <w:p w14:paraId="04B021AB"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112,17</w:t>
            </w:r>
          </w:p>
        </w:tc>
        <w:tc>
          <w:tcPr>
            <w:tcW w:w="402" w:type="pct"/>
            <w:tcBorders>
              <w:top w:val="single" w:sz="2" w:space="0" w:color="auto"/>
              <w:left w:val="nil"/>
              <w:bottom w:val="single" w:sz="2" w:space="0" w:color="auto"/>
              <w:right w:val="nil"/>
            </w:tcBorders>
            <w:shd w:val="clear" w:color="auto" w:fill="auto"/>
            <w:vAlign w:val="center"/>
            <w:hideMark/>
          </w:tcPr>
          <w:p w14:paraId="740854DD"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126,60</w:t>
            </w:r>
          </w:p>
        </w:tc>
        <w:tc>
          <w:tcPr>
            <w:tcW w:w="379" w:type="pct"/>
            <w:tcBorders>
              <w:top w:val="single" w:sz="2" w:space="0" w:color="auto"/>
              <w:left w:val="nil"/>
              <w:bottom w:val="single" w:sz="2" w:space="0" w:color="auto"/>
              <w:right w:val="nil"/>
            </w:tcBorders>
            <w:shd w:val="clear" w:color="auto" w:fill="auto"/>
            <w:vAlign w:val="center"/>
          </w:tcPr>
          <w:p w14:paraId="7EACA7E1"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137,68</w:t>
            </w:r>
          </w:p>
        </w:tc>
        <w:tc>
          <w:tcPr>
            <w:tcW w:w="429" w:type="pct"/>
            <w:tcBorders>
              <w:top w:val="single" w:sz="2" w:space="0" w:color="auto"/>
              <w:left w:val="nil"/>
              <w:bottom w:val="single" w:sz="2" w:space="0" w:color="auto"/>
              <w:right w:val="nil"/>
            </w:tcBorders>
            <w:shd w:val="clear" w:color="auto" w:fill="auto"/>
            <w:vAlign w:val="center"/>
            <w:hideMark/>
          </w:tcPr>
          <w:p w14:paraId="40B15DD9"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22</w:t>
            </w:r>
          </w:p>
        </w:tc>
        <w:tc>
          <w:tcPr>
            <w:tcW w:w="432" w:type="pct"/>
            <w:tcBorders>
              <w:top w:val="single" w:sz="2" w:space="0" w:color="auto"/>
              <w:left w:val="nil"/>
              <w:bottom w:val="single" w:sz="2" w:space="0" w:color="auto"/>
              <w:right w:val="nil"/>
            </w:tcBorders>
            <w:shd w:val="clear" w:color="auto" w:fill="auto"/>
            <w:vAlign w:val="center"/>
            <w:hideMark/>
          </w:tcPr>
          <w:p w14:paraId="6F6A1217"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9</w:t>
            </w:r>
          </w:p>
        </w:tc>
        <w:tc>
          <w:tcPr>
            <w:tcW w:w="396" w:type="pct"/>
            <w:tcBorders>
              <w:top w:val="single" w:sz="2" w:space="0" w:color="auto"/>
              <w:left w:val="nil"/>
              <w:bottom w:val="single" w:sz="2" w:space="0" w:color="auto"/>
              <w:right w:val="nil"/>
            </w:tcBorders>
            <w:shd w:val="clear" w:color="auto" w:fill="auto"/>
            <w:vAlign w:val="center"/>
          </w:tcPr>
          <w:p w14:paraId="5344E867"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147,33</w:t>
            </w:r>
          </w:p>
        </w:tc>
      </w:tr>
      <w:tr w:rsidR="0088085F" w:rsidRPr="00CF6E96" w14:paraId="717BAD9B"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7F2DE74D"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Finantza-zama</w:t>
            </w:r>
          </w:p>
        </w:tc>
        <w:tc>
          <w:tcPr>
            <w:tcW w:w="520" w:type="pct"/>
            <w:tcBorders>
              <w:top w:val="single" w:sz="2" w:space="0" w:color="auto"/>
              <w:left w:val="nil"/>
              <w:bottom w:val="single" w:sz="2" w:space="0" w:color="auto"/>
              <w:right w:val="nil"/>
            </w:tcBorders>
            <w:shd w:val="clear" w:color="auto" w:fill="auto"/>
            <w:vAlign w:val="center"/>
            <w:hideMark/>
          </w:tcPr>
          <w:p w14:paraId="1F0F6FA2"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49,89</w:t>
            </w:r>
          </w:p>
        </w:tc>
        <w:tc>
          <w:tcPr>
            <w:tcW w:w="382" w:type="pct"/>
            <w:tcBorders>
              <w:top w:val="single" w:sz="2" w:space="0" w:color="auto"/>
              <w:left w:val="nil"/>
              <w:bottom w:val="single" w:sz="2" w:space="0" w:color="auto"/>
              <w:right w:val="nil"/>
            </w:tcBorders>
            <w:shd w:val="clear" w:color="auto" w:fill="auto"/>
            <w:vAlign w:val="center"/>
            <w:hideMark/>
          </w:tcPr>
          <w:p w14:paraId="2E3A5AAA"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37,59</w:t>
            </w:r>
          </w:p>
        </w:tc>
        <w:tc>
          <w:tcPr>
            <w:tcW w:w="382" w:type="pct"/>
            <w:tcBorders>
              <w:top w:val="single" w:sz="2" w:space="0" w:color="auto"/>
              <w:left w:val="nil"/>
              <w:bottom w:val="single" w:sz="2" w:space="0" w:color="auto"/>
              <w:right w:val="nil"/>
            </w:tcBorders>
            <w:shd w:val="clear" w:color="auto" w:fill="auto"/>
            <w:vAlign w:val="center"/>
            <w:hideMark/>
          </w:tcPr>
          <w:p w14:paraId="0FB50A2C"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47,59</w:t>
            </w:r>
          </w:p>
        </w:tc>
        <w:tc>
          <w:tcPr>
            <w:tcW w:w="402" w:type="pct"/>
            <w:tcBorders>
              <w:top w:val="single" w:sz="2" w:space="0" w:color="auto"/>
              <w:left w:val="nil"/>
              <w:bottom w:val="single" w:sz="2" w:space="0" w:color="auto"/>
              <w:right w:val="nil"/>
            </w:tcBorders>
            <w:shd w:val="clear" w:color="auto" w:fill="auto"/>
            <w:vAlign w:val="center"/>
            <w:hideMark/>
          </w:tcPr>
          <w:p w14:paraId="2F53E85E"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35,00</w:t>
            </w:r>
          </w:p>
        </w:tc>
        <w:tc>
          <w:tcPr>
            <w:tcW w:w="379" w:type="pct"/>
            <w:tcBorders>
              <w:top w:val="single" w:sz="2" w:space="0" w:color="auto"/>
              <w:left w:val="nil"/>
              <w:bottom w:val="single" w:sz="2" w:space="0" w:color="auto"/>
              <w:right w:val="nil"/>
            </w:tcBorders>
            <w:shd w:val="clear" w:color="auto" w:fill="auto"/>
            <w:vAlign w:val="center"/>
          </w:tcPr>
          <w:p w14:paraId="41062255"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30,54</w:t>
            </w:r>
          </w:p>
        </w:tc>
        <w:tc>
          <w:tcPr>
            <w:tcW w:w="429" w:type="pct"/>
            <w:tcBorders>
              <w:top w:val="single" w:sz="2" w:space="0" w:color="auto"/>
              <w:left w:val="nil"/>
              <w:bottom w:val="single" w:sz="2" w:space="0" w:color="auto"/>
              <w:right w:val="nil"/>
            </w:tcBorders>
            <w:shd w:val="clear" w:color="auto" w:fill="auto"/>
            <w:vAlign w:val="center"/>
            <w:hideMark/>
          </w:tcPr>
          <w:p w14:paraId="235FFBF6"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-39</w:t>
            </w:r>
          </w:p>
        </w:tc>
        <w:tc>
          <w:tcPr>
            <w:tcW w:w="432" w:type="pct"/>
            <w:tcBorders>
              <w:top w:val="single" w:sz="2" w:space="0" w:color="auto"/>
              <w:left w:val="nil"/>
              <w:bottom w:val="single" w:sz="2" w:space="0" w:color="auto"/>
              <w:right w:val="nil"/>
            </w:tcBorders>
            <w:shd w:val="clear" w:color="auto" w:fill="auto"/>
            <w:vAlign w:val="center"/>
            <w:hideMark/>
          </w:tcPr>
          <w:p w14:paraId="3451C11E"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-13</w:t>
            </w:r>
          </w:p>
        </w:tc>
        <w:tc>
          <w:tcPr>
            <w:tcW w:w="396" w:type="pct"/>
            <w:tcBorders>
              <w:top w:val="single" w:sz="2" w:space="0" w:color="auto"/>
              <w:left w:val="nil"/>
              <w:bottom w:val="single" w:sz="2" w:space="0" w:color="auto"/>
              <w:right w:val="nil"/>
            </w:tcBorders>
            <w:shd w:val="clear" w:color="auto" w:fill="auto"/>
            <w:vAlign w:val="center"/>
          </w:tcPr>
          <w:p w14:paraId="3F6A70F1"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30,54</w:t>
            </w:r>
          </w:p>
        </w:tc>
      </w:tr>
      <w:tr w:rsidR="0088085F" w:rsidRPr="00CF6E96" w14:paraId="75A1A02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30C00E44"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 xml:space="preserve">Aurrezki garbia </w:t>
            </w:r>
          </w:p>
        </w:tc>
        <w:tc>
          <w:tcPr>
            <w:tcW w:w="520" w:type="pct"/>
            <w:tcBorders>
              <w:top w:val="single" w:sz="2" w:space="0" w:color="auto"/>
              <w:left w:val="nil"/>
              <w:bottom w:val="single" w:sz="2" w:space="0" w:color="auto"/>
              <w:right w:val="nil"/>
            </w:tcBorders>
            <w:shd w:val="clear" w:color="auto" w:fill="auto"/>
            <w:vAlign w:val="center"/>
            <w:hideMark/>
          </w:tcPr>
          <w:p w14:paraId="52F0236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63</w:t>
            </w:r>
          </w:p>
        </w:tc>
        <w:tc>
          <w:tcPr>
            <w:tcW w:w="382" w:type="pct"/>
            <w:tcBorders>
              <w:top w:val="single" w:sz="2" w:space="0" w:color="auto"/>
              <w:left w:val="nil"/>
              <w:bottom w:val="single" w:sz="2" w:space="0" w:color="auto"/>
              <w:right w:val="nil"/>
            </w:tcBorders>
            <w:shd w:val="clear" w:color="auto" w:fill="auto"/>
            <w:vAlign w:val="center"/>
            <w:hideMark/>
          </w:tcPr>
          <w:p w14:paraId="618A814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85,41</w:t>
            </w:r>
          </w:p>
        </w:tc>
        <w:tc>
          <w:tcPr>
            <w:tcW w:w="382" w:type="pct"/>
            <w:tcBorders>
              <w:top w:val="single" w:sz="2" w:space="0" w:color="auto"/>
              <w:left w:val="nil"/>
              <w:bottom w:val="single" w:sz="2" w:space="0" w:color="auto"/>
              <w:right w:val="nil"/>
            </w:tcBorders>
            <w:shd w:val="clear" w:color="auto" w:fill="auto"/>
            <w:vAlign w:val="center"/>
            <w:hideMark/>
          </w:tcPr>
          <w:p w14:paraId="198D70DC"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64,58</w:t>
            </w:r>
          </w:p>
        </w:tc>
        <w:tc>
          <w:tcPr>
            <w:tcW w:w="402" w:type="pct"/>
            <w:tcBorders>
              <w:top w:val="single" w:sz="2" w:space="0" w:color="auto"/>
              <w:left w:val="nil"/>
              <w:bottom w:val="single" w:sz="2" w:space="0" w:color="auto"/>
              <w:right w:val="nil"/>
            </w:tcBorders>
            <w:shd w:val="clear" w:color="auto" w:fill="auto"/>
            <w:vAlign w:val="center"/>
            <w:hideMark/>
          </w:tcPr>
          <w:p w14:paraId="622F5E05"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91,60</w:t>
            </w:r>
          </w:p>
        </w:tc>
        <w:tc>
          <w:tcPr>
            <w:tcW w:w="379" w:type="pct"/>
            <w:tcBorders>
              <w:top w:val="single" w:sz="2" w:space="0" w:color="auto"/>
              <w:left w:val="nil"/>
              <w:bottom w:val="single" w:sz="2" w:space="0" w:color="auto"/>
              <w:right w:val="nil"/>
            </w:tcBorders>
            <w:shd w:val="clear" w:color="auto" w:fill="auto"/>
            <w:vAlign w:val="center"/>
          </w:tcPr>
          <w:p w14:paraId="4E36C533"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107,14</w:t>
            </w:r>
          </w:p>
        </w:tc>
        <w:tc>
          <w:tcPr>
            <w:tcW w:w="429" w:type="pct"/>
            <w:tcBorders>
              <w:top w:val="single" w:sz="2" w:space="0" w:color="auto"/>
              <w:left w:val="nil"/>
              <w:bottom w:val="single" w:sz="2" w:space="0" w:color="auto"/>
              <w:right w:val="nil"/>
            </w:tcBorders>
            <w:shd w:val="clear" w:color="auto" w:fill="auto"/>
            <w:vAlign w:val="center"/>
            <w:hideMark/>
          </w:tcPr>
          <w:p w14:paraId="26381823"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70</w:t>
            </w:r>
          </w:p>
        </w:tc>
        <w:tc>
          <w:tcPr>
            <w:tcW w:w="432" w:type="pct"/>
            <w:tcBorders>
              <w:top w:val="single" w:sz="2" w:space="0" w:color="auto"/>
              <w:left w:val="nil"/>
              <w:bottom w:val="single" w:sz="2" w:space="0" w:color="auto"/>
              <w:right w:val="nil"/>
            </w:tcBorders>
            <w:shd w:val="clear" w:color="auto" w:fill="auto"/>
            <w:vAlign w:val="center"/>
            <w:hideMark/>
          </w:tcPr>
          <w:p w14:paraId="5102ABB0"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17</w:t>
            </w:r>
          </w:p>
        </w:tc>
        <w:tc>
          <w:tcPr>
            <w:tcW w:w="396" w:type="pct"/>
            <w:tcBorders>
              <w:top w:val="single" w:sz="2" w:space="0" w:color="auto"/>
              <w:left w:val="nil"/>
              <w:bottom w:val="single" w:sz="2" w:space="0" w:color="auto"/>
              <w:right w:val="nil"/>
            </w:tcBorders>
            <w:shd w:val="clear" w:color="auto" w:fill="auto"/>
            <w:vAlign w:val="center"/>
          </w:tcPr>
          <w:p w14:paraId="6E8168E2"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116,80</w:t>
            </w:r>
          </w:p>
        </w:tc>
      </w:tr>
      <w:tr w:rsidR="0088085F" w:rsidRPr="00CF6E96" w14:paraId="3AE2BA99"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548A1AB0"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Finantza-zamaren indizea</w:t>
            </w:r>
          </w:p>
        </w:tc>
        <w:tc>
          <w:tcPr>
            <w:tcW w:w="520" w:type="pct"/>
            <w:tcBorders>
              <w:top w:val="single" w:sz="2" w:space="0" w:color="auto"/>
              <w:left w:val="nil"/>
              <w:bottom w:val="single" w:sz="2" w:space="0" w:color="auto"/>
              <w:right w:val="nil"/>
            </w:tcBorders>
            <w:shd w:val="clear" w:color="auto" w:fill="auto"/>
            <w:vAlign w:val="center"/>
            <w:hideMark/>
          </w:tcPr>
          <w:p w14:paraId="512EAB0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7,08</w:t>
            </w:r>
          </w:p>
        </w:tc>
        <w:tc>
          <w:tcPr>
            <w:tcW w:w="382" w:type="pct"/>
            <w:tcBorders>
              <w:top w:val="single" w:sz="2" w:space="0" w:color="auto"/>
              <w:left w:val="nil"/>
              <w:bottom w:val="single" w:sz="2" w:space="0" w:color="auto"/>
              <w:right w:val="nil"/>
            </w:tcBorders>
            <w:shd w:val="clear" w:color="auto" w:fill="auto"/>
            <w:vAlign w:val="center"/>
            <w:hideMark/>
          </w:tcPr>
          <w:p w14:paraId="0664044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5,23</w:t>
            </w:r>
          </w:p>
        </w:tc>
        <w:tc>
          <w:tcPr>
            <w:tcW w:w="382" w:type="pct"/>
            <w:tcBorders>
              <w:top w:val="single" w:sz="2" w:space="0" w:color="auto"/>
              <w:left w:val="nil"/>
              <w:bottom w:val="single" w:sz="2" w:space="0" w:color="auto"/>
              <w:right w:val="nil"/>
            </w:tcBorders>
            <w:shd w:val="clear" w:color="auto" w:fill="auto"/>
            <w:vAlign w:val="center"/>
            <w:hideMark/>
          </w:tcPr>
          <w:p w14:paraId="4604343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6,58</w:t>
            </w:r>
          </w:p>
        </w:tc>
        <w:tc>
          <w:tcPr>
            <w:tcW w:w="402" w:type="pct"/>
            <w:tcBorders>
              <w:top w:val="single" w:sz="2" w:space="0" w:color="auto"/>
              <w:left w:val="nil"/>
              <w:bottom w:val="single" w:sz="2" w:space="0" w:color="auto"/>
              <w:right w:val="nil"/>
            </w:tcBorders>
            <w:shd w:val="clear" w:color="auto" w:fill="auto"/>
            <w:vAlign w:val="center"/>
            <w:hideMark/>
          </w:tcPr>
          <w:p w14:paraId="2A53EC76"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4,65</w:t>
            </w:r>
          </w:p>
        </w:tc>
        <w:tc>
          <w:tcPr>
            <w:tcW w:w="379" w:type="pct"/>
            <w:tcBorders>
              <w:top w:val="single" w:sz="2" w:space="0" w:color="auto"/>
              <w:left w:val="nil"/>
              <w:bottom w:val="single" w:sz="2" w:space="0" w:color="auto"/>
              <w:right w:val="nil"/>
            </w:tcBorders>
            <w:shd w:val="clear" w:color="auto" w:fill="auto"/>
            <w:vAlign w:val="center"/>
          </w:tcPr>
          <w:p w14:paraId="70A33378"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3,86</w:t>
            </w:r>
          </w:p>
        </w:tc>
        <w:tc>
          <w:tcPr>
            <w:tcW w:w="429" w:type="pct"/>
            <w:tcBorders>
              <w:top w:val="single" w:sz="2" w:space="0" w:color="auto"/>
              <w:left w:val="nil"/>
              <w:bottom w:val="single" w:sz="2" w:space="0" w:color="auto"/>
              <w:right w:val="nil"/>
            </w:tcBorders>
            <w:shd w:val="clear" w:color="auto" w:fill="auto"/>
            <w:vAlign w:val="center"/>
            <w:hideMark/>
          </w:tcPr>
          <w:p w14:paraId="3FFA832C"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-46</w:t>
            </w:r>
          </w:p>
        </w:tc>
        <w:tc>
          <w:tcPr>
            <w:tcW w:w="432" w:type="pct"/>
            <w:tcBorders>
              <w:top w:val="single" w:sz="2" w:space="0" w:color="auto"/>
              <w:left w:val="nil"/>
              <w:bottom w:val="single" w:sz="2" w:space="0" w:color="auto"/>
              <w:right w:val="nil"/>
            </w:tcBorders>
            <w:shd w:val="clear" w:color="auto" w:fill="auto"/>
            <w:vAlign w:val="center"/>
            <w:hideMark/>
          </w:tcPr>
          <w:p w14:paraId="0886FD23"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-17</w:t>
            </w:r>
          </w:p>
        </w:tc>
        <w:tc>
          <w:tcPr>
            <w:tcW w:w="396" w:type="pct"/>
            <w:tcBorders>
              <w:top w:val="single" w:sz="2" w:space="0" w:color="auto"/>
              <w:left w:val="nil"/>
              <w:bottom w:val="single" w:sz="2" w:space="0" w:color="auto"/>
              <w:right w:val="nil"/>
            </w:tcBorders>
            <w:shd w:val="clear" w:color="auto" w:fill="auto"/>
            <w:vAlign w:val="center"/>
          </w:tcPr>
          <w:p w14:paraId="3DA9EC80"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3,55</w:t>
            </w:r>
          </w:p>
        </w:tc>
      </w:tr>
      <w:tr w:rsidR="0088085F" w:rsidRPr="00CF6E96" w14:paraId="22C11BE5"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271D6017" w14:textId="77777777" w:rsidR="0088085F" w:rsidRPr="00CF6E96" w:rsidRDefault="0088085F" w:rsidP="00C13CE1">
            <w:pPr>
              <w:pStyle w:val="cuatexto"/>
              <w:rPr>
                <w:rFonts w:cs="Calibri"/>
                <w:color w:val="000000" w:themeColor="text1"/>
                <w:sz w:val="19"/>
                <w:szCs w:val="19"/>
              </w:rPr>
            </w:pPr>
            <w:proofErr w:type="spellStart"/>
            <w:r>
              <w:rPr>
                <w:color w:val="000000" w:themeColor="text1"/>
                <w:sz w:val="19"/>
                <w:szCs w:val="19"/>
              </w:rPr>
              <w:t>Aurr</w:t>
            </w:r>
            <w:proofErr w:type="spellEnd"/>
            <w:r>
              <w:rPr>
                <w:color w:val="000000" w:themeColor="text1"/>
                <w:sz w:val="19"/>
                <w:szCs w:val="19"/>
              </w:rPr>
              <w:t>. gordina/diru-</w:t>
            </w:r>
            <w:proofErr w:type="spellStart"/>
            <w:r>
              <w:rPr>
                <w:color w:val="000000" w:themeColor="text1"/>
                <w:sz w:val="19"/>
                <w:szCs w:val="19"/>
              </w:rPr>
              <w:t>sarr</w:t>
            </w:r>
            <w:proofErr w:type="spellEnd"/>
            <w:r>
              <w:rPr>
                <w:color w:val="000000" w:themeColor="text1"/>
                <w:sz w:val="19"/>
                <w:szCs w:val="19"/>
              </w:rPr>
              <w:t>. arruntak (%)</w:t>
            </w:r>
          </w:p>
        </w:tc>
        <w:tc>
          <w:tcPr>
            <w:tcW w:w="520" w:type="pct"/>
            <w:tcBorders>
              <w:top w:val="single" w:sz="2" w:space="0" w:color="auto"/>
              <w:left w:val="nil"/>
              <w:bottom w:val="single" w:sz="2" w:space="0" w:color="auto"/>
              <w:right w:val="nil"/>
            </w:tcBorders>
            <w:shd w:val="clear" w:color="auto" w:fill="auto"/>
            <w:vAlign w:val="center"/>
            <w:hideMark/>
          </w:tcPr>
          <w:p w14:paraId="2CFC2A66"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15,98</w:t>
            </w:r>
          </w:p>
        </w:tc>
        <w:tc>
          <w:tcPr>
            <w:tcW w:w="382" w:type="pct"/>
            <w:tcBorders>
              <w:top w:val="single" w:sz="2" w:space="0" w:color="auto"/>
              <w:left w:val="nil"/>
              <w:bottom w:val="single" w:sz="2" w:space="0" w:color="auto"/>
              <w:right w:val="nil"/>
            </w:tcBorders>
            <w:shd w:val="clear" w:color="auto" w:fill="auto"/>
            <w:vAlign w:val="center"/>
            <w:hideMark/>
          </w:tcPr>
          <w:p w14:paraId="60F34EF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17,15</w:t>
            </w:r>
          </w:p>
        </w:tc>
        <w:tc>
          <w:tcPr>
            <w:tcW w:w="382" w:type="pct"/>
            <w:tcBorders>
              <w:top w:val="single" w:sz="2" w:space="0" w:color="auto"/>
              <w:left w:val="nil"/>
              <w:bottom w:val="single" w:sz="2" w:space="0" w:color="auto"/>
              <w:right w:val="nil"/>
            </w:tcBorders>
            <w:shd w:val="clear" w:color="auto" w:fill="auto"/>
            <w:vAlign w:val="center"/>
            <w:hideMark/>
          </w:tcPr>
          <w:p w14:paraId="71283CC1"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15,52</w:t>
            </w:r>
          </w:p>
        </w:tc>
        <w:tc>
          <w:tcPr>
            <w:tcW w:w="402" w:type="pct"/>
            <w:tcBorders>
              <w:top w:val="single" w:sz="2" w:space="0" w:color="auto"/>
              <w:left w:val="nil"/>
              <w:bottom w:val="single" w:sz="2" w:space="0" w:color="auto"/>
              <w:right w:val="nil"/>
            </w:tcBorders>
            <w:shd w:val="clear" w:color="auto" w:fill="auto"/>
            <w:vAlign w:val="center"/>
            <w:hideMark/>
          </w:tcPr>
          <w:p w14:paraId="2FAFA3B6"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16,82</w:t>
            </w:r>
          </w:p>
        </w:tc>
        <w:tc>
          <w:tcPr>
            <w:tcW w:w="379" w:type="pct"/>
            <w:tcBorders>
              <w:top w:val="single" w:sz="2" w:space="0" w:color="auto"/>
              <w:left w:val="nil"/>
              <w:bottom w:val="single" w:sz="2" w:space="0" w:color="auto"/>
              <w:right w:val="nil"/>
            </w:tcBorders>
            <w:shd w:val="clear" w:color="auto" w:fill="auto"/>
            <w:vAlign w:val="center"/>
          </w:tcPr>
          <w:p w14:paraId="002850AB"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17,39</w:t>
            </w:r>
          </w:p>
        </w:tc>
        <w:tc>
          <w:tcPr>
            <w:tcW w:w="429" w:type="pct"/>
            <w:tcBorders>
              <w:top w:val="single" w:sz="2" w:space="0" w:color="auto"/>
              <w:left w:val="nil"/>
              <w:bottom w:val="single" w:sz="2" w:space="0" w:color="auto"/>
              <w:right w:val="nil"/>
            </w:tcBorders>
            <w:shd w:val="clear" w:color="auto" w:fill="auto"/>
            <w:vAlign w:val="center"/>
            <w:hideMark/>
          </w:tcPr>
          <w:p w14:paraId="25AB518B"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9</w:t>
            </w:r>
          </w:p>
        </w:tc>
        <w:tc>
          <w:tcPr>
            <w:tcW w:w="432" w:type="pct"/>
            <w:tcBorders>
              <w:top w:val="single" w:sz="2" w:space="0" w:color="auto"/>
              <w:left w:val="nil"/>
              <w:bottom w:val="single" w:sz="2" w:space="0" w:color="auto"/>
              <w:right w:val="nil"/>
            </w:tcBorders>
            <w:shd w:val="clear" w:color="auto" w:fill="auto"/>
            <w:vAlign w:val="center"/>
            <w:hideMark/>
          </w:tcPr>
          <w:p w14:paraId="3863F56C"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3</w:t>
            </w:r>
          </w:p>
        </w:tc>
        <w:tc>
          <w:tcPr>
            <w:tcW w:w="396" w:type="pct"/>
            <w:tcBorders>
              <w:top w:val="single" w:sz="2" w:space="0" w:color="auto"/>
              <w:left w:val="nil"/>
              <w:bottom w:val="single" w:sz="2" w:space="0" w:color="auto"/>
              <w:right w:val="nil"/>
            </w:tcBorders>
            <w:shd w:val="clear" w:color="auto" w:fill="auto"/>
            <w:vAlign w:val="center"/>
          </w:tcPr>
          <w:p w14:paraId="6DCB13BD"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17,12</w:t>
            </w:r>
          </w:p>
        </w:tc>
      </w:tr>
      <w:tr w:rsidR="0088085F" w:rsidRPr="00CF6E96" w14:paraId="3CBE47A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557D8C3"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Zorpetze-ahalmena (%)</w:t>
            </w:r>
          </w:p>
        </w:tc>
        <w:tc>
          <w:tcPr>
            <w:tcW w:w="520" w:type="pct"/>
            <w:tcBorders>
              <w:top w:val="single" w:sz="2" w:space="0" w:color="auto"/>
              <w:left w:val="nil"/>
              <w:bottom w:val="single" w:sz="2" w:space="0" w:color="auto"/>
              <w:right w:val="nil"/>
            </w:tcBorders>
            <w:shd w:val="clear" w:color="auto" w:fill="auto"/>
            <w:vAlign w:val="center"/>
            <w:hideMark/>
          </w:tcPr>
          <w:p w14:paraId="76238FFF"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9,19</w:t>
            </w:r>
          </w:p>
        </w:tc>
        <w:tc>
          <w:tcPr>
            <w:tcW w:w="382" w:type="pct"/>
            <w:tcBorders>
              <w:top w:val="single" w:sz="2" w:space="0" w:color="auto"/>
              <w:left w:val="nil"/>
              <w:bottom w:val="single" w:sz="2" w:space="0" w:color="auto"/>
              <w:right w:val="nil"/>
            </w:tcBorders>
            <w:shd w:val="clear" w:color="auto" w:fill="auto"/>
            <w:vAlign w:val="center"/>
            <w:hideMark/>
          </w:tcPr>
          <w:p w14:paraId="4D581DB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11,92</w:t>
            </w:r>
          </w:p>
        </w:tc>
        <w:tc>
          <w:tcPr>
            <w:tcW w:w="382" w:type="pct"/>
            <w:tcBorders>
              <w:top w:val="single" w:sz="2" w:space="0" w:color="auto"/>
              <w:left w:val="nil"/>
              <w:bottom w:val="single" w:sz="2" w:space="0" w:color="auto"/>
              <w:right w:val="nil"/>
            </w:tcBorders>
            <w:shd w:val="clear" w:color="auto" w:fill="auto"/>
            <w:vAlign w:val="center"/>
            <w:hideMark/>
          </w:tcPr>
          <w:p w14:paraId="487843CE"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8,94</w:t>
            </w:r>
          </w:p>
        </w:tc>
        <w:tc>
          <w:tcPr>
            <w:tcW w:w="402" w:type="pct"/>
            <w:tcBorders>
              <w:top w:val="single" w:sz="2" w:space="0" w:color="auto"/>
              <w:left w:val="nil"/>
              <w:bottom w:val="single" w:sz="2" w:space="0" w:color="auto"/>
              <w:right w:val="nil"/>
            </w:tcBorders>
            <w:shd w:val="clear" w:color="auto" w:fill="auto"/>
            <w:vAlign w:val="center"/>
            <w:hideMark/>
          </w:tcPr>
          <w:p w14:paraId="48CDFF4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12,17</w:t>
            </w:r>
          </w:p>
        </w:tc>
        <w:tc>
          <w:tcPr>
            <w:tcW w:w="379" w:type="pct"/>
            <w:tcBorders>
              <w:top w:val="single" w:sz="2" w:space="0" w:color="auto"/>
              <w:left w:val="nil"/>
              <w:bottom w:val="single" w:sz="2" w:space="0" w:color="auto"/>
              <w:right w:val="nil"/>
            </w:tcBorders>
            <w:shd w:val="clear" w:color="auto" w:fill="auto"/>
            <w:vAlign w:val="center"/>
          </w:tcPr>
          <w:p w14:paraId="21C6ADD8"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13,53</w:t>
            </w:r>
          </w:p>
        </w:tc>
        <w:tc>
          <w:tcPr>
            <w:tcW w:w="429" w:type="pct"/>
            <w:tcBorders>
              <w:top w:val="single" w:sz="2" w:space="0" w:color="auto"/>
              <w:left w:val="nil"/>
              <w:bottom w:val="single" w:sz="2" w:space="0" w:color="auto"/>
              <w:right w:val="nil"/>
            </w:tcBorders>
            <w:shd w:val="clear" w:color="auto" w:fill="auto"/>
            <w:vAlign w:val="center"/>
            <w:hideMark/>
          </w:tcPr>
          <w:p w14:paraId="5E07FEA6"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47</w:t>
            </w:r>
          </w:p>
        </w:tc>
        <w:tc>
          <w:tcPr>
            <w:tcW w:w="432" w:type="pct"/>
            <w:tcBorders>
              <w:top w:val="single" w:sz="2" w:space="0" w:color="auto"/>
              <w:left w:val="nil"/>
              <w:bottom w:val="single" w:sz="2" w:space="0" w:color="auto"/>
              <w:right w:val="nil"/>
            </w:tcBorders>
            <w:shd w:val="clear" w:color="auto" w:fill="auto"/>
            <w:vAlign w:val="center"/>
            <w:hideMark/>
          </w:tcPr>
          <w:p w14:paraId="73C11592"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11</w:t>
            </w:r>
          </w:p>
        </w:tc>
        <w:tc>
          <w:tcPr>
            <w:tcW w:w="396" w:type="pct"/>
            <w:tcBorders>
              <w:top w:val="single" w:sz="2" w:space="0" w:color="auto"/>
              <w:left w:val="nil"/>
              <w:bottom w:val="single" w:sz="2" w:space="0" w:color="auto"/>
              <w:right w:val="nil"/>
            </w:tcBorders>
            <w:shd w:val="clear" w:color="auto" w:fill="auto"/>
            <w:vAlign w:val="center"/>
          </w:tcPr>
          <w:p w14:paraId="51657820" w14:textId="77777777" w:rsidR="0088085F" w:rsidRPr="00CF6E96" w:rsidRDefault="0088085F" w:rsidP="00C13CE1">
            <w:pPr>
              <w:tabs>
                <w:tab w:val="left" w:pos="210"/>
              </w:tabs>
              <w:ind w:firstLine="0"/>
              <w:jc w:val="right"/>
              <w:rPr>
                <w:rFonts w:ascii="Arial Narrow" w:hAnsi="Arial Narrow" w:cs="Calibri"/>
                <w:sz w:val="19"/>
                <w:szCs w:val="19"/>
              </w:rPr>
            </w:pPr>
            <w:r>
              <w:rPr>
                <w:rFonts w:ascii="Arial Narrow" w:hAnsi="Arial Narrow"/>
                <w:sz w:val="19"/>
                <w:szCs w:val="19"/>
              </w:rPr>
              <w:t>13,57</w:t>
            </w:r>
          </w:p>
        </w:tc>
      </w:tr>
      <w:tr w:rsidR="0088085F" w:rsidRPr="00CF6E96" w14:paraId="09016B68" w14:textId="77777777" w:rsidTr="006A6C4E">
        <w:trPr>
          <w:trHeight w:hRule="exact" w:val="238"/>
          <w:jc w:val="center"/>
        </w:trPr>
        <w:tc>
          <w:tcPr>
            <w:tcW w:w="1678" w:type="pct"/>
            <w:tcBorders>
              <w:top w:val="single" w:sz="2" w:space="0" w:color="auto"/>
              <w:left w:val="nil"/>
              <w:bottom w:val="single" w:sz="2" w:space="0" w:color="auto"/>
              <w:right w:val="nil"/>
            </w:tcBorders>
            <w:shd w:val="clear" w:color="auto" w:fill="auto"/>
            <w:vAlign w:val="center"/>
            <w:hideMark/>
          </w:tcPr>
          <w:p w14:paraId="6ACFBE50" w14:textId="77777777" w:rsidR="0088085F" w:rsidRPr="00CF6E96" w:rsidRDefault="0088085F" w:rsidP="00C13CE1">
            <w:pPr>
              <w:pStyle w:val="cuatexto"/>
              <w:rPr>
                <w:rFonts w:cs="Calibri"/>
                <w:color w:val="000000" w:themeColor="text1"/>
                <w:sz w:val="19"/>
                <w:szCs w:val="19"/>
              </w:rPr>
            </w:pPr>
            <w:r>
              <w:rPr>
                <w:color w:val="000000" w:themeColor="text1"/>
                <w:sz w:val="19"/>
                <w:szCs w:val="19"/>
              </w:rPr>
              <w:t>Zor bizia</w:t>
            </w:r>
          </w:p>
        </w:tc>
        <w:tc>
          <w:tcPr>
            <w:tcW w:w="520" w:type="pct"/>
            <w:tcBorders>
              <w:top w:val="single" w:sz="2" w:space="0" w:color="auto"/>
              <w:left w:val="nil"/>
              <w:bottom w:val="single" w:sz="2" w:space="0" w:color="auto"/>
              <w:right w:val="nil"/>
            </w:tcBorders>
            <w:shd w:val="clear" w:color="auto" w:fill="auto"/>
            <w:vAlign w:val="center"/>
            <w:hideMark/>
          </w:tcPr>
          <w:p w14:paraId="3EC4EB70"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301,39</w:t>
            </w:r>
          </w:p>
        </w:tc>
        <w:tc>
          <w:tcPr>
            <w:tcW w:w="382" w:type="pct"/>
            <w:tcBorders>
              <w:top w:val="single" w:sz="2" w:space="0" w:color="auto"/>
              <w:left w:val="nil"/>
              <w:bottom w:val="single" w:sz="2" w:space="0" w:color="auto"/>
              <w:right w:val="nil"/>
            </w:tcBorders>
            <w:shd w:val="clear" w:color="auto" w:fill="auto"/>
            <w:vAlign w:val="center"/>
            <w:hideMark/>
          </w:tcPr>
          <w:p w14:paraId="2389029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280,46</w:t>
            </w:r>
          </w:p>
        </w:tc>
        <w:tc>
          <w:tcPr>
            <w:tcW w:w="382" w:type="pct"/>
            <w:tcBorders>
              <w:top w:val="single" w:sz="2" w:space="0" w:color="auto"/>
              <w:left w:val="nil"/>
              <w:bottom w:val="single" w:sz="2" w:space="0" w:color="auto"/>
              <w:right w:val="nil"/>
            </w:tcBorders>
            <w:shd w:val="clear" w:color="auto" w:fill="auto"/>
            <w:vAlign w:val="center"/>
            <w:hideMark/>
          </w:tcPr>
          <w:p w14:paraId="5A34A7E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234,26</w:t>
            </w:r>
          </w:p>
        </w:tc>
        <w:tc>
          <w:tcPr>
            <w:tcW w:w="402" w:type="pct"/>
            <w:tcBorders>
              <w:top w:val="single" w:sz="2" w:space="0" w:color="auto"/>
              <w:left w:val="nil"/>
              <w:bottom w:val="single" w:sz="2" w:space="0" w:color="auto"/>
              <w:right w:val="nil"/>
            </w:tcBorders>
            <w:shd w:val="clear" w:color="auto" w:fill="auto"/>
            <w:vAlign w:val="center"/>
            <w:hideMark/>
          </w:tcPr>
          <w:p w14:paraId="311A3557"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207,63</w:t>
            </w:r>
          </w:p>
        </w:tc>
        <w:tc>
          <w:tcPr>
            <w:tcW w:w="379" w:type="pct"/>
            <w:tcBorders>
              <w:top w:val="single" w:sz="2" w:space="0" w:color="auto"/>
              <w:left w:val="nil"/>
              <w:bottom w:val="single" w:sz="2" w:space="0" w:color="auto"/>
              <w:right w:val="nil"/>
            </w:tcBorders>
            <w:shd w:val="clear" w:color="auto" w:fill="auto"/>
            <w:vAlign w:val="center"/>
          </w:tcPr>
          <w:p w14:paraId="557D1E13"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179,61</w:t>
            </w:r>
          </w:p>
        </w:tc>
        <w:tc>
          <w:tcPr>
            <w:tcW w:w="429" w:type="pct"/>
            <w:tcBorders>
              <w:top w:val="single" w:sz="2" w:space="0" w:color="auto"/>
              <w:left w:val="nil"/>
              <w:bottom w:val="single" w:sz="2" w:space="0" w:color="auto"/>
              <w:right w:val="nil"/>
            </w:tcBorders>
            <w:shd w:val="clear" w:color="auto" w:fill="auto"/>
            <w:vAlign w:val="center"/>
            <w:hideMark/>
          </w:tcPr>
          <w:p w14:paraId="3BF7A614"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-40</w:t>
            </w:r>
          </w:p>
        </w:tc>
        <w:tc>
          <w:tcPr>
            <w:tcW w:w="432" w:type="pct"/>
            <w:tcBorders>
              <w:top w:val="single" w:sz="2" w:space="0" w:color="auto"/>
              <w:left w:val="nil"/>
              <w:bottom w:val="single" w:sz="2" w:space="0" w:color="auto"/>
              <w:right w:val="nil"/>
            </w:tcBorders>
            <w:shd w:val="clear" w:color="auto" w:fill="auto"/>
            <w:vAlign w:val="center"/>
            <w:hideMark/>
          </w:tcPr>
          <w:p w14:paraId="26AB2BAD"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-13</w:t>
            </w:r>
          </w:p>
        </w:tc>
        <w:tc>
          <w:tcPr>
            <w:tcW w:w="396" w:type="pct"/>
            <w:tcBorders>
              <w:top w:val="single" w:sz="2" w:space="0" w:color="auto"/>
              <w:left w:val="nil"/>
              <w:bottom w:val="single" w:sz="2" w:space="0" w:color="auto"/>
              <w:right w:val="nil"/>
            </w:tcBorders>
            <w:shd w:val="clear" w:color="000000" w:fill="FFFFFF" w:themeFill="background1"/>
            <w:vAlign w:val="center"/>
          </w:tcPr>
          <w:p w14:paraId="0FB76098"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179,61</w:t>
            </w:r>
          </w:p>
        </w:tc>
      </w:tr>
      <w:tr w:rsidR="0088085F" w:rsidRPr="00CF6E96" w14:paraId="14B2FC38" w14:textId="77777777" w:rsidTr="006A6C4E">
        <w:trPr>
          <w:trHeight w:hRule="exact" w:val="238"/>
          <w:jc w:val="center"/>
        </w:trPr>
        <w:tc>
          <w:tcPr>
            <w:tcW w:w="1678" w:type="pct"/>
            <w:tcBorders>
              <w:top w:val="single" w:sz="2" w:space="0" w:color="auto"/>
              <w:left w:val="nil"/>
              <w:bottom w:val="single" w:sz="4" w:space="0" w:color="auto"/>
              <w:right w:val="nil"/>
            </w:tcBorders>
            <w:shd w:val="clear" w:color="auto" w:fill="auto"/>
            <w:vAlign w:val="center"/>
            <w:hideMark/>
          </w:tcPr>
          <w:p w14:paraId="16823380" w14:textId="77777777" w:rsidR="0088085F" w:rsidRPr="00CF6E96" w:rsidRDefault="0088085F" w:rsidP="00040389">
            <w:pPr>
              <w:pStyle w:val="cuatexto"/>
              <w:rPr>
                <w:rFonts w:cs="Calibri"/>
                <w:color w:val="000000" w:themeColor="text1"/>
                <w:sz w:val="19"/>
                <w:szCs w:val="19"/>
              </w:rPr>
            </w:pPr>
            <w:r>
              <w:rPr>
                <w:color w:val="000000" w:themeColor="text1"/>
                <w:sz w:val="19"/>
                <w:szCs w:val="19"/>
              </w:rPr>
              <w:lastRenderedPageBreak/>
              <w:t>Gastu orokorretarako diruzaintza-gerakina</w:t>
            </w:r>
          </w:p>
        </w:tc>
        <w:tc>
          <w:tcPr>
            <w:tcW w:w="520" w:type="pct"/>
            <w:tcBorders>
              <w:top w:val="single" w:sz="2" w:space="0" w:color="auto"/>
              <w:left w:val="nil"/>
              <w:bottom w:val="single" w:sz="4" w:space="0" w:color="auto"/>
              <w:right w:val="nil"/>
            </w:tcBorders>
            <w:shd w:val="clear" w:color="auto" w:fill="auto"/>
            <w:vAlign w:val="center"/>
            <w:hideMark/>
          </w:tcPr>
          <w:p w14:paraId="1BFE6A41"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192,42</w:t>
            </w:r>
          </w:p>
        </w:tc>
        <w:tc>
          <w:tcPr>
            <w:tcW w:w="382" w:type="pct"/>
            <w:tcBorders>
              <w:top w:val="single" w:sz="2" w:space="0" w:color="auto"/>
              <w:left w:val="nil"/>
              <w:bottom w:val="single" w:sz="4" w:space="0" w:color="auto"/>
              <w:right w:val="nil"/>
            </w:tcBorders>
            <w:shd w:val="clear" w:color="auto" w:fill="auto"/>
            <w:vAlign w:val="center"/>
            <w:hideMark/>
          </w:tcPr>
          <w:p w14:paraId="0A3EEE4C"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226,99</w:t>
            </w:r>
          </w:p>
        </w:tc>
        <w:tc>
          <w:tcPr>
            <w:tcW w:w="382" w:type="pct"/>
            <w:tcBorders>
              <w:top w:val="single" w:sz="2" w:space="0" w:color="auto"/>
              <w:left w:val="nil"/>
              <w:bottom w:val="single" w:sz="4" w:space="0" w:color="auto"/>
              <w:right w:val="nil"/>
            </w:tcBorders>
            <w:shd w:val="clear" w:color="auto" w:fill="auto"/>
            <w:vAlign w:val="center"/>
            <w:hideMark/>
          </w:tcPr>
          <w:p w14:paraId="2B48934E"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238,45</w:t>
            </w:r>
          </w:p>
        </w:tc>
        <w:tc>
          <w:tcPr>
            <w:tcW w:w="402" w:type="pct"/>
            <w:tcBorders>
              <w:top w:val="single" w:sz="2" w:space="0" w:color="auto"/>
              <w:left w:val="nil"/>
              <w:bottom w:val="single" w:sz="4" w:space="0" w:color="auto"/>
              <w:right w:val="nil"/>
            </w:tcBorders>
            <w:shd w:val="clear" w:color="auto" w:fill="auto"/>
            <w:vAlign w:val="center"/>
            <w:hideMark/>
          </w:tcPr>
          <w:p w14:paraId="1A47EBEF"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250,65</w:t>
            </w:r>
          </w:p>
        </w:tc>
        <w:tc>
          <w:tcPr>
            <w:tcW w:w="379" w:type="pct"/>
            <w:tcBorders>
              <w:top w:val="single" w:sz="2" w:space="0" w:color="auto"/>
              <w:left w:val="nil"/>
              <w:bottom w:val="single" w:sz="4" w:space="0" w:color="auto"/>
              <w:right w:val="nil"/>
            </w:tcBorders>
            <w:shd w:val="clear" w:color="auto" w:fill="auto"/>
            <w:vAlign w:val="center"/>
          </w:tcPr>
          <w:p w14:paraId="5432E612"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275,17</w:t>
            </w:r>
          </w:p>
        </w:tc>
        <w:tc>
          <w:tcPr>
            <w:tcW w:w="429" w:type="pct"/>
            <w:tcBorders>
              <w:top w:val="single" w:sz="2" w:space="0" w:color="auto"/>
              <w:left w:val="nil"/>
              <w:bottom w:val="single" w:sz="4" w:space="0" w:color="auto"/>
              <w:right w:val="nil"/>
            </w:tcBorders>
            <w:shd w:val="clear" w:color="auto" w:fill="auto"/>
            <w:vAlign w:val="center"/>
            <w:hideMark/>
          </w:tcPr>
          <w:p w14:paraId="3FB12DDC"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43</w:t>
            </w:r>
          </w:p>
        </w:tc>
        <w:tc>
          <w:tcPr>
            <w:tcW w:w="432" w:type="pct"/>
            <w:tcBorders>
              <w:top w:val="single" w:sz="2" w:space="0" w:color="auto"/>
              <w:left w:val="nil"/>
              <w:bottom w:val="single" w:sz="4" w:space="0" w:color="auto"/>
              <w:right w:val="nil"/>
            </w:tcBorders>
            <w:shd w:val="clear" w:color="auto" w:fill="auto"/>
            <w:vAlign w:val="center"/>
            <w:hideMark/>
          </w:tcPr>
          <w:p w14:paraId="0B392B4A"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10</w:t>
            </w:r>
          </w:p>
        </w:tc>
        <w:tc>
          <w:tcPr>
            <w:tcW w:w="396" w:type="pct"/>
            <w:tcBorders>
              <w:top w:val="single" w:sz="2" w:space="0" w:color="auto"/>
              <w:left w:val="nil"/>
              <w:bottom w:val="single" w:sz="4" w:space="0" w:color="auto"/>
              <w:right w:val="nil"/>
            </w:tcBorders>
            <w:shd w:val="clear" w:color="000000" w:fill="FFFFFF" w:themeFill="background1"/>
            <w:vAlign w:val="center"/>
          </w:tcPr>
          <w:p w14:paraId="2B3E6B9C" w14:textId="77777777" w:rsidR="0088085F" w:rsidRPr="00CF6E96" w:rsidRDefault="0088085F" w:rsidP="00C13CE1">
            <w:pPr>
              <w:pStyle w:val="cuatexto"/>
              <w:tabs>
                <w:tab w:val="left" w:pos="210"/>
              </w:tabs>
              <w:jc w:val="right"/>
              <w:rPr>
                <w:rFonts w:cs="Calibri"/>
                <w:color w:val="000000" w:themeColor="text1"/>
                <w:sz w:val="19"/>
                <w:szCs w:val="19"/>
              </w:rPr>
            </w:pPr>
            <w:r>
              <w:rPr>
                <w:color w:val="000000" w:themeColor="text1"/>
                <w:sz w:val="19"/>
                <w:szCs w:val="19"/>
              </w:rPr>
              <w:t>-(**)</w:t>
            </w:r>
          </w:p>
        </w:tc>
      </w:tr>
    </w:tbl>
    <w:p w14:paraId="31829AD4" w14:textId="77777777" w:rsidR="0088085F" w:rsidRPr="002070E0" w:rsidRDefault="00CF6E96" w:rsidP="00FE3101">
      <w:pPr>
        <w:pStyle w:val="texto"/>
        <w:spacing w:before="80" w:after="60"/>
        <w:ind w:left="28" w:firstLine="0"/>
        <w:rPr>
          <w:rFonts w:ascii="Arial" w:hAnsi="Arial" w:cs="Arial"/>
          <w:color w:val="000000" w:themeColor="text1"/>
          <w:sz w:val="16"/>
          <w:szCs w:val="16"/>
        </w:rPr>
      </w:pPr>
      <w:r>
        <w:rPr>
          <w:rFonts w:ascii="Arial" w:hAnsi="Arial"/>
          <w:color w:val="000000" w:themeColor="text1"/>
          <w:sz w:val="16"/>
          <w:szCs w:val="16"/>
        </w:rPr>
        <w:t xml:space="preserve"> (*) </w:t>
      </w:r>
      <w:proofErr w:type="spellStart"/>
      <w:r>
        <w:rPr>
          <w:rFonts w:ascii="Arial" w:hAnsi="Arial"/>
          <w:color w:val="000000" w:themeColor="text1"/>
          <w:sz w:val="16"/>
          <w:szCs w:val="16"/>
        </w:rPr>
        <w:t>SCPSArekin</w:t>
      </w:r>
      <w:proofErr w:type="spellEnd"/>
      <w:r>
        <w:rPr>
          <w:rFonts w:ascii="Arial" w:hAnsi="Arial"/>
          <w:color w:val="000000" w:themeColor="text1"/>
          <w:sz w:val="16"/>
          <w:szCs w:val="16"/>
        </w:rPr>
        <w:t xml:space="preserve"> bateratutako adierazleak.</w:t>
      </w:r>
    </w:p>
    <w:p w14:paraId="7A7A907A" w14:textId="77777777" w:rsidR="0088085F" w:rsidRPr="002070E0" w:rsidRDefault="00CF6E96" w:rsidP="00FE3101">
      <w:pPr>
        <w:pStyle w:val="texto"/>
        <w:spacing w:after="40"/>
        <w:ind w:left="28" w:firstLine="0"/>
        <w:rPr>
          <w:rFonts w:ascii="Arial" w:hAnsi="Arial" w:cs="Arial"/>
          <w:color w:val="000000" w:themeColor="text1"/>
          <w:sz w:val="16"/>
          <w:szCs w:val="16"/>
        </w:rPr>
      </w:pPr>
      <w:r>
        <w:rPr>
          <w:rFonts w:ascii="Arial" w:hAnsi="Arial"/>
          <w:color w:val="000000" w:themeColor="text1"/>
          <w:sz w:val="16"/>
          <w:szCs w:val="16"/>
        </w:rPr>
        <w:t xml:space="preserve"> (**) Ez dago eskura adierazle bateratu hori.</w:t>
      </w:r>
    </w:p>
    <w:p w14:paraId="4B0593E0" w14:textId="77777777" w:rsidR="0088085F" w:rsidRPr="00B81E61" w:rsidRDefault="0088085F" w:rsidP="0088085F">
      <w:pPr>
        <w:pStyle w:val="texto"/>
        <w:spacing w:before="100" w:after="60"/>
        <w:ind w:firstLine="0"/>
        <w:rPr>
          <w:rFonts w:ascii="Arial Narrow" w:hAnsi="Arial Narrow"/>
          <w:i/>
          <w:color w:val="000000" w:themeColor="text1"/>
          <w:sz w:val="18"/>
          <w:szCs w:val="18"/>
        </w:rPr>
      </w:pPr>
    </w:p>
    <w:p w14:paraId="3006E672" w14:textId="77777777" w:rsidR="0088085F" w:rsidRPr="00262228" w:rsidRDefault="0088085F" w:rsidP="00262228">
      <w:pPr>
        <w:pStyle w:val="texto"/>
      </w:pPr>
      <w:r>
        <w:t>Aurreko taulako datuak aztertuta, honako hauek azpimarratu behar ditugu:</w:t>
      </w:r>
    </w:p>
    <w:p w14:paraId="13C376BD"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2018koekin alderatuta, gastuak ehuneko 12 igo dira, eta diru-sarrerak, berriz, ehuneko sei. 2015arekiko bilakaerak zeinu positibo bera du; halere, aldearen portzentajea ehuneko 21 izan da gastuei dagokienez eta ehuneko 19 diru-sarrerei dagokienez.</w:t>
      </w:r>
    </w:p>
    <w:p w14:paraId="4CAEE389"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Pr>
          <w:sz w:val="26"/>
          <w:szCs w:val="26"/>
        </w:rPr>
        <w:t xml:space="preserve">Kapital-gastuak 199,42 milioi eurokoak izan ziren, eta 2018ko ekitaldiarekiko hazkunde handiena izan </w:t>
      </w:r>
      <w:r>
        <w:rPr>
          <w:color w:val="000000" w:themeColor="text1"/>
          <w:sz w:val="26"/>
          <w:szCs w:val="26"/>
        </w:rPr>
        <w:t>duen gastua da, ehuneko 59ko igoerarekin.</w:t>
      </w:r>
    </w:p>
    <w:p w14:paraId="6C5BE56B" w14:textId="77777777" w:rsidR="0088085F" w:rsidRPr="009A521B" w:rsidRDefault="0088085F" w:rsidP="00CE5750">
      <w:pPr>
        <w:numPr>
          <w:ilvl w:val="0"/>
          <w:numId w:val="2"/>
        </w:numPr>
        <w:tabs>
          <w:tab w:val="clear" w:pos="502"/>
          <w:tab w:val="left" w:pos="480"/>
          <w:tab w:val="num" w:pos="720"/>
          <w:tab w:val="num" w:pos="6597"/>
        </w:tabs>
        <w:ind w:left="0" w:firstLine="289"/>
        <w:rPr>
          <w:color w:val="000000" w:themeColor="text1"/>
          <w:spacing w:val="6"/>
          <w:sz w:val="26"/>
          <w:szCs w:val="26"/>
        </w:rPr>
      </w:pPr>
      <w:r>
        <w:rPr>
          <w:color w:val="000000" w:themeColor="text1"/>
          <w:sz w:val="26"/>
          <w:szCs w:val="26"/>
        </w:rPr>
        <w:t>2019an, toki sektore publikoak 107,14 milioiko aurrezki garbia eragin zuen, funtzionamendu gastuak eta zorraren finantza-zama ordaindu ondoren. Aurrezki hori 2015ean lortutakoa baino ehuneko 70 handiagoa da, eta ehuneko 17 egin du gora 2018koarekiko. Aurrezki gordinaren igoeraren ondorioz gertatu da gorakada hori, bai eta finantza-zamaren jaitsieraren ondorioz ere, azken hori ehuneko 13 murriztu baita 2018koaren aldean.</w:t>
      </w:r>
    </w:p>
    <w:p w14:paraId="1C7D343B"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color w:val="000000" w:themeColor="text1"/>
          <w:sz w:val="26"/>
          <w:szCs w:val="26"/>
        </w:rPr>
        <w:t xml:space="preserve">Nafarroako toki entitateen 2019ko zor bizia 179,61 milioi eurokoa zen, ehuneko 1,50eko batez besteko interes tasarekin; batez beste 9,38 urte gelditzen dira epearen muga-eguna iristeko. 2015eko eta 2018ko datuekin alderatuta, 2019ko zorra ehuneko 40 eta ehuneko 13 txikiagoa da, hurrenez hurren. Jaitsiera </w:t>
      </w:r>
      <w:r>
        <w:rPr>
          <w:sz w:val="26"/>
          <w:szCs w:val="26"/>
        </w:rPr>
        <w:t>hain nabarmen horien eragile dira, neurri batean, Aurrekontu Egonkortasunari eta Finantza Iraunkortasunari buruzko apirilaren 27ko 2/2012 Lege Organikoak (hemendik aurrera, AEFILO) ezarritako betekizunak; izan ere, horien eraginez 2019an 28,91 milioi euroko zorra amortizatu zen, eta itundutako zor berria 2,94 milioikoa baino ez zen izan.</w:t>
      </w:r>
    </w:p>
    <w:p w14:paraId="0A4986BD" w14:textId="77777777" w:rsidR="0088085F" w:rsidRPr="00CE5750" w:rsidRDefault="0088085F" w:rsidP="00EB3A45">
      <w:pPr>
        <w:numPr>
          <w:ilvl w:val="0"/>
          <w:numId w:val="2"/>
        </w:numPr>
        <w:tabs>
          <w:tab w:val="clear" w:pos="502"/>
          <w:tab w:val="left" w:pos="480"/>
          <w:tab w:val="num" w:pos="720"/>
          <w:tab w:val="num" w:pos="6597"/>
        </w:tabs>
        <w:spacing w:after="360"/>
        <w:ind w:left="0" w:firstLine="289"/>
        <w:rPr>
          <w:spacing w:val="6"/>
          <w:sz w:val="26"/>
          <w:szCs w:val="26"/>
        </w:rPr>
      </w:pPr>
      <w:r>
        <w:rPr>
          <w:sz w:val="26"/>
          <w:szCs w:val="26"/>
        </w:rPr>
        <w:t>Gastu orokorretarako diruzaintza-gerakina –sortutako baliabideen gaindikina, hurrengo ekitaldietan gastuetako aurrekontu-aldaketak finantzatzeko erabil daitekeena– 275,17 milioikoa izan zen 2019an. 2015eko ekitaldiarekiko eta 2018ko ekitaldiarekiko goranzko joera izan zuen, ehuneko 43 eta ehuneko hamar handiagoa izan baitzen, hurrenez hurren.</w:t>
      </w:r>
    </w:p>
    <w:p w14:paraId="41C2C931" w14:textId="77777777" w:rsidR="0088085F" w:rsidRPr="00B81E61" w:rsidRDefault="0088085F" w:rsidP="0088085F">
      <w:pPr>
        <w:pStyle w:val="atitulo2"/>
        <w:rPr>
          <w:color w:val="000000" w:themeColor="text1"/>
        </w:rPr>
      </w:pPr>
      <w:bookmarkStart w:id="81" w:name="_Toc529773885"/>
      <w:bookmarkStart w:id="82" w:name="_Toc24100146"/>
      <w:bookmarkStart w:id="83" w:name="_Toc52348294"/>
      <w:bookmarkStart w:id="84" w:name="_Toc89161271"/>
      <w:bookmarkStart w:id="85" w:name="_Toc94871726"/>
      <w:r>
        <w:rPr>
          <w:color w:val="000000" w:themeColor="text1"/>
        </w:rPr>
        <w:t>V.4. Aurrekontu-egonkortasuneko eta finantza-iraunkortasuneko helburuak</w:t>
      </w:r>
      <w:bookmarkEnd w:id="81"/>
      <w:bookmarkEnd w:id="82"/>
      <w:bookmarkEnd w:id="83"/>
      <w:bookmarkEnd w:id="84"/>
      <w:bookmarkEnd w:id="85"/>
    </w:p>
    <w:p w14:paraId="68AD300B" w14:textId="77777777" w:rsidR="0088085F" w:rsidRPr="00262228" w:rsidRDefault="0088085F" w:rsidP="00262228">
      <w:pPr>
        <w:pStyle w:val="texto"/>
      </w:pPr>
      <w:proofErr w:type="spellStart"/>
      <w:r>
        <w:t>AEFILOren</w:t>
      </w:r>
      <w:proofErr w:type="spellEnd"/>
      <w:r>
        <w:t xml:space="preserve"> arabera, “Toki Administrazio </w:t>
      </w:r>
      <w:proofErr w:type="spellStart"/>
      <w:r>
        <w:t>Publikoa”ren</w:t>
      </w:r>
      <w:proofErr w:type="spellEnd"/>
      <w:r>
        <w:t xml:space="preserve"> sektoreak honako arau fiskal hauek bete behar ditu:</w:t>
      </w:r>
    </w:p>
    <w:p w14:paraId="57190EA1"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 Aurrekontu-egonkortasuna, edo ekitaldiko oreka / finantzaketa-gaitasuna, kontabilitate nazionaleko terminoetan neurtua.</w:t>
      </w:r>
    </w:p>
    <w:p w14:paraId="77532142"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Gastu-araua; hau da, 2018koarekin alderatuta sektorearen 2019ko gastu konputagarrian dagoen aldeak ezin duela gainditu </w:t>
      </w:r>
      <w:proofErr w:type="spellStart"/>
      <w:r>
        <w:rPr>
          <w:sz w:val="26"/>
          <w:szCs w:val="26"/>
        </w:rPr>
        <w:t>BPGaren</w:t>
      </w:r>
      <w:proofErr w:type="spellEnd"/>
      <w:r>
        <w:rPr>
          <w:sz w:val="26"/>
          <w:szCs w:val="26"/>
        </w:rPr>
        <w:t xml:space="preserve"> hazkundearen erreferentziako tasa. Tasa hori ehuneko 2,7an ezarri zen ekitaldi horretarako.</w:t>
      </w:r>
    </w:p>
    <w:p w14:paraId="4B2FDAF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lastRenderedPageBreak/>
        <w:t>Zor publikoaren iraunkortasunak esan nahi du sektorearen zorrak, kontabilitate nazionaleko terminoetan, ezin duela gainditu diru-sarrera arrunten ehuneko 110.</w:t>
      </w:r>
    </w:p>
    <w:p w14:paraId="05EFDE1F" w14:textId="77777777" w:rsidR="0088085F" w:rsidRPr="00CE5750" w:rsidRDefault="0088085F" w:rsidP="00EB3A45">
      <w:pPr>
        <w:numPr>
          <w:ilvl w:val="0"/>
          <w:numId w:val="2"/>
        </w:numPr>
        <w:tabs>
          <w:tab w:val="clear" w:pos="502"/>
          <w:tab w:val="left" w:pos="480"/>
          <w:tab w:val="num" w:pos="720"/>
          <w:tab w:val="num" w:pos="6597"/>
        </w:tabs>
        <w:ind w:left="0" w:firstLine="289"/>
        <w:rPr>
          <w:spacing w:val="6"/>
          <w:sz w:val="26"/>
          <w:szCs w:val="26"/>
        </w:rPr>
      </w:pPr>
      <w:r>
        <w:rPr>
          <w:sz w:val="26"/>
          <w:szCs w:val="26"/>
        </w:rPr>
        <w:t>Merkataritza-zorraren iraunkortasunak esan nahi du hornitzaileei ordaintzeko batez besteko epeak ezin duela gainditu, orokorrean, 30 eguneko muga.</w:t>
      </w:r>
    </w:p>
    <w:p w14:paraId="5E28FB11" w14:textId="77777777" w:rsidR="0088085F" w:rsidRPr="00262228" w:rsidRDefault="0088085F" w:rsidP="00EB3A45">
      <w:pPr>
        <w:pStyle w:val="texto"/>
      </w:pPr>
      <w:r>
        <w:t>Arlo honetan, Toki Administrazioaren eta Despopulazioaren Zuzendaritza Nagusiak emandako informazioa toki entitateetara eta haien erakunde autonomoetara mugatzen da, kontabilitate nazionalaren terminoetan “Nafarroako Toki Administrazio Publikoaren” sektorea berez egituratu gabe. Datu horien arabera, honako hau aipatu behar dugu:</w:t>
      </w:r>
    </w:p>
    <w:p w14:paraId="653490AB" w14:textId="77777777" w:rsidR="0088085F" w:rsidRPr="00B81E61" w:rsidRDefault="0088085F" w:rsidP="002933DC">
      <w:pPr>
        <w:tabs>
          <w:tab w:val="center" w:pos="2835"/>
          <w:tab w:val="center" w:pos="3969"/>
          <w:tab w:val="center" w:pos="5103"/>
          <w:tab w:val="center" w:pos="6237"/>
          <w:tab w:val="center" w:pos="7371"/>
        </w:tabs>
        <w:spacing w:after="120"/>
        <w:ind w:firstLine="284"/>
        <w:rPr>
          <w:color w:val="000000" w:themeColor="text1"/>
          <w:spacing w:val="6"/>
          <w:sz w:val="26"/>
          <w:szCs w:val="24"/>
        </w:rPr>
      </w:pPr>
      <w:r>
        <w:rPr>
          <w:color w:val="000000" w:themeColor="text1"/>
          <w:sz w:val="26"/>
          <w:szCs w:val="24"/>
        </w:rPr>
        <w:t>a) 2019an, toki sektore publikoaren finantzaketa gaitasuna 37,78 milioikoa izan da; beraz, arau fiskal hori bete egin da, hurrengo taula honetan ondorioztatu daitekeen bezala:</w:t>
      </w:r>
    </w:p>
    <w:p w14:paraId="2C9ED3A1" w14:textId="77777777" w:rsidR="0088085F" w:rsidRPr="004859D2" w:rsidRDefault="0088085F" w:rsidP="00EB3A45">
      <w:pPr>
        <w:pStyle w:val="Prrafodelista"/>
        <w:tabs>
          <w:tab w:val="left" w:pos="567"/>
        </w:tabs>
        <w:spacing w:before="120" w:after="60"/>
        <w:ind w:left="284"/>
        <w:contextualSpacing w:val="0"/>
        <w:jc w:val="both"/>
        <w:rPr>
          <w:rFonts w:ascii="Arial" w:hAnsi="Arial" w:cs="Arial"/>
          <w:color w:val="000000" w:themeColor="text1"/>
          <w:spacing w:val="6"/>
          <w:sz w:val="16"/>
          <w:szCs w:val="16"/>
        </w:rPr>
      </w:pPr>
      <w:r>
        <w:rPr>
          <w:rFonts w:ascii="Arial" w:hAnsi="Arial"/>
          <w:color w:val="000000" w:themeColor="text1"/>
          <w:sz w:val="16"/>
          <w:szCs w:val="16"/>
        </w:rPr>
        <w:t xml:space="preserve">                                                                                                                                                                          (milioitan)</w:t>
      </w:r>
    </w:p>
    <w:tbl>
      <w:tblPr>
        <w:tblW w:w="0" w:type="auto"/>
        <w:jc w:val="center"/>
        <w:tblBorders>
          <w:top w:val="single" w:sz="4" w:space="0" w:color="auto"/>
          <w:bottom w:val="single" w:sz="4" w:space="0" w:color="auto"/>
        </w:tblBorders>
        <w:tblLook w:val="00A0" w:firstRow="1" w:lastRow="0" w:firstColumn="1" w:lastColumn="0" w:noHBand="0" w:noVBand="0"/>
      </w:tblPr>
      <w:tblGrid>
        <w:gridCol w:w="4541"/>
        <w:gridCol w:w="4234"/>
      </w:tblGrid>
      <w:tr w:rsidR="0088085F" w:rsidRPr="00B81E61" w14:paraId="6A45C78F" w14:textId="77777777" w:rsidTr="00D4444C">
        <w:trPr>
          <w:trHeight w:val="255"/>
          <w:jc w:val="center"/>
        </w:trPr>
        <w:tc>
          <w:tcPr>
            <w:tcW w:w="4541" w:type="dxa"/>
            <w:tcBorders>
              <w:top w:val="single" w:sz="4" w:space="0" w:color="auto"/>
              <w:bottom w:val="single" w:sz="4" w:space="0" w:color="auto"/>
            </w:tcBorders>
            <w:shd w:val="clear" w:color="auto" w:fill="FABF8F" w:themeFill="accent6" w:themeFillTint="99"/>
            <w:vAlign w:val="center"/>
          </w:tcPr>
          <w:p w14:paraId="6429835B" w14:textId="77777777" w:rsidR="0088085F" w:rsidRPr="00B81E61" w:rsidRDefault="0088085F" w:rsidP="00775915">
            <w:pPr>
              <w:pStyle w:val="cuadroCabe"/>
              <w:jc w:val="left"/>
              <w:rPr>
                <w:color w:val="000000" w:themeColor="text1"/>
              </w:rPr>
            </w:pPr>
            <w:r>
              <w:rPr>
                <w:color w:val="000000" w:themeColor="text1"/>
              </w:rPr>
              <w:t>Finantzaketa gaitasuna/beharra</w:t>
            </w:r>
          </w:p>
        </w:tc>
        <w:tc>
          <w:tcPr>
            <w:tcW w:w="4234" w:type="dxa"/>
            <w:tcBorders>
              <w:top w:val="single" w:sz="4" w:space="0" w:color="auto"/>
              <w:bottom w:val="single" w:sz="4" w:space="0" w:color="auto"/>
            </w:tcBorders>
            <w:shd w:val="clear" w:color="auto" w:fill="FABF8F" w:themeFill="accent6" w:themeFillTint="99"/>
            <w:vAlign w:val="center"/>
          </w:tcPr>
          <w:p w14:paraId="27A118EB" w14:textId="77777777" w:rsidR="0088085F" w:rsidRPr="00B81E61" w:rsidRDefault="0088085F" w:rsidP="00775915">
            <w:pPr>
              <w:pStyle w:val="cuadroCabe"/>
              <w:jc w:val="right"/>
              <w:rPr>
                <w:color w:val="000000" w:themeColor="text1"/>
              </w:rPr>
            </w:pPr>
            <w:r>
              <w:rPr>
                <w:color w:val="000000" w:themeColor="text1"/>
              </w:rPr>
              <w:t>Zenbatekoa</w:t>
            </w:r>
          </w:p>
        </w:tc>
      </w:tr>
      <w:tr w:rsidR="0088085F" w:rsidRPr="00B81E61" w14:paraId="05AF7533" w14:textId="77777777" w:rsidTr="00D4444C">
        <w:trPr>
          <w:trHeight w:val="198"/>
          <w:jc w:val="center"/>
        </w:trPr>
        <w:tc>
          <w:tcPr>
            <w:tcW w:w="4541" w:type="dxa"/>
            <w:tcBorders>
              <w:top w:val="single" w:sz="4" w:space="0" w:color="auto"/>
              <w:bottom w:val="single" w:sz="2" w:space="0" w:color="auto"/>
            </w:tcBorders>
            <w:vAlign w:val="center"/>
          </w:tcPr>
          <w:p w14:paraId="1205B123" w14:textId="77777777" w:rsidR="0088085F" w:rsidRPr="00B81E61" w:rsidRDefault="0088085F" w:rsidP="00775915">
            <w:pPr>
              <w:pStyle w:val="cuatexto"/>
              <w:jc w:val="left"/>
            </w:pPr>
            <w:r>
              <w:t>Aurrekontuko saldo ez-finantzarioa</w:t>
            </w:r>
          </w:p>
        </w:tc>
        <w:tc>
          <w:tcPr>
            <w:tcW w:w="4234" w:type="dxa"/>
            <w:tcBorders>
              <w:top w:val="single" w:sz="4" w:space="0" w:color="auto"/>
              <w:bottom w:val="single" w:sz="2" w:space="0" w:color="auto"/>
            </w:tcBorders>
            <w:vAlign w:val="center"/>
          </w:tcPr>
          <w:p w14:paraId="7F694CAD" w14:textId="77777777" w:rsidR="0088085F" w:rsidRPr="00B81E61" w:rsidRDefault="0088085F" w:rsidP="00775915">
            <w:pPr>
              <w:pStyle w:val="cuatexto"/>
              <w:jc w:val="right"/>
            </w:pPr>
            <w:r>
              <w:t>31,16</w:t>
            </w:r>
          </w:p>
        </w:tc>
      </w:tr>
      <w:tr w:rsidR="0088085F" w:rsidRPr="00B81E61" w14:paraId="5B13CE07" w14:textId="77777777" w:rsidTr="00D4444C">
        <w:trPr>
          <w:trHeight w:val="198"/>
          <w:jc w:val="center"/>
        </w:trPr>
        <w:tc>
          <w:tcPr>
            <w:tcW w:w="4541" w:type="dxa"/>
            <w:tcBorders>
              <w:top w:val="single" w:sz="2" w:space="0" w:color="auto"/>
              <w:bottom w:val="single" w:sz="4" w:space="0" w:color="auto"/>
            </w:tcBorders>
            <w:vAlign w:val="center"/>
          </w:tcPr>
          <w:p w14:paraId="372FCBD1" w14:textId="77777777" w:rsidR="0088085F" w:rsidRPr="00B81E61" w:rsidRDefault="0088085F" w:rsidP="00775915">
            <w:pPr>
              <w:pStyle w:val="cuatexto"/>
              <w:jc w:val="left"/>
            </w:pPr>
            <w:r>
              <w:t>Doikuntzak:</w:t>
            </w:r>
          </w:p>
          <w:p w14:paraId="3FAAE3CC" w14:textId="77777777" w:rsidR="0088085F" w:rsidRPr="00B81E61" w:rsidRDefault="00775915" w:rsidP="00775915">
            <w:pPr>
              <w:pStyle w:val="cuatexto"/>
              <w:jc w:val="left"/>
            </w:pPr>
            <w:r>
              <w:t xml:space="preserve">   Diru-bilketa ez-seguruko diru-sarrerak</w:t>
            </w:r>
          </w:p>
          <w:p w14:paraId="19F1DEE8" w14:textId="77777777" w:rsidR="0088085F" w:rsidRPr="00B81E61" w:rsidRDefault="00775915" w:rsidP="00775915">
            <w:pPr>
              <w:pStyle w:val="cuatexto"/>
              <w:jc w:val="left"/>
            </w:pPr>
            <w:r>
              <w:t xml:space="preserve">   Beste AAPP batzuengandik jasotako transferentziak</w:t>
            </w:r>
          </w:p>
        </w:tc>
        <w:tc>
          <w:tcPr>
            <w:tcW w:w="4234" w:type="dxa"/>
            <w:tcBorders>
              <w:top w:val="single" w:sz="2" w:space="0" w:color="auto"/>
              <w:bottom w:val="single" w:sz="4" w:space="0" w:color="auto"/>
            </w:tcBorders>
            <w:vAlign w:val="center"/>
          </w:tcPr>
          <w:p w14:paraId="6F011CEE" w14:textId="77777777" w:rsidR="0088085F" w:rsidRPr="00B81E61" w:rsidRDefault="0088085F" w:rsidP="00775915">
            <w:pPr>
              <w:pStyle w:val="cuatexto"/>
              <w:jc w:val="right"/>
            </w:pPr>
          </w:p>
          <w:p w14:paraId="18BFCE93" w14:textId="77777777" w:rsidR="0088085F" w:rsidRPr="00B81E61" w:rsidRDefault="0088085F" w:rsidP="00775915">
            <w:pPr>
              <w:pStyle w:val="cuatexto"/>
              <w:jc w:val="right"/>
            </w:pPr>
            <w:r>
              <w:t>(6,23)</w:t>
            </w:r>
          </w:p>
          <w:p w14:paraId="1164977A" w14:textId="77777777" w:rsidR="0088085F" w:rsidRPr="00B81E61" w:rsidRDefault="0088085F" w:rsidP="00775915">
            <w:pPr>
              <w:pStyle w:val="cuatexto"/>
              <w:jc w:val="right"/>
            </w:pPr>
            <w:r>
              <w:t>12,85</w:t>
            </w:r>
          </w:p>
        </w:tc>
      </w:tr>
      <w:tr w:rsidR="0088085F" w:rsidRPr="00B81E61" w14:paraId="35A325DD" w14:textId="77777777" w:rsidTr="00D4444C">
        <w:trPr>
          <w:trHeight w:val="255"/>
          <w:jc w:val="center"/>
        </w:trPr>
        <w:tc>
          <w:tcPr>
            <w:tcW w:w="4541" w:type="dxa"/>
            <w:tcBorders>
              <w:top w:val="single" w:sz="4" w:space="0" w:color="auto"/>
              <w:bottom w:val="single" w:sz="4" w:space="0" w:color="auto"/>
            </w:tcBorders>
            <w:shd w:val="clear" w:color="auto" w:fill="FABF8F" w:themeFill="accent6" w:themeFillTint="99"/>
            <w:vAlign w:val="center"/>
          </w:tcPr>
          <w:p w14:paraId="21D3D0EA" w14:textId="77777777" w:rsidR="0088085F" w:rsidRPr="00B81E61" w:rsidRDefault="0088085F" w:rsidP="00775915">
            <w:pPr>
              <w:pStyle w:val="cuadroCabe"/>
              <w:jc w:val="left"/>
            </w:pPr>
            <w:r>
              <w:t>2019ko finantzaketa gaitasuna</w:t>
            </w:r>
          </w:p>
        </w:tc>
        <w:tc>
          <w:tcPr>
            <w:tcW w:w="4234" w:type="dxa"/>
            <w:tcBorders>
              <w:top w:val="single" w:sz="4" w:space="0" w:color="auto"/>
              <w:bottom w:val="single" w:sz="4" w:space="0" w:color="auto"/>
            </w:tcBorders>
            <w:shd w:val="clear" w:color="auto" w:fill="FABF8F" w:themeFill="accent6" w:themeFillTint="99"/>
            <w:vAlign w:val="center"/>
          </w:tcPr>
          <w:p w14:paraId="560269D6" w14:textId="77777777" w:rsidR="0088085F" w:rsidRPr="00B81E61" w:rsidRDefault="0088085F" w:rsidP="00775915">
            <w:pPr>
              <w:pStyle w:val="cuadroCabe"/>
              <w:jc w:val="right"/>
            </w:pPr>
            <w:r>
              <w:t>37,78</w:t>
            </w:r>
          </w:p>
        </w:tc>
      </w:tr>
    </w:tbl>
    <w:p w14:paraId="4EF05112" w14:textId="77777777" w:rsidR="0088085F" w:rsidRPr="00B81E61" w:rsidRDefault="0088085F" w:rsidP="00017DCC">
      <w:pPr>
        <w:tabs>
          <w:tab w:val="center" w:pos="2835"/>
          <w:tab w:val="center" w:pos="3969"/>
          <w:tab w:val="center" w:pos="5103"/>
          <w:tab w:val="center" w:pos="6237"/>
          <w:tab w:val="center" w:pos="7371"/>
        </w:tabs>
        <w:spacing w:before="240"/>
        <w:ind w:firstLine="284"/>
        <w:rPr>
          <w:color w:val="000000" w:themeColor="text1"/>
          <w:spacing w:val="6"/>
          <w:sz w:val="26"/>
          <w:szCs w:val="24"/>
        </w:rPr>
      </w:pPr>
      <w:r>
        <w:rPr>
          <w:color w:val="000000" w:themeColor="text1"/>
          <w:sz w:val="26"/>
          <w:szCs w:val="24"/>
        </w:rPr>
        <w:t>b) Sektorearen zor bizia 2019ko abenduaren 31n 179,61 milioikoa zen, hau da, diru-sarrera arrunten ehuneko 23. Portzentaje hori legeria indardunean ezarritako ehuneko 110eko mugatik beherakoa da; horrenbestez, arau hori bete egiten da.</w:t>
      </w:r>
    </w:p>
    <w:p w14:paraId="74630BCF" w14:textId="77777777" w:rsidR="0088085F" w:rsidRPr="009A521B" w:rsidRDefault="0088085F" w:rsidP="0088085F">
      <w:pPr>
        <w:tabs>
          <w:tab w:val="center" w:pos="2835"/>
          <w:tab w:val="center" w:pos="3969"/>
          <w:tab w:val="center" w:pos="5103"/>
          <w:tab w:val="center" w:pos="6237"/>
          <w:tab w:val="center" w:pos="7371"/>
        </w:tabs>
        <w:spacing w:before="120" w:after="240"/>
        <w:ind w:firstLine="284"/>
        <w:rPr>
          <w:color w:val="000000" w:themeColor="text1"/>
          <w:spacing w:val="6"/>
          <w:sz w:val="26"/>
          <w:szCs w:val="24"/>
        </w:rPr>
      </w:pPr>
      <w:r>
        <w:rPr>
          <w:color w:val="000000" w:themeColor="text1"/>
          <w:sz w:val="26"/>
          <w:szCs w:val="24"/>
        </w:rPr>
        <w:t>c) Ez da informaziorik aurkeztu gastu-arauari eta merkataritza zorra ordaintzeko epeei buruz. Azken arau horri dagokionez, egiaztatu da, Ogasun Ministerioaren argitalpenari jarraituz, informazio hori 2019ko lau hiruhilekoetarako badagoela soilik Nafarroako 60 toki entitateren kasuan; horren arabera, ordainketarako batez besteko epea, urteko azken hiruhilekoko batez bestekoaren arabera, 14,64 egunekoa da; hau da, ezarrita dagoen 30 eguneko mugatik beherakoa. Ministeriora datuak bidaltzen dituzten entitateak Nafarroako toki entitate guztien ehuneko bederatzi baino ez dira.</w:t>
      </w:r>
    </w:p>
    <w:p w14:paraId="16C8F019" w14:textId="77777777" w:rsidR="0088085F" w:rsidRPr="009A521B" w:rsidRDefault="0088085F" w:rsidP="0088085F">
      <w:pPr>
        <w:spacing w:after="0"/>
        <w:ind w:firstLine="0"/>
        <w:jc w:val="left"/>
        <w:rPr>
          <w:rFonts w:ascii="Arial" w:hAnsi="Arial"/>
          <w:b/>
          <w:color w:val="000000" w:themeColor="text1"/>
          <w:kern w:val="28"/>
          <w:sz w:val="25"/>
          <w:szCs w:val="26"/>
        </w:rPr>
      </w:pPr>
      <w:bookmarkStart w:id="86" w:name="_Toc24100147"/>
      <w:bookmarkStart w:id="87" w:name="_Toc52348295"/>
      <w:r>
        <w:br w:type="page"/>
      </w:r>
    </w:p>
    <w:p w14:paraId="35AFB823" w14:textId="77777777" w:rsidR="0088085F" w:rsidRPr="00B81E61" w:rsidRDefault="0088085F" w:rsidP="0088085F">
      <w:pPr>
        <w:pStyle w:val="atitulo1"/>
        <w:rPr>
          <w:color w:val="000000" w:themeColor="text1"/>
        </w:rPr>
      </w:pPr>
      <w:bookmarkStart w:id="88" w:name="_Toc89161272"/>
      <w:bookmarkStart w:id="89" w:name="_Toc94871727"/>
      <w:r>
        <w:rPr>
          <w:color w:val="000000" w:themeColor="text1"/>
        </w:rPr>
        <w:lastRenderedPageBreak/>
        <w:t>VI. Kontratazio administratiboa</w:t>
      </w:r>
      <w:bookmarkEnd w:id="86"/>
      <w:bookmarkEnd w:id="87"/>
      <w:bookmarkEnd w:id="88"/>
      <w:bookmarkEnd w:id="89"/>
    </w:p>
    <w:p w14:paraId="3137F460" w14:textId="77777777" w:rsidR="0088085F" w:rsidRPr="00262228" w:rsidRDefault="0088085F" w:rsidP="00227824">
      <w:pPr>
        <w:pStyle w:val="texto"/>
      </w:pPr>
      <w:r>
        <w:t xml:space="preserve">Atal honetan, toki entitateek eta beren menpeko erakundeek 2019. urtean adjudikatutako kontratuak aztertzen dira, Kontratazio Publikorako Batzordeak kudeatutako kontratuen erregistroko informazioaren arabera. </w:t>
      </w:r>
    </w:p>
    <w:p w14:paraId="4AA6E2A9" w14:textId="77777777" w:rsidR="0088085F" w:rsidRPr="00262228" w:rsidRDefault="0088085F" w:rsidP="00227824">
      <w:pPr>
        <w:pStyle w:val="texto"/>
        <w:spacing w:after="220"/>
      </w:pPr>
      <w:r>
        <w:t>Hona toki entitateek adjudikatutako kontratuen datuak:</w:t>
      </w:r>
    </w:p>
    <w:tbl>
      <w:tblPr>
        <w:tblW w:w="5000" w:type="pct"/>
        <w:jc w:val="center"/>
        <w:tblCellMar>
          <w:left w:w="0" w:type="dxa"/>
          <w:right w:w="0" w:type="dxa"/>
        </w:tblCellMar>
        <w:tblLook w:val="04A0" w:firstRow="1" w:lastRow="0" w:firstColumn="1" w:lastColumn="0" w:noHBand="0" w:noVBand="1"/>
      </w:tblPr>
      <w:tblGrid>
        <w:gridCol w:w="1737"/>
        <w:gridCol w:w="455"/>
        <w:gridCol w:w="865"/>
        <w:gridCol w:w="482"/>
        <w:gridCol w:w="766"/>
        <w:gridCol w:w="110"/>
        <w:gridCol w:w="405"/>
        <w:gridCol w:w="785"/>
        <w:gridCol w:w="299"/>
        <w:gridCol w:w="509"/>
        <w:gridCol w:w="793"/>
        <w:gridCol w:w="722"/>
        <w:gridCol w:w="861"/>
      </w:tblGrid>
      <w:tr w:rsidR="006F2195" w:rsidRPr="00965C64" w14:paraId="49B45CA9" w14:textId="77777777" w:rsidTr="00A005AA">
        <w:trPr>
          <w:trHeight w:hRule="exact" w:val="255"/>
          <w:jc w:val="center"/>
        </w:trPr>
        <w:tc>
          <w:tcPr>
            <w:tcW w:w="1002" w:type="pct"/>
            <w:vMerge w:val="restart"/>
            <w:tcBorders>
              <w:top w:val="single" w:sz="4" w:space="0" w:color="auto"/>
              <w:left w:val="nil"/>
              <w:bottom w:val="single" w:sz="2" w:space="0" w:color="auto"/>
              <w:right w:val="nil"/>
            </w:tcBorders>
            <w:shd w:val="clear" w:color="auto" w:fill="FABF8F" w:themeFill="accent6" w:themeFillTint="99"/>
            <w:vAlign w:val="center"/>
            <w:hideMark/>
          </w:tcPr>
          <w:p w14:paraId="7F525AC9" w14:textId="77777777" w:rsidR="0088085F" w:rsidRPr="00965C64" w:rsidRDefault="0088085F" w:rsidP="00965C64">
            <w:pPr>
              <w:pStyle w:val="cuadroCabe"/>
              <w:rPr>
                <w:color w:val="000000"/>
                <w:sz w:val="16"/>
                <w:szCs w:val="16"/>
              </w:rPr>
            </w:pPr>
            <w:r>
              <w:rPr>
                <w:sz w:val="16"/>
                <w:szCs w:val="16"/>
              </w:rPr>
              <w:t>Kontratu mota</w:t>
            </w:r>
          </w:p>
        </w:tc>
        <w:tc>
          <w:tcPr>
            <w:tcW w:w="747" w:type="pct"/>
            <w:gridSpan w:val="2"/>
            <w:tcBorders>
              <w:top w:val="single" w:sz="4" w:space="0" w:color="auto"/>
              <w:left w:val="nil"/>
              <w:bottom w:val="single" w:sz="2" w:space="0" w:color="auto"/>
              <w:right w:val="nil"/>
            </w:tcBorders>
            <w:shd w:val="clear" w:color="auto" w:fill="FABF8F" w:themeFill="accent6" w:themeFillTint="99"/>
            <w:noWrap/>
            <w:vAlign w:val="center"/>
            <w:hideMark/>
          </w:tcPr>
          <w:p w14:paraId="1571D8B8" w14:textId="77777777" w:rsidR="0088085F" w:rsidRPr="00965C64" w:rsidRDefault="00A07973" w:rsidP="00A07973">
            <w:pPr>
              <w:pStyle w:val="cuadroCabe"/>
              <w:jc w:val="center"/>
              <w:rPr>
                <w:color w:val="000000"/>
                <w:sz w:val="16"/>
                <w:szCs w:val="16"/>
              </w:rPr>
            </w:pPr>
            <w:r>
              <w:rPr>
                <w:color w:val="000000"/>
                <w:sz w:val="16"/>
                <w:szCs w:val="16"/>
              </w:rPr>
              <w:t xml:space="preserve">     Udalak</w:t>
            </w:r>
          </w:p>
        </w:tc>
        <w:tc>
          <w:tcPr>
            <w:tcW w:w="800" w:type="pct"/>
            <w:gridSpan w:val="3"/>
            <w:tcBorders>
              <w:top w:val="single" w:sz="4" w:space="0" w:color="auto"/>
              <w:left w:val="nil"/>
              <w:bottom w:val="single" w:sz="2" w:space="0" w:color="auto"/>
              <w:right w:val="nil"/>
            </w:tcBorders>
            <w:shd w:val="clear" w:color="auto" w:fill="FABF8F" w:themeFill="accent6" w:themeFillTint="99"/>
            <w:noWrap/>
            <w:vAlign w:val="center"/>
            <w:hideMark/>
          </w:tcPr>
          <w:p w14:paraId="4B93BC85" w14:textId="77777777" w:rsidR="0088085F" w:rsidRPr="00965C64" w:rsidRDefault="00A07973" w:rsidP="006F2195">
            <w:pPr>
              <w:pStyle w:val="cuadroCabe"/>
              <w:jc w:val="center"/>
              <w:rPr>
                <w:color w:val="000000"/>
                <w:sz w:val="16"/>
                <w:szCs w:val="16"/>
              </w:rPr>
            </w:pPr>
            <w:r>
              <w:rPr>
                <w:color w:val="000000"/>
                <w:sz w:val="16"/>
                <w:szCs w:val="16"/>
              </w:rPr>
              <w:t xml:space="preserve">    Kontzejuak</w:t>
            </w:r>
          </w:p>
        </w:tc>
        <w:tc>
          <w:tcPr>
            <w:tcW w:w="835" w:type="pct"/>
            <w:gridSpan w:val="3"/>
            <w:tcBorders>
              <w:top w:val="single" w:sz="4" w:space="0" w:color="auto"/>
              <w:left w:val="nil"/>
              <w:bottom w:val="single" w:sz="2" w:space="0" w:color="auto"/>
              <w:right w:val="nil"/>
            </w:tcBorders>
            <w:shd w:val="clear" w:color="auto" w:fill="FABF8F" w:themeFill="accent6" w:themeFillTint="99"/>
            <w:noWrap/>
            <w:vAlign w:val="center"/>
            <w:hideMark/>
          </w:tcPr>
          <w:p w14:paraId="7DB42490" w14:textId="77777777" w:rsidR="0088085F" w:rsidRPr="00965C64" w:rsidRDefault="006F2195" w:rsidP="00A07973">
            <w:pPr>
              <w:pStyle w:val="cuadroCabe"/>
              <w:rPr>
                <w:color w:val="000000"/>
                <w:sz w:val="16"/>
                <w:szCs w:val="16"/>
              </w:rPr>
            </w:pPr>
            <w:r>
              <w:rPr>
                <w:color w:val="000000"/>
                <w:sz w:val="16"/>
                <w:szCs w:val="16"/>
              </w:rPr>
              <w:t xml:space="preserve">    Batasunak   </w:t>
            </w:r>
          </w:p>
        </w:tc>
        <w:tc>
          <w:tcPr>
            <w:tcW w:w="1113" w:type="pct"/>
            <w:gridSpan w:val="3"/>
            <w:tcBorders>
              <w:top w:val="single" w:sz="4" w:space="0" w:color="auto"/>
              <w:left w:val="nil"/>
              <w:bottom w:val="single" w:sz="2" w:space="0" w:color="auto"/>
              <w:right w:val="nil"/>
            </w:tcBorders>
            <w:shd w:val="clear" w:color="auto" w:fill="FABF8F" w:themeFill="accent6" w:themeFillTint="99"/>
            <w:vAlign w:val="center"/>
            <w:hideMark/>
          </w:tcPr>
          <w:p w14:paraId="02EB97E3" w14:textId="77777777" w:rsidR="0088085F" w:rsidRPr="00965C64" w:rsidRDefault="00A07973" w:rsidP="006F2195">
            <w:pPr>
              <w:pStyle w:val="cuadroCabe"/>
              <w:ind w:right="-87"/>
              <w:rPr>
                <w:color w:val="000000"/>
                <w:sz w:val="16"/>
                <w:szCs w:val="16"/>
              </w:rPr>
            </w:pPr>
            <w:r>
              <w:rPr>
                <w:color w:val="000000"/>
                <w:sz w:val="16"/>
                <w:szCs w:val="16"/>
              </w:rPr>
              <w:t xml:space="preserve">  Mankomunitateak</w:t>
            </w:r>
          </w:p>
        </w:tc>
        <w:tc>
          <w:tcPr>
            <w:tcW w:w="503" w:type="pct"/>
            <w:tcBorders>
              <w:top w:val="single" w:sz="4" w:space="0" w:color="auto"/>
              <w:left w:val="nil"/>
              <w:bottom w:val="single" w:sz="2" w:space="0" w:color="auto"/>
              <w:right w:val="nil"/>
            </w:tcBorders>
            <w:shd w:val="clear" w:color="auto" w:fill="FABF8F" w:themeFill="accent6" w:themeFillTint="99"/>
            <w:noWrap/>
            <w:vAlign w:val="center"/>
            <w:hideMark/>
          </w:tcPr>
          <w:p w14:paraId="232E7E6A" w14:textId="77777777" w:rsidR="0088085F" w:rsidRPr="00965C64" w:rsidRDefault="00A07973" w:rsidP="00A07973">
            <w:pPr>
              <w:pStyle w:val="cuadroCabe"/>
              <w:rPr>
                <w:color w:val="000000"/>
                <w:sz w:val="16"/>
                <w:szCs w:val="16"/>
              </w:rPr>
            </w:pPr>
            <w:r>
              <w:rPr>
                <w:color w:val="000000"/>
                <w:sz w:val="16"/>
                <w:szCs w:val="16"/>
              </w:rPr>
              <w:t xml:space="preserve">  Guztira</w:t>
            </w:r>
          </w:p>
        </w:tc>
      </w:tr>
      <w:tr w:rsidR="006F2195" w:rsidRPr="00965C64" w14:paraId="1A98EB84" w14:textId="77777777" w:rsidTr="00A005AA">
        <w:trPr>
          <w:trHeight w:hRule="exact" w:val="255"/>
          <w:jc w:val="center"/>
        </w:trPr>
        <w:tc>
          <w:tcPr>
            <w:tcW w:w="1002" w:type="pct"/>
            <w:vMerge/>
            <w:tcBorders>
              <w:top w:val="single" w:sz="2" w:space="0" w:color="auto"/>
              <w:left w:val="nil"/>
              <w:bottom w:val="single" w:sz="4" w:space="0" w:color="auto"/>
              <w:right w:val="nil"/>
            </w:tcBorders>
            <w:shd w:val="clear" w:color="auto" w:fill="FABF8F" w:themeFill="accent6" w:themeFillTint="99"/>
            <w:vAlign w:val="center"/>
            <w:hideMark/>
          </w:tcPr>
          <w:p w14:paraId="27539A0F" w14:textId="77777777" w:rsidR="0088085F" w:rsidRPr="00965C64" w:rsidRDefault="0088085F" w:rsidP="00965C64">
            <w:pPr>
              <w:pStyle w:val="cuadroCabe"/>
              <w:rPr>
                <w:color w:val="000000"/>
                <w:sz w:val="16"/>
                <w:szCs w:val="16"/>
                <w:lang w:val="es-ES" w:eastAsia="es-ES"/>
              </w:rPr>
            </w:pPr>
          </w:p>
        </w:tc>
        <w:tc>
          <w:tcPr>
            <w:tcW w:w="241" w:type="pct"/>
            <w:tcBorders>
              <w:top w:val="single" w:sz="2" w:space="0" w:color="auto"/>
              <w:left w:val="nil"/>
              <w:bottom w:val="single" w:sz="4" w:space="0" w:color="auto"/>
              <w:right w:val="nil"/>
            </w:tcBorders>
            <w:shd w:val="clear" w:color="auto" w:fill="FABF8F" w:themeFill="accent6" w:themeFillTint="99"/>
            <w:noWrap/>
            <w:vAlign w:val="center"/>
            <w:hideMark/>
          </w:tcPr>
          <w:p w14:paraId="4D4A030C" w14:textId="77777777" w:rsidR="0088085F" w:rsidRPr="00965C64" w:rsidRDefault="008D7C40" w:rsidP="006F2195">
            <w:pPr>
              <w:pStyle w:val="cuadroCabe"/>
              <w:ind w:right="-8"/>
              <w:jc w:val="right"/>
              <w:rPr>
                <w:color w:val="000000"/>
                <w:sz w:val="16"/>
                <w:szCs w:val="16"/>
              </w:rPr>
            </w:pPr>
            <w:r>
              <w:rPr>
                <w:color w:val="000000"/>
                <w:sz w:val="16"/>
                <w:szCs w:val="16"/>
              </w:rPr>
              <w:t xml:space="preserve">  Kop.</w:t>
            </w:r>
          </w:p>
        </w:tc>
        <w:tc>
          <w:tcPr>
            <w:tcW w:w="506" w:type="pct"/>
            <w:tcBorders>
              <w:top w:val="single" w:sz="2" w:space="0" w:color="auto"/>
              <w:left w:val="nil"/>
              <w:bottom w:val="single" w:sz="4" w:space="0" w:color="auto"/>
              <w:right w:val="nil"/>
            </w:tcBorders>
            <w:shd w:val="clear" w:color="auto" w:fill="FABF8F" w:themeFill="accent6" w:themeFillTint="99"/>
            <w:vAlign w:val="center"/>
            <w:hideMark/>
          </w:tcPr>
          <w:p w14:paraId="2B63B5C8" w14:textId="77777777" w:rsidR="0088085F" w:rsidRPr="00965C64" w:rsidRDefault="0088085F" w:rsidP="006F2195">
            <w:pPr>
              <w:pStyle w:val="cuadroCabe"/>
              <w:jc w:val="right"/>
              <w:rPr>
                <w:color w:val="000000"/>
                <w:sz w:val="16"/>
                <w:szCs w:val="16"/>
              </w:rPr>
            </w:pPr>
            <w:r>
              <w:rPr>
                <w:color w:val="000000"/>
                <w:sz w:val="16"/>
                <w:szCs w:val="16"/>
              </w:rPr>
              <w:t xml:space="preserve">Zenbatekoa </w:t>
            </w:r>
          </w:p>
        </w:tc>
        <w:tc>
          <w:tcPr>
            <w:tcW w:w="288" w:type="pct"/>
            <w:tcBorders>
              <w:top w:val="single" w:sz="2" w:space="0" w:color="auto"/>
              <w:left w:val="nil"/>
              <w:bottom w:val="single" w:sz="4" w:space="0" w:color="auto"/>
              <w:right w:val="nil"/>
            </w:tcBorders>
            <w:shd w:val="clear" w:color="auto" w:fill="FABF8F" w:themeFill="accent6" w:themeFillTint="99"/>
            <w:noWrap/>
            <w:vAlign w:val="center"/>
            <w:hideMark/>
          </w:tcPr>
          <w:p w14:paraId="2B418C01" w14:textId="77777777" w:rsidR="0088085F" w:rsidRPr="00965C64" w:rsidRDefault="0088085F" w:rsidP="006F2195">
            <w:pPr>
              <w:pStyle w:val="cuadroCabe"/>
              <w:ind w:right="-18"/>
              <w:jc w:val="right"/>
              <w:rPr>
                <w:color w:val="000000"/>
                <w:sz w:val="16"/>
                <w:szCs w:val="16"/>
              </w:rPr>
            </w:pPr>
            <w:r>
              <w:rPr>
                <w:color w:val="000000"/>
                <w:sz w:val="16"/>
                <w:szCs w:val="16"/>
              </w:rPr>
              <w:t>Kop.</w:t>
            </w:r>
          </w:p>
        </w:tc>
        <w:tc>
          <w:tcPr>
            <w:tcW w:w="436" w:type="pct"/>
            <w:tcBorders>
              <w:top w:val="single" w:sz="2" w:space="0" w:color="auto"/>
              <w:left w:val="nil"/>
              <w:bottom w:val="single" w:sz="4" w:space="0" w:color="auto"/>
              <w:right w:val="nil"/>
            </w:tcBorders>
            <w:shd w:val="clear" w:color="auto" w:fill="FABF8F" w:themeFill="accent6" w:themeFillTint="99"/>
            <w:vAlign w:val="center"/>
            <w:hideMark/>
          </w:tcPr>
          <w:p w14:paraId="0CA4CDBF" w14:textId="77777777" w:rsidR="0088085F" w:rsidRPr="00965C64" w:rsidRDefault="0088085F" w:rsidP="006F2195">
            <w:pPr>
              <w:pStyle w:val="cuadroCabe"/>
              <w:jc w:val="right"/>
              <w:rPr>
                <w:color w:val="000000"/>
                <w:sz w:val="16"/>
                <w:szCs w:val="16"/>
              </w:rPr>
            </w:pPr>
            <w:r>
              <w:rPr>
                <w:color w:val="000000"/>
                <w:sz w:val="16"/>
                <w:szCs w:val="16"/>
              </w:rPr>
              <w:t xml:space="preserve">Zenbatekoa </w:t>
            </w:r>
          </w:p>
        </w:tc>
        <w:tc>
          <w:tcPr>
            <w:tcW w:w="320" w:type="pct"/>
            <w:gridSpan w:val="2"/>
            <w:tcBorders>
              <w:top w:val="single" w:sz="2" w:space="0" w:color="auto"/>
              <w:left w:val="nil"/>
              <w:bottom w:val="single" w:sz="4" w:space="0" w:color="auto"/>
              <w:right w:val="nil"/>
            </w:tcBorders>
            <w:shd w:val="clear" w:color="auto" w:fill="FABF8F" w:themeFill="accent6" w:themeFillTint="99"/>
            <w:noWrap/>
            <w:vAlign w:val="center"/>
            <w:hideMark/>
          </w:tcPr>
          <w:p w14:paraId="2975C186" w14:textId="77777777" w:rsidR="0088085F" w:rsidRPr="00965C64" w:rsidRDefault="0088085F" w:rsidP="006F2195">
            <w:pPr>
              <w:pStyle w:val="cuadroCabe"/>
              <w:ind w:right="-14"/>
              <w:jc w:val="right"/>
              <w:rPr>
                <w:color w:val="000000"/>
                <w:sz w:val="16"/>
                <w:szCs w:val="16"/>
              </w:rPr>
            </w:pPr>
            <w:r>
              <w:rPr>
                <w:color w:val="000000"/>
                <w:sz w:val="16"/>
                <w:szCs w:val="16"/>
              </w:rPr>
              <w:t>Kop.</w:t>
            </w:r>
          </w:p>
        </w:tc>
        <w:tc>
          <w:tcPr>
            <w:tcW w:w="460" w:type="pct"/>
            <w:tcBorders>
              <w:top w:val="single" w:sz="2" w:space="0" w:color="auto"/>
              <w:left w:val="nil"/>
              <w:bottom w:val="single" w:sz="4" w:space="0" w:color="auto"/>
              <w:right w:val="nil"/>
            </w:tcBorders>
            <w:shd w:val="clear" w:color="auto" w:fill="FABF8F" w:themeFill="accent6" w:themeFillTint="99"/>
            <w:vAlign w:val="center"/>
            <w:hideMark/>
          </w:tcPr>
          <w:p w14:paraId="258E00CE" w14:textId="77777777" w:rsidR="0088085F" w:rsidRPr="00965C64" w:rsidRDefault="0088085F" w:rsidP="006F2195">
            <w:pPr>
              <w:pStyle w:val="cuadroCabe"/>
              <w:jc w:val="right"/>
              <w:rPr>
                <w:color w:val="000000"/>
                <w:sz w:val="16"/>
                <w:szCs w:val="16"/>
              </w:rPr>
            </w:pPr>
            <w:r>
              <w:rPr>
                <w:color w:val="000000"/>
                <w:sz w:val="16"/>
                <w:szCs w:val="16"/>
              </w:rPr>
              <w:t xml:space="preserve">Zenbatekoa </w:t>
            </w:r>
          </w:p>
        </w:tc>
        <w:tc>
          <w:tcPr>
            <w:tcW w:w="355" w:type="pct"/>
            <w:gridSpan w:val="2"/>
            <w:tcBorders>
              <w:top w:val="single" w:sz="2" w:space="0" w:color="auto"/>
              <w:left w:val="nil"/>
              <w:bottom w:val="single" w:sz="4" w:space="0" w:color="auto"/>
              <w:right w:val="nil"/>
            </w:tcBorders>
            <w:shd w:val="clear" w:color="auto" w:fill="FABF8F" w:themeFill="accent6" w:themeFillTint="99"/>
            <w:noWrap/>
            <w:vAlign w:val="center"/>
            <w:hideMark/>
          </w:tcPr>
          <w:p w14:paraId="53C1B17B" w14:textId="77777777" w:rsidR="0088085F" w:rsidRPr="00965C64" w:rsidRDefault="00A005AA" w:rsidP="00A005AA">
            <w:pPr>
              <w:pStyle w:val="cuadroCabe"/>
              <w:ind w:right="-37"/>
              <w:jc w:val="center"/>
              <w:rPr>
                <w:color w:val="000000"/>
                <w:sz w:val="16"/>
                <w:szCs w:val="16"/>
              </w:rPr>
            </w:pPr>
            <w:r>
              <w:rPr>
                <w:color w:val="000000"/>
                <w:sz w:val="16"/>
                <w:szCs w:val="16"/>
              </w:rPr>
              <w:t xml:space="preserve">         Kop.</w:t>
            </w:r>
          </w:p>
        </w:tc>
        <w:tc>
          <w:tcPr>
            <w:tcW w:w="465" w:type="pct"/>
            <w:tcBorders>
              <w:top w:val="single" w:sz="2" w:space="0" w:color="auto"/>
              <w:left w:val="nil"/>
              <w:bottom w:val="single" w:sz="4" w:space="0" w:color="auto"/>
              <w:right w:val="nil"/>
            </w:tcBorders>
            <w:shd w:val="clear" w:color="auto" w:fill="FABF8F" w:themeFill="accent6" w:themeFillTint="99"/>
            <w:vAlign w:val="center"/>
            <w:hideMark/>
          </w:tcPr>
          <w:p w14:paraId="48C2A2EF" w14:textId="77777777" w:rsidR="0088085F" w:rsidRPr="00965C64" w:rsidRDefault="0088085F" w:rsidP="006F2195">
            <w:pPr>
              <w:pStyle w:val="cuadroCabe"/>
              <w:jc w:val="right"/>
              <w:rPr>
                <w:color w:val="000000"/>
                <w:sz w:val="16"/>
                <w:szCs w:val="16"/>
              </w:rPr>
            </w:pPr>
            <w:r>
              <w:rPr>
                <w:color w:val="000000"/>
                <w:sz w:val="16"/>
                <w:szCs w:val="16"/>
              </w:rPr>
              <w:t xml:space="preserve">Zenbatekoa </w:t>
            </w:r>
          </w:p>
        </w:tc>
        <w:tc>
          <w:tcPr>
            <w:tcW w:w="424" w:type="pct"/>
            <w:tcBorders>
              <w:top w:val="single" w:sz="2" w:space="0" w:color="auto"/>
              <w:left w:val="nil"/>
              <w:bottom w:val="single" w:sz="4" w:space="0" w:color="auto"/>
              <w:right w:val="nil"/>
            </w:tcBorders>
            <w:shd w:val="clear" w:color="auto" w:fill="FABF8F" w:themeFill="accent6" w:themeFillTint="99"/>
            <w:vAlign w:val="center"/>
            <w:hideMark/>
          </w:tcPr>
          <w:p w14:paraId="6DF19033" w14:textId="77777777" w:rsidR="0088085F" w:rsidRPr="00965C64" w:rsidRDefault="0088085F" w:rsidP="006F2195">
            <w:pPr>
              <w:pStyle w:val="cuadroCabe"/>
              <w:jc w:val="right"/>
              <w:rPr>
                <w:color w:val="000000"/>
                <w:sz w:val="16"/>
                <w:szCs w:val="16"/>
              </w:rPr>
            </w:pPr>
            <w:r>
              <w:rPr>
                <w:color w:val="000000"/>
                <w:sz w:val="16"/>
                <w:szCs w:val="16"/>
              </w:rPr>
              <w:t>Kop.</w:t>
            </w:r>
          </w:p>
        </w:tc>
        <w:tc>
          <w:tcPr>
            <w:tcW w:w="503" w:type="pct"/>
            <w:tcBorders>
              <w:top w:val="single" w:sz="2" w:space="0" w:color="auto"/>
              <w:left w:val="nil"/>
              <w:bottom w:val="single" w:sz="4" w:space="0" w:color="auto"/>
              <w:right w:val="nil"/>
            </w:tcBorders>
            <w:shd w:val="clear" w:color="auto" w:fill="FABF8F" w:themeFill="accent6" w:themeFillTint="99"/>
            <w:vAlign w:val="center"/>
            <w:hideMark/>
          </w:tcPr>
          <w:p w14:paraId="6735EB83" w14:textId="77777777" w:rsidR="0088085F" w:rsidRPr="00965C64" w:rsidRDefault="0088085F" w:rsidP="006F2195">
            <w:pPr>
              <w:pStyle w:val="cuadroCabe"/>
              <w:jc w:val="right"/>
              <w:rPr>
                <w:color w:val="000000"/>
                <w:sz w:val="16"/>
                <w:szCs w:val="16"/>
              </w:rPr>
            </w:pPr>
            <w:r>
              <w:rPr>
                <w:color w:val="000000"/>
                <w:sz w:val="16"/>
                <w:szCs w:val="16"/>
              </w:rPr>
              <w:t xml:space="preserve">Zenbatekoa </w:t>
            </w:r>
          </w:p>
        </w:tc>
      </w:tr>
      <w:tr w:rsidR="006F2195" w:rsidRPr="008D7C40" w14:paraId="2C51F368" w14:textId="77777777" w:rsidTr="001B6540">
        <w:trPr>
          <w:trHeight w:val="227"/>
          <w:jc w:val="center"/>
        </w:trPr>
        <w:tc>
          <w:tcPr>
            <w:tcW w:w="1002" w:type="pct"/>
            <w:tcBorders>
              <w:top w:val="single" w:sz="4" w:space="0" w:color="auto"/>
              <w:left w:val="nil"/>
              <w:bottom w:val="single" w:sz="2" w:space="0" w:color="auto"/>
              <w:right w:val="nil"/>
            </w:tcBorders>
            <w:shd w:val="clear" w:color="auto" w:fill="auto"/>
            <w:noWrap/>
            <w:vAlign w:val="center"/>
            <w:hideMark/>
          </w:tcPr>
          <w:p w14:paraId="778FE225" w14:textId="77777777" w:rsidR="0088085F" w:rsidRPr="008D7C40" w:rsidRDefault="0088085F" w:rsidP="00965C64">
            <w:pPr>
              <w:pStyle w:val="cuatexto"/>
              <w:rPr>
                <w:color w:val="000000"/>
                <w:sz w:val="17"/>
                <w:szCs w:val="17"/>
              </w:rPr>
            </w:pPr>
            <w:r>
              <w:rPr>
                <w:sz w:val="17"/>
                <w:szCs w:val="17"/>
              </w:rPr>
              <w:t>Obrak</w:t>
            </w:r>
          </w:p>
        </w:tc>
        <w:tc>
          <w:tcPr>
            <w:tcW w:w="241" w:type="pct"/>
            <w:tcBorders>
              <w:top w:val="single" w:sz="4" w:space="0" w:color="auto"/>
              <w:left w:val="nil"/>
              <w:bottom w:val="single" w:sz="2" w:space="0" w:color="auto"/>
              <w:right w:val="nil"/>
            </w:tcBorders>
            <w:shd w:val="clear" w:color="auto" w:fill="auto"/>
            <w:vAlign w:val="center"/>
            <w:hideMark/>
          </w:tcPr>
          <w:p w14:paraId="65E3924F" w14:textId="77777777" w:rsidR="0088085F" w:rsidRPr="008D7C40" w:rsidRDefault="0088085F" w:rsidP="006F2195">
            <w:pPr>
              <w:pStyle w:val="cuatexto"/>
              <w:jc w:val="right"/>
              <w:rPr>
                <w:color w:val="000000"/>
                <w:sz w:val="17"/>
                <w:szCs w:val="17"/>
              </w:rPr>
            </w:pPr>
            <w:r>
              <w:rPr>
                <w:color w:val="000000"/>
                <w:sz w:val="17"/>
                <w:szCs w:val="17"/>
              </w:rPr>
              <w:t>214</w:t>
            </w:r>
          </w:p>
        </w:tc>
        <w:tc>
          <w:tcPr>
            <w:tcW w:w="506" w:type="pct"/>
            <w:tcBorders>
              <w:top w:val="single" w:sz="4" w:space="0" w:color="auto"/>
              <w:left w:val="nil"/>
              <w:bottom w:val="single" w:sz="2" w:space="0" w:color="auto"/>
              <w:right w:val="nil"/>
            </w:tcBorders>
            <w:shd w:val="clear" w:color="auto" w:fill="auto"/>
            <w:vAlign w:val="center"/>
            <w:hideMark/>
          </w:tcPr>
          <w:p w14:paraId="6670DE0D" w14:textId="77777777" w:rsidR="0088085F" w:rsidRPr="008D7C40" w:rsidRDefault="0088085F" w:rsidP="006F2195">
            <w:pPr>
              <w:pStyle w:val="cuatexto"/>
              <w:jc w:val="right"/>
              <w:rPr>
                <w:color w:val="000000"/>
                <w:sz w:val="17"/>
                <w:szCs w:val="17"/>
              </w:rPr>
            </w:pPr>
            <w:r>
              <w:rPr>
                <w:color w:val="000000"/>
                <w:sz w:val="17"/>
                <w:szCs w:val="17"/>
              </w:rPr>
              <w:t>41.027.894</w:t>
            </w:r>
          </w:p>
        </w:tc>
        <w:tc>
          <w:tcPr>
            <w:tcW w:w="288" w:type="pct"/>
            <w:tcBorders>
              <w:top w:val="single" w:sz="4" w:space="0" w:color="auto"/>
              <w:left w:val="nil"/>
              <w:bottom w:val="single" w:sz="2" w:space="0" w:color="auto"/>
              <w:right w:val="nil"/>
            </w:tcBorders>
            <w:shd w:val="clear" w:color="auto" w:fill="auto"/>
            <w:vAlign w:val="center"/>
            <w:hideMark/>
          </w:tcPr>
          <w:p w14:paraId="13039482" w14:textId="77777777" w:rsidR="0088085F" w:rsidRPr="008D7C40" w:rsidRDefault="0088085F" w:rsidP="006F2195">
            <w:pPr>
              <w:pStyle w:val="cuatexto"/>
              <w:jc w:val="right"/>
              <w:rPr>
                <w:color w:val="000000"/>
                <w:sz w:val="17"/>
                <w:szCs w:val="17"/>
              </w:rPr>
            </w:pPr>
            <w:r>
              <w:rPr>
                <w:color w:val="000000"/>
                <w:sz w:val="17"/>
                <w:szCs w:val="17"/>
              </w:rPr>
              <w:t>17</w:t>
            </w:r>
          </w:p>
        </w:tc>
        <w:tc>
          <w:tcPr>
            <w:tcW w:w="436" w:type="pct"/>
            <w:tcBorders>
              <w:top w:val="single" w:sz="4" w:space="0" w:color="auto"/>
              <w:left w:val="nil"/>
              <w:bottom w:val="single" w:sz="2" w:space="0" w:color="auto"/>
              <w:right w:val="nil"/>
            </w:tcBorders>
            <w:shd w:val="clear" w:color="auto" w:fill="auto"/>
            <w:vAlign w:val="center"/>
            <w:hideMark/>
          </w:tcPr>
          <w:p w14:paraId="0B64F567" w14:textId="77777777" w:rsidR="0088085F" w:rsidRPr="008D7C40" w:rsidRDefault="0088085F" w:rsidP="006F2195">
            <w:pPr>
              <w:pStyle w:val="cuatexto"/>
              <w:jc w:val="right"/>
              <w:rPr>
                <w:color w:val="000000"/>
                <w:sz w:val="17"/>
                <w:szCs w:val="17"/>
              </w:rPr>
            </w:pPr>
            <w:r>
              <w:rPr>
                <w:color w:val="000000"/>
                <w:sz w:val="17"/>
                <w:szCs w:val="17"/>
              </w:rPr>
              <w:t>1.951.592</w:t>
            </w:r>
          </w:p>
        </w:tc>
        <w:tc>
          <w:tcPr>
            <w:tcW w:w="320" w:type="pct"/>
            <w:gridSpan w:val="2"/>
            <w:tcBorders>
              <w:top w:val="single" w:sz="4" w:space="0" w:color="auto"/>
              <w:left w:val="nil"/>
              <w:bottom w:val="single" w:sz="2" w:space="0" w:color="auto"/>
              <w:right w:val="nil"/>
            </w:tcBorders>
            <w:shd w:val="clear" w:color="auto" w:fill="auto"/>
            <w:noWrap/>
            <w:vAlign w:val="center"/>
            <w:hideMark/>
          </w:tcPr>
          <w:p w14:paraId="3B273068" w14:textId="77777777" w:rsidR="0088085F" w:rsidRPr="008D7C40" w:rsidRDefault="0088085F" w:rsidP="006F2195">
            <w:pPr>
              <w:pStyle w:val="cuatexto"/>
              <w:jc w:val="right"/>
              <w:rPr>
                <w:color w:val="000000"/>
                <w:sz w:val="17"/>
                <w:szCs w:val="17"/>
              </w:rPr>
            </w:pPr>
            <w:r>
              <w:rPr>
                <w:sz w:val="17"/>
                <w:szCs w:val="17"/>
              </w:rPr>
              <w:t>6</w:t>
            </w:r>
          </w:p>
        </w:tc>
        <w:tc>
          <w:tcPr>
            <w:tcW w:w="460" w:type="pct"/>
            <w:tcBorders>
              <w:top w:val="single" w:sz="4" w:space="0" w:color="auto"/>
              <w:left w:val="nil"/>
              <w:bottom w:val="single" w:sz="2" w:space="0" w:color="auto"/>
              <w:right w:val="nil"/>
            </w:tcBorders>
            <w:shd w:val="clear" w:color="auto" w:fill="auto"/>
            <w:vAlign w:val="center"/>
            <w:hideMark/>
          </w:tcPr>
          <w:p w14:paraId="6978E443" w14:textId="77777777" w:rsidR="0088085F" w:rsidRPr="008D7C40" w:rsidRDefault="0088085F" w:rsidP="006F2195">
            <w:pPr>
              <w:pStyle w:val="cuatexto"/>
              <w:jc w:val="right"/>
              <w:rPr>
                <w:color w:val="000000"/>
                <w:sz w:val="17"/>
                <w:szCs w:val="17"/>
              </w:rPr>
            </w:pPr>
            <w:r>
              <w:rPr>
                <w:sz w:val="17"/>
                <w:szCs w:val="17"/>
              </w:rPr>
              <w:t>1.134.554</w:t>
            </w:r>
          </w:p>
        </w:tc>
        <w:tc>
          <w:tcPr>
            <w:tcW w:w="355" w:type="pct"/>
            <w:gridSpan w:val="2"/>
            <w:tcBorders>
              <w:top w:val="single" w:sz="4" w:space="0" w:color="auto"/>
              <w:left w:val="nil"/>
              <w:bottom w:val="single" w:sz="2" w:space="0" w:color="auto"/>
              <w:right w:val="nil"/>
            </w:tcBorders>
            <w:shd w:val="clear" w:color="auto" w:fill="auto"/>
            <w:noWrap/>
            <w:vAlign w:val="center"/>
            <w:hideMark/>
          </w:tcPr>
          <w:p w14:paraId="5DD9E06A" w14:textId="77777777" w:rsidR="0088085F" w:rsidRPr="008D7C40" w:rsidRDefault="0088085F" w:rsidP="006F2195">
            <w:pPr>
              <w:pStyle w:val="cuatexto"/>
              <w:jc w:val="right"/>
              <w:rPr>
                <w:color w:val="000000"/>
                <w:sz w:val="17"/>
                <w:szCs w:val="17"/>
              </w:rPr>
            </w:pPr>
            <w:r>
              <w:rPr>
                <w:color w:val="000000"/>
                <w:sz w:val="17"/>
                <w:szCs w:val="17"/>
              </w:rPr>
              <w:t>14</w:t>
            </w:r>
          </w:p>
        </w:tc>
        <w:tc>
          <w:tcPr>
            <w:tcW w:w="465" w:type="pct"/>
            <w:tcBorders>
              <w:top w:val="single" w:sz="4" w:space="0" w:color="auto"/>
              <w:left w:val="nil"/>
              <w:bottom w:val="single" w:sz="2" w:space="0" w:color="auto"/>
              <w:right w:val="nil"/>
            </w:tcBorders>
            <w:shd w:val="clear" w:color="auto" w:fill="auto"/>
            <w:noWrap/>
            <w:vAlign w:val="center"/>
            <w:hideMark/>
          </w:tcPr>
          <w:p w14:paraId="0A8328F0" w14:textId="77777777" w:rsidR="0088085F" w:rsidRPr="008D7C40" w:rsidRDefault="0088085F" w:rsidP="006F2195">
            <w:pPr>
              <w:pStyle w:val="cuatexto"/>
              <w:jc w:val="right"/>
              <w:rPr>
                <w:color w:val="000000"/>
                <w:sz w:val="17"/>
                <w:szCs w:val="17"/>
              </w:rPr>
            </w:pPr>
            <w:r>
              <w:rPr>
                <w:color w:val="000000"/>
                <w:sz w:val="17"/>
                <w:szCs w:val="17"/>
              </w:rPr>
              <w:t>6.005.225</w:t>
            </w:r>
          </w:p>
        </w:tc>
        <w:tc>
          <w:tcPr>
            <w:tcW w:w="424" w:type="pct"/>
            <w:tcBorders>
              <w:top w:val="single" w:sz="4" w:space="0" w:color="auto"/>
              <w:left w:val="nil"/>
              <w:bottom w:val="single" w:sz="2" w:space="0" w:color="auto"/>
              <w:right w:val="nil"/>
            </w:tcBorders>
            <w:shd w:val="clear" w:color="auto" w:fill="auto"/>
            <w:noWrap/>
            <w:vAlign w:val="center"/>
            <w:hideMark/>
          </w:tcPr>
          <w:p w14:paraId="64C63E46" w14:textId="77777777" w:rsidR="0088085F" w:rsidRPr="008D7C40" w:rsidRDefault="0088085F" w:rsidP="006F2195">
            <w:pPr>
              <w:pStyle w:val="cuatexto"/>
              <w:jc w:val="right"/>
              <w:rPr>
                <w:color w:val="000000"/>
                <w:sz w:val="17"/>
                <w:szCs w:val="17"/>
              </w:rPr>
            </w:pPr>
            <w:r>
              <w:rPr>
                <w:sz w:val="17"/>
                <w:szCs w:val="17"/>
              </w:rPr>
              <w:t>251</w:t>
            </w:r>
          </w:p>
        </w:tc>
        <w:tc>
          <w:tcPr>
            <w:tcW w:w="503" w:type="pct"/>
            <w:tcBorders>
              <w:top w:val="single" w:sz="4" w:space="0" w:color="auto"/>
              <w:left w:val="nil"/>
              <w:bottom w:val="single" w:sz="2" w:space="0" w:color="auto"/>
              <w:right w:val="nil"/>
            </w:tcBorders>
            <w:shd w:val="clear" w:color="auto" w:fill="auto"/>
            <w:noWrap/>
            <w:vAlign w:val="center"/>
            <w:hideMark/>
          </w:tcPr>
          <w:p w14:paraId="24500163" w14:textId="77777777" w:rsidR="0088085F" w:rsidRPr="008D7C40" w:rsidRDefault="0088085F" w:rsidP="006F2195">
            <w:pPr>
              <w:pStyle w:val="cuatexto"/>
              <w:jc w:val="right"/>
              <w:rPr>
                <w:color w:val="000000"/>
                <w:sz w:val="17"/>
                <w:szCs w:val="17"/>
              </w:rPr>
            </w:pPr>
            <w:r>
              <w:rPr>
                <w:sz w:val="17"/>
                <w:szCs w:val="17"/>
              </w:rPr>
              <w:t>50.119.266</w:t>
            </w:r>
          </w:p>
        </w:tc>
      </w:tr>
      <w:tr w:rsidR="006F2195" w:rsidRPr="008D7C40" w14:paraId="615D9886" w14:textId="77777777" w:rsidTr="001B6540">
        <w:trPr>
          <w:trHeight w:val="227"/>
          <w:jc w:val="center"/>
        </w:trPr>
        <w:tc>
          <w:tcPr>
            <w:tcW w:w="1002" w:type="pct"/>
            <w:tcBorders>
              <w:top w:val="single" w:sz="2" w:space="0" w:color="auto"/>
              <w:left w:val="nil"/>
              <w:bottom w:val="single" w:sz="2" w:space="0" w:color="auto"/>
              <w:right w:val="nil"/>
            </w:tcBorders>
            <w:shd w:val="clear" w:color="auto" w:fill="auto"/>
            <w:noWrap/>
            <w:vAlign w:val="center"/>
            <w:hideMark/>
          </w:tcPr>
          <w:p w14:paraId="5EF39859" w14:textId="77777777" w:rsidR="0088085F" w:rsidRPr="008D7C40" w:rsidRDefault="0088085F" w:rsidP="00965C64">
            <w:pPr>
              <w:pStyle w:val="cuatexto"/>
              <w:rPr>
                <w:color w:val="000000"/>
                <w:sz w:val="17"/>
                <w:szCs w:val="17"/>
              </w:rPr>
            </w:pPr>
            <w:r>
              <w:rPr>
                <w:sz w:val="17"/>
                <w:szCs w:val="17"/>
              </w:rPr>
              <w:t>Zerbitzuak</w:t>
            </w:r>
          </w:p>
        </w:tc>
        <w:tc>
          <w:tcPr>
            <w:tcW w:w="241" w:type="pct"/>
            <w:tcBorders>
              <w:top w:val="single" w:sz="2" w:space="0" w:color="auto"/>
              <w:left w:val="nil"/>
              <w:bottom w:val="single" w:sz="2" w:space="0" w:color="auto"/>
              <w:right w:val="nil"/>
            </w:tcBorders>
            <w:shd w:val="clear" w:color="auto" w:fill="auto"/>
            <w:vAlign w:val="center"/>
            <w:hideMark/>
          </w:tcPr>
          <w:p w14:paraId="422877AE" w14:textId="77777777" w:rsidR="0088085F" w:rsidRPr="008D7C40" w:rsidRDefault="0088085F" w:rsidP="006F2195">
            <w:pPr>
              <w:pStyle w:val="cuatexto"/>
              <w:jc w:val="right"/>
              <w:rPr>
                <w:color w:val="000000"/>
                <w:sz w:val="17"/>
                <w:szCs w:val="17"/>
              </w:rPr>
            </w:pPr>
            <w:r>
              <w:rPr>
                <w:color w:val="000000"/>
                <w:sz w:val="17"/>
                <w:szCs w:val="17"/>
              </w:rPr>
              <w:t>114</w:t>
            </w:r>
          </w:p>
        </w:tc>
        <w:tc>
          <w:tcPr>
            <w:tcW w:w="506" w:type="pct"/>
            <w:tcBorders>
              <w:top w:val="single" w:sz="2" w:space="0" w:color="auto"/>
              <w:left w:val="nil"/>
              <w:bottom w:val="single" w:sz="2" w:space="0" w:color="auto"/>
              <w:right w:val="nil"/>
            </w:tcBorders>
            <w:shd w:val="clear" w:color="auto" w:fill="auto"/>
            <w:vAlign w:val="center"/>
            <w:hideMark/>
          </w:tcPr>
          <w:p w14:paraId="258436E3" w14:textId="77777777" w:rsidR="0088085F" w:rsidRPr="008D7C40" w:rsidRDefault="0088085F" w:rsidP="006F2195">
            <w:pPr>
              <w:pStyle w:val="cuatexto"/>
              <w:jc w:val="right"/>
              <w:rPr>
                <w:color w:val="000000"/>
                <w:sz w:val="17"/>
                <w:szCs w:val="17"/>
              </w:rPr>
            </w:pPr>
            <w:r>
              <w:rPr>
                <w:color w:val="000000"/>
                <w:sz w:val="17"/>
                <w:szCs w:val="17"/>
              </w:rPr>
              <w:t>17.517.058</w:t>
            </w:r>
          </w:p>
        </w:tc>
        <w:tc>
          <w:tcPr>
            <w:tcW w:w="288" w:type="pct"/>
            <w:tcBorders>
              <w:top w:val="single" w:sz="2" w:space="0" w:color="auto"/>
              <w:left w:val="nil"/>
              <w:bottom w:val="single" w:sz="2" w:space="0" w:color="auto"/>
              <w:right w:val="nil"/>
            </w:tcBorders>
            <w:shd w:val="clear" w:color="auto" w:fill="auto"/>
            <w:vAlign w:val="center"/>
            <w:hideMark/>
          </w:tcPr>
          <w:p w14:paraId="5C3A72C9" w14:textId="77777777" w:rsidR="0088085F" w:rsidRPr="008D7C40" w:rsidRDefault="0088085F" w:rsidP="006F2195">
            <w:pPr>
              <w:pStyle w:val="cuatexto"/>
              <w:jc w:val="right"/>
              <w:rPr>
                <w:color w:val="000000"/>
                <w:sz w:val="17"/>
                <w:szCs w:val="17"/>
              </w:rPr>
            </w:pPr>
            <w:r>
              <w:rPr>
                <w:color w:val="000000"/>
                <w:sz w:val="17"/>
                <w:szCs w:val="17"/>
              </w:rPr>
              <w:t> </w:t>
            </w:r>
          </w:p>
        </w:tc>
        <w:tc>
          <w:tcPr>
            <w:tcW w:w="436" w:type="pct"/>
            <w:tcBorders>
              <w:top w:val="single" w:sz="2" w:space="0" w:color="auto"/>
              <w:left w:val="nil"/>
              <w:bottom w:val="single" w:sz="2" w:space="0" w:color="auto"/>
              <w:right w:val="nil"/>
            </w:tcBorders>
            <w:shd w:val="clear" w:color="auto" w:fill="auto"/>
            <w:vAlign w:val="center"/>
            <w:hideMark/>
          </w:tcPr>
          <w:p w14:paraId="49527E6F" w14:textId="77777777" w:rsidR="0088085F" w:rsidRPr="008D7C40" w:rsidRDefault="0088085F" w:rsidP="006F2195">
            <w:pPr>
              <w:pStyle w:val="cuatexto"/>
              <w:jc w:val="right"/>
              <w:rPr>
                <w:color w:val="000000"/>
                <w:sz w:val="17"/>
                <w:szCs w:val="17"/>
              </w:rPr>
            </w:pPr>
            <w:r>
              <w:rPr>
                <w:color w:val="000000"/>
                <w:sz w:val="17"/>
                <w:szCs w:val="17"/>
              </w:rPr>
              <w:t> </w:t>
            </w:r>
          </w:p>
        </w:tc>
        <w:tc>
          <w:tcPr>
            <w:tcW w:w="320" w:type="pct"/>
            <w:gridSpan w:val="2"/>
            <w:tcBorders>
              <w:top w:val="single" w:sz="2" w:space="0" w:color="auto"/>
              <w:left w:val="nil"/>
              <w:bottom w:val="single" w:sz="2" w:space="0" w:color="auto"/>
              <w:right w:val="nil"/>
            </w:tcBorders>
            <w:shd w:val="clear" w:color="auto" w:fill="auto"/>
            <w:noWrap/>
            <w:vAlign w:val="center"/>
            <w:hideMark/>
          </w:tcPr>
          <w:p w14:paraId="7CC93400" w14:textId="77777777" w:rsidR="0088085F" w:rsidRPr="008D7C40" w:rsidRDefault="0088085F" w:rsidP="006F2195">
            <w:pPr>
              <w:pStyle w:val="cuatexto"/>
              <w:jc w:val="right"/>
              <w:rPr>
                <w:color w:val="000000"/>
                <w:sz w:val="17"/>
                <w:szCs w:val="17"/>
              </w:rPr>
            </w:pPr>
            <w:r>
              <w:rPr>
                <w:color w:val="000000"/>
                <w:sz w:val="17"/>
                <w:szCs w:val="17"/>
              </w:rPr>
              <w:t>1</w:t>
            </w:r>
          </w:p>
        </w:tc>
        <w:tc>
          <w:tcPr>
            <w:tcW w:w="460" w:type="pct"/>
            <w:tcBorders>
              <w:top w:val="single" w:sz="2" w:space="0" w:color="auto"/>
              <w:left w:val="nil"/>
              <w:bottom w:val="single" w:sz="2" w:space="0" w:color="auto"/>
              <w:right w:val="nil"/>
            </w:tcBorders>
            <w:shd w:val="clear" w:color="auto" w:fill="auto"/>
            <w:vAlign w:val="center"/>
            <w:hideMark/>
          </w:tcPr>
          <w:p w14:paraId="4DDCCF5F" w14:textId="77777777" w:rsidR="0088085F" w:rsidRPr="008D7C40" w:rsidRDefault="0088085F" w:rsidP="006F2195">
            <w:pPr>
              <w:pStyle w:val="cuatexto"/>
              <w:jc w:val="right"/>
              <w:rPr>
                <w:color w:val="000000"/>
                <w:sz w:val="17"/>
                <w:szCs w:val="17"/>
              </w:rPr>
            </w:pPr>
            <w:r>
              <w:rPr>
                <w:color w:val="000000"/>
                <w:sz w:val="17"/>
                <w:szCs w:val="17"/>
              </w:rPr>
              <w:t>56.600</w:t>
            </w:r>
          </w:p>
        </w:tc>
        <w:tc>
          <w:tcPr>
            <w:tcW w:w="355" w:type="pct"/>
            <w:gridSpan w:val="2"/>
            <w:tcBorders>
              <w:top w:val="single" w:sz="2" w:space="0" w:color="auto"/>
              <w:left w:val="nil"/>
              <w:bottom w:val="single" w:sz="2" w:space="0" w:color="auto"/>
              <w:right w:val="nil"/>
            </w:tcBorders>
            <w:shd w:val="clear" w:color="auto" w:fill="auto"/>
            <w:noWrap/>
            <w:vAlign w:val="center"/>
            <w:hideMark/>
          </w:tcPr>
          <w:p w14:paraId="2B0C5497" w14:textId="77777777" w:rsidR="0088085F" w:rsidRPr="008D7C40" w:rsidRDefault="0088085F" w:rsidP="006F2195">
            <w:pPr>
              <w:pStyle w:val="cuatexto"/>
              <w:jc w:val="right"/>
              <w:rPr>
                <w:color w:val="000000"/>
                <w:sz w:val="17"/>
                <w:szCs w:val="17"/>
              </w:rPr>
            </w:pPr>
            <w:r>
              <w:rPr>
                <w:color w:val="000000"/>
                <w:sz w:val="17"/>
                <w:szCs w:val="17"/>
              </w:rPr>
              <w:t>11</w:t>
            </w:r>
          </w:p>
        </w:tc>
        <w:tc>
          <w:tcPr>
            <w:tcW w:w="465" w:type="pct"/>
            <w:tcBorders>
              <w:top w:val="single" w:sz="2" w:space="0" w:color="auto"/>
              <w:left w:val="nil"/>
              <w:bottom w:val="single" w:sz="2" w:space="0" w:color="auto"/>
              <w:right w:val="nil"/>
            </w:tcBorders>
            <w:shd w:val="clear" w:color="auto" w:fill="auto"/>
            <w:noWrap/>
            <w:vAlign w:val="center"/>
            <w:hideMark/>
          </w:tcPr>
          <w:p w14:paraId="1315FFF9" w14:textId="77777777" w:rsidR="0088085F" w:rsidRPr="008D7C40" w:rsidRDefault="0088085F" w:rsidP="006F2195">
            <w:pPr>
              <w:pStyle w:val="cuatexto"/>
              <w:jc w:val="right"/>
              <w:rPr>
                <w:color w:val="000000"/>
                <w:sz w:val="17"/>
                <w:szCs w:val="17"/>
              </w:rPr>
            </w:pPr>
            <w:r>
              <w:rPr>
                <w:color w:val="000000"/>
                <w:sz w:val="17"/>
                <w:szCs w:val="17"/>
              </w:rPr>
              <w:t>311.633</w:t>
            </w:r>
          </w:p>
        </w:tc>
        <w:tc>
          <w:tcPr>
            <w:tcW w:w="424" w:type="pct"/>
            <w:tcBorders>
              <w:top w:val="single" w:sz="2" w:space="0" w:color="auto"/>
              <w:left w:val="nil"/>
              <w:bottom w:val="single" w:sz="2" w:space="0" w:color="auto"/>
              <w:right w:val="nil"/>
            </w:tcBorders>
            <w:shd w:val="clear" w:color="auto" w:fill="auto"/>
            <w:noWrap/>
            <w:vAlign w:val="center"/>
            <w:hideMark/>
          </w:tcPr>
          <w:p w14:paraId="4E09A223" w14:textId="77777777" w:rsidR="0088085F" w:rsidRPr="008D7C40" w:rsidRDefault="0088085F" w:rsidP="006F2195">
            <w:pPr>
              <w:pStyle w:val="cuatexto"/>
              <w:jc w:val="right"/>
              <w:rPr>
                <w:color w:val="000000"/>
                <w:sz w:val="17"/>
                <w:szCs w:val="17"/>
              </w:rPr>
            </w:pPr>
            <w:r>
              <w:rPr>
                <w:sz w:val="17"/>
                <w:szCs w:val="17"/>
              </w:rPr>
              <w:t>126</w:t>
            </w:r>
          </w:p>
        </w:tc>
        <w:tc>
          <w:tcPr>
            <w:tcW w:w="503" w:type="pct"/>
            <w:tcBorders>
              <w:top w:val="single" w:sz="2" w:space="0" w:color="auto"/>
              <w:left w:val="nil"/>
              <w:bottom w:val="single" w:sz="2" w:space="0" w:color="auto"/>
              <w:right w:val="nil"/>
            </w:tcBorders>
            <w:shd w:val="clear" w:color="auto" w:fill="auto"/>
            <w:noWrap/>
            <w:vAlign w:val="center"/>
            <w:hideMark/>
          </w:tcPr>
          <w:p w14:paraId="629DF8C5" w14:textId="77777777" w:rsidR="0088085F" w:rsidRPr="008D7C40" w:rsidRDefault="0088085F" w:rsidP="006F2195">
            <w:pPr>
              <w:pStyle w:val="cuatexto"/>
              <w:jc w:val="right"/>
              <w:rPr>
                <w:color w:val="000000"/>
                <w:sz w:val="17"/>
                <w:szCs w:val="17"/>
              </w:rPr>
            </w:pPr>
            <w:r>
              <w:rPr>
                <w:sz w:val="17"/>
                <w:szCs w:val="17"/>
              </w:rPr>
              <w:t>17.885.291</w:t>
            </w:r>
          </w:p>
        </w:tc>
      </w:tr>
      <w:tr w:rsidR="006F2195" w:rsidRPr="008D7C40" w14:paraId="750BD441" w14:textId="77777777" w:rsidTr="001B6540">
        <w:trPr>
          <w:trHeight w:val="227"/>
          <w:jc w:val="center"/>
        </w:trPr>
        <w:tc>
          <w:tcPr>
            <w:tcW w:w="1002" w:type="pct"/>
            <w:tcBorders>
              <w:top w:val="single" w:sz="2" w:space="0" w:color="auto"/>
              <w:left w:val="nil"/>
              <w:bottom w:val="single" w:sz="2" w:space="0" w:color="auto"/>
              <w:right w:val="nil"/>
            </w:tcBorders>
            <w:shd w:val="clear" w:color="auto" w:fill="auto"/>
            <w:noWrap/>
            <w:vAlign w:val="center"/>
            <w:hideMark/>
          </w:tcPr>
          <w:p w14:paraId="5EB1294A" w14:textId="77777777" w:rsidR="0088085F" w:rsidRPr="008D7C40" w:rsidRDefault="0088085F" w:rsidP="00965C64">
            <w:pPr>
              <w:pStyle w:val="cuatexto"/>
              <w:rPr>
                <w:color w:val="000000"/>
                <w:sz w:val="17"/>
                <w:szCs w:val="17"/>
              </w:rPr>
            </w:pPr>
            <w:r>
              <w:rPr>
                <w:sz w:val="17"/>
                <w:szCs w:val="17"/>
              </w:rPr>
              <w:t>Hornidurak</w:t>
            </w:r>
          </w:p>
        </w:tc>
        <w:tc>
          <w:tcPr>
            <w:tcW w:w="241" w:type="pct"/>
            <w:tcBorders>
              <w:top w:val="single" w:sz="2" w:space="0" w:color="auto"/>
              <w:left w:val="nil"/>
              <w:bottom w:val="single" w:sz="2" w:space="0" w:color="auto"/>
              <w:right w:val="nil"/>
            </w:tcBorders>
            <w:shd w:val="clear" w:color="auto" w:fill="auto"/>
            <w:vAlign w:val="center"/>
            <w:hideMark/>
          </w:tcPr>
          <w:p w14:paraId="4D89E934" w14:textId="77777777" w:rsidR="0088085F" w:rsidRPr="008D7C40" w:rsidRDefault="0088085F" w:rsidP="006F2195">
            <w:pPr>
              <w:pStyle w:val="cuatexto"/>
              <w:jc w:val="right"/>
              <w:rPr>
                <w:color w:val="000000"/>
                <w:sz w:val="17"/>
                <w:szCs w:val="17"/>
              </w:rPr>
            </w:pPr>
            <w:r>
              <w:rPr>
                <w:color w:val="000000"/>
                <w:sz w:val="17"/>
                <w:szCs w:val="17"/>
              </w:rPr>
              <w:t>45</w:t>
            </w:r>
          </w:p>
        </w:tc>
        <w:tc>
          <w:tcPr>
            <w:tcW w:w="506" w:type="pct"/>
            <w:tcBorders>
              <w:top w:val="single" w:sz="2" w:space="0" w:color="auto"/>
              <w:left w:val="nil"/>
              <w:bottom w:val="single" w:sz="2" w:space="0" w:color="auto"/>
              <w:right w:val="nil"/>
            </w:tcBorders>
            <w:shd w:val="clear" w:color="auto" w:fill="auto"/>
            <w:vAlign w:val="center"/>
            <w:hideMark/>
          </w:tcPr>
          <w:p w14:paraId="3EC44A41" w14:textId="77777777" w:rsidR="0088085F" w:rsidRPr="008D7C40" w:rsidRDefault="0088085F" w:rsidP="006F2195">
            <w:pPr>
              <w:pStyle w:val="cuatexto"/>
              <w:jc w:val="right"/>
              <w:rPr>
                <w:color w:val="000000"/>
                <w:sz w:val="17"/>
                <w:szCs w:val="17"/>
              </w:rPr>
            </w:pPr>
            <w:r>
              <w:rPr>
                <w:color w:val="000000"/>
                <w:sz w:val="17"/>
                <w:szCs w:val="17"/>
              </w:rPr>
              <w:t>4.947.145</w:t>
            </w:r>
          </w:p>
        </w:tc>
        <w:tc>
          <w:tcPr>
            <w:tcW w:w="288" w:type="pct"/>
            <w:tcBorders>
              <w:top w:val="single" w:sz="2" w:space="0" w:color="auto"/>
              <w:left w:val="nil"/>
              <w:bottom w:val="single" w:sz="2" w:space="0" w:color="auto"/>
              <w:right w:val="nil"/>
            </w:tcBorders>
            <w:shd w:val="clear" w:color="auto" w:fill="auto"/>
            <w:vAlign w:val="center"/>
            <w:hideMark/>
          </w:tcPr>
          <w:p w14:paraId="0B617BB4" w14:textId="77777777" w:rsidR="0088085F" w:rsidRPr="008D7C40" w:rsidRDefault="0088085F" w:rsidP="006F2195">
            <w:pPr>
              <w:pStyle w:val="cuatexto"/>
              <w:jc w:val="right"/>
              <w:rPr>
                <w:color w:val="000000"/>
                <w:sz w:val="17"/>
                <w:szCs w:val="17"/>
              </w:rPr>
            </w:pPr>
            <w:r>
              <w:rPr>
                <w:color w:val="000000"/>
                <w:sz w:val="17"/>
                <w:szCs w:val="17"/>
              </w:rPr>
              <w:t> </w:t>
            </w:r>
          </w:p>
        </w:tc>
        <w:tc>
          <w:tcPr>
            <w:tcW w:w="436" w:type="pct"/>
            <w:tcBorders>
              <w:top w:val="single" w:sz="2" w:space="0" w:color="auto"/>
              <w:left w:val="nil"/>
              <w:bottom w:val="single" w:sz="2" w:space="0" w:color="auto"/>
              <w:right w:val="nil"/>
            </w:tcBorders>
            <w:shd w:val="clear" w:color="auto" w:fill="auto"/>
            <w:vAlign w:val="center"/>
            <w:hideMark/>
          </w:tcPr>
          <w:p w14:paraId="35D364EF" w14:textId="77777777" w:rsidR="0088085F" w:rsidRPr="008D7C40" w:rsidRDefault="0088085F" w:rsidP="006F2195">
            <w:pPr>
              <w:pStyle w:val="cuatexto"/>
              <w:jc w:val="right"/>
              <w:rPr>
                <w:color w:val="000000"/>
                <w:sz w:val="17"/>
                <w:szCs w:val="17"/>
              </w:rPr>
            </w:pPr>
            <w:r>
              <w:rPr>
                <w:color w:val="000000"/>
                <w:sz w:val="17"/>
                <w:szCs w:val="17"/>
              </w:rPr>
              <w:t> </w:t>
            </w:r>
          </w:p>
        </w:tc>
        <w:tc>
          <w:tcPr>
            <w:tcW w:w="320" w:type="pct"/>
            <w:gridSpan w:val="2"/>
            <w:tcBorders>
              <w:top w:val="single" w:sz="2" w:space="0" w:color="auto"/>
              <w:left w:val="nil"/>
              <w:bottom w:val="single" w:sz="2" w:space="0" w:color="auto"/>
              <w:right w:val="nil"/>
            </w:tcBorders>
            <w:shd w:val="clear" w:color="auto" w:fill="auto"/>
            <w:noWrap/>
            <w:vAlign w:val="center"/>
            <w:hideMark/>
          </w:tcPr>
          <w:p w14:paraId="09D3F5AD" w14:textId="77777777" w:rsidR="0088085F" w:rsidRPr="008D7C40" w:rsidRDefault="0088085F" w:rsidP="006F2195">
            <w:pPr>
              <w:pStyle w:val="cuatexto"/>
              <w:jc w:val="right"/>
              <w:rPr>
                <w:color w:val="000000"/>
                <w:sz w:val="17"/>
                <w:szCs w:val="17"/>
              </w:rPr>
            </w:pPr>
            <w:r>
              <w:rPr>
                <w:sz w:val="17"/>
                <w:szCs w:val="17"/>
              </w:rPr>
              <w:t>2</w:t>
            </w:r>
          </w:p>
        </w:tc>
        <w:tc>
          <w:tcPr>
            <w:tcW w:w="460" w:type="pct"/>
            <w:tcBorders>
              <w:top w:val="single" w:sz="2" w:space="0" w:color="auto"/>
              <w:left w:val="nil"/>
              <w:bottom w:val="single" w:sz="2" w:space="0" w:color="auto"/>
              <w:right w:val="nil"/>
            </w:tcBorders>
            <w:shd w:val="clear" w:color="auto" w:fill="auto"/>
            <w:vAlign w:val="center"/>
            <w:hideMark/>
          </w:tcPr>
          <w:p w14:paraId="2384A0F3" w14:textId="77777777" w:rsidR="0088085F" w:rsidRPr="008D7C40" w:rsidRDefault="0088085F" w:rsidP="006F2195">
            <w:pPr>
              <w:pStyle w:val="cuatexto"/>
              <w:jc w:val="right"/>
              <w:rPr>
                <w:color w:val="000000"/>
                <w:sz w:val="17"/>
                <w:szCs w:val="17"/>
              </w:rPr>
            </w:pPr>
            <w:r>
              <w:rPr>
                <w:sz w:val="17"/>
                <w:szCs w:val="17"/>
              </w:rPr>
              <w:t>90.805</w:t>
            </w:r>
          </w:p>
        </w:tc>
        <w:tc>
          <w:tcPr>
            <w:tcW w:w="355" w:type="pct"/>
            <w:gridSpan w:val="2"/>
            <w:tcBorders>
              <w:top w:val="single" w:sz="2" w:space="0" w:color="auto"/>
              <w:left w:val="nil"/>
              <w:bottom w:val="single" w:sz="2" w:space="0" w:color="auto"/>
              <w:right w:val="nil"/>
            </w:tcBorders>
            <w:shd w:val="clear" w:color="auto" w:fill="auto"/>
            <w:noWrap/>
            <w:vAlign w:val="center"/>
            <w:hideMark/>
          </w:tcPr>
          <w:p w14:paraId="321F5F79" w14:textId="77777777" w:rsidR="0088085F" w:rsidRPr="008D7C40" w:rsidRDefault="0088085F" w:rsidP="006F2195">
            <w:pPr>
              <w:pStyle w:val="cuatexto"/>
              <w:jc w:val="right"/>
              <w:rPr>
                <w:color w:val="000000"/>
                <w:sz w:val="17"/>
                <w:szCs w:val="17"/>
              </w:rPr>
            </w:pPr>
            <w:r>
              <w:rPr>
                <w:color w:val="000000"/>
                <w:sz w:val="17"/>
                <w:szCs w:val="17"/>
              </w:rPr>
              <w:t>4</w:t>
            </w:r>
          </w:p>
        </w:tc>
        <w:tc>
          <w:tcPr>
            <w:tcW w:w="465" w:type="pct"/>
            <w:tcBorders>
              <w:top w:val="single" w:sz="2" w:space="0" w:color="auto"/>
              <w:left w:val="nil"/>
              <w:bottom w:val="single" w:sz="2" w:space="0" w:color="auto"/>
              <w:right w:val="nil"/>
            </w:tcBorders>
            <w:shd w:val="clear" w:color="auto" w:fill="auto"/>
            <w:noWrap/>
            <w:vAlign w:val="center"/>
            <w:hideMark/>
          </w:tcPr>
          <w:p w14:paraId="789E6C96" w14:textId="77777777" w:rsidR="0088085F" w:rsidRPr="008D7C40" w:rsidRDefault="0088085F" w:rsidP="006F2195">
            <w:pPr>
              <w:pStyle w:val="cuatexto"/>
              <w:jc w:val="right"/>
              <w:rPr>
                <w:color w:val="000000"/>
                <w:sz w:val="17"/>
                <w:szCs w:val="17"/>
              </w:rPr>
            </w:pPr>
            <w:r>
              <w:rPr>
                <w:color w:val="000000"/>
                <w:sz w:val="17"/>
                <w:szCs w:val="17"/>
              </w:rPr>
              <w:t>545.890</w:t>
            </w:r>
          </w:p>
        </w:tc>
        <w:tc>
          <w:tcPr>
            <w:tcW w:w="424" w:type="pct"/>
            <w:tcBorders>
              <w:top w:val="single" w:sz="2" w:space="0" w:color="auto"/>
              <w:left w:val="nil"/>
              <w:bottom w:val="single" w:sz="2" w:space="0" w:color="auto"/>
              <w:right w:val="nil"/>
            </w:tcBorders>
            <w:shd w:val="clear" w:color="auto" w:fill="auto"/>
            <w:noWrap/>
            <w:vAlign w:val="center"/>
            <w:hideMark/>
          </w:tcPr>
          <w:p w14:paraId="70B8A934" w14:textId="77777777" w:rsidR="0088085F" w:rsidRPr="008D7C40" w:rsidRDefault="0088085F" w:rsidP="006F2195">
            <w:pPr>
              <w:pStyle w:val="cuatexto"/>
              <w:jc w:val="right"/>
              <w:rPr>
                <w:color w:val="000000"/>
                <w:sz w:val="17"/>
                <w:szCs w:val="17"/>
              </w:rPr>
            </w:pPr>
            <w:r>
              <w:rPr>
                <w:sz w:val="17"/>
                <w:szCs w:val="17"/>
              </w:rPr>
              <w:t>51</w:t>
            </w:r>
          </w:p>
        </w:tc>
        <w:tc>
          <w:tcPr>
            <w:tcW w:w="503" w:type="pct"/>
            <w:tcBorders>
              <w:top w:val="single" w:sz="2" w:space="0" w:color="auto"/>
              <w:left w:val="nil"/>
              <w:bottom w:val="single" w:sz="2" w:space="0" w:color="auto"/>
              <w:right w:val="nil"/>
            </w:tcBorders>
            <w:shd w:val="clear" w:color="auto" w:fill="auto"/>
            <w:noWrap/>
            <w:vAlign w:val="center"/>
            <w:hideMark/>
          </w:tcPr>
          <w:p w14:paraId="774033B0" w14:textId="77777777" w:rsidR="0088085F" w:rsidRPr="008D7C40" w:rsidRDefault="0088085F" w:rsidP="006F2195">
            <w:pPr>
              <w:pStyle w:val="cuatexto"/>
              <w:jc w:val="right"/>
              <w:rPr>
                <w:color w:val="000000"/>
                <w:sz w:val="17"/>
                <w:szCs w:val="17"/>
              </w:rPr>
            </w:pPr>
            <w:r>
              <w:rPr>
                <w:sz w:val="17"/>
                <w:szCs w:val="17"/>
              </w:rPr>
              <w:t>5.585.840</w:t>
            </w:r>
          </w:p>
        </w:tc>
      </w:tr>
      <w:tr w:rsidR="006F2195" w:rsidRPr="008D7C40" w14:paraId="14367003" w14:textId="77777777" w:rsidTr="001B6540">
        <w:trPr>
          <w:trHeight w:val="227"/>
          <w:jc w:val="center"/>
        </w:trPr>
        <w:tc>
          <w:tcPr>
            <w:tcW w:w="1002" w:type="pct"/>
            <w:tcBorders>
              <w:top w:val="single" w:sz="2" w:space="0" w:color="auto"/>
              <w:left w:val="nil"/>
              <w:bottom w:val="single" w:sz="4" w:space="0" w:color="auto"/>
              <w:right w:val="nil"/>
            </w:tcBorders>
            <w:shd w:val="clear" w:color="auto" w:fill="auto"/>
            <w:noWrap/>
            <w:vAlign w:val="center"/>
            <w:hideMark/>
          </w:tcPr>
          <w:p w14:paraId="61DAC26A" w14:textId="77777777" w:rsidR="0088085F" w:rsidRPr="008D7C40" w:rsidRDefault="0088085F" w:rsidP="00965C64">
            <w:pPr>
              <w:pStyle w:val="cuatexto"/>
              <w:rPr>
                <w:color w:val="000000"/>
                <w:sz w:val="17"/>
                <w:szCs w:val="17"/>
              </w:rPr>
            </w:pPr>
            <w:r>
              <w:rPr>
                <w:sz w:val="17"/>
                <w:szCs w:val="17"/>
              </w:rPr>
              <w:t>Zerbitzuen emakida</w:t>
            </w:r>
          </w:p>
        </w:tc>
        <w:tc>
          <w:tcPr>
            <w:tcW w:w="241" w:type="pct"/>
            <w:tcBorders>
              <w:top w:val="single" w:sz="2" w:space="0" w:color="auto"/>
              <w:left w:val="nil"/>
              <w:bottom w:val="single" w:sz="4" w:space="0" w:color="auto"/>
              <w:right w:val="nil"/>
            </w:tcBorders>
            <w:shd w:val="clear" w:color="auto" w:fill="auto"/>
            <w:vAlign w:val="center"/>
            <w:hideMark/>
          </w:tcPr>
          <w:p w14:paraId="20613FA4" w14:textId="77777777" w:rsidR="0088085F" w:rsidRPr="008D7C40" w:rsidRDefault="0088085F" w:rsidP="006F2195">
            <w:pPr>
              <w:pStyle w:val="cuatexto"/>
              <w:jc w:val="right"/>
              <w:rPr>
                <w:color w:val="000000"/>
                <w:sz w:val="17"/>
                <w:szCs w:val="17"/>
              </w:rPr>
            </w:pPr>
            <w:r>
              <w:rPr>
                <w:color w:val="000000"/>
                <w:sz w:val="17"/>
                <w:szCs w:val="17"/>
              </w:rPr>
              <w:t>11</w:t>
            </w:r>
          </w:p>
        </w:tc>
        <w:tc>
          <w:tcPr>
            <w:tcW w:w="506" w:type="pct"/>
            <w:tcBorders>
              <w:top w:val="single" w:sz="2" w:space="0" w:color="auto"/>
              <w:left w:val="nil"/>
              <w:bottom w:val="single" w:sz="4" w:space="0" w:color="auto"/>
              <w:right w:val="nil"/>
            </w:tcBorders>
            <w:shd w:val="clear" w:color="auto" w:fill="auto"/>
            <w:vAlign w:val="center"/>
            <w:hideMark/>
          </w:tcPr>
          <w:p w14:paraId="4DD335F8" w14:textId="77777777" w:rsidR="0088085F" w:rsidRPr="008D7C40" w:rsidRDefault="0088085F" w:rsidP="006F2195">
            <w:pPr>
              <w:pStyle w:val="cuatexto"/>
              <w:jc w:val="right"/>
              <w:rPr>
                <w:color w:val="000000"/>
                <w:sz w:val="17"/>
                <w:szCs w:val="17"/>
              </w:rPr>
            </w:pPr>
            <w:r>
              <w:rPr>
                <w:color w:val="000000"/>
                <w:sz w:val="17"/>
                <w:szCs w:val="17"/>
              </w:rPr>
              <w:t>207.528</w:t>
            </w:r>
          </w:p>
        </w:tc>
        <w:tc>
          <w:tcPr>
            <w:tcW w:w="288" w:type="pct"/>
            <w:tcBorders>
              <w:top w:val="single" w:sz="2" w:space="0" w:color="auto"/>
              <w:left w:val="nil"/>
              <w:bottom w:val="single" w:sz="4" w:space="0" w:color="auto"/>
              <w:right w:val="nil"/>
            </w:tcBorders>
            <w:shd w:val="clear" w:color="auto" w:fill="auto"/>
            <w:vAlign w:val="center"/>
            <w:hideMark/>
          </w:tcPr>
          <w:p w14:paraId="3ACA3832" w14:textId="77777777" w:rsidR="0088085F" w:rsidRPr="008D7C40" w:rsidRDefault="0088085F" w:rsidP="006F2195">
            <w:pPr>
              <w:pStyle w:val="cuatexto"/>
              <w:jc w:val="right"/>
              <w:rPr>
                <w:color w:val="000000"/>
                <w:sz w:val="17"/>
                <w:szCs w:val="17"/>
              </w:rPr>
            </w:pPr>
            <w:r>
              <w:rPr>
                <w:color w:val="000000"/>
                <w:sz w:val="17"/>
                <w:szCs w:val="17"/>
              </w:rPr>
              <w:t>1</w:t>
            </w:r>
          </w:p>
        </w:tc>
        <w:tc>
          <w:tcPr>
            <w:tcW w:w="436" w:type="pct"/>
            <w:tcBorders>
              <w:top w:val="single" w:sz="2" w:space="0" w:color="auto"/>
              <w:left w:val="nil"/>
              <w:bottom w:val="single" w:sz="4" w:space="0" w:color="auto"/>
              <w:right w:val="nil"/>
            </w:tcBorders>
            <w:shd w:val="clear" w:color="auto" w:fill="auto"/>
            <w:vAlign w:val="center"/>
            <w:hideMark/>
          </w:tcPr>
          <w:p w14:paraId="7ADAAC7A" w14:textId="77777777" w:rsidR="0088085F" w:rsidRPr="008D7C40" w:rsidRDefault="0088085F" w:rsidP="006F2195">
            <w:pPr>
              <w:pStyle w:val="cuatexto"/>
              <w:jc w:val="right"/>
              <w:rPr>
                <w:color w:val="000000"/>
                <w:sz w:val="17"/>
                <w:szCs w:val="17"/>
              </w:rPr>
            </w:pPr>
            <w:r>
              <w:rPr>
                <w:color w:val="000000"/>
                <w:sz w:val="17"/>
                <w:szCs w:val="17"/>
              </w:rPr>
              <w:t>33.333</w:t>
            </w:r>
          </w:p>
        </w:tc>
        <w:tc>
          <w:tcPr>
            <w:tcW w:w="320" w:type="pct"/>
            <w:gridSpan w:val="2"/>
            <w:tcBorders>
              <w:top w:val="single" w:sz="2" w:space="0" w:color="auto"/>
              <w:left w:val="nil"/>
              <w:bottom w:val="single" w:sz="4" w:space="0" w:color="auto"/>
              <w:right w:val="nil"/>
            </w:tcBorders>
            <w:shd w:val="clear" w:color="auto" w:fill="auto"/>
            <w:noWrap/>
            <w:vAlign w:val="center"/>
            <w:hideMark/>
          </w:tcPr>
          <w:p w14:paraId="3217CE1D" w14:textId="77777777" w:rsidR="0088085F" w:rsidRPr="008D7C40" w:rsidRDefault="0088085F" w:rsidP="006F2195">
            <w:pPr>
              <w:pStyle w:val="cuatexto"/>
              <w:jc w:val="right"/>
              <w:rPr>
                <w:color w:val="000000"/>
                <w:sz w:val="17"/>
                <w:szCs w:val="17"/>
              </w:rPr>
            </w:pPr>
            <w:r>
              <w:rPr>
                <w:color w:val="000000"/>
                <w:sz w:val="17"/>
                <w:szCs w:val="17"/>
              </w:rPr>
              <w:t> </w:t>
            </w:r>
          </w:p>
        </w:tc>
        <w:tc>
          <w:tcPr>
            <w:tcW w:w="460" w:type="pct"/>
            <w:tcBorders>
              <w:top w:val="single" w:sz="2" w:space="0" w:color="auto"/>
              <w:left w:val="nil"/>
              <w:bottom w:val="single" w:sz="4" w:space="0" w:color="auto"/>
              <w:right w:val="nil"/>
            </w:tcBorders>
            <w:shd w:val="clear" w:color="auto" w:fill="auto"/>
            <w:vAlign w:val="center"/>
            <w:hideMark/>
          </w:tcPr>
          <w:p w14:paraId="564B09DF" w14:textId="77777777" w:rsidR="0088085F" w:rsidRPr="008D7C40" w:rsidRDefault="0088085F" w:rsidP="006F2195">
            <w:pPr>
              <w:pStyle w:val="cuatexto"/>
              <w:jc w:val="right"/>
              <w:rPr>
                <w:color w:val="000000"/>
                <w:sz w:val="17"/>
                <w:szCs w:val="17"/>
              </w:rPr>
            </w:pPr>
            <w:r>
              <w:rPr>
                <w:color w:val="000000"/>
                <w:sz w:val="17"/>
                <w:szCs w:val="17"/>
              </w:rPr>
              <w:t> </w:t>
            </w:r>
          </w:p>
        </w:tc>
        <w:tc>
          <w:tcPr>
            <w:tcW w:w="355" w:type="pct"/>
            <w:gridSpan w:val="2"/>
            <w:tcBorders>
              <w:top w:val="single" w:sz="2" w:space="0" w:color="auto"/>
              <w:left w:val="nil"/>
              <w:bottom w:val="single" w:sz="4" w:space="0" w:color="auto"/>
              <w:right w:val="nil"/>
            </w:tcBorders>
            <w:shd w:val="clear" w:color="auto" w:fill="auto"/>
            <w:noWrap/>
            <w:vAlign w:val="center"/>
            <w:hideMark/>
          </w:tcPr>
          <w:p w14:paraId="17C699F7" w14:textId="77777777" w:rsidR="0088085F" w:rsidRPr="008D7C40" w:rsidRDefault="0088085F" w:rsidP="006F2195">
            <w:pPr>
              <w:pStyle w:val="cuatexto"/>
              <w:jc w:val="right"/>
              <w:rPr>
                <w:color w:val="000000"/>
                <w:sz w:val="17"/>
                <w:szCs w:val="17"/>
              </w:rPr>
            </w:pPr>
            <w:r>
              <w:rPr>
                <w:color w:val="000000"/>
                <w:sz w:val="17"/>
                <w:szCs w:val="17"/>
              </w:rPr>
              <w:t>1</w:t>
            </w:r>
          </w:p>
        </w:tc>
        <w:tc>
          <w:tcPr>
            <w:tcW w:w="465" w:type="pct"/>
            <w:tcBorders>
              <w:top w:val="single" w:sz="2" w:space="0" w:color="auto"/>
              <w:left w:val="nil"/>
              <w:bottom w:val="single" w:sz="4" w:space="0" w:color="auto"/>
              <w:right w:val="nil"/>
            </w:tcBorders>
            <w:shd w:val="clear" w:color="000000" w:fill="FFFFFF" w:themeFill="background1"/>
            <w:noWrap/>
            <w:vAlign w:val="center"/>
            <w:hideMark/>
          </w:tcPr>
          <w:p w14:paraId="390D4610" w14:textId="77777777" w:rsidR="0088085F" w:rsidRPr="008D7C40" w:rsidRDefault="0088085F" w:rsidP="006F2195">
            <w:pPr>
              <w:pStyle w:val="cuatexto"/>
              <w:jc w:val="right"/>
              <w:rPr>
                <w:color w:val="000000"/>
                <w:sz w:val="17"/>
                <w:szCs w:val="17"/>
              </w:rPr>
            </w:pPr>
            <w:r>
              <w:rPr>
                <w:color w:val="000000"/>
                <w:sz w:val="17"/>
                <w:szCs w:val="17"/>
              </w:rPr>
              <w:t>0(*)</w:t>
            </w:r>
          </w:p>
        </w:tc>
        <w:tc>
          <w:tcPr>
            <w:tcW w:w="424" w:type="pct"/>
            <w:tcBorders>
              <w:top w:val="single" w:sz="2" w:space="0" w:color="auto"/>
              <w:left w:val="nil"/>
              <w:bottom w:val="single" w:sz="4" w:space="0" w:color="auto"/>
              <w:right w:val="nil"/>
            </w:tcBorders>
            <w:shd w:val="clear" w:color="auto" w:fill="auto"/>
            <w:noWrap/>
            <w:vAlign w:val="center"/>
            <w:hideMark/>
          </w:tcPr>
          <w:p w14:paraId="4D45A988" w14:textId="77777777" w:rsidR="0088085F" w:rsidRPr="008D7C40" w:rsidRDefault="0088085F" w:rsidP="006F2195">
            <w:pPr>
              <w:pStyle w:val="cuatexto"/>
              <w:jc w:val="right"/>
              <w:rPr>
                <w:color w:val="000000"/>
                <w:sz w:val="17"/>
                <w:szCs w:val="17"/>
              </w:rPr>
            </w:pPr>
            <w:r>
              <w:rPr>
                <w:sz w:val="17"/>
                <w:szCs w:val="17"/>
              </w:rPr>
              <w:t>13</w:t>
            </w:r>
          </w:p>
        </w:tc>
        <w:tc>
          <w:tcPr>
            <w:tcW w:w="503" w:type="pct"/>
            <w:tcBorders>
              <w:top w:val="single" w:sz="2" w:space="0" w:color="auto"/>
              <w:left w:val="nil"/>
              <w:bottom w:val="single" w:sz="4" w:space="0" w:color="auto"/>
              <w:right w:val="nil"/>
            </w:tcBorders>
            <w:shd w:val="clear" w:color="auto" w:fill="auto"/>
            <w:noWrap/>
            <w:vAlign w:val="center"/>
            <w:hideMark/>
          </w:tcPr>
          <w:p w14:paraId="04859875" w14:textId="77777777" w:rsidR="0088085F" w:rsidRPr="008D7C40" w:rsidRDefault="0088085F" w:rsidP="006F2195">
            <w:pPr>
              <w:pStyle w:val="cuatexto"/>
              <w:jc w:val="right"/>
              <w:rPr>
                <w:color w:val="000000"/>
                <w:sz w:val="17"/>
                <w:szCs w:val="17"/>
              </w:rPr>
            </w:pPr>
            <w:r>
              <w:rPr>
                <w:sz w:val="17"/>
                <w:szCs w:val="17"/>
              </w:rPr>
              <w:t>240.862</w:t>
            </w:r>
          </w:p>
        </w:tc>
      </w:tr>
      <w:tr w:rsidR="006F2195" w:rsidRPr="00965C64" w14:paraId="736321A3" w14:textId="77777777" w:rsidTr="001B6540">
        <w:trPr>
          <w:trHeight w:val="300"/>
          <w:jc w:val="center"/>
        </w:trPr>
        <w:tc>
          <w:tcPr>
            <w:tcW w:w="1002" w:type="pct"/>
            <w:tcBorders>
              <w:top w:val="nil"/>
              <w:left w:val="nil"/>
              <w:bottom w:val="single" w:sz="4" w:space="0" w:color="auto"/>
              <w:right w:val="nil"/>
            </w:tcBorders>
            <w:shd w:val="clear" w:color="auto" w:fill="FABF8F" w:themeFill="accent6" w:themeFillTint="99"/>
            <w:noWrap/>
            <w:vAlign w:val="center"/>
            <w:hideMark/>
          </w:tcPr>
          <w:p w14:paraId="0773DCB7" w14:textId="77777777" w:rsidR="0088085F" w:rsidRPr="00965C64" w:rsidRDefault="0088085F" w:rsidP="00965C64">
            <w:pPr>
              <w:pStyle w:val="cuadroCabe"/>
              <w:rPr>
                <w:color w:val="000000"/>
                <w:sz w:val="16"/>
                <w:szCs w:val="16"/>
              </w:rPr>
            </w:pPr>
            <w:r>
              <w:rPr>
                <w:sz w:val="16"/>
                <w:szCs w:val="16"/>
              </w:rPr>
              <w:t>Guztizko orokorra</w:t>
            </w:r>
          </w:p>
        </w:tc>
        <w:tc>
          <w:tcPr>
            <w:tcW w:w="241" w:type="pct"/>
            <w:tcBorders>
              <w:top w:val="nil"/>
              <w:left w:val="nil"/>
              <w:bottom w:val="single" w:sz="4" w:space="0" w:color="auto"/>
              <w:right w:val="nil"/>
            </w:tcBorders>
            <w:shd w:val="clear" w:color="auto" w:fill="FABF8F" w:themeFill="accent6" w:themeFillTint="99"/>
            <w:vAlign w:val="center"/>
            <w:hideMark/>
          </w:tcPr>
          <w:p w14:paraId="02E6FFBF" w14:textId="77777777" w:rsidR="0088085F" w:rsidRPr="00965C64" w:rsidRDefault="0088085F" w:rsidP="006F2195">
            <w:pPr>
              <w:pStyle w:val="cuadroCabe"/>
              <w:jc w:val="right"/>
              <w:rPr>
                <w:color w:val="000000"/>
                <w:sz w:val="16"/>
                <w:szCs w:val="16"/>
              </w:rPr>
            </w:pPr>
            <w:r>
              <w:rPr>
                <w:color w:val="000000"/>
                <w:sz w:val="16"/>
                <w:szCs w:val="16"/>
              </w:rPr>
              <w:t>384</w:t>
            </w:r>
          </w:p>
        </w:tc>
        <w:tc>
          <w:tcPr>
            <w:tcW w:w="506" w:type="pct"/>
            <w:tcBorders>
              <w:top w:val="nil"/>
              <w:left w:val="nil"/>
              <w:bottom w:val="single" w:sz="4" w:space="0" w:color="auto"/>
              <w:right w:val="nil"/>
            </w:tcBorders>
            <w:shd w:val="clear" w:color="auto" w:fill="FABF8F" w:themeFill="accent6" w:themeFillTint="99"/>
            <w:vAlign w:val="center"/>
            <w:hideMark/>
          </w:tcPr>
          <w:p w14:paraId="72EDFCC1" w14:textId="77777777" w:rsidR="0088085F" w:rsidRPr="00965C64" w:rsidRDefault="0088085F" w:rsidP="006F2195">
            <w:pPr>
              <w:pStyle w:val="cuadroCabe"/>
              <w:jc w:val="right"/>
              <w:rPr>
                <w:color w:val="000000"/>
                <w:sz w:val="16"/>
                <w:szCs w:val="16"/>
              </w:rPr>
            </w:pPr>
            <w:r>
              <w:rPr>
                <w:color w:val="000000"/>
                <w:sz w:val="16"/>
                <w:szCs w:val="16"/>
              </w:rPr>
              <w:t>63.699.626</w:t>
            </w:r>
          </w:p>
        </w:tc>
        <w:tc>
          <w:tcPr>
            <w:tcW w:w="288" w:type="pct"/>
            <w:tcBorders>
              <w:top w:val="nil"/>
              <w:left w:val="nil"/>
              <w:bottom w:val="single" w:sz="4" w:space="0" w:color="auto"/>
              <w:right w:val="nil"/>
            </w:tcBorders>
            <w:shd w:val="clear" w:color="auto" w:fill="FABF8F" w:themeFill="accent6" w:themeFillTint="99"/>
            <w:vAlign w:val="center"/>
            <w:hideMark/>
          </w:tcPr>
          <w:p w14:paraId="2F066510" w14:textId="77777777" w:rsidR="0088085F" w:rsidRPr="00965C64" w:rsidRDefault="0088085F" w:rsidP="006F2195">
            <w:pPr>
              <w:pStyle w:val="cuadroCabe"/>
              <w:jc w:val="right"/>
              <w:rPr>
                <w:color w:val="000000"/>
                <w:sz w:val="16"/>
                <w:szCs w:val="16"/>
              </w:rPr>
            </w:pPr>
            <w:r>
              <w:rPr>
                <w:color w:val="000000"/>
                <w:sz w:val="16"/>
                <w:szCs w:val="16"/>
              </w:rPr>
              <w:t>18</w:t>
            </w:r>
          </w:p>
        </w:tc>
        <w:tc>
          <w:tcPr>
            <w:tcW w:w="436" w:type="pct"/>
            <w:tcBorders>
              <w:top w:val="nil"/>
              <w:left w:val="nil"/>
              <w:bottom w:val="single" w:sz="4" w:space="0" w:color="auto"/>
              <w:right w:val="nil"/>
            </w:tcBorders>
            <w:shd w:val="clear" w:color="auto" w:fill="FABF8F" w:themeFill="accent6" w:themeFillTint="99"/>
            <w:vAlign w:val="center"/>
            <w:hideMark/>
          </w:tcPr>
          <w:p w14:paraId="235FE56A" w14:textId="77777777" w:rsidR="0088085F" w:rsidRPr="00965C64" w:rsidRDefault="0088085F" w:rsidP="006F2195">
            <w:pPr>
              <w:pStyle w:val="cuadroCabe"/>
              <w:jc w:val="right"/>
              <w:rPr>
                <w:color w:val="000000"/>
                <w:sz w:val="16"/>
                <w:szCs w:val="16"/>
              </w:rPr>
            </w:pPr>
            <w:r>
              <w:rPr>
                <w:color w:val="000000"/>
                <w:sz w:val="16"/>
                <w:szCs w:val="16"/>
              </w:rPr>
              <w:t>1.984.925</w:t>
            </w:r>
          </w:p>
        </w:tc>
        <w:tc>
          <w:tcPr>
            <w:tcW w:w="320" w:type="pct"/>
            <w:gridSpan w:val="2"/>
            <w:tcBorders>
              <w:top w:val="nil"/>
              <w:left w:val="nil"/>
              <w:bottom w:val="single" w:sz="4" w:space="0" w:color="auto"/>
              <w:right w:val="nil"/>
            </w:tcBorders>
            <w:shd w:val="clear" w:color="auto" w:fill="FABF8F" w:themeFill="accent6" w:themeFillTint="99"/>
            <w:noWrap/>
            <w:vAlign w:val="center"/>
            <w:hideMark/>
          </w:tcPr>
          <w:p w14:paraId="30F0DBBD" w14:textId="77777777" w:rsidR="0088085F" w:rsidRPr="00965C64" w:rsidRDefault="0088085F" w:rsidP="006F2195">
            <w:pPr>
              <w:pStyle w:val="cuadroCabe"/>
              <w:jc w:val="right"/>
              <w:rPr>
                <w:color w:val="000000"/>
                <w:sz w:val="16"/>
                <w:szCs w:val="16"/>
              </w:rPr>
            </w:pPr>
            <w:r>
              <w:rPr>
                <w:sz w:val="16"/>
                <w:szCs w:val="16"/>
              </w:rPr>
              <w:t>9</w:t>
            </w:r>
          </w:p>
        </w:tc>
        <w:tc>
          <w:tcPr>
            <w:tcW w:w="460" w:type="pct"/>
            <w:tcBorders>
              <w:top w:val="nil"/>
              <w:left w:val="nil"/>
              <w:bottom w:val="single" w:sz="4" w:space="0" w:color="auto"/>
              <w:right w:val="nil"/>
            </w:tcBorders>
            <w:shd w:val="clear" w:color="auto" w:fill="FABF8F" w:themeFill="accent6" w:themeFillTint="99"/>
            <w:noWrap/>
            <w:vAlign w:val="center"/>
            <w:hideMark/>
          </w:tcPr>
          <w:p w14:paraId="232ABF66" w14:textId="77777777" w:rsidR="0088085F" w:rsidRPr="00965C64" w:rsidRDefault="0088085F" w:rsidP="006F2195">
            <w:pPr>
              <w:pStyle w:val="cuadroCabe"/>
              <w:jc w:val="right"/>
              <w:rPr>
                <w:color w:val="000000"/>
                <w:sz w:val="16"/>
                <w:szCs w:val="16"/>
              </w:rPr>
            </w:pPr>
            <w:r>
              <w:rPr>
                <w:sz w:val="16"/>
                <w:szCs w:val="16"/>
              </w:rPr>
              <w:t>1.283.959</w:t>
            </w:r>
          </w:p>
        </w:tc>
        <w:tc>
          <w:tcPr>
            <w:tcW w:w="355" w:type="pct"/>
            <w:gridSpan w:val="2"/>
            <w:tcBorders>
              <w:top w:val="nil"/>
              <w:left w:val="nil"/>
              <w:bottom w:val="single" w:sz="4" w:space="0" w:color="auto"/>
              <w:right w:val="nil"/>
            </w:tcBorders>
            <w:shd w:val="clear" w:color="auto" w:fill="FABF8F" w:themeFill="accent6" w:themeFillTint="99"/>
            <w:noWrap/>
            <w:vAlign w:val="center"/>
            <w:hideMark/>
          </w:tcPr>
          <w:p w14:paraId="39FD6873" w14:textId="77777777" w:rsidR="0088085F" w:rsidRPr="00965C64" w:rsidRDefault="0088085F" w:rsidP="006F2195">
            <w:pPr>
              <w:pStyle w:val="cuadroCabe"/>
              <w:jc w:val="right"/>
              <w:rPr>
                <w:color w:val="000000"/>
                <w:sz w:val="16"/>
                <w:szCs w:val="16"/>
              </w:rPr>
            </w:pPr>
            <w:r>
              <w:rPr>
                <w:color w:val="000000"/>
                <w:sz w:val="16"/>
                <w:szCs w:val="16"/>
              </w:rPr>
              <w:t>30</w:t>
            </w:r>
          </w:p>
        </w:tc>
        <w:tc>
          <w:tcPr>
            <w:tcW w:w="465" w:type="pct"/>
            <w:tcBorders>
              <w:top w:val="nil"/>
              <w:left w:val="nil"/>
              <w:bottom w:val="single" w:sz="4" w:space="0" w:color="auto"/>
              <w:right w:val="nil"/>
            </w:tcBorders>
            <w:shd w:val="clear" w:color="auto" w:fill="FABF8F" w:themeFill="accent6" w:themeFillTint="99"/>
            <w:noWrap/>
            <w:vAlign w:val="center"/>
            <w:hideMark/>
          </w:tcPr>
          <w:p w14:paraId="499CC6B0" w14:textId="77777777" w:rsidR="0088085F" w:rsidRPr="00965C64" w:rsidRDefault="0088085F" w:rsidP="006F2195">
            <w:pPr>
              <w:pStyle w:val="cuadroCabe"/>
              <w:jc w:val="right"/>
              <w:rPr>
                <w:color w:val="000000"/>
                <w:sz w:val="16"/>
                <w:szCs w:val="16"/>
              </w:rPr>
            </w:pPr>
            <w:r>
              <w:rPr>
                <w:color w:val="000000"/>
                <w:sz w:val="16"/>
                <w:szCs w:val="16"/>
              </w:rPr>
              <w:t>6.862.748</w:t>
            </w:r>
          </w:p>
        </w:tc>
        <w:tc>
          <w:tcPr>
            <w:tcW w:w="424" w:type="pct"/>
            <w:tcBorders>
              <w:top w:val="nil"/>
              <w:left w:val="nil"/>
              <w:bottom w:val="single" w:sz="4" w:space="0" w:color="auto"/>
              <w:right w:val="nil"/>
            </w:tcBorders>
            <w:shd w:val="clear" w:color="auto" w:fill="FABF8F" w:themeFill="accent6" w:themeFillTint="99"/>
            <w:noWrap/>
            <w:vAlign w:val="center"/>
            <w:hideMark/>
          </w:tcPr>
          <w:p w14:paraId="1E7F2FA5" w14:textId="77777777" w:rsidR="0088085F" w:rsidRPr="00965C64" w:rsidRDefault="0088085F" w:rsidP="006F2195">
            <w:pPr>
              <w:pStyle w:val="cuadroCabe"/>
              <w:jc w:val="right"/>
              <w:rPr>
                <w:color w:val="000000"/>
                <w:sz w:val="16"/>
                <w:szCs w:val="16"/>
              </w:rPr>
            </w:pPr>
            <w:r>
              <w:rPr>
                <w:sz w:val="16"/>
                <w:szCs w:val="16"/>
              </w:rPr>
              <w:t>441</w:t>
            </w:r>
          </w:p>
        </w:tc>
        <w:tc>
          <w:tcPr>
            <w:tcW w:w="503" w:type="pct"/>
            <w:tcBorders>
              <w:top w:val="nil"/>
              <w:left w:val="nil"/>
              <w:bottom w:val="single" w:sz="4" w:space="0" w:color="auto"/>
              <w:right w:val="nil"/>
            </w:tcBorders>
            <w:shd w:val="clear" w:color="auto" w:fill="FABF8F" w:themeFill="accent6" w:themeFillTint="99"/>
            <w:noWrap/>
            <w:vAlign w:val="center"/>
            <w:hideMark/>
          </w:tcPr>
          <w:p w14:paraId="1053A164" w14:textId="77777777" w:rsidR="0088085F" w:rsidRPr="00965C64" w:rsidRDefault="0088085F" w:rsidP="006F2195">
            <w:pPr>
              <w:pStyle w:val="cuadroCabe"/>
              <w:jc w:val="right"/>
              <w:rPr>
                <w:color w:val="000000"/>
                <w:sz w:val="16"/>
                <w:szCs w:val="16"/>
              </w:rPr>
            </w:pPr>
            <w:r>
              <w:rPr>
                <w:sz w:val="16"/>
                <w:szCs w:val="16"/>
              </w:rPr>
              <w:t>73.831.258</w:t>
            </w:r>
          </w:p>
        </w:tc>
      </w:tr>
    </w:tbl>
    <w:p w14:paraId="3D0E5FC7" w14:textId="77777777" w:rsidR="0088085F" w:rsidRPr="0095705D" w:rsidRDefault="0088085F" w:rsidP="00965C64">
      <w:pPr>
        <w:pStyle w:val="texto"/>
        <w:spacing w:before="80" w:after="40"/>
        <w:ind w:firstLine="0"/>
        <w:rPr>
          <w:rFonts w:ascii="Arial" w:hAnsi="Arial" w:cs="Arial"/>
          <w:color w:val="000000" w:themeColor="text1"/>
          <w:w w:val="103"/>
          <w:sz w:val="16"/>
          <w:szCs w:val="16"/>
        </w:rPr>
      </w:pPr>
      <w:r>
        <w:rPr>
          <w:rFonts w:ascii="Arial" w:hAnsi="Arial"/>
          <w:color w:val="000000" w:themeColor="text1"/>
          <w:sz w:val="16"/>
          <w:szCs w:val="16"/>
        </w:rPr>
        <w:t xml:space="preserve">(*) Adjudikazioko zenbatekoa zero da, adjudikaziodunak erabiltzailearengandik zuzenean jasotzen duelako zerbitzuaren prezioa. </w:t>
      </w:r>
    </w:p>
    <w:p w14:paraId="6B7D2EFB" w14:textId="77777777" w:rsidR="0088085F" w:rsidRPr="00262228" w:rsidRDefault="0088085F" w:rsidP="00227824">
      <w:pPr>
        <w:pStyle w:val="texto"/>
        <w:spacing w:before="180"/>
      </w:pPr>
      <w:r>
        <w:t>2019an, toki entitateek 441 kontratu adjudikatu zituzten, guztira 73,83 milioitan. Zenbateko hori 2018an adjudikatutakoa baino ehuneko bederatzi txikiagoa da. Kontratuen ehuneko 57 obrei dagozkie, eta adjudikatutako guztizko zenbatekoaren ehuneko 68 egiten dute. Zerbitzu kontratuak kontratu guztien artean ehuneko 29 dira, nahiz eta haien zenbatekoak zenbateko osoaren aldean ehuneko 24 egiten duen.</w:t>
      </w:r>
    </w:p>
    <w:p w14:paraId="3C803D48" w14:textId="77777777" w:rsidR="0088085F" w:rsidRPr="00262228" w:rsidRDefault="0088085F" w:rsidP="0088085F">
      <w:pPr>
        <w:pStyle w:val="texto"/>
      </w:pPr>
      <w:r>
        <w:t>Kontratu guztietatik ehuneko 87 udalek adjudikatu zituzten eta ehuneko zazpi mankomunitateek, baina zenbatekoari dagokionez ehuneko 86 eta ehuneko bederatzi egiten dute, hurrenez hurren.</w:t>
      </w:r>
    </w:p>
    <w:p w14:paraId="1EBBD4CA" w14:textId="77777777" w:rsidR="0088085F" w:rsidRPr="00262228" w:rsidRDefault="0088085F" w:rsidP="0095705D">
      <w:pPr>
        <w:pStyle w:val="texto"/>
        <w:spacing w:after="240"/>
      </w:pPr>
      <w:r>
        <w:t xml:space="preserve">2019an, toki entitateen menpekoak diren </w:t>
      </w:r>
      <w:proofErr w:type="spellStart"/>
      <w:r>
        <w:t>enteek</w:t>
      </w:r>
      <w:proofErr w:type="spellEnd"/>
      <w:r>
        <w:t xml:space="preserve"> honako kontratu hauek adjudikatu zituzten:</w:t>
      </w:r>
    </w:p>
    <w:tbl>
      <w:tblPr>
        <w:tblW w:w="4993" w:type="pct"/>
        <w:jc w:val="center"/>
        <w:tblLayout w:type="fixed"/>
        <w:tblCellMar>
          <w:left w:w="70" w:type="dxa"/>
          <w:right w:w="70" w:type="dxa"/>
        </w:tblCellMar>
        <w:tblLook w:val="04A0" w:firstRow="1" w:lastRow="0" w:firstColumn="1" w:lastColumn="0" w:noHBand="0" w:noVBand="1"/>
      </w:tblPr>
      <w:tblGrid>
        <w:gridCol w:w="1876"/>
        <w:gridCol w:w="840"/>
        <w:gridCol w:w="1060"/>
        <w:gridCol w:w="190"/>
        <w:gridCol w:w="627"/>
        <w:gridCol w:w="1050"/>
        <w:gridCol w:w="149"/>
        <w:gridCol w:w="448"/>
        <w:gridCol w:w="874"/>
        <w:gridCol w:w="35"/>
        <w:gridCol w:w="620"/>
        <w:gridCol w:w="1008"/>
      </w:tblGrid>
      <w:tr w:rsidR="00A54021" w:rsidRPr="009361CC" w14:paraId="77A24D5C" w14:textId="77777777" w:rsidTr="00451107">
        <w:trPr>
          <w:trHeight w:val="227"/>
          <w:jc w:val="center"/>
        </w:trPr>
        <w:tc>
          <w:tcPr>
            <w:tcW w:w="1069" w:type="pct"/>
            <w:vMerge w:val="restart"/>
            <w:tcBorders>
              <w:top w:val="single" w:sz="4" w:space="0" w:color="auto"/>
              <w:left w:val="nil"/>
              <w:right w:val="nil"/>
            </w:tcBorders>
            <w:shd w:val="clear" w:color="auto" w:fill="FABF8F" w:themeFill="accent6" w:themeFillTint="99"/>
            <w:noWrap/>
            <w:vAlign w:val="center"/>
          </w:tcPr>
          <w:p w14:paraId="26DF16DC" w14:textId="77777777" w:rsidR="00A54021" w:rsidRPr="009361CC" w:rsidRDefault="00A54021" w:rsidP="009361CC">
            <w:pPr>
              <w:pStyle w:val="cuadroCabe"/>
              <w:rPr>
                <w:sz w:val="16"/>
                <w:szCs w:val="16"/>
              </w:rPr>
            </w:pPr>
            <w:r>
              <w:rPr>
                <w:sz w:val="16"/>
                <w:szCs w:val="16"/>
              </w:rPr>
              <w:t>Kontratu mota</w:t>
            </w:r>
          </w:p>
        </w:tc>
        <w:tc>
          <w:tcPr>
            <w:tcW w:w="1191" w:type="pct"/>
            <w:gridSpan w:val="3"/>
            <w:tcBorders>
              <w:top w:val="single" w:sz="4" w:space="0" w:color="auto"/>
              <w:left w:val="nil"/>
              <w:bottom w:val="single" w:sz="2" w:space="0" w:color="auto"/>
              <w:right w:val="nil"/>
            </w:tcBorders>
            <w:shd w:val="clear" w:color="auto" w:fill="FABF8F" w:themeFill="accent6" w:themeFillTint="99"/>
            <w:vAlign w:val="center"/>
          </w:tcPr>
          <w:p w14:paraId="577CC8B7" w14:textId="77777777" w:rsidR="00A54021" w:rsidRPr="009361CC" w:rsidRDefault="00203A6F" w:rsidP="00E63EE0">
            <w:pPr>
              <w:pStyle w:val="cuadroCabe"/>
              <w:jc w:val="right"/>
              <w:rPr>
                <w:sz w:val="16"/>
                <w:szCs w:val="16"/>
              </w:rPr>
            </w:pPr>
            <w:r>
              <w:rPr>
                <w:sz w:val="16"/>
                <w:szCs w:val="16"/>
              </w:rPr>
              <w:t xml:space="preserve"> Erakunde autonomoak</w:t>
            </w:r>
          </w:p>
        </w:tc>
        <w:tc>
          <w:tcPr>
            <w:tcW w:w="1040" w:type="pct"/>
            <w:gridSpan w:val="3"/>
            <w:tcBorders>
              <w:top w:val="single" w:sz="4" w:space="0" w:color="auto"/>
              <w:left w:val="nil"/>
              <w:bottom w:val="single" w:sz="2" w:space="0" w:color="auto"/>
              <w:right w:val="nil"/>
            </w:tcBorders>
            <w:shd w:val="clear" w:color="auto" w:fill="FABF8F" w:themeFill="accent6" w:themeFillTint="99"/>
            <w:vAlign w:val="center"/>
          </w:tcPr>
          <w:p w14:paraId="692D09AB" w14:textId="77777777" w:rsidR="00A54021" w:rsidRPr="009361CC" w:rsidRDefault="000B0250" w:rsidP="00E63EE0">
            <w:pPr>
              <w:pStyle w:val="cuadroCabe"/>
              <w:jc w:val="right"/>
              <w:rPr>
                <w:sz w:val="16"/>
                <w:szCs w:val="16"/>
              </w:rPr>
            </w:pPr>
            <w:r>
              <w:rPr>
                <w:sz w:val="16"/>
                <w:szCs w:val="16"/>
              </w:rPr>
              <w:t xml:space="preserve">  Sozietate publikoak</w:t>
            </w:r>
          </w:p>
        </w:tc>
        <w:tc>
          <w:tcPr>
            <w:tcW w:w="753" w:type="pct"/>
            <w:gridSpan w:val="2"/>
            <w:tcBorders>
              <w:top w:val="single" w:sz="4" w:space="0" w:color="auto"/>
              <w:left w:val="nil"/>
              <w:bottom w:val="single" w:sz="2" w:space="0" w:color="auto"/>
              <w:right w:val="nil"/>
            </w:tcBorders>
            <w:shd w:val="clear" w:color="auto" w:fill="FABF8F" w:themeFill="accent6" w:themeFillTint="99"/>
            <w:vAlign w:val="center"/>
          </w:tcPr>
          <w:p w14:paraId="7FD8C241" w14:textId="77777777" w:rsidR="00A54021" w:rsidRPr="009361CC" w:rsidRDefault="00451107" w:rsidP="00451107">
            <w:pPr>
              <w:pStyle w:val="cuadroCabe"/>
              <w:jc w:val="center"/>
              <w:rPr>
                <w:sz w:val="16"/>
                <w:szCs w:val="16"/>
              </w:rPr>
            </w:pPr>
            <w:r>
              <w:rPr>
                <w:sz w:val="16"/>
                <w:szCs w:val="16"/>
              </w:rPr>
              <w:t xml:space="preserve">    Partzuergoak</w:t>
            </w:r>
          </w:p>
        </w:tc>
        <w:tc>
          <w:tcPr>
            <w:tcW w:w="947" w:type="pct"/>
            <w:gridSpan w:val="3"/>
            <w:tcBorders>
              <w:top w:val="single" w:sz="4" w:space="0" w:color="auto"/>
              <w:left w:val="nil"/>
              <w:bottom w:val="single" w:sz="2" w:space="0" w:color="auto"/>
              <w:right w:val="nil"/>
            </w:tcBorders>
            <w:shd w:val="clear" w:color="auto" w:fill="FABF8F" w:themeFill="accent6" w:themeFillTint="99"/>
            <w:noWrap/>
            <w:vAlign w:val="center"/>
          </w:tcPr>
          <w:p w14:paraId="39A12F59" w14:textId="77777777" w:rsidR="00A54021" w:rsidRPr="009361CC" w:rsidRDefault="007B097F" w:rsidP="00451107">
            <w:pPr>
              <w:pStyle w:val="cuadroCabe"/>
              <w:jc w:val="center"/>
              <w:rPr>
                <w:sz w:val="16"/>
                <w:szCs w:val="16"/>
              </w:rPr>
            </w:pPr>
            <w:r>
              <w:rPr>
                <w:sz w:val="16"/>
                <w:szCs w:val="16"/>
              </w:rPr>
              <w:t xml:space="preserve">   Guztira</w:t>
            </w:r>
          </w:p>
        </w:tc>
      </w:tr>
      <w:tr w:rsidR="00A54021" w:rsidRPr="009361CC" w14:paraId="4E14B050" w14:textId="77777777" w:rsidTr="00D809C2">
        <w:trPr>
          <w:trHeight w:val="227"/>
          <w:jc w:val="center"/>
        </w:trPr>
        <w:tc>
          <w:tcPr>
            <w:tcW w:w="1069" w:type="pct"/>
            <w:vMerge/>
            <w:tcBorders>
              <w:left w:val="nil"/>
              <w:bottom w:val="single" w:sz="2" w:space="0" w:color="auto"/>
              <w:right w:val="nil"/>
            </w:tcBorders>
            <w:shd w:val="clear" w:color="auto" w:fill="FABF8F" w:themeFill="accent6" w:themeFillTint="99"/>
            <w:noWrap/>
            <w:vAlign w:val="center"/>
          </w:tcPr>
          <w:p w14:paraId="287EAF12" w14:textId="77777777" w:rsidR="00A54021" w:rsidRPr="009361CC" w:rsidRDefault="00A54021" w:rsidP="009361CC">
            <w:pPr>
              <w:pStyle w:val="cuadroCabe"/>
              <w:rPr>
                <w:sz w:val="16"/>
                <w:szCs w:val="16"/>
                <w:lang w:val="es-ES" w:eastAsia="es-ES"/>
              </w:rPr>
            </w:pPr>
          </w:p>
        </w:tc>
        <w:tc>
          <w:tcPr>
            <w:tcW w:w="479" w:type="pct"/>
            <w:tcBorders>
              <w:top w:val="single" w:sz="2" w:space="0" w:color="auto"/>
              <w:left w:val="nil"/>
              <w:bottom w:val="single" w:sz="4" w:space="0" w:color="auto"/>
              <w:right w:val="nil"/>
            </w:tcBorders>
            <w:shd w:val="clear" w:color="auto" w:fill="FABF8F" w:themeFill="accent6" w:themeFillTint="99"/>
            <w:vAlign w:val="center"/>
          </w:tcPr>
          <w:p w14:paraId="1F0F07B4" w14:textId="77777777" w:rsidR="00A54021" w:rsidRPr="009361CC" w:rsidRDefault="00A54021" w:rsidP="00E63EE0">
            <w:pPr>
              <w:pStyle w:val="cuadroCabe"/>
              <w:jc w:val="right"/>
              <w:rPr>
                <w:sz w:val="16"/>
                <w:szCs w:val="16"/>
              </w:rPr>
            </w:pPr>
            <w:r>
              <w:rPr>
                <w:sz w:val="16"/>
                <w:szCs w:val="16"/>
              </w:rPr>
              <w:t xml:space="preserve">       Kop.</w:t>
            </w:r>
          </w:p>
        </w:tc>
        <w:tc>
          <w:tcPr>
            <w:tcW w:w="604" w:type="pct"/>
            <w:tcBorders>
              <w:top w:val="single" w:sz="2" w:space="0" w:color="auto"/>
              <w:left w:val="nil"/>
              <w:bottom w:val="single" w:sz="4" w:space="0" w:color="auto"/>
              <w:right w:val="nil"/>
            </w:tcBorders>
            <w:shd w:val="clear" w:color="auto" w:fill="FABF8F" w:themeFill="accent6" w:themeFillTint="99"/>
            <w:vAlign w:val="center"/>
          </w:tcPr>
          <w:p w14:paraId="1EA746C8" w14:textId="77777777" w:rsidR="00A54021" w:rsidRPr="009361CC" w:rsidRDefault="00A54021" w:rsidP="00451107">
            <w:pPr>
              <w:pStyle w:val="cuadroCabe"/>
              <w:ind w:right="92"/>
              <w:jc w:val="right"/>
              <w:rPr>
                <w:sz w:val="16"/>
                <w:szCs w:val="16"/>
              </w:rPr>
            </w:pPr>
            <w:r>
              <w:rPr>
                <w:sz w:val="16"/>
                <w:szCs w:val="16"/>
              </w:rPr>
              <w:t xml:space="preserve"> Zenbatekoa</w:t>
            </w:r>
          </w:p>
        </w:tc>
        <w:tc>
          <w:tcPr>
            <w:tcW w:w="465" w:type="pct"/>
            <w:gridSpan w:val="2"/>
            <w:tcBorders>
              <w:top w:val="single" w:sz="2" w:space="0" w:color="auto"/>
              <w:left w:val="nil"/>
              <w:bottom w:val="single" w:sz="4" w:space="0" w:color="auto"/>
              <w:right w:val="nil"/>
            </w:tcBorders>
            <w:shd w:val="clear" w:color="auto" w:fill="FABF8F" w:themeFill="accent6" w:themeFillTint="99"/>
            <w:vAlign w:val="center"/>
          </w:tcPr>
          <w:p w14:paraId="12531796" w14:textId="77777777" w:rsidR="00A54021" w:rsidRPr="009361CC" w:rsidRDefault="00A54021" w:rsidP="00E63EE0">
            <w:pPr>
              <w:pStyle w:val="cuadroCabe"/>
              <w:jc w:val="right"/>
              <w:rPr>
                <w:sz w:val="16"/>
                <w:szCs w:val="16"/>
              </w:rPr>
            </w:pPr>
            <w:r>
              <w:rPr>
                <w:sz w:val="16"/>
                <w:szCs w:val="16"/>
              </w:rPr>
              <w:t xml:space="preserve">      Kop.</w:t>
            </w:r>
          </w:p>
        </w:tc>
        <w:tc>
          <w:tcPr>
            <w:tcW w:w="598" w:type="pct"/>
            <w:tcBorders>
              <w:top w:val="single" w:sz="2" w:space="0" w:color="auto"/>
              <w:left w:val="nil"/>
              <w:bottom w:val="single" w:sz="4" w:space="0" w:color="auto"/>
              <w:right w:val="nil"/>
            </w:tcBorders>
            <w:shd w:val="clear" w:color="auto" w:fill="FABF8F" w:themeFill="accent6" w:themeFillTint="99"/>
            <w:vAlign w:val="center"/>
          </w:tcPr>
          <w:p w14:paraId="18BCA06C" w14:textId="77777777" w:rsidR="00A54021" w:rsidRPr="009361CC" w:rsidRDefault="000B0250" w:rsidP="00E63EE0">
            <w:pPr>
              <w:pStyle w:val="cuadroCabe"/>
              <w:jc w:val="right"/>
              <w:rPr>
                <w:sz w:val="16"/>
                <w:szCs w:val="16"/>
              </w:rPr>
            </w:pPr>
            <w:r>
              <w:rPr>
                <w:sz w:val="16"/>
                <w:szCs w:val="16"/>
              </w:rPr>
              <w:t xml:space="preserve">    Zenbatekoa</w:t>
            </w:r>
          </w:p>
        </w:tc>
        <w:tc>
          <w:tcPr>
            <w:tcW w:w="340" w:type="pct"/>
            <w:gridSpan w:val="2"/>
            <w:tcBorders>
              <w:top w:val="single" w:sz="2" w:space="0" w:color="auto"/>
              <w:left w:val="nil"/>
              <w:bottom w:val="single" w:sz="4" w:space="0" w:color="auto"/>
              <w:right w:val="nil"/>
            </w:tcBorders>
            <w:shd w:val="clear" w:color="auto" w:fill="FABF8F" w:themeFill="accent6" w:themeFillTint="99"/>
            <w:vAlign w:val="center"/>
          </w:tcPr>
          <w:p w14:paraId="17631B4A" w14:textId="77777777" w:rsidR="00A54021" w:rsidRPr="009361CC" w:rsidRDefault="00A54021" w:rsidP="00E63EE0">
            <w:pPr>
              <w:pStyle w:val="cuadroCabe"/>
              <w:jc w:val="right"/>
              <w:rPr>
                <w:sz w:val="16"/>
                <w:szCs w:val="16"/>
              </w:rPr>
            </w:pPr>
            <w:r>
              <w:rPr>
                <w:sz w:val="16"/>
                <w:szCs w:val="16"/>
              </w:rPr>
              <w:t xml:space="preserve">    Kop.</w:t>
            </w:r>
          </w:p>
        </w:tc>
        <w:tc>
          <w:tcPr>
            <w:tcW w:w="518" w:type="pct"/>
            <w:gridSpan w:val="2"/>
            <w:tcBorders>
              <w:top w:val="single" w:sz="2" w:space="0" w:color="auto"/>
              <w:left w:val="nil"/>
              <w:bottom w:val="single" w:sz="4" w:space="0" w:color="auto"/>
              <w:right w:val="nil"/>
            </w:tcBorders>
            <w:shd w:val="clear" w:color="auto" w:fill="FABF8F" w:themeFill="accent6" w:themeFillTint="99"/>
            <w:vAlign w:val="center"/>
          </w:tcPr>
          <w:p w14:paraId="501AA75F" w14:textId="77777777" w:rsidR="00A54021" w:rsidRPr="009361CC" w:rsidRDefault="000B0250" w:rsidP="00E63EE0">
            <w:pPr>
              <w:pStyle w:val="cuadroCabe"/>
              <w:jc w:val="right"/>
              <w:rPr>
                <w:sz w:val="16"/>
                <w:szCs w:val="16"/>
              </w:rPr>
            </w:pPr>
            <w:r>
              <w:rPr>
                <w:sz w:val="16"/>
                <w:szCs w:val="16"/>
              </w:rPr>
              <w:t xml:space="preserve"> Zenbatekoa</w:t>
            </w:r>
          </w:p>
        </w:tc>
        <w:tc>
          <w:tcPr>
            <w:tcW w:w="353" w:type="pct"/>
            <w:tcBorders>
              <w:top w:val="single" w:sz="2" w:space="0" w:color="auto"/>
              <w:left w:val="nil"/>
              <w:bottom w:val="single" w:sz="4" w:space="0" w:color="auto"/>
              <w:right w:val="nil"/>
            </w:tcBorders>
            <w:shd w:val="clear" w:color="auto" w:fill="FABF8F" w:themeFill="accent6" w:themeFillTint="99"/>
            <w:noWrap/>
            <w:vAlign w:val="center"/>
          </w:tcPr>
          <w:p w14:paraId="2993B7E9" w14:textId="77777777" w:rsidR="00A54021" w:rsidRPr="009361CC" w:rsidRDefault="000B0250" w:rsidP="00E63EE0">
            <w:pPr>
              <w:pStyle w:val="cuadroCabe"/>
              <w:jc w:val="right"/>
              <w:rPr>
                <w:sz w:val="16"/>
                <w:szCs w:val="16"/>
              </w:rPr>
            </w:pPr>
            <w:r>
              <w:rPr>
                <w:sz w:val="16"/>
                <w:szCs w:val="16"/>
              </w:rPr>
              <w:t xml:space="preserve">     Kop.</w:t>
            </w:r>
          </w:p>
        </w:tc>
        <w:tc>
          <w:tcPr>
            <w:tcW w:w="574" w:type="pct"/>
            <w:tcBorders>
              <w:top w:val="single" w:sz="2" w:space="0" w:color="auto"/>
              <w:left w:val="nil"/>
              <w:bottom w:val="single" w:sz="4" w:space="0" w:color="auto"/>
              <w:right w:val="nil"/>
            </w:tcBorders>
            <w:shd w:val="clear" w:color="auto" w:fill="FABF8F" w:themeFill="accent6" w:themeFillTint="99"/>
            <w:noWrap/>
            <w:vAlign w:val="center"/>
          </w:tcPr>
          <w:p w14:paraId="23033BAA" w14:textId="77777777" w:rsidR="00A54021" w:rsidRPr="009361CC" w:rsidRDefault="00A54021" w:rsidP="00E63EE0">
            <w:pPr>
              <w:pStyle w:val="cuadroCabe"/>
              <w:jc w:val="right"/>
              <w:rPr>
                <w:sz w:val="16"/>
                <w:szCs w:val="16"/>
              </w:rPr>
            </w:pPr>
            <w:r>
              <w:rPr>
                <w:sz w:val="16"/>
                <w:szCs w:val="16"/>
              </w:rPr>
              <w:t>Zenbatekoa</w:t>
            </w:r>
          </w:p>
        </w:tc>
      </w:tr>
      <w:tr w:rsidR="00195193" w:rsidRPr="0000793A" w14:paraId="55410D45" w14:textId="77777777" w:rsidTr="00D809C2">
        <w:trPr>
          <w:trHeight w:val="227"/>
          <w:jc w:val="center"/>
        </w:trPr>
        <w:tc>
          <w:tcPr>
            <w:tcW w:w="1069" w:type="pct"/>
            <w:tcBorders>
              <w:top w:val="single" w:sz="4" w:space="0" w:color="auto"/>
              <w:left w:val="nil"/>
              <w:bottom w:val="single" w:sz="2" w:space="0" w:color="auto"/>
              <w:right w:val="nil"/>
            </w:tcBorders>
            <w:shd w:val="clear" w:color="auto" w:fill="auto"/>
            <w:noWrap/>
            <w:vAlign w:val="center"/>
            <w:hideMark/>
          </w:tcPr>
          <w:p w14:paraId="0ABCD8D0" w14:textId="77777777" w:rsidR="0088085F" w:rsidRPr="0000793A" w:rsidRDefault="0088085F" w:rsidP="0095705D">
            <w:pPr>
              <w:pStyle w:val="cuatexto"/>
              <w:jc w:val="left"/>
              <w:rPr>
                <w:sz w:val="17"/>
                <w:szCs w:val="17"/>
              </w:rPr>
            </w:pPr>
            <w:r>
              <w:rPr>
                <w:sz w:val="17"/>
                <w:szCs w:val="17"/>
              </w:rPr>
              <w:t>Obrak</w:t>
            </w:r>
          </w:p>
        </w:tc>
        <w:tc>
          <w:tcPr>
            <w:tcW w:w="479" w:type="pct"/>
            <w:tcBorders>
              <w:top w:val="single" w:sz="4" w:space="0" w:color="auto"/>
              <w:left w:val="nil"/>
              <w:bottom w:val="single" w:sz="2" w:space="0" w:color="auto"/>
              <w:right w:val="nil"/>
            </w:tcBorders>
            <w:shd w:val="clear" w:color="auto" w:fill="auto"/>
            <w:vAlign w:val="center"/>
            <w:hideMark/>
          </w:tcPr>
          <w:p w14:paraId="09D65EAF" w14:textId="77777777" w:rsidR="0088085F" w:rsidRPr="0000793A" w:rsidRDefault="0088085F" w:rsidP="00E63EE0">
            <w:pPr>
              <w:pStyle w:val="cuatexto"/>
              <w:jc w:val="right"/>
              <w:rPr>
                <w:sz w:val="17"/>
                <w:szCs w:val="17"/>
              </w:rPr>
            </w:pPr>
            <w:r>
              <w:rPr>
                <w:sz w:val="17"/>
                <w:szCs w:val="17"/>
              </w:rPr>
              <w:t>1</w:t>
            </w:r>
          </w:p>
        </w:tc>
        <w:tc>
          <w:tcPr>
            <w:tcW w:w="604" w:type="pct"/>
            <w:tcBorders>
              <w:top w:val="single" w:sz="4" w:space="0" w:color="auto"/>
              <w:left w:val="nil"/>
              <w:bottom w:val="single" w:sz="2" w:space="0" w:color="auto"/>
              <w:right w:val="nil"/>
            </w:tcBorders>
            <w:shd w:val="clear" w:color="auto" w:fill="auto"/>
            <w:vAlign w:val="center"/>
            <w:hideMark/>
          </w:tcPr>
          <w:p w14:paraId="7FFB1F1C" w14:textId="77777777" w:rsidR="0088085F" w:rsidRPr="0000793A" w:rsidRDefault="0088085F" w:rsidP="00451107">
            <w:pPr>
              <w:pStyle w:val="cuatexto"/>
              <w:ind w:right="92"/>
              <w:jc w:val="right"/>
              <w:rPr>
                <w:sz w:val="17"/>
                <w:szCs w:val="17"/>
              </w:rPr>
            </w:pPr>
            <w:r>
              <w:rPr>
                <w:sz w:val="17"/>
                <w:szCs w:val="17"/>
              </w:rPr>
              <w:t>234.837</w:t>
            </w:r>
          </w:p>
        </w:tc>
        <w:tc>
          <w:tcPr>
            <w:tcW w:w="465" w:type="pct"/>
            <w:gridSpan w:val="2"/>
            <w:tcBorders>
              <w:top w:val="single" w:sz="4" w:space="0" w:color="auto"/>
              <w:left w:val="nil"/>
              <w:bottom w:val="single" w:sz="2" w:space="0" w:color="auto"/>
              <w:right w:val="nil"/>
            </w:tcBorders>
            <w:shd w:val="clear" w:color="auto" w:fill="auto"/>
            <w:vAlign w:val="center"/>
            <w:hideMark/>
          </w:tcPr>
          <w:p w14:paraId="5FE57692" w14:textId="77777777" w:rsidR="0088085F" w:rsidRPr="0000793A" w:rsidRDefault="00A54021" w:rsidP="00E63EE0">
            <w:pPr>
              <w:pStyle w:val="cuatexto"/>
              <w:jc w:val="right"/>
              <w:rPr>
                <w:sz w:val="17"/>
                <w:szCs w:val="17"/>
              </w:rPr>
            </w:pPr>
            <w:r>
              <w:rPr>
                <w:sz w:val="17"/>
                <w:szCs w:val="17"/>
              </w:rPr>
              <w:t xml:space="preserve">   14</w:t>
            </w:r>
          </w:p>
        </w:tc>
        <w:tc>
          <w:tcPr>
            <w:tcW w:w="598" w:type="pct"/>
            <w:tcBorders>
              <w:top w:val="single" w:sz="4" w:space="0" w:color="auto"/>
              <w:left w:val="nil"/>
              <w:bottom w:val="single" w:sz="2" w:space="0" w:color="auto"/>
              <w:right w:val="nil"/>
            </w:tcBorders>
            <w:shd w:val="clear" w:color="auto" w:fill="auto"/>
            <w:vAlign w:val="center"/>
            <w:hideMark/>
          </w:tcPr>
          <w:p w14:paraId="0102B38F" w14:textId="77777777" w:rsidR="0088085F" w:rsidRPr="0000793A" w:rsidRDefault="0088085F" w:rsidP="00E63EE0">
            <w:pPr>
              <w:pStyle w:val="cuatexto"/>
              <w:jc w:val="right"/>
              <w:rPr>
                <w:sz w:val="17"/>
                <w:szCs w:val="17"/>
              </w:rPr>
            </w:pPr>
            <w:r>
              <w:rPr>
                <w:sz w:val="17"/>
                <w:szCs w:val="17"/>
              </w:rPr>
              <w:t>17.537.133</w:t>
            </w:r>
          </w:p>
        </w:tc>
        <w:tc>
          <w:tcPr>
            <w:tcW w:w="340" w:type="pct"/>
            <w:gridSpan w:val="2"/>
            <w:tcBorders>
              <w:top w:val="single" w:sz="4" w:space="0" w:color="auto"/>
              <w:left w:val="nil"/>
              <w:bottom w:val="single" w:sz="2" w:space="0" w:color="auto"/>
              <w:right w:val="nil"/>
            </w:tcBorders>
            <w:shd w:val="clear" w:color="auto" w:fill="auto"/>
            <w:vAlign w:val="center"/>
            <w:hideMark/>
          </w:tcPr>
          <w:p w14:paraId="5FAF135E" w14:textId="77777777" w:rsidR="0088085F" w:rsidRPr="0000793A" w:rsidRDefault="0088085F" w:rsidP="00E63EE0">
            <w:pPr>
              <w:pStyle w:val="cuatexto"/>
              <w:jc w:val="right"/>
              <w:rPr>
                <w:sz w:val="17"/>
                <w:szCs w:val="17"/>
              </w:rPr>
            </w:pPr>
            <w:r>
              <w:rPr>
                <w:sz w:val="17"/>
                <w:szCs w:val="17"/>
              </w:rPr>
              <w:t> </w:t>
            </w:r>
          </w:p>
        </w:tc>
        <w:tc>
          <w:tcPr>
            <w:tcW w:w="518" w:type="pct"/>
            <w:gridSpan w:val="2"/>
            <w:tcBorders>
              <w:top w:val="single" w:sz="4" w:space="0" w:color="auto"/>
              <w:left w:val="nil"/>
              <w:bottom w:val="single" w:sz="2" w:space="0" w:color="auto"/>
              <w:right w:val="nil"/>
            </w:tcBorders>
            <w:shd w:val="clear" w:color="auto" w:fill="auto"/>
            <w:vAlign w:val="center"/>
            <w:hideMark/>
          </w:tcPr>
          <w:p w14:paraId="5A86F39C" w14:textId="77777777" w:rsidR="0088085F" w:rsidRPr="0000793A" w:rsidRDefault="0088085F" w:rsidP="00E63EE0">
            <w:pPr>
              <w:pStyle w:val="cuatexto"/>
              <w:jc w:val="right"/>
              <w:rPr>
                <w:sz w:val="17"/>
                <w:szCs w:val="17"/>
              </w:rPr>
            </w:pPr>
            <w:r>
              <w:rPr>
                <w:sz w:val="17"/>
                <w:szCs w:val="17"/>
              </w:rPr>
              <w:t> </w:t>
            </w:r>
          </w:p>
        </w:tc>
        <w:tc>
          <w:tcPr>
            <w:tcW w:w="353" w:type="pct"/>
            <w:tcBorders>
              <w:top w:val="single" w:sz="4" w:space="0" w:color="auto"/>
              <w:left w:val="nil"/>
              <w:bottom w:val="single" w:sz="2" w:space="0" w:color="auto"/>
              <w:right w:val="nil"/>
            </w:tcBorders>
            <w:shd w:val="clear" w:color="auto" w:fill="auto"/>
            <w:noWrap/>
            <w:vAlign w:val="center"/>
            <w:hideMark/>
          </w:tcPr>
          <w:p w14:paraId="063C93A6" w14:textId="77777777" w:rsidR="0088085F" w:rsidRPr="0000793A" w:rsidRDefault="000B0250" w:rsidP="00E63EE0">
            <w:pPr>
              <w:pStyle w:val="cuatexto"/>
              <w:jc w:val="right"/>
              <w:rPr>
                <w:sz w:val="17"/>
                <w:szCs w:val="17"/>
              </w:rPr>
            </w:pPr>
            <w:r>
              <w:rPr>
                <w:sz w:val="17"/>
                <w:szCs w:val="17"/>
              </w:rPr>
              <w:t xml:space="preserve">     </w:t>
            </w:r>
          </w:p>
        </w:tc>
        <w:tc>
          <w:tcPr>
            <w:tcW w:w="574" w:type="pct"/>
            <w:tcBorders>
              <w:top w:val="single" w:sz="4" w:space="0" w:color="auto"/>
              <w:left w:val="nil"/>
              <w:bottom w:val="single" w:sz="2" w:space="0" w:color="auto"/>
              <w:right w:val="nil"/>
            </w:tcBorders>
            <w:shd w:val="clear" w:color="auto" w:fill="auto"/>
            <w:noWrap/>
            <w:vAlign w:val="center"/>
            <w:hideMark/>
          </w:tcPr>
          <w:p w14:paraId="5CF8F0F7" w14:textId="77777777" w:rsidR="0088085F" w:rsidRPr="0000793A" w:rsidRDefault="0088085F" w:rsidP="00E63EE0">
            <w:pPr>
              <w:pStyle w:val="cuatexto"/>
              <w:jc w:val="right"/>
              <w:rPr>
                <w:sz w:val="17"/>
                <w:szCs w:val="17"/>
              </w:rPr>
            </w:pPr>
            <w:r>
              <w:rPr>
                <w:sz w:val="17"/>
                <w:szCs w:val="17"/>
              </w:rPr>
              <w:t xml:space="preserve">17.771.970 </w:t>
            </w:r>
          </w:p>
        </w:tc>
      </w:tr>
      <w:tr w:rsidR="00195193" w:rsidRPr="0000793A" w14:paraId="7157BC6E" w14:textId="77777777" w:rsidTr="00D809C2">
        <w:trPr>
          <w:trHeight w:val="227"/>
          <w:jc w:val="center"/>
        </w:trPr>
        <w:tc>
          <w:tcPr>
            <w:tcW w:w="1069" w:type="pct"/>
            <w:tcBorders>
              <w:top w:val="single" w:sz="2" w:space="0" w:color="auto"/>
              <w:left w:val="nil"/>
              <w:bottom w:val="single" w:sz="2" w:space="0" w:color="auto"/>
              <w:right w:val="nil"/>
            </w:tcBorders>
            <w:shd w:val="clear" w:color="auto" w:fill="auto"/>
            <w:noWrap/>
            <w:vAlign w:val="center"/>
            <w:hideMark/>
          </w:tcPr>
          <w:p w14:paraId="3BA6EC3B" w14:textId="77777777" w:rsidR="0088085F" w:rsidRPr="0000793A" w:rsidRDefault="0088085F" w:rsidP="0095705D">
            <w:pPr>
              <w:pStyle w:val="cuatexto"/>
              <w:jc w:val="left"/>
              <w:rPr>
                <w:sz w:val="17"/>
                <w:szCs w:val="17"/>
              </w:rPr>
            </w:pPr>
            <w:r>
              <w:rPr>
                <w:sz w:val="17"/>
                <w:szCs w:val="17"/>
              </w:rPr>
              <w:t>Zerbitzuak</w:t>
            </w:r>
          </w:p>
        </w:tc>
        <w:tc>
          <w:tcPr>
            <w:tcW w:w="479" w:type="pct"/>
            <w:tcBorders>
              <w:top w:val="single" w:sz="2" w:space="0" w:color="auto"/>
              <w:left w:val="nil"/>
              <w:bottom w:val="single" w:sz="2" w:space="0" w:color="auto"/>
              <w:right w:val="nil"/>
            </w:tcBorders>
            <w:shd w:val="clear" w:color="auto" w:fill="auto"/>
            <w:vAlign w:val="center"/>
            <w:hideMark/>
          </w:tcPr>
          <w:p w14:paraId="0DC156F3" w14:textId="77777777" w:rsidR="0088085F" w:rsidRPr="0000793A" w:rsidRDefault="0088085F" w:rsidP="00E63EE0">
            <w:pPr>
              <w:pStyle w:val="cuatexto"/>
              <w:jc w:val="right"/>
              <w:rPr>
                <w:sz w:val="17"/>
                <w:szCs w:val="17"/>
              </w:rPr>
            </w:pPr>
            <w:r>
              <w:rPr>
                <w:sz w:val="17"/>
                <w:szCs w:val="17"/>
              </w:rPr>
              <w:t>1</w:t>
            </w:r>
          </w:p>
        </w:tc>
        <w:tc>
          <w:tcPr>
            <w:tcW w:w="604" w:type="pct"/>
            <w:tcBorders>
              <w:top w:val="single" w:sz="2" w:space="0" w:color="auto"/>
              <w:left w:val="nil"/>
              <w:bottom w:val="single" w:sz="2" w:space="0" w:color="auto"/>
              <w:right w:val="nil"/>
            </w:tcBorders>
            <w:shd w:val="clear" w:color="auto" w:fill="auto"/>
            <w:vAlign w:val="center"/>
            <w:hideMark/>
          </w:tcPr>
          <w:p w14:paraId="4D314EA4" w14:textId="77777777" w:rsidR="0088085F" w:rsidRPr="0000793A" w:rsidRDefault="0088085F" w:rsidP="00451107">
            <w:pPr>
              <w:pStyle w:val="cuatexto"/>
              <w:ind w:right="92"/>
              <w:jc w:val="right"/>
              <w:rPr>
                <w:sz w:val="17"/>
                <w:szCs w:val="17"/>
              </w:rPr>
            </w:pPr>
            <w:r>
              <w:rPr>
                <w:sz w:val="17"/>
                <w:szCs w:val="17"/>
              </w:rPr>
              <w:t>163.950</w:t>
            </w:r>
          </w:p>
        </w:tc>
        <w:tc>
          <w:tcPr>
            <w:tcW w:w="465" w:type="pct"/>
            <w:gridSpan w:val="2"/>
            <w:tcBorders>
              <w:top w:val="single" w:sz="2" w:space="0" w:color="auto"/>
              <w:left w:val="nil"/>
              <w:bottom w:val="single" w:sz="2" w:space="0" w:color="auto"/>
              <w:right w:val="nil"/>
            </w:tcBorders>
            <w:shd w:val="clear" w:color="auto" w:fill="auto"/>
            <w:vAlign w:val="center"/>
            <w:hideMark/>
          </w:tcPr>
          <w:p w14:paraId="77A2C36A" w14:textId="77777777" w:rsidR="0088085F" w:rsidRPr="0000793A" w:rsidRDefault="00A54021" w:rsidP="00E63EE0">
            <w:pPr>
              <w:pStyle w:val="cuatexto"/>
              <w:jc w:val="right"/>
              <w:rPr>
                <w:sz w:val="17"/>
                <w:szCs w:val="17"/>
              </w:rPr>
            </w:pPr>
            <w:r>
              <w:rPr>
                <w:sz w:val="17"/>
                <w:szCs w:val="17"/>
              </w:rPr>
              <w:t xml:space="preserve">   18</w:t>
            </w:r>
          </w:p>
        </w:tc>
        <w:tc>
          <w:tcPr>
            <w:tcW w:w="598" w:type="pct"/>
            <w:tcBorders>
              <w:top w:val="single" w:sz="2" w:space="0" w:color="auto"/>
              <w:left w:val="nil"/>
              <w:bottom w:val="single" w:sz="2" w:space="0" w:color="auto"/>
              <w:right w:val="nil"/>
            </w:tcBorders>
            <w:shd w:val="clear" w:color="auto" w:fill="auto"/>
            <w:vAlign w:val="center"/>
            <w:hideMark/>
          </w:tcPr>
          <w:p w14:paraId="3A2FB18B" w14:textId="77777777" w:rsidR="0088085F" w:rsidRPr="0000793A" w:rsidRDefault="00A54021" w:rsidP="00E63EE0">
            <w:pPr>
              <w:pStyle w:val="cuatexto"/>
              <w:jc w:val="right"/>
              <w:rPr>
                <w:sz w:val="17"/>
                <w:szCs w:val="17"/>
              </w:rPr>
            </w:pPr>
            <w:r>
              <w:rPr>
                <w:sz w:val="17"/>
                <w:szCs w:val="17"/>
              </w:rPr>
              <w:t xml:space="preserve">  1.498.205</w:t>
            </w:r>
          </w:p>
        </w:tc>
        <w:tc>
          <w:tcPr>
            <w:tcW w:w="340" w:type="pct"/>
            <w:gridSpan w:val="2"/>
            <w:tcBorders>
              <w:top w:val="single" w:sz="2" w:space="0" w:color="auto"/>
              <w:left w:val="nil"/>
              <w:bottom w:val="single" w:sz="2" w:space="0" w:color="auto"/>
              <w:right w:val="nil"/>
            </w:tcBorders>
            <w:shd w:val="clear" w:color="auto" w:fill="auto"/>
            <w:vAlign w:val="center"/>
            <w:hideMark/>
          </w:tcPr>
          <w:p w14:paraId="52BAFB09" w14:textId="77777777" w:rsidR="0088085F" w:rsidRPr="0000793A" w:rsidRDefault="000B0250" w:rsidP="00E63EE0">
            <w:pPr>
              <w:pStyle w:val="cuatexto"/>
              <w:jc w:val="right"/>
              <w:rPr>
                <w:sz w:val="17"/>
                <w:szCs w:val="17"/>
              </w:rPr>
            </w:pPr>
            <w:r>
              <w:rPr>
                <w:sz w:val="17"/>
                <w:szCs w:val="17"/>
              </w:rPr>
              <w:t xml:space="preserve">     5</w:t>
            </w:r>
          </w:p>
        </w:tc>
        <w:tc>
          <w:tcPr>
            <w:tcW w:w="518" w:type="pct"/>
            <w:gridSpan w:val="2"/>
            <w:tcBorders>
              <w:top w:val="single" w:sz="2" w:space="0" w:color="auto"/>
              <w:left w:val="nil"/>
              <w:bottom w:val="single" w:sz="2" w:space="0" w:color="auto"/>
              <w:right w:val="nil"/>
            </w:tcBorders>
            <w:shd w:val="clear" w:color="auto" w:fill="auto"/>
            <w:vAlign w:val="center"/>
            <w:hideMark/>
          </w:tcPr>
          <w:p w14:paraId="6A3D646E" w14:textId="77777777" w:rsidR="0088085F" w:rsidRPr="0000793A" w:rsidRDefault="0088085F" w:rsidP="00E63EE0">
            <w:pPr>
              <w:pStyle w:val="cuatexto"/>
              <w:jc w:val="right"/>
              <w:rPr>
                <w:sz w:val="17"/>
                <w:szCs w:val="17"/>
              </w:rPr>
            </w:pPr>
            <w:r>
              <w:rPr>
                <w:sz w:val="17"/>
                <w:szCs w:val="17"/>
              </w:rPr>
              <w:t>158.418</w:t>
            </w:r>
          </w:p>
        </w:tc>
        <w:tc>
          <w:tcPr>
            <w:tcW w:w="353" w:type="pct"/>
            <w:tcBorders>
              <w:top w:val="single" w:sz="2" w:space="0" w:color="auto"/>
              <w:left w:val="nil"/>
              <w:bottom w:val="single" w:sz="2" w:space="0" w:color="auto"/>
              <w:right w:val="nil"/>
            </w:tcBorders>
            <w:shd w:val="clear" w:color="auto" w:fill="auto"/>
            <w:noWrap/>
            <w:vAlign w:val="center"/>
            <w:hideMark/>
          </w:tcPr>
          <w:p w14:paraId="5042B9D5" w14:textId="77777777" w:rsidR="0088085F" w:rsidRPr="0000793A" w:rsidRDefault="0088085F" w:rsidP="00E63EE0">
            <w:pPr>
              <w:pStyle w:val="cuatexto"/>
              <w:jc w:val="right"/>
              <w:rPr>
                <w:sz w:val="17"/>
                <w:szCs w:val="17"/>
              </w:rPr>
            </w:pPr>
            <w:r>
              <w:rPr>
                <w:sz w:val="17"/>
                <w:szCs w:val="17"/>
              </w:rPr>
              <w:t>24</w:t>
            </w:r>
          </w:p>
        </w:tc>
        <w:tc>
          <w:tcPr>
            <w:tcW w:w="574" w:type="pct"/>
            <w:tcBorders>
              <w:top w:val="single" w:sz="2" w:space="0" w:color="auto"/>
              <w:left w:val="nil"/>
              <w:bottom w:val="single" w:sz="2" w:space="0" w:color="auto"/>
              <w:right w:val="nil"/>
            </w:tcBorders>
            <w:shd w:val="clear" w:color="auto" w:fill="auto"/>
            <w:noWrap/>
            <w:vAlign w:val="center"/>
            <w:hideMark/>
          </w:tcPr>
          <w:p w14:paraId="2AE01378" w14:textId="77777777" w:rsidR="0088085F" w:rsidRPr="0000793A" w:rsidRDefault="0088085F" w:rsidP="00E63EE0">
            <w:pPr>
              <w:pStyle w:val="cuatexto"/>
              <w:jc w:val="right"/>
              <w:rPr>
                <w:sz w:val="17"/>
                <w:szCs w:val="17"/>
              </w:rPr>
            </w:pPr>
            <w:r>
              <w:rPr>
                <w:sz w:val="17"/>
                <w:szCs w:val="17"/>
              </w:rPr>
              <w:t xml:space="preserve">1.820.573 </w:t>
            </w:r>
          </w:p>
        </w:tc>
      </w:tr>
      <w:tr w:rsidR="00195193" w:rsidRPr="0000793A" w14:paraId="39D62349" w14:textId="77777777" w:rsidTr="00D809C2">
        <w:trPr>
          <w:trHeight w:val="227"/>
          <w:jc w:val="center"/>
        </w:trPr>
        <w:tc>
          <w:tcPr>
            <w:tcW w:w="1069" w:type="pct"/>
            <w:tcBorders>
              <w:top w:val="single" w:sz="2" w:space="0" w:color="auto"/>
              <w:left w:val="nil"/>
              <w:bottom w:val="single" w:sz="2" w:space="0" w:color="auto"/>
              <w:right w:val="nil"/>
            </w:tcBorders>
            <w:shd w:val="clear" w:color="auto" w:fill="auto"/>
            <w:noWrap/>
            <w:vAlign w:val="center"/>
            <w:hideMark/>
          </w:tcPr>
          <w:p w14:paraId="4DE4BFFF" w14:textId="77777777" w:rsidR="0088085F" w:rsidRPr="0000793A" w:rsidRDefault="0088085F" w:rsidP="0095705D">
            <w:pPr>
              <w:pStyle w:val="cuatexto"/>
              <w:jc w:val="left"/>
              <w:rPr>
                <w:sz w:val="17"/>
                <w:szCs w:val="17"/>
              </w:rPr>
            </w:pPr>
            <w:r>
              <w:rPr>
                <w:sz w:val="17"/>
                <w:szCs w:val="17"/>
              </w:rPr>
              <w:t>Hornidurak</w:t>
            </w:r>
          </w:p>
        </w:tc>
        <w:tc>
          <w:tcPr>
            <w:tcW w:w="479" w:type="pct"/>
            <w:tcBorders>
              <w:top w:val="single" w:sz="2" w:space="0" w:color="auto"/>
              <w:left w:val="nil"/>
              <w:bottom w:val="single" w:sz="2" w:space="0" w:color="auto"/>
              <w:right w:val="nil"/>
            </w:tcBorders>
            <w:shd w:val="clear" w:color="auto" w:fill="auto"/>
            <w:vAlign w:val="center"/>
            <w:hideMark/>
          </w:tcPr>
          <w:p w14:paraId="5BA6732D" w14:textId="77777777" w:rsidR="0088085F" w:rsidRPr="0000793A" w:rsidRDefault="0088085F" w:rsidP="00E63EE0">
            <w:pPr>
              <w:pStyle w:val="cuatexto"/>
              <w:jc w:val="right"/>
              <w:rPr>
                <w:sz w:val="17"/>
                <w:szCs w:val="17"/>
              </w:rPr>
            </w:pPr>
            <w:r>
              <w:rPr>
                <w:sz w:val="17"/>
                <w:szCs w:val="17"/>
              </w:rPr>
              <w:t>2</w:t>
            </w:r>
          </w:p>
        </w:tc>
        <w:tc>
          <w:tcPr>
            <w:tcW w:w="604" w:type="pct"/>
            <w:tcBorders>
              <w:top w:val="single" w:sz="2" w:space="0" w:color="auto"/>
              <w:left w:val="nil"/>
              <w:bottom w:val="single" w:sz="2" w:space="0" w:color="auto"/>
              <w:right w:val="nil"/>
            </w:tcBorders>
            <w:shd w:val="clear" w:color="auto" w:fill="auto"/>
            <w:vAlign w:val="center"/>
            <w:hideMark/>
          </w:tcPr>
          <w:p w14:paraId="1B9D6183" w14:textId="77777777" w:rsidR="0088085F" w:rsidRPr="0000793A" w:rsidRDefault="0088085F" w:rsidP="00451107">
            <w:pPr>
              <w:pStyle w:val="cuatexto"/>
              <w:ind w:right="92"/>
              <w:jc w:val="right"/>
              <w:rPr>
                <w:sz w:val="17"/>
                <w:szCs w:val="17"/>
              </w:rPr>
            </w:pPr>
            <w:r>
              <w:rPr>
                <w:sz w:val="17"/>
                <w:szCs w:val="17"/>
              </w:rPr>
              <w:t>297.465</w:t>
            </w:r>
          </w:p>
        </w:tc>
        <w:tc>
          <w:tcPr>
            <w:tcW w:w="465" w:type="pct"/>
            <w:gridSpan w:val="2"/>
            <w:tcBorders>
              <w:top w:val="single" w:sz="2" w:space="0" w:color="auto"/>
              <w:left w:val="nil"/>
              <w:bottom w:val="single" w:sz="2" w:space="0" w:color="auto"/>
              <w:right w:val="nil"/>
            </w:tcBorders>
            <w:shd w:val="clear" w:color="auto" w:fill="auto"/>
            <w:vAlign w:val="center"/>
            <w:hideMark/>
          </w:tcPr>
          <w:p w14:paraId="7FB2A219" w14:textId="77777777" w:rsidR="0088085F" w:rsidRPr="0000793A" w:rsidRDefault="00A54021" w:rsidP="00E63EE0">
            <w:pPr>
              <w:pStyle w:val="cuatexto"/>
              <w:jc w:val="right"/>
              <w:rPr>
                <w:sz w:val="17"/>
                <w:szCs w:val="17"/>
              </w:rPr>
            </w:pPr>
            <w:r>
              <w:rPr>
                <w:sz w:val="17"/>
                <w:szCs w:val="17"/>
              </w:rPr>
              <w:t xml:space="preserve">    20</w:t>
            </w:r>
          </w:p>
        </w:tc>
        <w:tc>
          <w:tcPr>
            <w:tcW w:w="598" w:type="pct"/>
            <w:tcBorders>
              <w:top w:val="single" w:sz="2" w:space="0" w:color="auto"/>
              <w:left w:val="nil"/>
              <w:bottom w:val="single" w:sz="2" w:space="0" w:color="auto"/>
              <w:right w:val="nil"/>
            </w:tcBorders>
            <w:shd w:val="clear" w:color="auto" w:fill="auto"/>
            <w:vAlign w:val="center"/>
            <w:hideMark/>
          </w:tcPr>
          <w:p w14:paraId="03018C2D" w14:textId="77777777" w:rsidR="0088085F" w:rsidRPr="0000793A" w:rsidRDefault="00A54021" w:rsidP="00E63EE0">
            <w:pPr>
              <w:pStyle w:val="cuatexto"/>
              <w:jc w:val="right"/>
              <w:rPr>
                <w:sz w:val="17"/>
                <w:szCs w:val="17"/>
              </w:rPr>
            </w:pPr>
            <w:r>
              <w:rPr>
                <w:sz w:val="17"/>
                <w:szCs w:val="17"/>
              </w:rPr>
              <w:t xml:space="preserve"> 8.554.251</w:t>
            </w:r>
          </w:p>
        </w:tc>
        <w:tc>
          <w:tcPr>
            <w:tcW w:w="340" w:type="pct"/>
            <w:gridSpan w:val="2"/>
            <w:tcBorders>
              <w:top w:val="single" w:sz="2" w:space="0" w:color="auto"/>
              <w:left w:val="nil"/>
              <w:bottom w:val="single" w:sz="2" w:space="0" w:color="auto"/>
              <w:right w:val="nil"/>
            </w:tcBorders>
            <w:shd w:val="clear" w:color="auto" w:fill="auto"/>
            <w:vAlign w:val="center"/>
            <w:hideMark/>
          </w:tcPr>
          <w:p w14:paraId="6D6B4DD2" w14:textId="77777777" w:rsidR="0088085F" w:rsidRPr="0000793A" w:rsidRDefault="000B0250" w:rsidP="00E63EE0">
            <w:pPr>
              <w:pStyle w:val="cuatexto"/>
              <w:jc w:val="right"/>
              <w:rPr>
                <w:sz w:val="17"/>
                <w:szCs w:val="17"/>
              </w:rPr>
            </w:pPr>
            <w:r>
              <w:rPr>
                <w:sz w:val="17"/>
                <w:szCs w:val="17"/>
              </w:rPr>
              <w:t xml:space="preserve">     2</w:t>
            </w:r>
          </w:p>
        </w:tc>
        <w:tc>
          <w:tcPr>
            <w:tcW w:w="518" w:type="pct"/>
            <w:gridSpan w:val="2"/>
            <w:tcBorders>
              <w:top w:val="single" w:sz="2" w:space="0" w:color="auto"/>
              <w:left w:val="nil"/>
              <w:bottom w:val="single" w:sz="2" w:space="0" w:color="auto"/>
              <w:right w:val="nil"/>
            </w:tcBorders>
            <w:shd w:val="clear" w:color="auto" w:fill="auto"/>
            <w:vAlign w:val="center"/>
            <w:hideMark/>
          </w:tcPr>
          <w:p w14:paraId="48956954" w14:textId="77777777" w:rsidR="0088085F" w:rsidRPr="0000793A" w:rsidRDefault="0088085F" w:rsidP="00E63EE0">
            <w:pPr>
              <w:pStyle w:val="cuatexto"/>
              <w:jc w:val="right"/>
              <w:rPr>
                <w:sz w:val="17"/>
                <w:szCs w:val="17"/>
              </w:rPr>
            </w:pPr>
            <w:r>
              <w:rPr>
                <w:sz w:val="17"/>
                <w:szCs w:val="17"/>
              </w:rPr>
              <w:t>63.202</w:t>
            </w:r>
          </w:p>
        </w:tc>
        <w:tc>
          <w:tcPr>
            <w:tcW w:w="353" w:type="pct"/>
            <w:tcBorders>
              <w:top w:val="single" w:sz="2" w:space="0" w:color="auto"/>
              <w:left w:val="nil"/>
              <w:bottom w:val="single" w:sz="2" w:space="0" w:color="auto"/>
              <w:right w:val="nil"/>
            </w:tcBorders>
            <w:shd w:val="clear" w:color="auto" w:fill="auto"/>
            <w:noWrap/>
            <w:vAlign w:val="center"/>
            <w:hideMark/>
          </w:tcPr>
          <w:p w14:paraId="26F6859F" w14:textId="77777777" w:rsidR="0088085F" w:rsidRPr="0000793A" w:rsidRDefault="0088085F" w:rsidP="00E63EE0">
            <w:pPr>
              <w:pStyle w:val="cuatexto"/>
              <w:jc w:val="right"/>
              <w:rPr>
                <w:sz w:val="17"/>
                <w:szCs w:val="17"/>
              </w:rPr>
            </w:pPr>
            <w:r>
              <w:rPr>
                <w:sz w:val="17"/>
                <w:szCs w:val="17"/>
              </w:rPr>
              <w:t>24</w:t>
            </w:r>
          </w:p>
        </w:tc>
        <w:tc>
          <w:tcPr>
            <w:tcW w:w="574" w:type="pct"/>
            <w:tcBorders>
              <w:top w:val="single" w:sz="2" w:space="0" w:color="auto"/>
              <w:left w:val="nil"/>
              <w:bottom w:val="single" w:sz="2" w:space="0" w:color="auto"/>
              <w:right w:val="nil"/>
            </w:tcBorders>
            <w:shd w:val="clear" w:color="auto" w:fill="auto"/>
            <w:noWrap/>
            <w:vAlign w:val="center"/>
            <w:hideMark/>
          </w:tcPr>
          <w:p w14:paraId="5A70F0E3" w14:textId="77777777" w:rsidR="0088085F" w:rsidRPr="0000793A" w:rsidRDefault="0088085F" w:rsidP="00E63EE0">
            <w:pPr>
              <w:pStyle w:val="cuatexto"/>
              <w:jc w:val="right"/>
              <w:rPr>
                <w:sz w:val="17"/>
                <w:szCs w:val="17"/>
              </w:rPr>
            </w:pPr>
            <w:r>
              <w:rPr>
                <w:sz w:val="17"/>
                <w:szCs w:val="17"/>
              </w:rPr>
              <w:t xml:space="preserve">8.914.918 </w:t>
            </w:r>
          </w:p>
        </w:tc>
      </w:tr>
      <w:tr w:rsidR="00195193" w:rsidRPr="0095705D" w14:paraId="4F4B0F11" w14:textId="77777777" w:rsidTr="00D809C2">
        <w:trPr>
          <w:trHeight w:val="284"/>
          <w:jc w:val="center"/>
        </w:trPr>
        <w:tc>
          <w:tcPr>
            <w:tcW w:w="1069" w:type="pct"/>
            <w:tcBorders>
              <w:top w:val="single" w:sz="4" w:space="0" w:color="auto"/>
              <w:left w:val="nil"/>
              <w:bottom w:val="single" w:sz="4" w:space="0" w:color="auto"/>
              <w:right w:val="nil"/>
            </w:tcBorders>
            <w:shd w:val="clear" w:color="auto" w:fill="FABF8F" w:themeFill="accent6" w:themeFillTint="99"/>
            <w:noWrap/>
            <w:vAlign w:val="center"/>
          </w:tcPr>
          <w:p w14:paraId="671473CB" w14:textId="77777777" w:rsidR="0088085F" w:rsidRPr="0095705D" w:rsidRDefault="0088085F" w:rsidP="0095705D">
            <w:pPr>
              <w:pStyle w:val="cuadroCabe"/>
              <w:jc w:val="left"/>
              <w:rPr>
                <w:sz w:val="16"/>
                <w:szCs w:val="16"/>
              </w:rPr>
            </w:pPr>
            <w:r>
              <w:rPr>
                <w:sz w:val="16"/>
                <w:szCs w:val="16"/>
              </w:rPr>
              <w:t>Guztizko orokorra</w:t>
            </w:r>
          </w:p>
        </w:tc>
        <w:tc>
          <w:tcPr>
            <w:tcW w:w="479" w:type="pct"/>
            <w:tcBorders>
              <w:top w:val="single" w:sz="4" w:space="0" w:color="auto"/>
              <w:left w:val="nil"/>
              <w:bottom w:val="single" w:sz="4" w:space="0" w:color="auto"/>
              <w:right w:val="nil"/>
            </w:tcBorders>
            <w:shd w:val="clear" w:color="auto" w:fill="FABF8F" w:themeFill="accent6" w:themeFillTint="99"/>
            <w:vAlign w:val="center"/>
          </w:tcPr>
          <w:p w14:paraId="16AB2F81" w14:textId="77777777" w:rsidR="0088085F" w:rsidRPr="0095705D" w:rsidRDefault="0088085F" w:rsidP="00E63EE0">
            <w:pPr>
              <w:pStyle w:val="cuadroCabe"/>
              <w:jc w:val="right"/>
              <w:rPr>
                <w:sz w:val="16"/>
                <w:szCs w:val="16"/>
              </w:rPr>
            </w:pPr>
            <w:r>
              <w:rPr>
                <w:sz w:val="16"/>
                <w:szCs w:val="16"/>
              </w:rPr>
              <w:t>4</w:t>
            </w:r>
          </w:p>
        </w:tc>
        <w:tc>
          <w:tcPr>
            <w:tcW w:w="604" w:type="pct"/>
            <w:tcBorders>
              <w:top w:val="single" w:sz="4" w:space="0" w:color="auto"/>
              <w:left w:val="nil"/>
              <w:bottom w:val="single" w:sz="4" w:space="0" w:color="auto"/>
              <w:right w:val="nil"/>
            </w:tcBorders>
            <w:shd w:val="clear" w:color="auto" w:fill="FABF8F" w:themeFill="accent6" w:themeFillTint="99"/>
            <w:vAlign w:val="center"/>
          </w:tcPr>
          <w:p w14:paraId="404A2BE6" w14:textId="77777777" w:rsidR="0088085F" w:rsidRPr="0095705D" w:rsidRDefault="00A54021" w:rsidP="00451107">
            <w:pPr>
              <w:pStyle w:val="cuadroCabe"/>
              <w:ind w:right="92"/>
              <w:jc w:val="right"/>
              <w:rPr>
                <w:sz w:val="16"/>
                <w:szCs w:val="16"/>
              </w:rPr>
            </w:pPr>
            <w:r>
              <w:rPr>
                <w:sz w:val="16"/>
                <w:szCs w:val="16"/>
              </w:rPr>
              <w:t xml:space="preserve"> 696.252</w:t>
            </w:r>
          </w:p>
        </w:tc>
        <w:tc>
          <w:tcPr>
            <w:tcW w:w="465" w:type="pct"/>
            <w:gridSpan w:val="2"/>
            <w:tcBorders>
              <w:top w:val="single" w:sz="4" w:space="0" w:color="auto"/>
              <w:left w:val="nil"/>
              <w:bottom w:val="single" w:sz="4" w:space="0" w:color="auto"/>
              <w:right w:val="nil"/>
            </w:tcBorders>
            <w:shd w:val="clear" w:color="auto" w:fill="FABF8F" w:themeFill="accent6" w:themeFillTint="99"/>
            <w:vAlign w:val="center"/>
          </w:tcPr>
          <w:p w14:paraId="7882EDB1" w14:textId="77777777" w:rsidR="0088085F" w:rsidRPr="0095705D" w:rsidRDefault="0088085F" w:rsidP="00E63EE0">
            <w:pPr>
              <w:pStyle w:val="cuadroCabe"/>
              <w:jc w:val="right"/>
              <w:rPr>
                <w:sz w:val="16"/>
                <w:szCs w:val="16"/>
              </w:rPr>
            </w:pPr>
            <w:r>
              <w:rPr>
                <w:sz w:val="16"/>
                <w:szCs w:val="16"/>
              </w:rPr>
              <w:t>52</w:t>
            </w:r>
          </w:p>
        </w:tc>
        <w:tc>
          <w:tcPr>
            <w:tcW w:w="598" w:type="pct"/>
            <w:tcBorders>
              <w:top w:val="single" w:sz="4" w:space="0" w:color="auto"/>
              <w:left w:val="nil"/>
              <w:bottom w:val="single" w:sz="4" w:space="0" w:color="auto"/>
              <w:right w:val="nil"/>
            </w:tcBorders>
            <w:shd w:val="clear" w:color="auto" w:fill="FABF8F" w:themeFill="accent6" w:themeFillTint="99"/>
            <w:vAlign w:val="center"/>
          </w:tcPr>
          <w:p w14:paraId="51E5A905" w14:textId="77777777" w:rsidR="0088085F" w:rsidRPr="0095705D" w:rsidRDefault="0088085F" w:rsidP="00E63EE0">
            <w:pPr>
              <w:pStyle w:val="cuadroCabe"/>
              <w:jc w:val="right"/>
              <w:rPr>
                <w:sz w:val="16"/>
                <w:szCs w:val="16"/>
              </w:rPr>
            </w:pPr>
            <w:r>
              <w:rPr>
                <w:sz w:val="16"/>
                <w:szCs w:val="16"/>
              </w:rPr>
              <w:t>27.589.588</w:t>
            </w:r>
          </w:p>
        </w:tc>
        <w:tc>
          <w:tcPr>
            <w:tcW w:w="340" w:type="pct"/>
            <w:gridSpan w:val="2"/>
            <w:tcBorders>
              <w:top w:val="single" w:sz="4" w:space="0" w:color="auto"/>
              <w:left w:val="nil"/>
              <w:bottom w:val="single" w:sz="4" w:space="0" w:color="auto"/>
              <w:right w:val="nil"/>
            </w:tcBorders>
            <w:shd w:val="clear" w:color="auto" w:fill="FABF8F" w:themeFill="accent6" w:themeFillTint="99"/>
            <w:vAlign w:val="center"/>
          </w:tcPr>
          <w:p w14:paraId="7291F942" w14:textId="77777777" w:rsidR="0088085F" w:rsidRPr="0095705D" w:rsidRDefault="0088085F" w:rsidP="00E63EE0">
            <w:pPr>
              <w:pStyle w:val="cuadroCabe"/>
              <w:jc w:val="right"/>
              <w:rPr>
                <w:sz w:val="16"/>
                <w:szCs w:val="16"/>
              </w:rPr>
            </w:pPr>
            <w:r>
              <w:rPr>
                <w:sz w:val="16"/>
                <w:szCs w:val="16"/>
              </w:rPr>
              <w:t>7</w:t>
            </w:r>
          </w:p>
        </w:tc>
        <w:tc>
          <w:tcPr>
            <w:tcW w:w="518" w:type="pct"/>
            <w:gridSpan w:val="2"/>
            <w:tcBorders>
              <w:top w:val="single" w:sz="4" w:space="0" w:color="auto"/>
              <w:left w:val="nil"/>
              <w:bottom w:val="single" w:sz="4" w:space="0" w:color="auto"/>
              <w:right w:val="nil"/>
            </w:tcBorders>
            <w:shd w:val="clear" w:color="auto" w:fill="FABF8F" w:themeFill="accent6" w:themeFillTint="99"/>
            <w:vAlign w:val="center"/>
          </w:tcPr>
          <w:p w14:paraId="65144E03" w14:textId="77777777" w:rsidR="0088085F" w:rsidRPr="0095705D" w:rsidRDefault="0088085F" w:rsidP="00E63EE0">
            <w:pPr>
              <w:pStyle w:val="cuadroCabe"/>
              <w:jc w:val="right"/>
              <w:rPr>
                <w:sz w:val="16"/>
                <w:szCs w:val="16"/>
              </w:rPr>
            </w:pPr>
            <w:r>
              <w:rPr>
                <w:sz w:val="16"/>
                <w:szCs w:val="16"/>
              </w:rPr>
              <w:t>221.620</w:t>
            </w:r>
          </w:p>
        </w:tc>
        <w:tc>
          <w:tcPr>
            <w:tcW w:w="353" w:type="pct"/>
            <w:tcBorders>
              <w:top w:val="single" w:sz="4" w:space="0" w:color="auto"/>
              <w:left w:val="nil"/>
              <w:bottom w:val="single" w:sz="4" w:space="0" w:color="auto"/>
              <w:right w:val="nil"/>
            </w:tcBorders>
            <w:shd w:val="clear" w:color="auto" w:fill="FABF8F" w:themeFill="accent6" w:themeFillTint="99"/>
            <w:noWrap/>
            <w:vAlign w:val="center"/>
          </w:tcPr>
          <w:p w14:paraId="5701BECD" w14:textId="77777777" w:rsidR="0088085F" w:rsidRPr="0095705D" w:rsidRDefault="0088085F" w:rsidP="00E63EE0">
            <w:pPr>
              <w:pStyle w:val="cuadroCabe"/>
              <w:jc w:val="right"/>
              <w:rPr>
                <w:sz w:val="16"/>
                <w:szCs w:val="16"/>
              </w:rPr>
            </w:pPr>
            <w:r>
              <w:rPr>
                <w:sz w:val="16"/>
                <w:szCs w:val="16"/>
              </w:rPr>
              <w:t>63</w:t>
            </w:r>
          </w:p>
        </w:tc>
        <w:tc>
          <w:tcPr>
            <w:tcW w:w="574" w:type="pct"/>
            <w:tcBorders>
              <w:top w:val="single" w:sz="4" w:space="0" w:color="auto"/>
              <w:left w:val="nil"/>
              <w:bottom w:val="single" w:sz="4" w:space="0" w:color="auto"/>
              <w:right w:val="nil"/>
            </w:tcBorders>
            <w:shd w:val="clear" w:color="auto" w:fill="FABF8F" w:themeFill="accent6" w:themeFillTint="99"/>
            <w:noWrap/>
            <w:vAlign w:val="center"/>
          </w:tcPr>
          <w:p w14:paraId="7901A605" w14:textId="77777777" w:rsidR="0088085F" w:rsidRPr="0095705D" w:rsidRDefault="0088085F" w:rsidP="00E63EE0">
            <w:pPr>
              <w:pStyle w:val="cuadroCabe"/>
              <w:jc w:val="right"/>
              <w:rPr>
                <w:sz w:val="16"/>
                <w:szCs w:val="16"/>
              </w:rPr>
            </w:pPr>
            <w:r>
              <w:rPr>
                <w:sz w:val="16"/>
                <w:szCs w:val="16"/>
              </w:rPr>
              <w:t>28.507.460</w:t>
            </w:r>
          </w:p>
        </w:tc>
      </w:tr>
    </w:tbl>
    <w:p w14:paraId="0D8DE5C2" w14:textId="77777777" w:rsidR="0088085F" w:rsidRPr="00262228" w:rsidRDefault="0088085F" w:rsidP="0095705D">
      <w:pPr>
        <w:pStyle w:val="texto"/>
        <w:spacing w:before="220"/>
      </w:pPr>
      <w:r>
        <w:t xml:space="preserve">Erakunde autonomoek eta sozietate publikoek guztira 63 kontratu adjudikatu dituzte 28,51 milioitan. Zenbateko hori 2018. urtekoa baino ehuneko 31 handiagoa da. </w:t>
      </w:r>
    </w:p>
    <w:p w14:paraId="17B3EA24" w14:textId="77777777" w:rsidR="0088085F" w:rsidRPr="00262228" w:rsidRDefault="0088085F" w:rsidP="0088085F">
      <w:pPr>
        <w:pStyle w:val="texto"/>
      </w:pPr>
      <w:r>
        <w:t>2019an adjudikatutako kontratu guztietatik ehuneko 83 sozietate publikoei dagozkie, eta 27,59 milioi egiten dute orotara, hau da, guztizko zenbatekoaren ehuneko 97. Gainerako kontratuak erakunde autonomoek eta partzuergoek adjudikatu zituzten, eta guztizko zenbatekoaren ehuneko hiru egiten dute.</w:t>
      </w:r>
    </w:p>
    <w:p w14:paraId="6C2A366D" w14:textId="77777777" w:rsidR="0088085F" w:rsidRPr="00262228" w:rsidRDefault="0088085F" w:rsidP="0088085F">
      <w:pPr>
        <w:pStyle w:val="texto"/>
      </w:pPr>
      <w:r>
        <w:lastRenderedPageBreak/>
        <w:t>Laburbilduz, 2019an toki entitateek eta haien menpeko entitateek 504 kontratu adjudikatu zituzten, 102,34 milioitan, guztira. Zenbaki horiek aurreko urtekoen parekoak dira.</w:t>
      </w:r>
    </w:p>
    <w:p w14:paraId="2A76DB26" w14:textId="77777777" w:rsidR="0088085F" w:rsidRPr="00262228" w:rsidRDefault="0088085F" w:rsidP="00923043">
      <w:pPr>
        <w:pStyle w:val="texto"/>
        <w:spacing w:after="240"/>
      </w:pPr>
      <w:r>
        <w:t>Hona hemen kontratuen kopurua eta zenbatekoa kontratazio-prozeduraren arabera:</w:t>
      </w:r>
    </w:p>
    <w:tbl>
      <w:tblPr>
        <w:tblW w:w="5000" w:type="pct"/>
        <w:jc w:val="center"/>
        <w:tblCellMar>
          <w:left w:w="70" w:type="dxa"/>
          <w:right w:w="70" w:type="dxa"/>
        </w:tblCellMar>
        <w:tblLook w:val="04A0" w:firstRow="1" w:lastRow="0" w:firstColumn="1" w:lastColumn="0" w:noHBand="0" w:noVBand="1"/>
      </w:tblPr>
      <w:tblGrid>
        <w:gridCol w:w="1648"/>
        <w:gridCol w:w="494"/>
        <w:gridCol w:w="1001"/>
        <w:gridCol w:w="494"/>
        <w:gridCol w:w="906"/>
        <w:gridCol w:w="494"/>
        <w:gridCol w:w="907"/>
        <w:gridCol w:w="494"/>
        <w:gridCol w:w="761"/>
        <w:gridCol w:w="494"/>
        <w:gridCol w:w="1096"/>
      </w:tblGrid>
      <w:tr w:rsidR="0088085F" w:rsidRPr="009361CC" w14:paraId="4572B4D5" w14:textId="77777777" w:rsidTr="00B9085A">
        <w:trPr>
          <w:trHeight w:val="340"/>
          <w:jc w:val="center"/>
        </w:trPr>
        <w:tc>
          <w:tcPr>
            <w:tcW w:w="1031" w:type="pct"/>
            <w:vMerge w:val="restart"/>
            <w:tcBorders>
              <w:top w:val="single" w:sz="4" w:space="0" w:color="auto"/>
              <w:left w:val="nil"/>
              <w:bottom w:val="single" w:sz="2" w:space="0" w:color="auto"/>
            </w:tcBorders>
            <w:shd w:val="clear" w:color="auto" w:fill="FABF8F" w:themeFill="accent6" w:themeFillTint="99"/>
            <w:noWrap/>
            <w:vAlign w:val="center"/>
            <w:hideMark/>
          </w:tcPr>
          <w:p w14:paraId="2CC21BD8" w14:textId="77777777" w:rsidR="0088085F" w:rsidRPr="004466B8" w:rsidRDefault="0088085F" w:rsidP="00C13CE1">
            <w:pPr>
              <w:pStyle w:val="cuadroCabe"/>
              <w:jc w:val="center"/>
              <w:rPr>
                <w:rFonts w:cs="Arial"/>
                <w:color w:val="000000" w:themeColor="text1"/>
                <w:sz w:val="16"/>
                <w:szCs w:val="16"/>
                <w:lang w:eastAsia="es-ES"/>
              </w:rPr>
            </w:pPr>
          </w:p>
        </w:tc>
        <w:tc>
          <w:tcPr>
            <w:tcW w:w="842" w:type="pct"/>
            <w:gridSpan w:val="2"/>
            <w:tcBorders>
              <w:top w:val="single" w:sz="4" w:space="0" w:color="auto"/>
              <w:bottom w:val="single" w:sz="2" w:space="0" w:color="auto"/>
            </w:tcBorders>
            <w:shd w:val="clear" w:color="auto" w:fill="FABF8F" w:themeFill="accent6" w:themeFillTint="99"/>
            <w:vAlign w:val="center"/>
            <w:hideMark/>
          </w:tcPr>
          <w:p w14:paraId="2DB2FB8C" w14:textId="77777777" w:rsidR="0088085F" w:rsidRPr="009361CC" w:rsidRDefault="00DE492F" w:rsidP="00DE492F">
            <w:pPr>
              <w:pStyle w:val="cuadroCabe"/>
              <w:jc w:val="center"/>
              <w:rPr>
                <w:rFonts w:cs="Arial"/>
                <w:color w:val="000000" w:themeColor="text1"/>
                <w:sz w:val="16"/>
                <w:szCs w:val="16"/>
              </w:rPr>
            </w:pPr>
            <w:r>
              <w:rPr>
                <w:color w:val="000000" w:themeColor="text1"/>
                <w:sz w:val="16"/>
                <w:szCs w:val="16"/>
              </w:rPr>
              <w:t xml:space="preserve">   Irekia</w:t>
            </w:r>
          </w:p>
        </w:tc>
        <w:tc>
          <w:tcPr>
            <w:tcW w:w="773" w:type="pct"/>
            <w:gridSpan w:val="2"/>
            <w:tcBorders>
              <w:top w:val="single" w:sz="4" w:space="0" w:color="auto"/>
              <w:bottom w:val="single" w:sz="2" w:space="0" w:color="auto"/>
            </w:tcBorders>
            <w:shd w:val="clear" w:color="auto" w:fill="FABF8F" w:themeFill="accent6" w:themeFillTint="99"/>
            <w:vAlign w:val="center"/>
            <w:hideMark/>
          </w:tcPr>
          <w:p w14:paraId="4668E7AD" w14:textId="77777777" w:rsidR="0088085F" w:rsidRPr="009361CC" w:rsidRDefault="00DE492F" w:rsidP="00DE492F">
            <w:pPr>
              <w:pStyle w:val="cuadroCabe"/>
              <w:jc w:val="center"/>
              <w:rPr>
                <w:rFonts w:cs="Arial"/>
                <w:color w:val="000000" w:themeColor="text1"/>
                <w:sz w:val="16"/>
                <w:szCs w:val="16"/>
              </w:rPr>
            </w:pPr>
            <w:r>
              <w:rPr>
                <w:color w:val="000000" w:themeColor="text1"/>
                <w:sz w:val="16"/>
                <w:szCs w:val="16"/>
              </w:rPr>
              <w:t xml:space="preserve">  </w:t>
            </w:r>
            <w:proofErr w:type="spellStart"/>
            <w:r>
              <w:rPr>
                <w:color w:val="000000" w:themeColor="text1"/>
                <w:sz w:val="16"/>
                <w:szCs w:val="16"/>
              </w:rPr>
              <w:t>Erraztua</w:t>
            </w:r>
            <w:proofErr w:type="spellEnd"/>
          </w:p>
        </w:tc>
        <w:tc>
          <w:tcPr>
            <w:tcW w:w="845" w:type="pct"/>
            <w:gridSpan w:val="2"/>
            <w:tcBorders>
              <w:top w:val="single" w:sz="4" w:space="0" w:color="auto"/>
              <w:bottom w:val="single" w:sz="2" w:space="0" w:color="auto"/>
            </w:tcBorders>
            <w:shd w:val="clear" w:color="auto" w:fill="FABF8F" w:themeFill="accent6" w:themeFillTint="99"/>
            <w:vAlign w:val="center"/>
            <w:hideMark/>
          </w:tcPr>
          <w:p w14:paraId="418CAC11" w14:textId="77777777" w:rsidR="0088085F" w:rsidRPr="009361CC" w:rsidRDefault="00DE492F" w:rsidP="00DE492F">
            <w:pPr>
              <w:pStyle w:val="cuadroCabe"/>
              <w:jc w:val="center"/>
              <w:rPr>
                <w:rFonts w:cs="Arial"/>
                <w:color w:val="000000" w:themeColor="text1"/>
                <w:sz w:val="16"/>
                <w:szCs w:val="16"/>
              </w:rPr>
            </w:pPr>
            <w:r>
              <w:rPr>
                <w:color w:val="000000" w:themeColor="text1"/>
                <w:sz w:val="16"/>
                <w:szCs w:val="16"/>
              </w:rPr>
              <w:t xml:space="preserve">   Lizitazio deialdirik gabe negoziatua</w:t>
            </w:r>
          </w:p>
        </w:tc>
        <w:tc>
          <w:tcPr>
            <w:tcW w:w="634" w:type="pct"/>
            <w:gridSpan w:val="2"/>
            <w:tcBorders>
              <w:top w:val="single" w:sz="4" w:space="0" w:color="auto"/>
              <w:bottom w:val="single" w:sz="2" w:space="0" w:color="auto"/>
            </w:tcBorders>
            <w:shd w:val="clear" w:color="auto" w:fill="FABF8F" w:themeFill="accent6" w:themeFillTint="99"/>
            <w:vAlign w:val="center"/>
            <w:hideMark/>
          </w:tcPr>
          <w:p w14:paraId="4CB1E84F" w14:textId="77777777" w:rsidR="0088085F" w:rsidRPr="009361CC" w:rsidRDefault="00DE492F" w:rsidP="00DE492F">
            <w:pPr>
              <w:pStyle w:val="cuadroCabe"/>
              <w:jc w:val="center"/>
              <w:rPr>
                <w:rFonts w:cs="Arial"/>
                <w:color w:val="000000" w:themeColor="text1"/>
                <w:sz w:val="16"/>
                <w:szCs w:val="16"/>
              </w:rPr>
            </w:pPr>
            <w:r>
              <w:rPr>
                <w:color w:val="000000" w:themeColor="text1"/>
                <w:sz w:val="16"/>
                <w:szCs w:val="16"/>
              </w:rPr>
              <w:t xml:space="preserve">  Negoziatua</w:t>
            </w:r>
          </w:p>
        </w:tc>
        <w:tc>
          <w:tcPr>
            <w:tcW w:w="875" w:type="pct"/>
            <w:gridSpan w:val="2"/>
            <w:tcBorders>
              <w:top w:val="single" w:sz="4" w:space="0" w:color="auto"/>
              <w:bottom w:val="single" w:sz="2" w:space="0" w:color="auto"/>
              <w:right w:val="nil"/>
            </w:tcBorders>
            <w:shd w:val="clear" w:color="auto" w:fill="FABF8F" w:themeFill="accent6" w:themeFillTint="99"/>
            <w:vAlign w:val="center"/>
            <w:hideMark/>
          </w:tcPr>
          <w:p w14:paraId="6029FA43" w14:textId="77777777" w:rsidR="0088085F" w:rsidRPr="009361CC" w:rsidRDefault="00DE492F" w:rsidP="00DE492F">
            <w:pPr>
              <w:pStyle w:val="cuadroCabe"/>
              <w:jc w:val="center"/>
              <w:rPr>
                <w:rFonts w:cs="Arial"/>
                <w:color w:val="000000" w:themeColor="text1"/>
                <w:sz w:val="16"/>
                <w:szCs w:val="16"/>
              </w:rPr>
            </w:pPr>
            <w:r>
              <w:rPr>
                <w:color w:val="000000" w:themeColor="text1"/>
                <w:sz w:val="16"/>
                <w:szCs w:val="16"/>
              </w:rPr>
              <w:t xml:space="preserve">   Guztizko orokorra</w:t>
            </w:r>
          </w:p>
        </w:tc>
      </w:tr>
      <w:tr w:rsidR="0088085F" w:rsidRPr="009361CC" w14:paraId="6FF53B14" w14:textId="77777777" w:rsidTr="00A005AA">
        <w:trPr>
          <w:trHeight w:hRule="exact" w:val="255"/>
          <w:jc w:val="center"/>
        </w:trPr>
        <w:tc>
          <w:tcPr>
            <w:tcW w:w="1031" w:type="pct"/>
            <w:vMerge/>
            <w:tcBorders>
              <w:top w:val="single" w:sz="2" w:space="0" w:color="auto"/>
              <w:left w:val="nil"/>
              <w:bottom w:val="single" w:sz="4" w:space="0" w:color="000000"/>
            </w:tcBorders>
            <w:vAlign w:val="center"/>
            <w:hideMark/>
          </w:tcPr>
          <w:p w14:paraId="5C9016B6" w14:textId="77777777" w:rsidR="0088085F" w:rsidRPr="009361CC" w:rsidRDefault="0088085F" w:rsidP="00C13CE1">
            <w:pPr>
              <w:pStyle w:val="cuadroCabe"/>
              <w:rPr>
                <w:rFonts w:cs="Arial"/>
                <w:color w:val="000000" w:themeColor="text1"/>
                <w:sz w:val="16"/>
                <w:szCs w:val="16"/>
                <w:lang w:val="es-ES" w:eastAsia="es-ES"/>
              </w:rPr>
            </w:pPr>
          </w:p>
        </w:tc>
        <w:tc>
          <w:tcPr>
            <w:tcW w:w="253" w:type="pct"/>
            <w:tcBorders>
              <w:top w:val="single" w:sz="2" w:space="0" w:color="auto"/>
              <w:bottom w:val="single" w:sz="4" w:space="0" w:color="auto"/>
            </w:tcBorders>
            <w:shd w:val="clear" w:color="000000" w:fill="FABF8F"/>
            <w:vAlign w:val="center"/>
            <w:hideMark/>
          </w:tcPr>
          <w:p w14:paraId="1EC41AF6"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Kop.</w:t>
            </w:r>
          </w:p>
        </w:tc>
        <w:tc>
          <w:tcPr>
            <w:tcW w:w="589" w:type="pct"/>
            <w:tcBorders>
              <w:top w:val="single" w:sz="2" w:space="0" w:color="auto"/>
              <w:bottom w:val="single" w:sz="4" w:space="0" w:color="auto"/>
            </w:tcBorders>
            <w:shd w:val="clear" w:color="000000" w:fill="FABF8F"/>
            <w:vAlign w:val="center"/>
            <w:hideMark/>
          </w:tcPr>
          <w:p w14:paraId="644B16D9"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Zenbatekoa</w:t>
            </w:r>
          </w:p>
        </w:tc>
        <w:tc>
          <w:tcPr>
            <w:tcW w:w="241" w:type="pct"/>
            <w:tcBorders>
              <w:top w:val="single" w:sz="2" w:space="0" w:color="auto"/>
              <w:bottom w:val="single" w:sz="4" w:space="0" w:color="auto"/>
            </w:tcBorders>
            <w:shd w:val="clear" w:color="000000" w:fill="FABF8F"/>
            <w:vAlign w:val="center"/>
            <w:hideMark/>
          </w:tcPr>
          <w:p w14:paraId="2FB8679D"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Kop.</w:t>
            </w:r>
          </w:p>
        </w:tc>
        <w:tc>
          <w:tcPr>
            <w:tcW w:w="533" w:type="pct"/>
            <w:tcBorders>
              <w:top w:val="single" w:sz="2" w:space="0" w:color="auto"/>
              <w:bottom w:val="single" w:sz="4" w:space="0" w:color="auto"/>
            </w:tcBorders>
            <w:shd w:val="clear" w:color="000000" w:fill="FABF8F"/>
            <w:vAlign w:val="center"/>
            <w:hideMark/>
          </w:tcPr>
          <w:p w14:paraId="506BB146"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Zenbatekoa</w:t>
            </w:r>
          </w:p>
        </w:tc>
        <w:tc>
          <w:tcPr>
            <w:tcW w:w="254" w:type="pct"/>
            <w:tcBorders>
              <w:top w:val="single" w:sz="2" w:space="0" w:color="auto"/>
              <w:bottom w:val="single" w:sz="4" w:space="0" w:color="auto"/>
            </w:tcBorders>
            <w:shd w:val="clear" w:color="000000" w:fill="FABF8F"/>
            <w:vAlign w:val="center"/>
            <w:hideMark/>
          </w:tcPr>
          <w:p w14:paraId="4E7CAFF5" w14:textId="77777777" w:rsidR="0088085F" w:rsidRPr="009361CC" w:rsidRDefault="00117107" w:rsidP="001E5CF2">
            <w:pPr>
              <w:pStyle w:val="cuadroCabe"/>
              <w:ind w:right="-42"/>
              <w:jc w:val="right"/>
              <w:rPr>
                <w:rFonts w:cs="Arial"/>
                <w:color w:val="000000" w:themeColor="text1"/>
                <w:sz w:val="16"/>
                <w:szCs w:val="16"/>
              </w:rPr>
            </w:pPr>
            <w:r>
              <w:rPr>
                <w:color w:val="000000" w:themeColor="text1"/>
                <w:sz w:val="16"/>
                <w:szCs w:val="16"/>
              </w:rPr>
              <w:t xml:space="preserve"> Kop.</w:t>
            </w:r>
          </w:p>
        </w:tc>
        <w:tc>
          <w:tcPr>
            <w:tcW w:w="590" w:type="pct"/>
            <w:tcBorders>
              <w:top w:val="single" w:sz="2" w:space="0" w:color="auto"/>
              <w:bottom w:val="single" w:sz="4" w:space="0" w:color="auto"/>
            </w:tcBorders>
            <w:shd w:val="clear" w:color="000000" w:fill="FABF8F"/>
            <w:vAlign w:val="center"/>
            <w:hideMark/>
          </w:tcPr>
          <w:p w14:paraId="20772891" w14:textId="77777777" w:rsidR="0088085F" w:rsidRPr="009361CC" w:rsidRDefault="0088085F" w:rsidP="001E5CF2">
            <w:pPr>
              <w:pStyle w:val="cuadroCabe"/>
              <w:ind w:right="92"/>
              <w:jc w:val="right"/>
              <w:rPr>
                <w:rFonts w:cs="Arial"/>
                <w:color w:val="000000" w:themeColor="text1"/>
                <w:sz w:val="16"/>
                <w:szCs w:val="16"/>
              </w:rPr>
            </w:pPr>
            <w:r>
              <w:rPr>
                <w:color w:val="000000" w:themeColor="text1"/>
                <w:sz w:val="16"/>
                <w:szCs w:val="16"/>
              </w:rPr>
              <w:t>Zenbatekoa</w:t>
            </w:r>
          </w:p>
        </w:tc>
        <w:tc>
          <w:tcPr>
            <w:tcW w:w="185" w:type="pct"/>
            <w:tcBorders>
              <w:top w:val="single" w:sz="2" w:space="0" w:color="auto"/>
              <w:bottom w:val="single" w:sz="4" w:space="0" w:color="auto"/>
            </w:tcBorders>
            <w:shd w:val="clear" w:color="000000" w:fill="FABF8F"/>
            <w:vAlign w:val="center"/>
            <w:hideMark/>
          </w:tcPr>
          <w:p w14:paraId="165BFEFF" w14:textId="77777777" w:rsidR="0088085F" w:rsidRPr="009361CC" w:rsidRDefault="0088085F" w:rsidP="001E5CF2">
            <w:pPr>
              <w:pStyle w:val="cuadroCabe"/>
              <w:ind w:right="-59"/>
              <w:jc w:val="right"/>
              <w:rPr>
                <w:rFonts w:cs="Arial"/>
                <w:color w:val="000000" w:themeColor="text1"/>
                <w:sz w:val="16"/>
                <w:szCs w:val="16"/>
              </w:rPr>
            </w:pPr>
            <w:r>
              <w:rPr>
                <w:color w:val="000000" w:themeColor="text1"/>
                <w:sz w:val="16"/>
                <w:szCs w:val="16"/>
              </w:rPr>
              <w:t>Kop.</w:t>
            </w:r>
          </w:p>
        </w:tc>
        <w:tc>
          <w:tcPr>
            <w:tcW w:w="449" w:type="pct"/>
            <w:tcBorders>
              <w:top w:val="single" w:sz="2" w:space="0" w:color="auto"/>
              <w:bottom w:val="single" w:sz="4" w:space="0" w:color="auto"/>
            </w:tcBorders>
            <w:shd w:val="clear" w:color="000000" w:fill="FABF8F"/>
            <w:vAlign w:val="center"/>
            <w:hideMark/>
          </w:tcPr>
          <w:p w14:paraId="62523894"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Zenbatekoa</w:t>
            </w:r>
          </w:p>
        </w:tc>
        <w:tc>
          <w:tcPr>
            <w:tcW w:w="254" w:type="pct"/>
            <w:tcBorders>
              <w:top w:val="single" w:sz="2" w:space="0" w:color="auto"/>
              <w:bottom w:val="single" w:sz="4" w:space="0" w:color="auto"/>
            </w:tcBorders>
            <w:shd w:val="clear" w:color="000000" w:fill="FABF8F"/>
            <w:vAlign w:val="center"/>
            <w:hideMark/>
          </w:tcPr>
          <w:p w14:paraId="07516B99" w14:textId="77777777" w:rsidR="0088085F" w:rsidRPr="009361CC" w:rsidRDefault="00DE492F" w:rsidP="001E5CF2">
            <w:pPr>
              <w:pStyle w:val="cuadroCabe"/>
              <w:ind w:right="-57"/>
              <w:jc w:val="right"/>
              <w:rPr>
                <w:rFonts w:cs="Arial"/>
                <w:color w:val="000000" w:themeColor="text1"/>
                <w:sz w:val="16"/>
                <w:szCs w:val="16"/>
              </w:rPr>
            </w:pPr>
            <w:r>
              <w:rPr>
                <w:color w:val="000000" w:themeColor="text1"/>
                <w:sz w:val="16"/>
                <w:szCs w:val="16"/>
              </w:rPr>
              <w:t xml:space="preserve"> Kop.</w:t>
            </w:r>
          </w:p>
        </w:tc>
        <w:tc>
          <w:tcPr>
            <w:tcW w:w="621" w:type="pct"/>
            <w:tcBorders>
              <w:top w:val="single" w:sz="2" w:space="0" w:color="auto"/>
              <w:bottom w:val="single" w:sz="4" w:space="0" w:color="auto"/>
              <w:right w:val="nil"/>
            </w:tcBorders>
            <w:shd w:val="clear" w:color="000000" w:fill="FABF8F"/>
            <w:vAlign w:val="center"/>
            <w:hideMark/>
          </w:tcPr>
          <w:p w14:paraId="59997A49" w14:textId="77777777" w:rsidR="0088085F" w:rsidRPr="009361CC" w:rsidRDefault="0088085F" w:rsidP="001E5CF2">
            <w:pPr>
              <w:pStyle w:val="cuadroCabe"/>
              <w:jc w:val="right"/>
              <w:rPr>
                <w:rFonts w:cs="Arial"/>
                <w:color w:val="000000" w:themeColor="text1"/>
                <w:sz w:val="16"/>
                <w:szCs w:val="16"/>
              </w:rPr>
            </w:pPr>
            <w:r>
              <w:rPr>
                <w:color w:val="000000" w:themeColor="text1"/>
                <w:sz w:val="16"/>
                <w:szCs w:val="16"/>
              </w:rPr>
              <w:t>Zenbatekoa</w:t>
            </w:r>
          </w:p>
        </w:tc>
      </w:tr>
      <w:tr w:rsidR="0088085F" w:rsidRPr="006F00A7" w14:paraId="507893BE" w14:textId="77777777" w:rsidTr="00DE492F">
        <w:trPr>
          <w:trHeight w:val="227"/>
          <w:jc w:val="center"/>
        </w:trPr>
        <w:tc>
          <w:tcPr>
            <w:tcW w:w="1031" w:type="pct"/>
            <w:tcBorders>
              <w:top w:val="nil"/>
              <w:left w:val="nil"/>
              <w:bottom w:val="single" w:sz="2" w:space="0" w:color="auto"/>
            </w:tcBorders>
            <w:shd w:val="clear" w:color="auto" w:fill="auto"/>
            <w:noWrap/>
            <w:vAlign w:val="center"/>
            <w:hideMark/>
          </w:tcPr>
          <w:p w14:paraId="2DE85212" w14:textId="77777777" w:rsidR="0088085F" w:rsidRPr="006F00A7" w:rsidRDefault="0088085F" w:rsidP="00C13CE1">
            <w:pPr>
              <w:pStyle w:val="cuatexto"/>
              <w:rPr>
                <w:color w:val="000000" w:themeColor="text1"/>
                <w:sz w:val="17"/>
                <w:szCs w:val="17"/>
              </w:rPr>
            </w:pPr>
            <w:r>
              <w:rPr>
                <w:color w:val="000000" w:themeColor="text1"/>
                <w:sz w:val="17"/>
                <w:szCs w:val="17"/>
              </w:rPr>
              <w:t>Obrak</w:t>
            </w:r>
          </w:p>
        </w:tc>
        <w:tc>
          <w:tcPr>
            <w:tcW w:w="253" w:type="pct"/>
            <w:tcBorders>
              <w:top w:val="nil"/>
              <w:bottom w:val="single" w:sz="2" w:space="0" w:color="auto"/>
            </w:tcBorders>
            <w:shd w:val="clear" w:color="auto" w:fill="auto"/>
            <w:noWrap/>
            <w:vAlign w:val="center"/>
            <w:hideMark/>
          </w:tcPr>
          <w:p w14:paraId="44A15448" w14:textId="77777777" w:rsidR="0088085F" w:rsidRPr="006F00A7" w:rsidRDefault="0088085F" w:rsidP="001E5CF2">
            <w:pPr>
              <w:pStyle w:val="cuatexto"/>
              <w:jc w:val="right"/>
              <w:rPr>
                <w:color w:val="000000" w:themeColor="text1"/>
                <w:sz w:val="17"/>
                <w:szCs w:val="17"/>
              </w:rPr>
            </w:pPr>
            <w:r>
              <w:rPr>
                <w:color w:val="000000" w:themeColor="text1"/>
                <w:sz w:val="17"/>
                <w:szCs w:val="17"/>
              </w:rPr>
              <w:t>179</w:t>
            </w:r>
          </w:p>
        </w:tc>
        <w:tc>
          <w:tcPr>
            <w:tcW w:w="589" w:type="pct"/>
            <w:tcBorders>
              <w:top w:val="nil"/>
              <w:bottom w:val="single" w:sz="2" w:space="0" w:color="auto"/>
            </w:tcBorders>
            <w:shd w:val="clear" w:color="auto" w:fill="auto"/>
            <w:noWrap/>
            <w:vAlign w:val="center"/>
            <w:hideMark/>
          </w:tcPr>
          <w:p w14:paraId="7C2B1C87" w14:textId="77777777" w:rsidR="0088085F" w:rsidRPr="006F00A7" w:rsidRDefault="0088085F" w:rsidP="001E5CF2">
            <w:pPr>
              <w:pStyle w:val="cuatexto"/>
              <w:jc w:val="right"/>
              <w:rPr>
                <w:color w:val="000000" w:themeColor="text1"/>
                <w:sz w:val="17"/>
                <w:szCs w:val="17"/>
              </w:rPr>
            </w:pPr>
            <w:r>
              <w:rPr>
                <w:color w:val="000000" w:themeColor="text1"/>
                <w:sz w:val="17"/>
                <w:szCs w:val="17"/>
              </w:rPr>
              <w:t>60.850.906</w:t>
            </w:r>
          </w:p>
        </w:tc>
        <w:tc>
          <w:tcPr>
            <w:tcW w:w="241" w:type="pct"/>
            <w:tcBorders>
              <w:top w:val="nil"/>
              <w:bottom w:val="single" w:sz="2" w:space="0" w:color="auto"/>
            </w:tcBorders>
            <w:shd w:val="clear" w:color="auto" w:fill="auto"/>
            <w:noWrap/>
            <w:vAlign w:val="center"/>
            <w:hideMark/>
          </w:tcPr>
          <w:p w14:paraId="1CF26719" w14:textId="77777777" w:rsidR="0088085F" w:rsidRPr="006F00A7" w:rsidRDefault="0088085F" w:rsidP="001E5CF2">
            <w:pPr>
              <w:pStyle w:val="cuatexto"/>
              <w:jc w:val="right"/>
              <w:rPr>
                <w:color w:val="000000" w:themeColor="text1"/>
                <w:sz w:val="17"/>
                <w:szCs w:val="17"/>
              </w:rPr>
            </w:pPr>
            <w:r>
              <w:rPr>
                <w:color w:val="000000" w:themeColor="text1"/>
                <w:sz w:val="17"/>
                <w:szCs w:val="17"/>
              </w:rPr>
              <w:t>79</w:t>
            </w:r>
          </w:p>
        </w:tc>
        <w:tc>
          <w:tcPr>
            <w:tcW w:w="533" w:type="pct"/>
            <w:tcBorders>
              <w:top w:val="nil"/>
              <w:bottom w:val="single" w:sz="2" w:space="0" w:color="auto"/>
            </w:tcBorders>
            <w:shd w:val="clear" w:color="auto" w:fill="auto"/>
            <w:noWrap/>
            <w:vAlign w:val="center"/>
            <w:hideMark/>
          </w:tcPr>
          <w:p w14:paraId="1A69EDE5" w14:textId="77777777" w:rsidR="0088085F" w:rsidRPr="006F00A7" w:rsidRDefault="0088085F" w:rsidP="001E5CF2">
            <w:pPr>
              <w:pStyle w:val="cuatexto"/>
              <w:jc w:val="right"/>
              <w:rPr>
                <w:color w:val="000000" w:themeColor="text1"/>
                <w:sz w:val="17"/>
                <w:szCs w:val="17"/>
              </w:rPr>
            </w:pPr>
            <w:r>
              <w:rPr>
                <w:color w:val="000000" w:themeColor="text1"/>
                <w:sz w:val="17"/>
                <w:szCs w:val="17"/>
              </w:rPr>
              <w:t>6.008.396</w:t>
            </w:r>
          </w:p>
        </w:tc>
        <w:tc>
          <w:tcPr>
            <w:tcW w:w="254" w:type="pct"/>
            <w:tcBorders>
              <w:top w:val="nil"/>
              <w:bottom w:val="single" w:sz="2" w:space="0" w:color="auto"/>
            </w:tcBorders>
            <w:shd w:val="clear" w:color="auto" w:fill="auto"/>
            <w:noWrap/>
            <w:vAlign w:val="center"/>
            <w:hideMark/>
          </w:tcPr>
          <w:p w14:paraId="6CD82C6D" w14:textId="77777777" w:rsidR="0088085F" w:rsidRPr="006F00A7" w:rsidRDefault="0088085F" w:rsidP="001E5CF2">
            <w:pPr>
              <w:pStyle w:val="cuatexto"/>
              <w:jc w:val="right"/>
              <w:rPr>
                <w:color w:val="000000" w:themeColor="text1"/>
                <w:sz w:val="17"/>
                <w:szCs w:val="17"/>
              </w:rPr>
            </w:pPr>
            <w:r>
              <w:rPr>
                <w:color w:val="000000" w:themeColor="text1"/>
                <w:sz w:val="17"/>
                <w:szCs w:val="17"/>
              </w:rPr>
              <w:t>8</w:t>
            </w:r>
          </w:p>
        </w:tc>
        <w:tc>
          <w:tcPr>
            <w:tcW w:w="590" w:type="pct"/>
            <w:tcBorders>
              <w:top w:val="nil"/>
              <w:bottom w:val="single" w:sz="2" w:space="0" w:color="auto"/>
            </w:tcBorders>
            <w:shd w:val="clear" w:color="auto" w:fill="auto"/>
            <w:noWrap/>
            <w:vAlign w:val="center"/>
            <w:hideMark/>
          </w:tcPr>
          <w:p w14:paraId="3C2D4151" w14:textId="77777777" w:rsidR="0088085F" w:rsidRPr="006F00A7" w:rsidRDefault="0088085F" w:rsidP="001E5CF2">
            <w:pPr>
              <w:pStyle w:val="cuatexto"/>
              <w:ind w:right="92"/>
              <w:jc w:val="right"/>
              <w:rPr>
                <w:color w:val="000000" w:themeColor="text1"/>
                <w:sz w:val="17"/>
                <w:szCs w:val="17"/>
              </w:rPr>
            </w:pPr>
            <w:r>
              <w:rPr>
                <w:color w:val="000000" w:themeColor="text1"/>
                <w:sz w:val="17"/>
                <w:szCs w:val="17"/>
              </w:rPr>
              <w:t>1.031.934</w:t>
            </w:r>
          </w:p>
        </w:tc>
        <w:tc>
          <w:tcPr>
            <w:tcW w:w="185" w:type="pct"/>
            <w:tcBorders>
              <w:top w:val="nil"/>
              <w:bottom w:val="single" w:sz="2" w:space="0" w:color="auto"/>
            </w:tcBorders>
            <w:shd w:val="clear" w:color="auto" w:fill="auto"/>
            <w:noWrap/>
            <w:vAlign w:val="center"/>
            <w:hideMark/>
          </w:tcPr>
          <w:p w14:paraId="2F2F93AC" w14:textId="77777777" w:rsidR="0088085F" w:rsidRPr="006F00A7" w:rsidRDefault="0088085F" w:rsidP="001E5CF2">
            <w:pPr>
              <w:pStyle w:val="cuatexto"/>
              <w:ind w:right="-59"/>
              <w:jc w:val="right"/>
              <w:rPr>
                <w:color w:val="000000" w:themeColor="text1"/>
                <w:sz w:val="17"/>
                <w:szCs w:val="17"/>
              </w:rPr>
            </w:pPr>
            <w:r>
              <w:rPr>
                <w:color w:val="000000" w:themeColor="text1"/>
                <w:sz w:val="17"/>
                <w:szCs w:val="17"/>
              </w:rPr>
              <w:t> </w:t>
            </w:r>
          </w:p>
        </w:tc>
        <w:tc>
          <w:tcPr>
            <w:tcW w:w="449" w:type="pct"/>
            <w:tcBorders>
              <w:top w:val="nil"/>
              <w:bottom w:val="single" w:sz="2" w:space="0" w:color="auto"/>
            </w:tcBorders>
            <w:shd w:val="clear" w:color="auto" w:fill="auto"/>
            <w:noWrap/>
            <w:vAlign w:val="center"/>
            <w:hideMark/>
          </w:tcPr>
          <w:p w14:paraId="4F40FFC1"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254" w:type="pct"/>
            <w:tcBorders>
              <w:top w:val="nil"/>
              <w:bottom w:val="single" w:sz="2" w:space="0" w:color="auto"/>
            </w:tcBorders>
            <w:shd w:val="clear" w:color="auto" w:fill="auto"/>
            <w:noWrap/>
            <w:vAlign w:val="center"/>
            <w:hideMark/>
          </w:tcPr>
          <w:p w14:paraId="0BA079E4" w14:textId="77777777" w:rsidR="0088085F" w:rsidRPr="006F00A7" w:rsidRDefault="0088085F" w:rsidP="001E5CF2">
            <w:pPr>
              <w:pStyle w:val="cuatexto"/>
              <w:ind w:right="-57"/>
              <w:jc w:val="right"/>
              <w:rPr>
                <w:color w:val="000000" w:themeColor="text1"/>
                <w:sz w:val="17"/>
                <w:szCs w:val="17"/>
              </w:rPr>
            </w:pPr>
            <w:r>
              <w:rPr>
                <w:color w:val="000000" w:themeColor="text1"/>
                <w:sz w:val="17"/>
                <w:szCs w:val="17"/>
              </w:rPr>
              <w:t>266</w:t>
            </w:r>
          </w:p>
        </w:tc>
        <w:tc>
          <w:tcPr>
            <w:tcW w:w="621" w:type="pct"/>
            <w:tcBorders>
              <w:top w:val="nil"/>
              <w:bottom w:val="single" w:sz="2" w:space="0" w:color="auto"/>
              <w:right w:val="nil"/>
            </w:tcBorders>
            <w:shd w:val="clear" w:color="auto" w:fill="auto"/>
            <w:noWrap/>
            <w:vAlign w:val="center"/>
          </w:tcPr>
          <w:p w14:paraId="2670CD16" w14:textId="77777777" w:rsidR="0088085F" w:rsidRPr="006F00A7" w:rsidRDefault="0088085F" w:rsidP="001E5CF2">
            <w:pPr>
              <w:pStyle w:val="cuatexto"/>
              <w:jc w:val="right"/>
              <w:rPr>
                <w:color w:val="000000" w:themeColor="text1"/>
                <w:sz w:val="17"/>
                <w:szCs w:val="17"/>
              </w:rPr>
            </w:pPr>
            <w:r>
              <w:rPr>
                <w:color w:val="000000" w:themeColor="text1"/>
                <w:sz w:val="17"/>
                <w:szCs w:val="17"/>
              </w:rPr>
              <w:t>67.891.235</w:t>
            </w:r>
          </w:p>
        </w:tc>
      </w:tr>
      <w:tr w:rsidR="0088085F" w:rsidRPr="006F00A7" w14:paraId="25EC76BF" w14:textId="77777777" w:rsidTr="00DE492F">
        <w:trPr>
          <w:trHeight w:val="227"/>
          <w:jc w:val="center"/>
        </w:trPr>
        <w:tc>
          <w:tcPr>
            <w:tcW w:w="1031" w:type="pct"/>
            <w:tcBorders>
              <w:top w:val="single" w:sz="2" w:space="0" w:color="auto"/>
              <w:left w:val="nil"/>
              <w:bottom w:val="single" w:sz="2" w:space="0" w:color="auto"/>
            </w:tcBorders>
            <w:shd w:val="clear" w:color="auto" w:fill="auto"/>
            <w:noWrap/>
            <w:vAlign w:val="center"/>
            <w:hideMark/>
          </w:tcPr>
          <w:p w14:paraId="3CC8B631" w14:textId="77777777" w:rsidR="0088085F" w:rsidRPr="006F00A7" w:rsidRDefault="0088085F" w:rsidP="00C13CE1">
            <w:pPr>
              <w:pStyle w:val="cuatexto"/>
              <w:rPr>
                <w:color w:val="000000" w:themeColor="text1"/>
                <w:sz w:val="17"/>
                <w:szCs w:val="17"/>
              </w:rPr>
            </w:pPr>
            <w:r>
              <w:rPr>
                <w:color w:val="000000" w:themeColor="text1"/>
                <w:sz w:val="17"/>
                <w:szCs w:val="17"/>
              </w:rPr>
              <w:t>Zerbitzuak</w:t>
            </w:r>
          </w:p>
        </w:tc>
        <w:tc>
          <w:tcPr>
            <w:tcW w:w="253" w:type="pct"/>
            <w:tcBorders>
              <w:top w:val="single" w:sz="2" w:space="0" w:color="auto"/>
              <w:bottom w:val="single" w:sz="2" w:space="0" w:color="auto"/>
            </w:tcBorders>
            <w:shd w:val="clear" w:color="auto" w:fill="auto"/>
            <w:noWrap/>
            <w:vAlign w:val="center"/>
            <w:hideMark/>
          </w:tcPr>
          <w:p w14:paraId="7B024B4A" w14:textId="77777777" w:rsidR="0088085F" w:rsidRPr="006F00A7" w:rsidRDefault="0088085F" w:rsidP="001E5CF2">
            <w:pPr>
              <w:pStyle w:val="cuatexto"/>
              <w:jc w:val="right"/>
              <w:rPr>
                <w:color w:val="000000" w:themeColor="text1"/>
                <w:sz w:val="17"/>
                <w:szCs w:val="17"/>
              </w:rPr>
            </w:pPr>
            <w:r>
              <w:rPr>
                <w:color w:val="000000" w:themeColor="text1"/>
                <w:sz w:val="17"/>
                <w:szCs w:val="17"/>
              </w:rPr>
              <w:t>119</w:t>
            </w:r>
          </w:p>
        </w:tc>
        <w:tc>
          <w:tcPr>
            <w:tcW w:w="589" w:type="pct"/>
            <w:tcBorders>
              <w:top w:val="single" w:sz="2" w:space="0" w:color="auto"/>
              <w:bottom w:val="single" w:sz="2" w:space="0" w:color="auto"/>
            </w:tcBorders>
            <w:shd w:val="clear" w:color="auto" w:fill="auto"/>
            <w:noWrap/>
            <w:vAlign w:val="center"/>
            <w:hideMark/>
          </w:tcPr>
          <w:p w14:paraId="220F5FC1" w14:textId="77777777" w:rsidR="0088085F" w:rsidRPr="006F00A7" w:rsidRDefault="0088085F" w:rsidP="001E5CF2">
            <w:pPr>
              <w:pStyle w:val="cuatexto"/>
              <w:jc w:val="right"/>
              <w:rPr>
                <w:color w:val="000000" w:themeColor="text1"/>
                <w:sz w:val="17"/>
                <w:szCs w:val="17"/>
              </w:rPr>
            </w:pPr>
            <w:r>
              <w:rPr>
                <w:color w:val="000000" w:themeColor="text1"/>
                <w:sz w:val="17"/>
                <w:szCs w:val="17"/>
              </w:rPr>
              <w:t>18.568.470</w:t>
            </w:r>
          </w:p>
        </w:tc>
        <w:tc>
          <w:tcPr>
            <w:tcW w:w="241" w:type="pct"/>
            <w:tcBorders>
              <w:top w:val="single" w:sz="2" w:space="0" w:color="auto"/>
              <w:bottom w:val="single" w:sz="2" w:space="0" w:color="auto"/>
            </w:tcBorders>
            <w:shd w:val="clear" w:color="auto" w:fill="auto"/>
            <w:noWrap/>
            <w:vAlign w:val="center"/>
            <w:hideMark/>
          </w:tcPr>
          <w:p w14:paraId="42D92AFB" w14:textId="77777777" w:rsidR="0088085F" w:rsidRPr="006F00A7" w:rsidRDefault="0088085F" w:rsidP="001E5CF2">
            <w:pPr>
              <w:pStyle w:val="cuatexto"/>
              <w:jc w:val="right"/>
              <w:rPr>
                <w:color w:val="000000" w:themeColor="text1"/>
                <w:sz w:val="17"/>
                <w:szCs w:val="17"/>
              </w:rPr>
            </w:pPr>
            <w:r>
              <w:rPr>
                <w:color w:val="000000" w:themeColor="text1"/>
                <w:sz w:val="17"/>
                <w:szCs w:val="17"/>
              </w:rPr>
              <w:t>13</w:t>
            </w:r>
          </w:p>
        </w:tc>
        <w:tc>
          <w:tcPr>
            <w:tcW w:w="533" w:type="pct"/>
            <w:tcBorders>
              <w:top w:val="single" w:sz="2" w:space="0" w:color="auto"/>
              <w:bottom w:val="single" w:sz="2" w:space="0" w:color="auto"/>
            </w:tcBorders>
            <w:shd w:val="clear" w:color="auto" w:fill="auto"/>
            <w:noWrap/>
            <w:vAlign w:val="center"/>
            <w:hideMark/>
          </w:tcPr>
          <w:p w14:paraId="2052BE0C" w14:textId="77777777" w:rsidR="0088085F" w:rsidRPr="006F00A7" w:rsidRDefault="0088085F" w:rsidP="001E5CF2">
            <w:pPr>
              <w:pStyle w:val="cuatexto"/>
              <w:jc w:val="right"/>
              <w:rPr>
                <w:color w:val="000000" w:themeColor="text1"/>
                <w:sz w:val="17"/>
                <w:szCs w:val="17"/>
              </w:rPr>
            </w:pPr>
            <w:r>
              <w:rPr>
                <w:color w:val="000000" w:themeColor="text1"/>
                <w:sz w:val="17"/>
                <w:szCs w:val="17"/>
              </w:rPr>
              <w:t>264.367</w:t>
            </w:r>
          </w:p>
        </w:tc>
        <w:tc>
          <w:tcPr>
            <w:tcW w:w="254" w:type="pct"/>
            <w:tcBorders>
              <w:top w:val="single" w:sz="2" w:space="0" w:color="auto"/>
              <w:bottom w:val="single" w:sz="2" w:space="0" w:color="auto"/>
            </w:tcBorders>
            <w:shd w:val="clear" w:color="auto" w:fill="auto"/>
            <w:noWrap/>
            <w:vAlign w:val="center"/>
            <w:hideMark/>
          </w:tcPr>
          <w:p w14:paraId="21518430" w14:textId="77777777" w:rsidR="0088085F" w:rsidRPr="006F00A7" w:rsidRDefault="0088085F" w:rsidP="001E5CF2">
            <w:pPr>
              <w:pStyle w:val="cuatexto"/>
              <w:jc w:val="right"/>
              <w:rPr>
                <w:color w:val="000000" w:themeColor="text1"/>
                <w:sz w:val="17"/>
                <w:szCs w:val="17"/>
              </w:rPr>
            </w:pPr>
            <w:r>
              <w:rPr>
                <w:color w:val="000000" w:themeColor="text1"/>
                <w:sz w:val="17"/>
                <w:szCs w:val="17"/>
              </w:rPr>
              <w:t>12</w:t>
            </w:r>
          </w:p>
        </w:tc>
        <w:tc>
          <w:tcPr>
            <w:tcW w:w="590" w:type="pct"/>
            <w:tcBorders>
              <w:top w:val="single" w:sz="2" w:space="0" w:color="auto"/>
              <w:bottom w:val="single" w:sz="2" w:space="0" w:color="auto"/>
            </w:tcBorders>
            <w:shd w:val="clear" w:color="auto" w:fill="auto"/>
            <w:noWrap/>
            <w:vAlign w:val="center"/>
            <w:hideMark/>
          </w:tcPr>
          <w:p w14:paraId="4F48F742" w14:textId="77777777" w:rsidR="0088085F" w:rsidRPr="006F00A7" w:rsidRDefault="0088085F" w:rsidP="001E5CF2">
            <w:pPr>
              <w:pStyle w:val="cuatexto"/>
              <w:ind w:right="92"/>
              <w:jc w:val="right"/>
              <w:rPr>
                <w:color w:val="000000" w:themeColor="text1"/>
                <w:sz w:val="17"/>
                <w:szCs w:val="17"/>
              </w:rPr>
            </w:pPr>
            <w:r>
              <w:rPr>
                <w:color w:val="000000" w:themeColor="text1"/>
                <w:sz w:val="17"/>
                <w:szCs w:val="17"/>
              </w:rPr>
              <w:t>721.218</w:t>
            </w:r>
          </w:p>
        </w:tc>
        <w:tc>
          <w:tcPr>
            <w:tcW w:w="185" w:type="pct"/>
            <w:tcBorders>
              <w:top w:val="single" w:sz="2" w:space="0" w:color="auto"/>
              <w:bottom w:val="single" w:sz="2" w:space="0" w:color="auto"/>
            </w:tcBorders>
            <w:shd w:val="clear" w:color="auto" w:fill="auto"/>
            <w:noWrap/>
            <w:vAlign w:val="center"/>
            <w:hideMark/>
          </w:tcPr>
          <w:p w14:paraId="3D42864E" w14:textId="77777777" w:rsidR="0088085F" w:rsidRPr="006F00A7" w:rsidRDefault="0088085F" w:rsidP="001E5CF2">
            <w:pPr>
              <w:pStyle w:val="cuatexto"/>
              <w:ind w:right="-59"/>
              <w:jc w:val="right"/>
              <w:rPr>
                <w:color w:val="000000" w:themeColor="text1"/>
                <w:sz w:val="17"/>
                <w:szCs w:val="17"/>
              </w:rPr>
            </w:pPr>
            <w:r>
              <w:rPr>
                <w:color w:val="000000" w:themeColor="text1"/>
                <w:sz w:val="17"/>
                <w:szCs w:val="17"/>
              </w:rPr>
              <w:t>6</w:t>
            </w:r>
          </w:p>
        </w:tc>
        <w:tc>
          <w:tcPr>
            <w:tcW w:w="449" w:type="pct"/>
            <w:tcBorders>
              <w:top w:val="single" w:sz="2" w:space="0" w:color="auto"/>
              <w:bottom w:val="single" w:sz="2" w:space="0" w:color="auto"/>
            </w:tcBorders>
            <w:shd w:val="clear" w:color="auto" w:fill="auto"/>
            <w:noWrap/>
            <w:vAlign w:val="center"/>
            <w:hideMark/>
          </w:tcPr>
          <w:p w14:paraId="3C272452" w14:textId="77777777" w:rsidR="0088085F" w:rsidRPr="006F00A7" w:rsidRDefault="0088085F" w:rsidP="001E5CF2">
            <w:pPr>
              <w:pStyle w:val="cuatexto"/>
              <w:jc w:val="right"/>
              <w:rPr>
                <w:color w:val="000000" w:themeColor="text1"/>
                <w:sz w:val="17"/>
                <w:szCs w:val="17"/>
              </w:rPr>
            </w:pPr>
            <w:r>
              <w:rPr>
                <w:color w:val="000000" w:themeColor="text1"/>
                <w:sz w:val="17"/>
                <w:szCs w:val="17"/>
              </w:rPr>
              <w:t>151.809</w:t>
            </w:r>
          </w:p>
        </w:tc>
        <w:tc>
          <w:tcPr>
            <w:tcW w:w="254" w:type="pct"/>
            <w:tcBorders>
              <w:top w:val="single" w:sz="2" w:space="0" w:color="auto"/>
              <w:bottom w:val="single" w:sz="2" w:space="0" w:color="auto"/>
            </w:tcBorders>
            <w:shd w:val="clear" w:color="auto" w:fill="auto"/>
            <w:noWrap/>
            <w:vAlign w:val="center"/>
            <w:hideMark/>
          </w:tcPr>
          <w:p w14:paraId="44A92A4A" w14:textId="77777777" w:rsidR="0088085F" w:rsidRPr="006F00A7" w:rsidRDefault="0088085F" w:rsidP="001E5CF2">
            <w:pPr>
              <w:pStyle w:val="cuatexto"/>
              <w:ind w:right="-57"/>
              <w:jc w:val="right"/>
              <w:rPr>
                <w:color w:val="000000" w:themeColor="text1"/>
                <w:sz w:val="17"/>
                <w:szCs w:val="17"/>
              </w:rPr>
            </w:pPr>
            <w:r>
              <w:rPr>
                <w:color w:val="000000" w:themeColor="text1"/>
                <w:sz w:val="17"/>
                <w:szCs w:val="17"/>
              </w:rPr>
              <w:t>150</w:t>
            </w:r>
          </w:p>
        </w:tc>
        <w:tc>
          <w:tcPr>
            <w:tcW w:w="621" w:type="pct"/>
            <w:tcBorders>
              <w:top w:val="single" w:sz="2" w:space="0" w:color="auto"/>
              <w:bottom w:val="single" w:sz="2" w:space="0" w:color="auto"/>
              <w:right w:val="nil"/>
            </w:tcBorders>
            <w:shd w:val="clear" w:color="auto" w:fill="auto"/>
            <w:noWrap/>
            <w:vAlign w:val="center"/>
          </w:tcPr>
          <w:p w14:paraId="28C8442F" w14:textId="77777777" w:rsidR="0088085F" w:rsidRPr="006F00A7" w:rsidRDefault="0088085F" w:rsidP="001E5CF2">
            <w:pPr>
              <w:pStyle w:val="cuatexto"/>
              <w:jc w:val="right"/>
              <w:rPr>
                <w:color w:val="000000" w:themeColor="text1"/>
                <w:sz w:val="17"/>
                <w:szCs w:val="17"/>
              </w:rPr>
            </w:pPr>
            <w:r>
              <w:rPr>
                <w:color w:val="000000" w:themeColor="text1"/>
                <w:sz w:val="17"/>
                <w:szCs w:val="17"/>
              </w:rPr>
              <w:t>19.705.864</w:t>
            </w:r>
          </w:p>
        </w:tc>
      </w:tr>
      <w:tr w:rsidR="0088085F" w:rsidRPr="006F00A7" w14:paraId="5C08BDB3" w14:textId="77777777" w:rsidTr="00DE492F">
        <w:trPr>
          <w:trHeight w:val="227"/>
          <w:jc w:val="center"/>
        </w:trPr>
        <w:tc>
          <w:tcPr>
            <w:tcW w:w="1031" w:type="pct"/>
            <w:tcBorders>
              <w:top w:val="single" w:sz="2" w:space="0" w:color="auto"/>
              <w:left w:val="nil"/>
              <w:bottom w:val="single" w:sz="2" w:space="0" w:color="auto"/>
            </w:tcBorders>
            <w:shd w:val="clear" w:color="auto" w:fill="auto"/>
            <w:noWrap/>
            <w:vAlign w:val="center"/>
            <w:hideMark/>
          </w:tcPr>
          <w:p w14:paraId="7B9455A6" w14:textId="77777777" w:rsidR="0088085F" w:rsidRPr="006F00A7" w:rsidRDefault="0088085F" w:rsidP="00C13CE1">
            <w:pPr>
              <w:pStyle w:val="cuatexto"/>
              <w:rPr>
                <w:color w:val="000000" w:themeColor="text1"/>
                <w:sz w:val="17"/>
                <w:szCs w:val="17"/>
              </w:rPr>
            </w:pPr>
            <w:r>
              <w:rPr>
                <w:color w:val="000000" w:themeColor="text1"/>
                <w:sz w:val="17"/>
                <w:szCs w:val="17"/>
              </w:rPr>
              <w:t>Hornidurak</w:t>
            </w:r>
          </w:p>
        </w:tc>
        <w:tc>
          <w:tcPr>
            <w:tcW w:w="253" w:type="pct"/>
            <w:tcBorders>
              <w:top w:val="single" w:sz="2" w:space="0" w:color="auto"/>
              <w:bottom w:val="single" w:sz="2" w:space="0" w:color="auto"/>
            </w:tcBorders>
            <w:shd w:val="clear" w:color="auto" w:fill="auto"/>
            <w:noWrap/>
            <w:vAlign w:val="center"/>
            <w:hideMark/>
          </w:tcPr>
          <w:p w14:paraId="04A6C076" w14:textId="77777777" w:rsidR="0088085F" w:rsidRPr="006F00A7" w:rsidRDefault="0088085F" w:rsidP="001E5CF2">
            <w:pPr>
              <w:pStyle w:val="cuatexto"/>
              <w:jc w:val="right"/>
              <w:rPr>
                <w:color w:val="000000" w:themeColor="text1"/>
                <w:sz w:val="17"/>
                <w:szCs w:val="17"/>
              </w:rPr>
            </w:pPr>
            <w:r>
              <w:rPr>
                <w:color w:val="000000" w:themeColor="text1"/>
                <w:sz w:val="17"/>
                <w:szCs w:val="17"/>
              </w:rPr>
              <w:t>62</w:t>
            </w:r>
          </w:p>
        </w:tc>
        <w:tc>
          <w:tcPr>
            <w:tcW w:w="589" w:type="pct"/>
            <w:tcBorders>
              <w:top w:val="single" w:sz="2" w:space="0" w:color="auto"/>
              <w:bottom w:val="single" w:sz="2" w:space="0" w:color="auto"/>
            </w:tcBorders>
            <w:shd w:val="clear" w:color="auto" w:fill="auto"/>
            <w:noWrap/>
            <w:vAlign w:val="center"/>
            <w:hideMark/>
          </w:tcPr>
          <w:p w14:paraId="0C322BCA" w14:textId="77777777" w:rsidR="0088085F" w:rsidRPr="006F00A7" w:rsidRDefault="0088085F" w:rsidP="001E5CF2">
            <w:pPr>
              <w:pStyle w:val="cuatexto"/>
              <w:jc w:val="right"/>
              <w:rPr>
                <w:color w:val="000000" w:themeColor="text1"/>
                <w:sz w:val="17"/>
                <w:szCs w:val="17"/>
              </w:rPr>
            </w:pPr>
            <w:r>
              <w:rPr>
                <w:color w:val="000000" w:themeColor="text1"/>
                <w:sz w:val="17"/>
                <w:szCs w:val="17"/>
              </w:rPr>
              <w:t>14.053.107</w:t>
            </w:r>
          </w:p>
        </w:tc>
        <w:tc>
          <w:tcPr>
            <w:tcW w:w="241" w:type="pct"/>
            <w:tcBorders>
              <w:top w:val="single" w:sz="2" w:space="0" w:color="auto"/>
              <w:bottom w:val="single" w:sz="2" w:space="0" w:color="auto"/>
            </w:tcBorders>
            <w:shd w:val="clear" w:color="auto" w:fill="auto"/>
            <w:noWrap/>
            <w:vAlign w:val="center"/>
            <w:hideMark/>
          </w:tcPr>
          <w:p w14:paraId="7BC68B58" w14:textId="77777777" w:rsidR="0088085F" w:rsidRPr="006F00A7" w:rsidRDefault="0088085F" w:rsidP="001E5CF2">
            <w:pPr>
              <w:pStyle w:val="cuatexto"/>
              <w:jc w:val="right"/>
              <w:rPr>
                <w:color w:val="000000" w:themeColor="text1"/>
                <w:sz w:val="17"/>
                <w:szCs w:val="17"/>
              </w:rPr>
            </w:pPr>
            <w:r>
              <w:rPr>
                <w:color w:val="000000" w:themeColor="text1"/>
                <w:sz w:val="17"/>
                <w:szCs w:val="17"/>
              </w:rPr>
              <w:t>12</w:t>
            </w:r>
          </w:p>
        </w:tc>
        <w:tc>
          <w:tcPr>
            <w:tcW w:w="533" w:type="pct"/>
            <w:tcBorders>
              <w:top w:val="single" w:sz="2" w:space="0" w:color="auto"/>
              <w:bottom w:val="single" w:sz="2" w:space="0" w:color="auto"/>
            </w:tcBorders>
            <w:shd w:val="clear" w:color="auto" w:fill="auto"/>
            <w:noWrap/>
            <w:vAlign w:val="center"/>
            <w:hideMark/>
          </w:tcPr>
          <w:p w14:paraId="0ADC9A32" w14:textId="77777777" w:rsidR="0088085F" w:rsidRPr="006F00A7" w:rsidRDefault="0088085F" w:rsidP="001E5CF2">
            <w:pPr>
              <w:pStyle w:val="cuatexto"/>
              <w:jc w:val="right"/>
              <w:rPr>
                <w:color w:val="000000" w:themeColor="text1"/>
                <w:sz w:val="17"/>
                <w:szCs w:val="17"/>
              </w:rPr>
            </w:pPr>
            <w:r>
              <w:rPr>
                <w:color w:val="000000" w:themeColor="text1"/>
                <w:sz w:val="17"/>
                <w:szCs w:val="17"/>
              </w:rPr>
              <w:t>404.045</w:t>
            </w:r>
          </w:p>
        </w:tc>
        <w:tc>
          <w:tcPr>
            <w:tcW w:w="254" w:type="pct"/>
            <w:tcBorders>
              <w:top w:val="single" w:sz="2" w:space="0" w:color="auto"/>
              <w:bottom w:val="single" w:sz="2" w:space="0" w:color="auto"/>
            </w:tcBorders>
            <w:shd w:val="clear" w:color="auto" w:fill="auto"/>
            <w:noWrap/>
            <w:vAlign w:val="center"/>
            <w:hideMark/>
          </w:tcPr>
          <w:p w14:paraId="4C1420F1" w14:textId="77777777" w:rsidR="0088085F" w:rsidRPr="006F00A7" w:rsidRDefault="0088085F" w:rsidP="001E5CF2">
            <w:pPr>
              <w:pStyle w:val="cuatexto"/>
              <w:jc w:val="right"/>
              <w:rPr>
                <w:color w:val="000000" w:themeColor="text1"/>
                <w:sz w:val="17"/>
                <w:szCs w:val="17"/>
              </w:rPr>
            </w:pPr>
            <w:r>
              <w:rPr>
                <w:color w:val="000000" w:themeColor="text1"/>
                <w:sz w:val="17"/>
                <w:szCs w:val="17"/>
              </w:rPr>
              <w:t>1</w:t>
            </w:r>
          </w:p>
        </w:tc>
        <w:tc>
          <w:tcPr>
            <w:tcW w:w="590" w:type="pct"/>
            <w:tcBorders>
              <w:top w:val="single" w:sz="2" w:space="0" w:color="auto"/>
              <w:bottom w:val="single" w:sz="2" w:space="0" w:color="auto"/>
            </w:tcBorders>
            <w:shd w:val="clear" w:color="auto" w:fill="auto"/>
            <w:noWrap/>
            <w:vAlign w:val="center"/>
            <w:hideMark/>
          </w:tcPr>
          <w:p w14:paraId="3B40A0E8" w14:textId="77777777" w:rsidR="0088085F" w:rsidRPr="006F00A7" w:rsidRDefault="0088085F" w:rsidP="001E5CF2">
            <w:pPr>
              <w:pStyle w:val="cuatexto"/>
              <w:ind w:right="92"/>
              <w:jc w:val="right"/>
              <w:rPr>
                <w:color w:val="000000" w:themeColor="text1"/>
                <w:sz w:val="17"/>
                <w:szCs w:val="17"/>
              </w:rPr>
            </w:pPr>
            <w:r>
              <w:rPr>
                <w:color w:val="000000" w:themeColor="text1"/>
                <w:sz w:val="17"/>
                <w:szCs w:val="17"/>
              </w:rPr>
              <w:t>43.605</w:t>
            </w:r>
          </w:p>
        </w:tc>
        <w:tc>
          <w:tcPr>
            <w:tcW w:w="185" w:type="pct"/>
            <w:tcBorders>
              <w:top w:val="single" w:sz="2" w:space="0" w:color="auto"/>
              <w:bottom w:val="single" w:sz="2" w:space="0" w:color="auto"/>
            </w:tcBorders>
            <w:shd w:val="clear" w:color="auto" w:fill="auto"/>
            <w:noWrap/>
            <w:vAlign w:val="center"/>
            <w:hideMark/>
          </w:tcPr>
          <w:p w14:paraId="3969B894"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449" w:type="pct"/>
            <w:tcBorders>
              <w:top w:val="single" w:sz="2" w:space="0" w:color="auto"/>
              <w:bottom w:val="single" w:sz="2" w:space="0" w:color="auto"/>
            </w:tcBorders>
            <w:shd w:val="clear" w:color="auto" w:fill="auto"/>
            <w:noWrap/>
            <w:vAlign w:val="center"/>
            <w:hideMark/>
          </w:tcPr>
          <w:p w14:paraId="27DAC681"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254" w:type="pct"/>
            <w:tcBorders>
              <w:top w:val="single" w:sz="2" w:space="0" w:color="auto"/>
              <w:bottom w:val="single" w:sz="2" w:space="0" w:color="auto"/>
            </w:tcBorders>
            <w:shd w:val="clear" w:color="auto" w:fill="auto"/>
            <w:noWrap/>
            <w:vAlign w:val="center"/>
            <w:hideMark/>
          </w:tcPr>
          <w:p w14:paraId="0EFE1A4F" w14:textId="77777777" w:rsidR="0088085F" w:rsidRPr="006F00A7" w:rsidRDefault="0088085F" w:rsidP="001E5CF2">
            <w:pPr>
              <w:pStyle w:val="cuatexto"/>
              <w:ind w:right="-57"/>
              <w:jc w:val="right"/>
              <w:rPr>
                <w:color w:val="000000" w:themeColor="text1"/>
                <w:sz w:val="17"/>
                <w:szCs w:val="17"/>
              </w:rPr>
            </w:pPr>
            <w:r>
              <w:rPr>
                <w:color w:val="000000" w:themeColor="text1"/>
                <w:sz w:val="17"/>
                <w:szCs w:val="17"/>
              </w:rPr>
              <w:t>75</w:t>
            </w:r>
          </w:p>
        </w:tc>
        <w:tc>
          <w:tcPr>
            <w:tcW w:w="621" w:type="pct"/>
            <w:tcBorders>
              <w:top w:val="single" w:sz="2" w:space="0" w:color="auto"/>
              <w:bottom w:val="single" w:sz="2" w:space="0" w:color="auto"/>
              <w:right w:val="nil"/>
            </w:tcBorders>
            <w:shd w:val="clear" w:color="auto" w:fill="auto"/>
            <w:noWrap/>
            <w:vAlign w:val="center"/>
          </w:tcPr>
          <w:p w14:paraId="4543FB33" w14:textId="77777777" w:rsidR="0088085F" w:rsidRPr="006F00A7" w:rsidRDefault="0088085F" w:rsidP="001E5CF2">
            <w:pPr>
              <w:pStyle w:val="cuatexto"/>
              <w:jc w:val="right"/>
              <w:rPr>
                <w:color w:val="000000" w:themeColor="text1"/>
                <w:sz w:val="17"/>
                <w:szCs w:val="17"/>
              </w:rPr>
            </w:pPr>
            <w:r>
              <w:rPr>
                <w:color w:val="000000" w:themeColor="text1"/>
                <w:sz w:val="17"/>
                <w:szCs w:val="17"/>
              </w:rPr>
              <w:t>14.500.757</w:t>
            </w:r>
          </w:p>
        </w:tc>
      </w:tr>
      <w:tr w:rsidR="0088085F" w:rsidRPr="006F00A7" w14:paraId="4ED158AD" w14:textId="77777777" w:rsidTr="00DE492F">
        <w:trPr>
          <w:trHeight w:val="227"/>
          <w:jc w:val="center"/>
        </w:trPr>
        <w:tc>
          <w:tcPr>
            <w:tcW w:w="1031" w:type="pct"/>
            <w:tcBorders>
              <w:top w:val="single" w:sz="2" w:space="0" w:color="auto"/>
              <w:left w:val="nil"/>
              <w:bottom w:val="single" w:sz="4" w:space="0" w:color="auto"/>
            </w:tcBorders>
            <w:shd w:val="clear" w:color="auto" w:fill="auto"/>
            <w:noWrap/>
            <w:vAlign w:val="center"/>
            <w:hideMark/>
          </w:tcPr>
          <w:p w14:paraId="566264A0" w14:textId="77777777" w:rsidR="0088085F" w:rsidRPr="006F00A7" w:rsidRDefault="0088085F" w:rsidP="00C13CE1">
            <w:pPr>
              <w:pStyle w:val="cuatexto"/>
              <w:rPr>
                <w:color w:val="000000" w:themeColor="text1"/>
                <w:sz w:val="17"/>
                <w:szCs w:val="17"/>
              </w:rPr>
            </w:pPr>
            <w:r>
              <w:rPr>
                <w:color w:val="000000" w:themeColor="text1"/>
                <w:sz w:val="17"/>
                <w:szCs w:val="17"/>
              </w:rPr>
              <w:t>Zerbitzu emakidak</w:t>
            </w:r>
          </w:p>
        </w:tc>
        <w:tc>
          <w:tcPr>
            <w:tcW w:w="253" w:type="pct"/>
            <w:tcBorders>
              <w:top w:val="single" w:sz="2" w:space="0" w:color="auto"/>
              <w:bottom w:val="single" w:sz="4" w:space="0" w:color="auto"/>
            </w:tcBorders>
            <w:shd w:val="clear" w:color="auto" w:fill="auto"/>
            <w:noWrap/>
            <w:vAlign w:val="center"/>
            <w:hideMark/>
          </w:tcPr>
          <w:p w14:paraId="17BB3DD9" w14:textId="77777777" w:rsidR="0088085F" w:rsidRPr="006F00A7" w:rsidRDefault="0088085F" w:rsidP="001E5CF2">
            <w:pPr>
              <w:pStyle w:val="cuatexto"/>
              <w:jc w:val="right"/>
              <w:rPr>
                <w:color w:val="000000" w:themeColor="text1"/>
                <w:sz w:val="17"/>
                <w:szCs w:val="17"/>
              </w:rPr>
            </w:pPr>
            <w:r>
              <w:rPr>
                <w:color w:val="000000" w:themeColor="text1"/>
                <w:sz w:val="17"/>
                <w:szCs w:val="17"/>
              </w:rPr>
              <w:t>13</w:t>
            </w:r>
          </w:p>
        </w:tc>
        <w:tc>
          <w:tcPr>
            <w:tcW w:w="589" w:type="pct"/>
            <w:tcBorders>
              <w:top w:val="single" w:sz="2" w:space="0" w:color="auto"/>
              <w:bottom w:val="single" w:sz="4" w:space="0" w:color="auto"/>
            </w:tcBorders>
            <w:shd w:val="clear" w:color="auto" w:fill="auto"/>
            <w:noWrap/>
            <w:vAlign w:val="center"/>
            <w:hideMark/>
          </w:tcPr>
          <w:p w14:paraId="05405AA5" w14:textId="77777777" w:rsidR="0088085F" w:rsidRPr="006F00A7" w:rsidRDefault="0088085F" w:rsidP="001E5CF2">
            <w:pPr>
              <w:pStyle w:val="cuatexto"/>
              <w:jc w:val="right"/>
              <w:rPr>
                <w:color w:val="000000" w:themeColor="text1"/>
                <w:sz w:val="17"/>
                <w:szCs w:val="17"/>
              </w:rPr>
            </w:pPr>
            <w:r>
              <w:rPr>
                <w:color w:val="000000" w:themeColor="text1"/>
                <w:sz w:val="17"/>
                <w:szCs w:val="17"/>
              </w:rPr>
              <w:t>240.862</w:t>
            </w:r>
          </w:p>
        </w:tc>
        <w:tc>
          <w:tcPr>
            <w:tcW w:w="241" w:type="pct"/>
            <w:tcBorders>
              <w:top w:val="single" w:sz="2" w:space="0" w:color="auto"/>
              <w:bottom w:val="single" w:sz="4" w:space="0" w:color="auto"/>
            </w:tcBorders>
            <w:shd w:val="clear" w:color="auto" w:fill="auto"/>
            <w:noWrap/>
            <w:vAlign w:val="center"/>
          </w:tcPr>
          <w:p w14:paraId="10E210E2" w14:textId="77777777" w:rsidR="0088085F" w:rsidRPr="006F00A7" w:rsidRDefault="0088085F" w:rsidP="001E5CF2">
            <w:pPr>
              <w:pStyle w:val="cuatexto"/>
              <w:jc w:val="right"/>
              <w:rPr>
                <w:color w:val="000000" w:themeColor="text1"/>
                <w:sz w:val="17"/>
                <w:szCs w:val="17"/>
                <w:lang w:val="es-ES" w:eastAsia="es-ES"/>
              </w:rPr>
            </w:pPr>
          </w:p>
        </w:tc>
        <w:tc>
          <w:tcPr>
            <w:tcW w:w="533" w:type="pct"/>
            <w:tcBorders>
              <w:top w:val="single" w:sz="2" w:space="0" w:color="auto"/>
              <w:bottom w:val="single" w:sz="4" w:space="0" w:color="auto"/>
            </w:tcBorders>
            <w:shd w:val="clear" w:color="auto" w:fill="auto"/>
            <w:noWrap/>
            <w:vAlign w:val="center"/>
          </w:tcPr>
          <w:p w14:paraId="4BAE76A2" w14:textId="77777777" w:rsidR="0088085F" w:rsidRPr="006F00A7" w:rsidRDefault="0088085F" w:rsidP="001E5CF2">
            <w:pPr>
              <w:pStyle w:val="cuatexto"/>
              <w:jc w:val="right"/>
              <w:rPr>
                <w:color w:val="000000" w:themeColor="text1"/>
                <w:sz w:val="17"/>
                <w:szCs w:val="17"/>
                <w:lang w:val="es-ES" w:eastAsia="es-ES"/>
              </w:rPr>
            </w:pPr>
          </w:p>
        </w:tc>
        <w:tc>
          <w:tcPr>
            <w:tcW w:w="254" w:type="pct"/>
            <w:tcBorders>
              <w:top w:val="single" w:sz="2" w:space="0" w:color="auto"/>
              <w:bottom w:val="single" w:sz="4" w:space="0" w:color="auto"/>
            </w:tcBorders>
            <w:shd w:val="clear" w:color="auto" w:fill="auto"/>
            <w:noWrap/>
            <w:vAlign w:val="center"/>
            <w:hideMark/>
          </w:tcPr>
          <w:p w14:paraId="7F09F818"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590" w:type="pct"/>
            <w:tcBorders>
              <w:top w:val="single" w:sz="2" w:space="0" w:color="auto"/>
              <w:bottom w:val="single" w:sz="4" w:space="0" w:color="auto"/>
            </w:tcBorders>
            <w:shd w:val="clear" w:color="auto" w:fill="auto"/>
            <w:noWrap/>
            <w:vAlign w:val="center"/>
            <w:hideMark/>
          </w:tcPr>
          <w:p w14:paraId="3C7FA95B"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185" w:type="pct"/>
            <w:tcBorders>
              <w:top w:val="single" w:sz="2" w:space="0" w:color="auto"/>
              <w:bottom w:val="single" w:sz="4" w:space="0" w:color="auto"/>
            </w:tcBorders>
            <w:shd w:val="clear" w:color="auto" w:fill="auto"/>
            <w:noWrap/>
            <w:vAlign w:val="center"/>
            <w:hideMark/>
          </w:tcPr>
          <w:p w14:paraId="0890CC9F"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449" w:type="pct"/>
            <w:tcBorders>
              <w:top w:val="single" w:sz="2" w:space="0" w:color="auto"/>
              <w:bottom w:val="single" w:sz="4" w:space="0" w:color="auto"/>
            </w:tcBorders>
            <w:shd w:val="clear" w:color="auto" w:fill="auto"/>
            <w:noWrap/>
            <w:vAlign w:val="center"/>
            <w:hideMark/>
          </w:tcPr>
          <w:p w14:paraId="3606AAF5" w14:textId="77777777" w:rsidR="0088085F" w:rsidRPr="006F00A7" w:rsidRDefault="0088085F" w:rsidP="001E5CF2">
            <w:pPr>
              <w:pStyle w:val="cuatexto"/>
              <w:jc w:val="right"/>
              <w:rPr>
                <w:color w:val="000000" w:themeColor="text1"/>
                <w:sz w:val="17"/>
                <w:szCs w:val="17"/>
              </w:rPr>
            </w:pPr>
            <w:r>
              <w:rPr>
                <w:color w:val="000000" w:themeColor="text1"/>
                <w:sz w:val="17"/>
                <w:szCs w:val="17"/>
              </w:rPr>
              <w:t> </w:t>
            </w:r>
          </w:p>
        </w:tc>
        <w:tc>
          <w:tcPr>
            <w:tcW w:w="254" w:type="pct"/>
            <w:tcBorders>
              <w:top w:val="single" w:sz="2" w:space="0" w:color="auto"/>
              <w:bottom w:val="single" w:sz="4" w:space="0" w:color="auto"/>
            </w:tcBorders>
            <w:shd w:val="clear" w:color="auto" w:fill="auto"/>
            <w:noWrap/>
            <w:vAlign w:val="center"/>
            <w:hideMark/>
          </w:tcPr>
          <w:p w14:paraId="38D93F83" w14:textId="77777777" w:rsidR="0088085F" w:rsidRPr="006F00A7" w:rsidRDefault="0088085F" w:rsidP="001E5CF2">
            <w:pPr>
              <w:pStyle w:val="cuatexto"/>
              <w:ind w:right="-57"/>
              <w:jc w:val="right"/>
              <w:rPr>
                <w:color w:val="000000" w:themeColor="text1"/>
                <w:sz w:val="17"/>
                <w:szCs w:val="17"/>
              </w:rPr>
            </w:pPr>
            <w:r>
              <w:rPr>
                <w:color w:val="000000" w:themeColor="text1"/>
                <w:sz w:val="17"/>
                <w:szCs w:val="17"/>
              </w:rPr>
              <w:t>13</w:t>
            </w:r>
          </w:p>
        </w:tc>
        <w:tc>
          <w:tcPr>
            <w:tcW w:w="621" w:type="pct"/>
            <w:tcBorders>
              <w:top w:val="single" w:sz="2" w:space="0" w:color="auto"/>
              <w:bottom w:val="single" w:sz="4" w:space="0" w:color="auto"/>
              <w:right w:val="nil"/>
            </w:tcBorders>
            <w:shd w:val="clear" w:color="auto" w:fill="auto"/>
            <w:noWrap/>
            <w:vAlign w:val="center"/>
          </w:tcPr>
          <w:p w14:paraId="01665B83" w14:textId="77777777" w:rsidR="0088085F" w:rsidRPr="006F00A7" w:rsidRDefault="0088085F" w:rsidP="001E5CF2">
            <w:pPr>
              <w:pStyle w:val="cuatexto"/>
              <w:jc w:val="right"/>
              <w:rPr>
                <w:color w:val="000000" w:themeColor="text1"/>
                <w:sz w:val="17"/>
                <w:szCs w:val="17"/>
              </w:rPr>
            </w:pPr>
            <w:r>
              <w:rPr>
                <w:color w:val="000000" w:themeColor="text1"/>
                <w:sz w:val="17"/>
                <w:szCs w:val="17"/>
              </w:rPr>
              <w:t>240.862</w:t>
            </w:r>
          </w:p>
        </w:tc>
      </w:tr>
      <w:tr w:rsidR="0088085F" w:rsidRPr="009F458F" w14:paraId="1C20D26A" w14:textId="77777777" w:rsidTr="00A005AA">
        <w:trPr>
          <w:trHeight w:val="255"/>
          <w:jc w:val="center"/>
        </w:trPr>
        <w:tc>
          <w:tcPr>
            <w:tcW w:w="1031" w:type="pct"/>
            <w:tcBorders>
              <w:top w:val="nil"/>
              <w:left w:val="nil"/>
              <w:bottom w:val="single" w:sz="4" w:space="0" w:color="auto"/>
            </w:tcBorders>
            <w:shd w:val="clear" w:color="000000" w:fill="FABF8F"/>
            <w:noWrap/>
            <w:vAlign w:val="center"/>
            <w:hideMark/>
          </w:tcPr>
          <w:p w14:paraId="5043C581" w14:textId="77777777" w:rsidR="0088085F" w:rsidRPr="009F458F" w:rsidRDefault="0088085F" w:rsidP="00C13CE1">
            <w:pPr>
              <w:pStyle w:val="cuadroCabe"/>
              <w:rPr>
                <w:color w:val="000000" w:themeColor="text1"/>
                <w:sz w:val="16"/>
                <w:szCs w:val="14"/>
              </w:rPr>
            </w:pPr>
            <w:r>
              <w:rPr>
                <w:color w:val="000000" w:themeColor="text1"/>
                <w:sz w:val="16"/>
                <w:szCs w:val="14"/>
              </w:rPr>
              <w:t>Guztizko orokorra</w:t>
            </w:r>
          </w:p>
        </w:tc>
        <w:tc>
          <w:tcPr>
            <w:tcW w:w="253" w:type="pct"/>
            <w:tcBorders>
              <w:top w:val="nil"/>
              <w:bottom w:val="single" w:sz="4" w:space="0" w:color="auto"/>
            </w:tcBorders>
            <w:shd w:val="clear" w:color="000000" w:fill="FABF8F"/>
            <w:noWrap/>
            <w:vAlign w:val="center"/>
            <w:hideMark/>
          </w:tcPr>
          <w:p w14:paraId="52FCD74E" w14:textId="77777777" w:rsidR="0088085F" w:rsidRPr="009F458F" w:rsidRDefault="0088085F" w:rsidP="001E5CF2">
            <w:pPr>
              <w:pStyle w:val="cuadroCabe"/>
              <w:jc w:val="right"/>
              <w:rPr>
                <w:color w:val="000000" w:themeColor="text1"/>
                <w:sz w:val="16"/>
                <w:szCs w:val="14"/>
              </w:rPr>
            </w:pPr>
            <w:r>
              <w:rPr>
                <w:color w:val="000000" w:themeColor="text1"/>
                <w:sz w:val="16"/>
                <w:szCs w:val="14"/>
              </w:rPr>
              <w:t>373</w:t>
            </w:r>
          </w:p>
        </w:tc>
        <w:tc>
          <w:tcPr>
            <w:tcW w:w="589" w:type="pct"/>
            <w:tcBorders>
              <w:top w:val="nil"/>
              <w:bottom w:val="single" w:sz="4" w:space="0" w:color="auto"/>
            </w:tcBorders>
            <w:shd w:val="clear" w:color="000000" w:fill="FABF8F"/>
            <w:noWrap/>
            <w:vAlign w:val="center"/>
            <w:hideMark/>
          </w:tcPr>
          <w:p w14:paraId="48DCA553" w14:textId="77777777" w:rsidR="0088085F" w:rsidRPr="009F458F" w:rsidRDefault="0088085F" w:rsidP="001E5CF2">
            <w:pPr>
              <w:pStyle w:val="cuadroCabe"/>
              <w:jc w:val="right"/>
              <w:rPr>
                <w:color w:val="000000" w:themeColor="text1"/>
                <w:sz w:val="16"/>
                <w:szCs w:val="14"/>
              </w:rPr>
            </w:pPr>
            <w:r>
              <w:rPr>
                <w:color w:val="000000" w:themeColor="text1"/>
                <w:sz w:val="16"/>
                <w:szCs w:val="14"/>
              </w:rPr>
              <w:t>93.713.345</w:t>
            </w:r>
          </w:p>
        </w:tc>
        <w:tc>
          <w:tcPr>
            <w:tcW w:w="241" w:type="pct"/>
            <w:tcBorders>
              <w:top w:val="nil"/>
              <w:bottom w:val="single" w:sz="4" w:space="0" w:color="auto"/>
            </w:tcBorders>
            <w:shd w:val="clear" w:color="000000" w:fill="FABF8F"/>
            <w:noWrap/>
            <w:vAlign w:val="center"/>
            <w:hideMark/>
          </w:tcPr>
          <w:p w14:paraId="53BF40C3" w14:textId="77777777" w:rsidR="0088085F" w:rsidRPr="009F458F" w:rsidRDefault="0088085F" w:rsidP="001E5CF2">
            <w:pPr>
              <w:pStyle w:val="cuadroCabe"/>
              <w:jc w:val="right"/>
              <w:rPr>
                <w:color w:val="000000" w:themeColor="text1"/>
                <w:sz w:val="16"/>
                <w:szCs w:val="14"/>
              </w:rPr>
            </w:pPr>
            <w:r>
              <w:rPr>
                <w:color w:val="000000" w:themeColor="text1"/>
                <w:sz w:val="16"/>
                <w:szCs w:val="14"/>
              </w:rPr>
              <w:t>104</w:t>
            </w:r>
          </w:p>
        </w:tc>
        <w:tc>
          <w:tcPr>
            <w:tcW w:w="533" w:type="pct"/>
            <w:tcBorders>
              <w:top w:val="nil"/>
              <w:bottom w:val="single" w:sz="4" w:space="0" w:color="auto"/>
            </w:tcBorders>
            <w:shd w:val="clear" w:color="000000" w:fill="FABF8F"/>
            <w:noWrap/>
            <w:vAlign w:val="center"/>
            <w:hideMark/>
          </w:tcPr>
          <w:p w14:paraId="6B2449FC" w14:textId="77777777" w:rsidR="0088085F" w:rsidRPr="009F458F" w:rsidRDefault="0088085F" w:rsidP="001E5CF2">
            <w:pPr>
              <w:pStyle w:val="cuadroCabe"/>
              <w:jc w:val="right"/>
              <w:rPr>
                <w:color w:val="000000" w:themeColor="text1"/>
                <w:sz w:val="16"/>
                <w:szCs w:val="14"/>
              </w:rPr>
            </w:pPr>
            <w:r>
              <w:rPr>
                <w:color w:val="000000" w:themeColor="text1"/>
                <w:sz w:val="16"/>
                <w:szCs w:val="14"/>
              </w:rPr>
              <w:t>6.676.808</w:t>
            </w:r>
          </w:p>
        </w:tc>
        <w:tc>
          <w:tcPr>
            <w:tcW w:w="254" w:type="pct"/>
            <w:tcBorders>
              <w:top w:val="nil"/>
              <w:bottom w:val="single" w:sz="4" w:space="0" w:color="auto"/>
            </w:tcBorders>
            <w:shd w:val="clear" w:color="000000" w:fill="FABF8F"/>
            <w:noWrap/>
            <w:vAlign w:val="center"/>
            <w:hideMark/>
          </w:tcPr>
          <w:p w14:paraId="6A373DE2" w14:textId="77777777" w:rsidR="0088085F" w:rsidRPr="009F458F" w:rsidRDefault="0088085F" w:rsidP="001E5CF2">
            <w:pPr>
              <w:pStyle w:val="cuadroCabe"/>
              <w:jc w:val="right"/>
              <w:rPr>
                <w:color w:val="000000" w:themeColor="text1"/>
                <w:sz w:val="16"/>
                <w:szCs w:val="14"/>
              </w:rPr>
            </w:pPr>
            <w:r>
              <w:rPr>
                <w:color w:val="000000" w:themeColor="text1"/>
                <w:sz w:val="16"/>
                <w:szCs w:val="14"/>
              </w:rPr>
              <w:t>21</w:t>
            </w:r>
          </w:p>
        </w:tc>
        <w:tc>
          <w:tcPr>
            <w:tcW w:w="590" w:type="pct"/>
            <w:tcBorders>
              <w:top w:val="nil"/>
              <w:bottom w:val="single" w:sz="4" w:space="0" w:color="auto"/>
            </w:tcBorders>
            <w:shd w:val="clear" w:color="000000" w:fill="FABF8F"/>
            <w:noWrap/>
            <w:vAlign w:val="center"/>
            <w:hideMark/>
          </w:tcPr>
          <w:p w14:paraId="644DF252" w14:textId="77777777" w:rsidR="0088085F" w:rsidRPr="009F458F" w:rsidRDefault="0088085F" w:rsidP="001E5CF2">
            <w:pPr>
              <w:pStyle w:val="cuadroCabe"/>
              <w:jc w:val="right"/>
              <w:rPr>
                <w:color w:val="000000" w:themeColor="text1"/>
                <w:sz w:val="16"/>
                <w:szCs w:val="14"/>
              </w:rPr>
            </w:pPr>
            <w:r>
              <w:rPr>
                <w:color w:val="000000" w:themeColor="text1"/>
                <w:sz w:val="16"/>
                <w:szCs w:val="14"/>
              </w:rPr>
              <w:t>1.796.757</w:t>
            </w:r>
          </w:p>
        </w:tc>
        <w:tc>
          <w:tcPr>
            <w:tcW w:w="185" w:type="pct"/>
            <w:tcBorders>
              <w:top w:val="nil"/>
              <w:bottom w:val="single" w:sz="4" w:space="0" w:color="auto"/>
            </w:tcBorders>
            <w:shd w:val="clear" w:color="000000" w:fill="FABF8F"/>
            <w:noWrap/>
            <w:vAlign w:val="center"/>
            <w:hideMark/>
          </w:tcPr>
          <w:p w14:paraId="1D563139" w14:textId="77777777" w:rsidR="0088085F" w:rsidRPr="009F458F" w:rsidRDefault="0088085F" w:rsidP="001E5CF2">
            <w:pPr>
              <w:pStyle w:val="cuadroCabe"/>
              <w:jc w:val="right"/>
              <w:rPr>
                <w:color w:val="000000" w:themeColor="text1"/>
                <w:sz w:val="16"/>
                <w:szCs w:val="14"/>
              </w:rPr>
            </w:pPr>
            <w:r>
              <w:rPr>
                <w:color w:val="000000" w:themeColor="text1"/>
                <w:sz w:val="16"/>
                <w:szCs w:val="14"/>
              </w:rPr>
              <w:t>6</w:t>
            </w:r>
          </w:p>
        </w:tc>
        <w:tc>
          <w:tcPr>
            <w:tcW w:w="449" w:type="pct"/>
            <w:tcBorders>
              <w:top w:val="nil"/>
              <w:bottom w:val="single" w:sz="4" w:space="0" w:color="auto"/>
            </w:tcBorders>
            <w:shd w:val="clear" w:color="000000" w:fill="FABF8F"/>
            <w:noWrap/>
            <w:vAlign w:val="center"/>
            <w:hideMark/>
          </w:tcPr>
          <w:p w14:paraId="0EAB0DBC" w14:textId="77777777" w:rsidR="0088085F" w:rsidRPr="009F458F" w:rsidRDefault="0088085F" w:rsidP="001E5CF2">
            <w:pPr>
              <w:pStyle w:val="cuadroCabe"/>
              <w:jc w:val="right"/>
              <w:rPr>
                <w:color w:val="000000" w:themeColor="text1"/>
                <w:sz w:val="16"/>
                <w:szCs w:val="14"/>
              </w:rPr>
            </w:pPr>
            <w:r>
              <w:rPr>
                <w:color w:val="000000" w:themeColor="text1"/>
                <w:sz w:val="16"/>
                <w:szCs w:val="14"/>
              </w:rPr>
              <w:t>151.809</w:t>
            </w:r>
          </w:p>
        </w:tc>
        <w:tc>
          <w:tcPr>
            <w:tcW w:w="254" w:type="pct"/>
            <w:tcBorders>
              <w:top w:val="nil"/>
              <w:bottom w:val="single" w:sz="4" w:space="0" w:color="auto"/>
            </w:tcBorders>
            <w:shd w:val="clear" w:color="000000" w:fill="FABF8F"/>
            <w:noWrap/>
            <w:vAlign w:val="center"/>
            <w:hideMark/>
          </w:tcPr>
          <w:p w14:paraId="533A9759" w14:textId="77777777" w:rsidR="0088085F" w:rsidRPr="009F458F" w:rsidRDefault="0088085F" w:rsidP="001E5CF2">
            <w:pPr>
              <w:pStyle w:val="cuadroCabe"/>
              <w:ind w:right="-57"/>
              <w:jc w:val="right"/>
              <w:rPr>
                <w:color w:val="000000" w:themeColor="text1"/>
                <w:sz w:val="16"/>
                <w:szCs w:val="14"/>
              </w:rPr>
            </w:pPr>
            <w:r>
              <w:rPr>
                <w:color w:val="000000" w:themeColor="text1"/>
                <w:sz w:val="16"/>
                <w:szCs w:val="14"/>
              </w:rPr>
              <w:t>504</w:t>
            </w:r>
          </w:p>
        </w:tc>
        <w:tc>
          <w:tcPr>
            <w:tcW w:w="621" w:type="pct"/>
            <w:tcBorders>
              <w:top w:val="nil"/>
              <w:bottom w:val="single" w:sz="4" w:space="0" w:color="auto"/>
              <w:right w:val="nil"/>
            </w:tcBorders>
            <w:shd w:val="clear" w:color="000000" w:fill="FABF8F"/>
            <w:noWrap/>
            <w:vAlign w:val="center"/>
          </w:tcPr>
          <w:p w14:paraId="09CD1810" w14:textId="77777777" w:rsidR="0088085F" w:rsidRPr="009F458F" w:rsidRDefault="0088085F" w:rsidP="001E5CF2">
            <w:pPr>
              <w:pStyle w:val="cuadroCabe"/>
              <w:jc w:val="right"/>
              <w:rPr>
                <w:color w:val="000000" w:themeColor="text1"/>
                <w:sz w:val="16"/>
                <w:szCs w:val="14"/>
              </w:rPr>
            </w:pPr>
            <w:r>
              <w:rPr>
                <w:color w:val="000000" w:themeColor="text1"/>
                <w:sz w:val="16"/>
                <w:szCs w:val="14"/>
              </w:rPr>
              <w:t>102.338.718</w:t>
            </w:r>
          </w:p>
        </w:tc>
      </w:tr>
    </w:tbl>
    <w:p w14:paraId="3234F39E" w14:textId="77777777" w:rsidR="0088085F" w:rsidRPr="00262228" w:rsidRDefault="0088085F" w:rsidP="00923043">
      <w:pPr>
        <w:pStyle w:val="texto"/>
        <w:spacing w:before="220"/>
      </w:pPr>
      <w:r>
        <w:t xml:space="preserve">Nabarmentzen da prozedura irekia erabili izana kontratu guztien ehuneko 74tarako. Atzetik daude prozedura </w:t>
      </w:r>
      <w:proofErr w:type="spellStart"/>
      <w:r>
        <w:t>erraztua</w:t>
      </w:r>
      <w:proofErr w:type="spellEnd"/>
      <w:r>
        <w:t xml:space="preserve"> eta lizitazio deialdirik gabeko prozedura negoziatua, hurrenez hurren ehuneko 21 eta ehuneko lau. Zenbatekoari dagokionez, prozedura irekia erabili da zenbatekoaren ehuneko 92 adjudikatzeko, eta gainerako ehuneko zazpia prozedura </w:t>
      </w:r>
      <w:proofErr w:type="spellStart"/>
      <w:r>
        <w:t>erraztuaren</w:t>
      </w:r>
      <w:proofErr w:type="spellEnd"/>
      <w:r>
        <w:t xml:space="preserve"> bidez adjudikatu da.</w:t>
      </w:r>
    </w:p>
    <w:p w14:paraId="3472B656" w14:textId="77777777" w:rsidR="0088085F" w:rsidRDefault="0088085F" w:rsidP="00B9085A">
      <w:pPr>
        <w:pStyle w:val="texto"/>
        <w:spacing w:after="240"/>
      </w:pPr>
      <w:r>
        <w:t xml:space="preserve">Urteko adjudikazio zenbatekoak aztertuta, laburpen honetan bildu ditugu 150.000 eurotik gorako zenbatekoarekin adjudikatutako kontratuak: </w:t>
      </w:r>
    </w:p>
    <w:tbl>
      <w:tblPr>
        <w:tblW w:w="5000" w:type="pct"/>
        <w:tblCellMar>
          <w:left w:w="70" w:type="dxa"/>
          <w:right w:w="70" w:type="dxa"/>
        </w:tblCellMar>
        <w:tblLook w:val="04A0" w:firstRow="1" w:lastRow="0" w:firstColumn="1" w:lastColumn="0" w:noHBand="0" w:noVBand="1"/>
      </w:tblPr>
      <w:tblGrid>
        <w:gridCol w:w="2532"/>
        <w:gridCol w:w="754"/>
        <w:gridCol w:w="1281"/>
        <w:gridCol w:w="1035"/>
        <w:gridCol w:w="1693"/>
        <w:gridCol w:w="1494"/>
      </w:tblGrid>
      <w:tr w:rsidR="002A566F" w:rsidRPr="005907A1" w14:paraId="7EBCDADC" w14:textId="77777777" w:rsidTr="005907A1">
        <w:trPr>
          <w:trHeight w:val="284"/>
        </w:trPr>
        <w:tc>
          <w:tcPr>
            <w:tcW w:w="1440" w:type="pct"/>
            <w:vMerge w:val="restart"/>
            <w:tcBorders>
              <w:top w:val="single" w:sz="4" w:space="0" w:color="auto"/>
              <w:left w:val="nil"/>
              <w:bottom w:val="single" w:sz="4" w:space="0" w:color="auto"/>
              <w:right w:val="nil"/>
            </w:tcBorders>
            <w:shd w:val="clear" w:color="000000" w:fill="FABF8F"/>
            <w:vAlign w:val="center"/>
            <w:hideMark/>
          </w:tcPr>
          <w:p w14:paraId="2FC9D517" w14:textId="77777777" w:rsidR="002A566F" w:rsidRPr="005907A1" w:rsidRDefault="002A566F" w:rsidP="005907A1">
            <w:pPr>
              <w:pStyle w:val="cuadroCabe"/>
              <w:rPr>
                <w:sz w:val="16"/>
                <w:szCs w:val="16"/>
              </w:rPr>
            </w:pPr>
            <w:r>
              <w:rPr>
                <w:sz w:val="16"/>
                <w:szCs w:val="16"/>
              </w:rPr>
              <w:t>Tartea</w:t>
            </w:r>
          </w:p>
        </w:tc>
        <w:tc>
          <w:tcPr>
            <w:tcW w:w="2710" w:type="pct"/>
            <w:gridSpan w:val="4"/>
            <w:tcBorders>
              <w:top w:val="single" w:sz="4" w:space="0" w:color="auto"/>
              <w:left w:val="nil"/>
              <w:bottom w:val="single" w:sz="4" w:space="0" w:color="auto"/>
              <w:right w:val="nil"/>
            </w:tcBorders>
            <w:shd w:val="clear" w:color="000000" w:fill="FABF8F"/>
            <w:vAlign w:val="center"/>
            <w:hideMark/>
          </w:tcPr>
          <w:p w14:paraId="6D0090A5" w14:textId="77777777" w:rsidR="002A566F" w:rsidRPr="005907A1" w:rsidRDefault="002A566F" w:rsidP="005907A1">
            <w:pPr>
              <w:pStyle w:val="cuadroCabe"/>
              <w:jc w:val="center"/>
              <w:rPr>
                <w:sz w:val="16"/>
                <w:szCs w:val="16"/>
              </w:rPr>
            </w:pPr>
            <w:r>
              <w:rPr>
                <w:sz w:val="16"/>
                <w:szCs w:val="16"/>
              </w:rPr>
              <w:t>Kontratuen kopurua</w:t>
            </w:r>
          </w:p>
        </w:tc>
        <w:tc>
          <w:tcPr>
            <w:tcW w:w="850" w:type="pct"/>
            <w:vMerge w:val="restart"/>
            <w:tcBorders>
              <w:top w:val="single" w:sz="4" w:space="0" w:color="auto"/>
              <w:left w:val="nil"/>
              <w:bottom w:val="single" w:sz="4" w:space="0" w:color="auto"/>
              <w:right w:val="nil"/>
            </w:tcBorders>
            <w:shd w:val="clear" w:color="000000" w:fill="FABF8F"/>
            <w:vAlign w:val="center"/>
            <w:hideMark/>
          </w:tcPr>
          <w:p w14:paraId="49B9FA1C" w14:textId="77777777" w:rsidR="002A566F" w:rsidRPr="005907A1" w:rsidRDefault="002A566F" w:rsidP="005907A1">
            <w:pPr>
              <w:pStyle w:val="cuadroCabe"/>
              <w:jc w:val="right"/>
              <w:rPr>
                <w:sz w:val="16"/>
                <w:szCs w:val="16"/>
              </w:rPr>
            </w:pPr>
            <w:r>
              <w:rPr>
                <w:sz w:val="16"/>
                <w:szCs w:val="16"/>
              </w:rPr>
              <w:t>Urteko adj. zenb.</w:t>
            </w:r>
          </w:p>
        </w:tc>
      </w:tr>
      <w:tr w:rsidR="002A566F" w:rsidRPr="005907A1" w14:paraId="22255BC6" w14:textId="77777777" w:rsidTr="007B0CFC">
        <w:trPr>
          <w:trHeight w:val="284"/>
        </w:trPr>
        <w:tc>
          <w:tcPr>
            <w:tcW w:w="1440" w:type="pct"/>
            <w:vMerge/>
            <w:tcBorders>
              <w:top w:val="single" w:sz="4" w:space="0" w:color="auto"/>
              <w:left w:val="nil"/>
              <w:bottom w:val="single" w:sz="4" w:space="0" w:color="auto"/>
              <w:right w:val="nil"/>
            </w:tcBorders>
            <w:vAlign w:val="center"/>
            <w:hideMark/>
          </w:tcPr>
          <w:p w14:paraId="2E253032" w14:textId="77777777" w:rsidR="002A566F" w:rsidRPr="005907A1" w:rsidRDefault="002A566F" w:rsidP="005907A1">
            <w:pPr>
              <w:pStyle w:val="cuadroCabe"/>
              <w:rPr>
                <w:sz w:val="16"/>
                <w:szCs w:val="16"/>
                <w:lang w:val="es-ES" w:eastAsia="es-ES"/>
              </w:rPr>
            </w:pPr>
          </w:p>
        </w:tc>
        <w:tc>
          <w:tcPr>
            <w:tcW w:w="429" w:type="pct"/>
            <w:tcBorders>
              <w:top w:val="nil"/>
              <w:left w:val="nil"/>
              <w:bottom w:val="single" w:sz="4" w:space="0" w:color="auto"/>
              <w:right w:val="nil"/>
            </w:tcBorders>
            <w:shd w:val="clear" w:color="000000" w:fill="FABF8F"/>
            <w:vAlign w:val="center"/>
            <w:hideMark/>
          </w:tcPr>
          <w:p w14:paraId="63B6B4D2" w14:textId="77777777" w:rsidR="002A566F" w:rsidRPr="005907A1" w:rsidRDefault="002A566F" w:rsidP="005907A1">
            <w:pPr>
              <w:pStyle w:val="cuadroCabe"/>
              <w:jc w:val="right"/>
              <w:rPr>
                <w:sz w:val="16"/>
                <w:szCs w:val="16"/>
              </w:rPr>
            </w:pPr>
            <w:r>
              <w:rPr>
                <w:sz w:val="16"/>
                <w:szCs w:val="16"/>
              </w:rPr>
              <w:t>Obrak</w:t>
            </w:r>
          </w:p>
        </w:tc>
        <w:tc>
          <w:tcPr>
            <w:tcW w:w="729" w:type="pct"/>
            <w:tcBorders>
              <w:top w:val="nil"/>
              <w:left w:val="nil"/>
              <w:bottom w:val="single" w:sz="4" w:space="0" w:color="auto"/>
              <w:right w:val="nil"/>
            </w:tcBorders>
            <w:shd w:val="clear" w:color="000000" w:fill="FABF8F"/>
            <w:vAlign w:val="center"/>
            <w:hideMark/>
          </w:tcPr>
          <w:p w14:paraId="7343C124" w14:textId="77777777" w:rsidR="002A566F" w:rsidRPr="005907A1" w:rsidRDefault="002A566F" w:rsidP="005907A1">
            <w:pPr>
              <w:pStyle w:val="cuadroCabe"/>
              <w:jc w:val="right"/>
              <w:rPr>
                <w:sz w:val="16"/>
                <w:szCs w:val="16"/>
              </w:rPr>
            </w:pPr>
            <w:r>
              <w:rPr>
                <w:sz w:val="16"/>
                <w:szCs w:val="16"/>
              </w:rPr>
              <w:t>Hornidurak</w:t>
            </w:r>
          </w:p>
        </w:tc>
        <w:tc>
          <w:tcPr>
            <w:tcW w:w="589" w:type="pct"/>
            <w:tcBorders>
              <w:top w:val="nil"/>
              <w:left w:val="nil"/>
              <w:bottom w:val="single" w:sz="4" w:space="0" w:color="auto"/>
              <w:right w:val="nil"/>
            </w:tcBorders>
            <w:shd w:val="clear" w:color="000000" w:fill="FABF8F"/>
            <w:vAlign w:val="center"/>
            <w:hideMark/>
          </w:tcPr>
          <w:p w14:paraId="09556EA7" w14:textId="77777777" w:rsidR="002A566F" w:rsidRPr="005907A1" w:rsidRDefault="002A566F" w:rsidP="005907A1">
            <w:pPr>
              <w:pStyle w:val="cuadroCabe"/>
              <w:jc w:val="right"/>
              <w:rPr>
                <w:sz w:val="16"/>
                <w:szCs w:val="16"/>
              </w:rPr>
            </w:pPr>
            <w:r>
              <w:rPr>
                <w:sz w:val="16"/>
                <w:szCs w:val="16"/>
              </w:rPr>
              <w:t>Zerbitzuak</w:t>
            </w:r>
          </w:p>
        </w:tc>
        <w:tc>
          <w:tcPr>
            <w:tcW w:w="962" w:type="pct"/>
            <w:tcBorders>
              <w:top w:val="nil"/>
              <w:left w:val="nil"/>
              <w:bottom w:val="single" w:sz="4" w:space="0" w:color="auto"/>
              <w:right w:val="nil"/>
            </w:tcBorders>
            <w:shd w:val="clear" w:color="000000" w:fill="FABF8F"/>
            <w:vAlign w:val="center"/>
            <w:hideMark/>
          </w:tcPr>
          <w:p w14:paraId="2D82B7CA" w14:textId="77777777" w:rsidR="002A566F" w:rsidRPr="005907A1" w:rsidRDefault="002A566F" w:rsidP="005907A1">
            <w:pPr>
              <w:pStyle w:val="cuadroCabe"/>
              <w:jc w:val="right"/>
              <w:rPr>
                <w:sz w:val="16"/>
                <w:szCs w:val="16"/>
              </w:rPr>
            </w:pPr>
            <w:r>
              <w:rPr>
                <w:sz w:val="16"/>
                <w:szCs w:val="16"/>
              </w:rPr>
              <w:t>Zerbitzu emakidak</w:t>
            </w:r>
          </w:p>
        </w:tc>
        <w:tc>
          <w:tcPr>
            <w:tcW w:w="850" w:type="pct"/>
            <w:vMerge/>
            <w:tcBorders>
              <w:top w:val="single" w:sz="4" w:space="0" w:color="auto"/>
              <w:left w:val="nil"/>
              <w:bottom w:val="single" w:sz="4" w:space="0" w:color="auto"/>
              <w:right w:val="nil"/>
            </w:tcBorders>
            <w:vAlign w:val="center"/>
            <w:hideMark/>
          </w:tcPr>
          <w:p w14:paraId="0AD17FED" w14:textId="77777777" w:rsidR="002A566F" w:rsidRPr="005907A1" w:rsidRDefault="002A566F" w:rsidP="005907A1">
            <w:pPr>
              <w:pStyle w:val="cuadroCabe"/>
              <w:jc w:val="right"/>
              <w:rPr>
                <w:sz w:val="16"/>
                <w:szCs w:val="16"/>
                <w:lang w:val="es-ES" w:eastAsia="es-ES"/>
              </w:rPr>
            </w:pPr>
          </w:p>
        </w:tc>
      </w:tr>
      <w:tr w:rsidR="002A566F" w:rsidRPr="005907A1" w14:paraId="21B53120" w14:textId="77777777" w:rsidTr="007B0CFC">
        <w:trPr>
          <w:trHeight w:hRule="exact" w:val="227"/>
        </w:trPr>
        <w:tc>
          <w:tcPr>
            <w:tcW w:w="1440" w:type="pct"/>
            <w:tcBorders>
              <w:top w:val="single" w:sz="4" w:space="0" w:color="auto"/>
              <w:left w:val="nil"/>
              <w:bottom w:val="single" w:sz="2" w:space="0" w:color="auto"/>
              <w:right w:val="nil"/>
            </w:tcBorders>
            <w:shd w:val="clear" w:color="auto" w:fill="auto"/>
            <w:noWrap/>
            <w:vAlign w:val="center"/>
            <w:hideMark/>
          </w:tcPr>
          <w:p w14:paraId="0E3E8902" w14:textId="77777777" w:rsidR="002A566F" w:rsidRPr="005907A1" w:rsidRDefault="002A566F" w:rsidP="005907A1">
            <w:pPr>
              <w:pStyle w:val="cuatexto"/>
              <w:rPr>
                <w:sz w:val="18"/>
                <w:szCs w:val="18"/>
              </w:rPr>
            </w:pPr>
            <w:r>
              <w:rPr>
                <w:sz w:val="18"/>
                <w:szCs w:val="18"/>
              </w:rPr>
              <w:t>&gt;600.000 €</w:t>
            </w:r>
          </w:p>
        </w:tc>
        <w:tc>
          <w:tcPr>
            <w:tcW w:w="429" w:type="pct"/>
            <w:tcBorders>
              <w:top w:val="single" w:sz="4" w:space="0" w:color="auto"/>
              <w:left w:val="nil"/>
              <w:bottom w:val="single" w:sz="2" w:space="0" w:color="auto"/>
              <w:right w:val="nil"/>
            </w:tcBorders>
            <w:shd w:val="clear" w:color="auto" w:fill="auto"/>
            <w:noWrap/>
            <w:vAlign w:val="center"/>
            <w:hideMark/>
          </w:tcPr>
          <w:p w14:paraId="101ACF8C" w14:textId="77777777" w:rsidR="002A566F" w:rsidRPr="005907A1" w:rsidRDefault="002A566F" w:rsidP="005907A1">
            <w:pPr>
              <w:pStyle w:val="cuatexto"/>
              <w:jc w:val="right"/>
              <w:rPr>
                <w:sz w:val="18"/>
                <w:szCs w:val="18"/>
              </w:rPr>
            </w:pPr>
            <w:r>
              <w:rPr>
                <w:sz w:val="18"/>
                <w:szCs w:val="18"/>
              </w:rPr>
              <w:t>19</w:t>
            </w:r>
          </w:p>
        </w:tc>
        <w:tc>
          <w:tcPr>
            <w:tcW w:w="729" w:type="pct"/>
            <w:tcBorders>
              <w:top w:val="single" w:sz="4" w:space="0" w:color="auto"/>
              <w:left w:val="nil"/>
              <w:bottom w:val="single" w:sz="2" w:space="0" w:color="auto"/>
              <w:right w:val="nil"/>
            </w:tcBorders>
            <w:shd w:val="clear" w:color="auto" w:fill="auto"/>
            <w:noWrap/>
            <w:vAlign w:val="center"/>
            <w:hideMark/>
          </w:tcPr>
          <w:p w14:paraId="6F98DBB7" w14:textId="77777777" w:rsidR="002A566F" w:rsidRPr="005907A1" w:rsidRDefault="002A566F" w:rsidP="005907A1">
            <w:pPr>
              <w:pStyle w:val="cuatexto"/>
              <w:jc w:val="right"/>
              <w:rPr>
                <w:sz w:val="18"/>
                <w:szCs w:val="18"/>
              </w:rPr>
            </w:pPr>
            <w:r>
              <w:rPr>
                <w:sz w:val="18"/>
                <w:szCs w:val="18"/>
              </w:rPr>
              <w:t>5</w:t>
            </w:r>
          </w:p>
        </w:tc>
        <w:tc>
          <w:tcPr>
            <w:tcW w:w="589" w:type="pct"/>
            <w:tcBorders>
              <w:top w:val="single" w:sz="4" w:space="0" w:color="auto"/>
              <w:left w:val="nil"/>
              <w:bottom w:val="single" w:sz="2" w:space="0" w:color="auto"/>
              <w:right w:val="nil"/>
            </w:tcBorders>
            <w:shd w:val="clear" w:color="auto" w:fill="auto"/>
            <w:noWrap/>
            <w:vAlign w:val="center"/>
            <w:hideMark/>
          </w:tcPr>
          <w:p w14:paraId="5631DB9D" w14:textId="77777777" w:rsidR="002A566F" w:rsidRPr="005907A1" w:rsidRDefault="002A566F" w:rsidP="005907A1">
            <w:pPr>
              <w:pStyle w:val="cuatexto"/>
              <w:jc w:val="right"/>
              <w:rPr>
                <w:sz w:val="18"/>
                <w:szCs w:val="18"/>
              </w:rPr>
            </w:pPr>
            <w:r>
              <w:rPr>
                <w:sz w:val="18"/>
                <w:szCs w:val="18"/>
              </w:rPr>
              <w:t>2</w:t>
            </w:r>
          </w:p>
        </w:tc>
        <w:tc>
          <w:tcPr>
            <w:tcW w:w="962" w:type="pct"/>
            <w:tcBorders>
              <w:top w:val="single" w:sz="4" w:space="0" w:color="auto"/>
              <w:left w:val="nil"/>
              <w:bottom w:val="single" w:sz="2" w:space="0" w:color="auto"/>
              <w:right w:val="nil"/>
            </w:tcBorders>
            <w:shd w:val="clear" w:color="auto" w:fill="auto"/>
            <w:noWrap/>
            <w:vAlign w:val="center"/>
            <w:hideMark/>
          </w:tcPr>
          <w:p w14:paraId="51C2F1AC" w14:textId="77777777" w:rsidR="002A566F" w:rsidRPr="005907A1" w:rsidRDefault="002A566F" w:rsidP="005907A1">
            <w:pPr>
              <w:pStyle w:val="cuatexto"/>
              <w:jc w:val="right"/>
              <w:rPr>
                <w:sz w:val="18"/>
                <w:szCs w:val="18"/>
              </w:rPr>
            </w:pPr>
            <w:r>
              <w:rPr>
                <w:sz w:val="18"/>
                <w:szCs w:val="18"/>
              </w:rPr>
              <w:t>1</w:t>
            </w:r>
          </w:p>
        </w:tc>
        <w:tc>
          <w:tcPr>
            <w:tcW w:w="850" w:type="pct"/>
            <w:tcBorders>
              <w:top w:val="single" w:sz="4" w:space="0" w:color="auto"/>
              <w:left w:val="nil"/>
              <w:bottom w:val="single" w:sz="2" w:space="0" w:color="auto"/>
              <w:right w:val="nil"/>
            </w:tcBorders>
            <w:shd w:val="clear" w:color="auto" w:fill="auto"/>
            <w:noWrap/>
            <w:vAlign w:val="center"/>
            <w:hideMark/>
          </w:tcPr>
          <w:p w14:paraId="3EBE32F2" w14:textId="77777777" w:rsidR="002A566F" w:rsidRPr="005907A1" w:rsidRDefault="002A566F" w:rsidP="005907A1">
            <w:pPr>
              <w:pStyle w:val="cuatexto"/>
              <w:jc w:val="right"/>
              <w:rPr>
                <w:sz w:val="18"/>
                <w:szCs w:val="18"/>
              </w:rPr>
            </w:pPr>
            <w:r>
              <w:rPr>
                <w:sz w:val="18"/>
                <w:szCs w:val="18"/>
              </w:rPr>
              <w:t>81.921.873</w:t>
            </w:r>
          </w:p>
        </w:tc>
      </w:tr>
      <w:tr w:rsidR="002A566F" w:rsidRPr="005907A1" w14:paraId="3A3C0A5A" w14:textId="77777777" w:rsidTr="007B0CFC">
        <w:trPr>
          <w:trHeight w:hRule="exact" w:val="227"/>
        </w:trPr>
        <w:tc>
          <w:tcPr>
            <w:tcW w:w="1440" w:type="pct"/>
            <w:tcBorders>
              <w:top w:val="single" w:sz="2" w:space="0" w:color="auto"/>
              <w:left w:val="nil"/>
              <w:bottom w:val="single" w:sz="2" w:space="0" w:color="auto"/>
              <w:right w:val="nil"/>
            </w:tcBorders>
            <w:shd w:val="clear" w:color="auto" w:fill="auto"/>
            <w:noWrap/>
            <w:vAlign w:val="center"/>
            <w:hideMark/>
          </w:tcPr>
          <w:p w14:paraId="3F2A6FD8" w14:textId="77777777" w:rsidR="002A566F" w:rsidRPr="005907A1" w:rsidRDefault="002A566F" w:rsidP="005907A1">
            <w:pPr>
              <w:pStyle w:val="cuatexto"/>
              <w:rPr>
                <w:sz w:val="18"/>
                <w:szCs w:val="18"/>
              </w:rPr>
            </w:pPr>
            <w:r>
              <w:rPr>
                <w:sz w:val="18"/>
                <w:szCs w:val="18"/>
              </w:rPr>
              <w:t>&gt;400.000 eta &lt;= 600.000 €</w:t>
            </w:r>
          </w:p>
        </w:tc>
        <w:tc>
          <w:tcPr>
            <w:tcW w:w="429" w:type="pct"/>
            <w:tcBorders>
              <w:top w:val="single" w:sz="2" w:space="0" w:color="auto"/>
              <w:left w:val="nil"/>
              <w:bottom w:val="single" w:sz="2" w:space="0" w:color="auto"/>
              <w:right w:val="nil"/>
            </w:tcBorders>
            <w:shd w:val="clear" w:color="auto" w:fill="auto"/>
            <w:noWrap/>
            <w:vAlign w:val="center"/>
            <w:hideMark/>
          </w:tcPr>
          <w:p w14:paraId="5A11756D" w14:textId="77777777" w:rsidR="002A566F" w:rsidRPr="005907A1" w:rsidRDefault="002A566F" w:rsidP="005907A1">
            <w:pPr>
              <w:pStyle w:val="cuatexto"/>
              <w:jc w:val="right"/>
              <w:rPr>
                <w:sz w:val="18"/>
                <w:szCs w:val="18"/>
              </w:rPr>
            </w:pPr>
            <w:r>
              <w:rPr>
                <w:sz w:val="18"/>
                <w:szCs w:val="18"/>
              </w:rPr>
              <w:t>15</w:t>
            </w:r>
          </w:p>
        </w:tc>
        <w:tc>
          <w:tcPr>
            <w:tcW w:w="729" w:type="pct"/>
            <w:tcBorders>
              <w:top w:val="single" w:sz="2" w:space="0" w:color="auto"/>
              <w:left w:val="nil"/>
              <w:bottom w:val="single" w:sz="2" w:space="0" w:color="auto"/>
              <w:right w:val="nil"/>
            </w:tcBorders>
            <w:shd w:val="clear" w:color="auto" w:fill="auto"/>
            <w:noWrap/>
            <w:vAlign w:val="center"/>
            <w:hideMark/>
          </w:tcPr>
          <w:p w14:paraId="6AD2CD22" w14:textId="77777777" w:rsidR="002A566F" w:rsidRPr="005907A1" w:rsidRDefault="002A566F" w:rsidP="005907A1">
            <w:pPr>
              <w:pStyle w:val="cuatexto"/>
              <w:jc w:val="right"/>
              <w:rPr>
                <w:sz w:val="18"/>
                <w:szCs w:val="18"/>
              </w:rPr>
            </w:pPr>
            <w:r>
              <w:rPr>
                <w:sz w:val="18"/>
                <w:szCs w:val="18"/>
              </w:rPr>
              <w:t>3</w:t>
            </w:r>
          </w:p>
        </w:tc>
        <w:tc>
          <w:tcPr>
            <w:tcW w:w="589" w:type="pct"/>
            <w:tcBorders>
              <w:top w:val="single" w:sz="2" w:space="0" w:color="auto"/>
              <w:left w:val="nil"/>
              <w:bottom w:val="single" w:sz="2" w:space="0" w:color="auto"/>
              <w:right w:val="nil"/>
            </w:tcBorders>
            <w:shd w:val="clear" w:color="auto" w:fill="auto"/>
            <w:noWrap/>
            <w:vAlign w:val="center"/>
            <w:hideMark/>
          </w:tcPr>
          <w:p w14:paraId="341478D4" w14:textId="77777777" w:rsidR="002A566F" w:rsidRPr="005907A1" w:rsidRDefault="002A566F" w:rsidP="005907A1">
            <w:pPr>
              <w:pStyle w:val="cuatexto"/>
              <w:jc w:val="right"/>
              <w:rPr>
                <w:sz w:val="18"/>
                <w:szCs w:val="18"/>
              </w:rPr>
            </w:pPr>
            <w:r>
              <w:rPr>
                <w:sz w:val="18"/>
                <w:szCs w:val="18"/>
              </w:rPr>
              <w:t>2</w:t>
            </w:r>
          </w:p>
        </w:tc>
        <w:tc>
          <w:tcPr>
            <w:tcW w:w="962" w:type="pct"/>
            <w:tcBorders>
              <w:top w:val="single" w:sz="2" w:space="0" w:color="auto"/>
              <w:left w:val="nil"/>
              <w:bottom w:val="single" w:sz="2" w:space="0" w:color="auto"/>
              <w:right w:val="nil"/>
            </w:tcBorders>
            <w:shd w:val="clear" w:color="auto" w:fill="auto"/>
            <w:noWrap/>
            <w:vAlign w:val="center"/>
            <w:hideMark/>
          </w:tcPr>
          <w:p w14:paraId="106C3103" w14:textId="77777777" w:rsidR="002A566F" w:rsidRPr="005907A1" w:rsidRDefault="002A566F" w:rsidP="005907A1">
            <w:pPr>
              <w:pStyle w:val="cuatexto"/>
              <w:jc w:val="right"/>
              <w:rPr>
                <w:sz w:val="18"/>
                <w:szCs w:val="18"/>
                <w:lang w:val="es-ES" w:eastAsia="es-ES"/>
              </w:rPr>
            </w:pPr>
          </w:p>
        </w:tc>
        <w:tc>
          <w:tcPr>
            <w:tcW w:w="850" w:type="pct"/>
            <w:tcBorders>
              <w:top w:val="single" w:sz="2" w:space="0" w:color="auto"/>
              <w:left w:val="nil"/>
              <w:bottom w:val="single" w:sz="2" w:space="0" w:color="auto"/>
              <w:right w:val="nil"/>
            </w:tcBorders>
            <w:shd w:val="clear" w:color="auto" w:fill="auto"/>
            <w:noWrap/>
            <w:vAlign w:val="center"/>
            <w:hideMark/>
          </w:tcPr>
          <w:p w14:paraId="21A10B52" w14:textId="77777777" w:rsidR="002A566F" w:rsidRPr="005907A1" w:rsidRDefault="002A566F" w:rsidP="005907A1">
            <w:pPr>
              <w:pStyle w:val="cuatexto"/>
              <w:jc w:val="right"/>
              <w:rPr>
                <w:sz w:val="18"/>
                <w:szCs w:val="18"/>
              </w:rPr>
            </w:pPr>
            <w:r>
              <w:rPr>
                <w:sz w:val="18"/>
                <w:szCs w:val="18"/>
              </w:rPr>
              <w:t>9.728.611</w:t>
            </w:r>
          </w:p>
        </w:tc>
      </w:tr>
      <w:tr w:rsidR="002A566F" w:rsidRPr="005907A1" w14:paraId="4937D887" w14:textId="77777777" w:rsidTr="007B0CFC">
        <w:trPr>
          <w:trHeight w:hRule="exact" w:val="227"/>
        </w:trPr>
        <w:tc>
          <w:tcPr>
            <w:tcW w:w="1440" w:type="pct"/>
            <w:tcBorders>
              <w:top w:val="single" w:sz="2" w:space="0" w:color="auto"/>
              <w:left w:val="nil"/>
              <w:bottom w:val="single" w:sz="4" w:space="0" w:color="auto"/>
              <w:right w:val="nil"/>
            </w:tcBorders>
            <w:shd w:val="clear" w:color="auto" w:fill="auto"/>
            <w:noWrap/>
            <w:vAlign w:val="center"/>
            <w:hideMark/>
          </w:tcPr>
          <w:p w14:paraId="2C65F610" w14:textId="77777777" w:rsidR="002A566F" w:rsidRPr="005907A1" w:rsidRDefault="002A566F" w:rsidP="005907A1">
            <w:pPr>
              <w:pStyle w:val="cuatexto"/>
              <w:rPr>
                <w:sz w:val="18"/>
                <w:szCs w:val="18"/>
              </w:rPr>
            </w:pPr>
            <w:r>
              <w:rPr>
                <w:sz w:val="18"/>
                <w:szCs w:val="18"/>
              </w:rPr>
              <w:t>&gt;150.000 eta &lt;= 400.000 €</w:t>
            </w:r>
          </w:p>
        </w:tc>
        <w:tc>
          <w:tcPr>
            <w:tcW w:w="429" w:type="pct"/>
            <w:tcBorders>
              <w:top w:val="single" w:sz="2" w:space="0" w:color="auto"/>
              <w:left w:val="nil"/>
              <w:bottom w:val="single" w:sz="4" w:space="0" w:color="auto"/>
              <w:right w:val="nil"/>
            </w:tcBorders>
            <w:shd w:val="clear" w:color="auto" w:fill="auto"/>
            <w:noWrap/>
            <w:vAlign w:val="center"/>
            <w:hideMark/>
          </w:tcPr>
          <w:p w14:paraId="5E9D95B5" w14:textId="77777777" w:rsidR="002A566F" w:rsidRPr="005907A1" w:rsidRDefault="002A566F" w:rsidP="005907A1">
            <w:pPr>
              <w:pStyle w:val="cuatexto"/>
              <w:jc w:val="right"/>
              <w:rPr>
                <w:sz w:val="18"/>
                <w:szCs w:val="18"/>
              </w:rPr>
            </w:pPr>
            <w:r>
              <w:rPr>
                <w:sz w:val="18"/>
                <w:szCs w:val="18"/>
              </w:rPr>
              <w:t>59</w:t>
            </w:r>
          </w:p>
        </w:tc>
        <w:tc>
          <w:tcPr>
            <w:tcW w:w="729" w:type="pct"/>
            <w:tcBorders>
              <w:top w:val="single" w:sz="2" w:space="0" w:color="auto"/>
              <w:left w:val="nil"/>
              <w:bottom w:val="single" w:sz="4" w:space="0" w:color="auto"/>
              <w:right w:val="nil"/>
            </w:tcBorders>
            <w:shd w:val="clear" w:color="auto" w:fill="auto"/>
            <w:noWrap/>
            <w:vAlign w:val="center"/>
            <w:hideMark/>
          </w:tcPr>
          <w:p w14:paraId="5E852F0C" w14:textId="77777777" w:rsidR="002A566F" w:rsidRPr="005907A1" w:rsidRDefault="002A566F" w:rsidP="005907A1">
            <w:pPr>
              <w:pStyle w:val="cuatexto"/>
              <w:jc w:val="right"/>
              <w:rPr>
                <w:sz w:val="18"/>
                <w:szCs w:val="18"/>
              </w:rPr>
            </w:pPr>
            <w:r>
              <w:rPr>
                <w:sz w:val="18"/>
                <w:szCs w:val="18"/>
              </w:rPr>
              <w:t>11</w:t>
            </w:r>
          </w:p>
        </w:tc>
        <w:tc>
          <w:tcPr>
            <w:tcW w:w="589" w:type="pct"/>
            <w:tcBorders>
              <w:top w:val="single" w:sz="2" w:space="0" w:color="auto"/>
              <w:left w:val="nil"/>
              <w:bottom w:val="single" w:sz="4" w:space="0" w:color="auto"/>
              <w:right w:val="nil"/>
            </w:tcBorders>
            <w:shd w:val="clear" w:color="auto" w:fill="auto"/>
            <w:noWrap/>
            <w:vAlign w:val="center"/>
            <w:hideMark/>
          </w:tcPr>
          <w:p w14:paraId="366AC796" w14:textId="77777777" w:rsidR="002A566F" w:rsidRPr="005907A1" w:rsidRDefault="002A566F" w:rsidP="005907A1">
            <w:pPr>
              <w:pStyle w:val="cuatexto"/>
              <w:jc w:val="right"/>
              <w:rPr>
                <w:sz w:val="18"/>
                <w:szCs w:val="18"/>
              </w:rPr>
            </w:pPr>
            <w:r>
              <w:rPr>
                <w:sz w:val="18"/>
                <w:szCs w:val="18"/>
              </w:rPr>
              <w:t>10</w:t>
            </w:r>
          </w:p>
        </w:tc>
        <w:tc>
          <w:tcPr>
            <w:tcW w:w="962" w:type="pct"/>
            <w:tcBorders>
              <w:top w:val="single" w:sz="2" w:space="0" w:color="auto"/>
              <w:left w:val="nil"/>
              <w:bottom w:val="single" w:sz="4" w:space="0" w:color="auto"/>
              <w:right w:val="nil"/>
            </w:tcBorders>
            <w:shd w:val="clear" w:color="auto" w:fill="auto"/>
            <w:noWrap/>
            <w:vAlign w:val="center"/>
            <w:hideMark/>
          </w:tcPr>
          <w:p w14:paraId="3977925F" w14:textId="77777777" w:rsidR="002A566F" w:rsidRPr="005907A1" w:rsidRDefault="002A566F" w:rsidP="005907A1">
            <w:pPr>
              <w:pStyle w:val="cuatexto"/>
              <w:jc w:val="right"/>
              <w:rPr>
                <w:sz w:val="18"/>
                <w:szCs w:val="18"/>
              </w:rPr>
            </w:pPr>
            <w:r>
              <w:rPr>
                <w:sz w:val="18"/>
                <w:szCs w:val="18"/>
              </w:rPr>
              <w:t>1</w:t>
            </w:r>
          </w:p>
        </w:tc>
        <w:tc>
          <w:tcPr>
            <w:tcW w:w="850" w:type="pct"/>
            <w:tcBorders>
              <w:top w:val="single" w:sz="2" w:space="0" w:color="auto"/>
              <w:left w:val="nil"/>
              <w:bottom w:val="single" w:sz="4" w:space="0" w:color="auto"/>
              <w:right w:val="nil"/>
            </w:tcBorders>
            <w:shd w:val="clear" w:color="auto" w:fill="auto"/>
            <w:noWrap/>
            <w:vAlign w:val="center"/>
            <w:hideMark/>
          </w:tcPr>
          <w:p w14:paraId="3B3707ED" w14:textId="77777777" w:rsidR="002A566F" w:rsidRPr="005907A1" w:rsidRDefault="002A566F" w:rsidP="005907A1">
            <w:pPr>
              <w:pStyle w:val="cuatexto"/>
              <w:jc w:val="right"/>
              <w:rPr>
                <w:sz w:val="18"/>
                <w:szCs w:val="18"/>
              </w:rPr>
            </w:pPr>
            <w:r>
              <w:rPr>
                <w:sz w:val="18"/>
                <w:szCs w:val="18"/>
              </w:rPr>
              <w:t>19.330.608</w:t>
            </w:r>
          </w:p>
        </w:tc>
      </w:tr>
    </w:tbl>
    <w:p w14:paraId="7E7A8D2E" w14:textId="77777777" w:rsidR="0088085F" w:rsidRPr="00262228" w:rsidRDefault="0088085F" w:rsidP="00E35BF3">
      <w:pPr>
        <w:pStyle w:val="texto"/>
        <w:spacing w:before="260" w:after="240"/>
      </w:pPr>
      <w:r>
        <w:t xml:space="preserve">Urteko adjudikazio zenbatekoa kontratu horietarako (hots, beren zenbatekoengatik nabarmenagoak diren horietarako) honako hau izan zen: </w:t>
      </w:r>
    </w:p>
    <w:tbl>
      <w:tblPr>
        <w:tblW w:w="5000" w:type="pct"/>
        <w:jc w:val="center"/>
        <w:tblCellMar>
          <w:left w:w="70" w:type="dxa"/>
          <w:right w:w="70" w:type="dxa"/>
        </w:tblCellMar>
        <w:tblLook w:val="04A0" w:firstRow="1" w:lastRow="0" w:firstColumn="1" w:lastColumn="0" w:noHBand="0" w:noVBand="1"/>
      </w:tblPr>
      <w:tblGrid>
        <w:gridCol w:w="4741"/>
        <w:gridCol w:w="1506"/>
        <w:gridCol w:w="2542"/>
      </w:tblGrid>
      <w:tr w:rsidR="0088085F" w:rsidRPr="00FD7A17" w14:paraId="65607276" w14:textId="77777777" w:rsidTr="001E5CF2">
        <w:trPr>
          <w:trHeight w:val="284"/>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14:paraId="3E870B42" w14:textId="77777777" w:rsidR="0088085F" w:rsidRPr="00FD7A17" w:rsidRDefault="0088085F" w:rsidP="00C13CE1">
            <w:pPr>
              <w:pStyle w:val="cuadroCabe"/>
            </w:pPr>
            <w:r>
              <w:t>Kontratu mota</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14:paraId="5DC7AC08" w14:textId="77777777" w:rsidR="0088085F" w:rsidRPr="00FD7A17" w:rsidRDefault="0088085F" w:rsidP="00C13CE1">
            <w:pPr>
              <w:pStyle w:val="cuadroCabe"/>
              <w:jc w:val="right"/>
            </w:pPr>
            <w:r>
              <w:t>Kopurua</w:t>
            </w:r>
          </w:p>
        </w:tc>
        <w:tc>
          <w:tcPr>
            <w:tcW w:w="1446" w:type="pct"/>
            <w:tcBorders>
              <w:top w:val="single" w:sz="4" w:space="0" w:color="000000"/>
              <w:left w:val="nil"/>
              <w:bottom w:val="single" w:sz="4" w:space="0" w:color="000000"/>
            </w:tcBorders>
            <w:shd w:val="clear" w:color="auto" w:fill="FABF8F" w:themeFill="accent6" w:themeFillTint="99"/>
            <w:vAlign w:val="center"/>
            <w:hideMark/>
          </w:tcPr>
          <w:p w14:paraId="501F8C91" w14:textId="77777777" w:rsidR="0088085F" w:rsidRPr="00FD7A17" w:rsidRDefault="0088085F" w:rsidP="00C13CE1">
            <w:pPr>
              <w:pStyle w:val="cuadroCabe"/>
              <w:jc w:val="right"/>
            </w:pPr>
            <w:r>
              <w:t>Adjudikazio zenbatekoa</w:t>
            </w:r>
          </w:p>
        </w:tc>
      </w:tr>
      <w:tr w:rsidR="0088085F" w:rsidRPr="002E2437" w14:paraId="102B2610" w14:textId="77777777" w:rsidTr="00A77D09">
        <w:trPr>
          <w:trHeight w:hRule="exact" w:val="227"/>
          <w:jc w:val="center"/>
        </w:trPr>
        <w:tc>
          <w:tcPr>
            <w:tcW w:w="2697" w:type="pct"/>
            <w:tcBorders>
              <w:top w:val="single" w:sz="4" w:space="0" w:color="000000"/>
              <w:left w:val="nil"/>
              <w:bottom w:val="single" w:sz="2" w:space="0" w:color="000000"/>
              <w:right w:val="nil"/>
            </w:tcBorders>
            <w:shd w:val="clear" w:color="auto" w:fill="auto"/>
            <w:noWrap/>
            <w:vAlign w:val="center"/>
            <w:hideMark/>
          </w:tcPr>
          <w:p w14:paraId="40140643" w14:textId="77777777" w:rsidR="0088085F" w:rsidRPr="002E2437" w:rsidRDefault="0088085F" w:rsidP="00C13CE1">
            <w:pPr>
              <w:pStyle w:val="cuatexto"/>
              <w:rPr>
                <w:rFonts w:cs="Calibri"/>
              </w:rPr>
            </w:pPr>
            <w:r>
              <w:t>Obrak</w:t>
            </w:r>
          </w:p>
        </w:tc>
        <w:tc>
          <w:tcPr>
            <w:tcW w:w="857" w:type="pct"/>
            <w:tcBorders>
              <w:top w:val="single" w:sz="4" w:space="0" w:color="000000"/>
              <w:left w:val="nil"/>
              <w:bottom w:val="single" w:sz="2" w:space="0" w:color="000000"/>
              <w:right w:val="nil"/>
            </w:tcBorders>
            <w:shd w:val="clear" w:color="auto" w:fill="auto"/>
            <w:noWrap/>
            <w:vAlign w:val="center"/>
            <w:hideMark/>
          </w:tcPr>
          <w:p w14:paraId="5B4119AC" w14:textId="77777777" w:rsidR="0088085F" w:rsidRPr="002E2437" w:rsidRDefault="0088085F" w:rsidP="00C13CE1">
            <w:pPr>
              <w:pStyle w:val="cuatexto"/>
              <w:jc w:val="right"/>
              <w:rPr>
                <w:rFonts w:cs="Calibri"/>
              </w:rPr>
            </w:pPr>
            <w:r>
              <w:t>93</w:t>
            </w:r>
          </w:p>
        </w:tc>
        <w:tc>
          <w:tcPr>
            <w:tcW w:w="1446" w:type="pct"/>
            <w:tcBorders>
              <w:top w:val="single" w:sz="4" w:space="0" w:color="000000"/>
              <w:left w:val="nil"/>
              <w:bottom w:val="single" w:sz="2" w:space="0" w:color="000000"/>
              <w:right w:val="nil"/>
            </w:tcBorders>
            <w:shd w:val="clear" w:color="auto" w:fill="auto"/>
            <w:noWrap/>
            <w:vAlign w:val="center"/>
            <w:hideMark/>
          </w:tcPr>
          <w:p w14:paraId="6B82B373" w14:textId="77777777" w:rsidR="0088085F" w:rsidRPr="002E2437" w:rsidRDefault="0088085F" w:rsidP="00C13CE1">
            <w:pPr>
              <w:pStyle w:val="cuatexto"/>
              <w:jc w:val="right"/>
              <w:rPr>
                <w:rFonts w:cs="Calibri"/>
              </w:rPr>
            </w:pPr>
            <w:r>
              <w:t>55.110.108</w:t>
            </w:r>
          </w:p>
        </w:tc>
      </w:tr>
      <w:tr w:rsidR="0088085F" w:rsidRPr="002E2437" w14:paraId="25408E63" w14:textId="77777777" w:rsidTr="00A77D09">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625FDAD9" w14:textId="77777777" w:rsidR="0088085F" w:rsidRPr="002E2437" w:rsidRDefault="0088085F" w:rsidP="00C13CE1">
            <w:pPr>
              <w:pStyle w:val="cuatexto"/>
              <w:rPr>
                <w:rFonts w:cs="Calibri"/>
              </w:rPr>
            </w:pPr>
            <w:r>
              <w:t>Zerbitzuak</w:t>
            </w:r>
          </w:p>
        </w:tc>
        <w:tc>
          <w:tcPr>
            <w:tcW w:w="857" w:type="pct"/>
            <w:tcBorders>
              <w:top w:val="single" w:sz="2" w:space="0" w:color="000000"/>
              <w:left w:val="nil"/>
              <w:bottom w:val="single" w:sz="2" w:space="0" w:color="000000"/>
              <w:right w:val="nil"/>
            </w:tcBorders>
            <w:shd w:val="clear" w:color="auto" w:fill="auto"/>
            <w:noWrap/>
            <w:vAlign w:val="center"/>
            <w:hideMark/>
          </w:tcPr>
          <w:p w14:paraId="125BA907" w14:textId="77777777" w:rsidR="0088085F" w:rsidRPr="002E2437" w:rsidRDefault="0088085F" w:rsidP="00C13CE1">
            <w:pPr>
              <w:pStyle w:val="cuatexto"/>
              <w:jc w:val="right"/>
              <w:rPr>
                <w:rFonts w:cs="Calibri"/>
              </w:rPr>
            </w:pPr>
            <w:r>
              <w:t>14</w:t>
            </w:r>
          </w:p>
        </w:tc>
        <w:tc>
          <w:tcPr>
            <w:tcW w:w="1446" w:type="pct"/>
            <w:tcBorders>
              <w:top w:val="single" w:sz="2" w:space="0" w:color="000000"/>
              <w:left w:val="nil"/>
              <w:bottom w:val="single" w:sz="2" w:space="0" w:color="000000"/>
              <w:right w:val="nil"/>
            </w:tcBorders>
            <w:shd w:val="clear" w:color="auto" w:fill="auto"/>
            <w:noWrap/>
            <w:vAlign w:val="center"/>
            <w:hideMark/>
          </w:tcPr>
          <w:p w14:paraId="61701E20" w14:textId="77777777" w:rsidR="0088085F" w:rsidRPr="002E2437" w:rsidRDefault="0088085F" w:rsidP="00C13CE1">
            <w:pPr>
              <w:pStyle w:val="cuatexto"/>
              <w:jc w:val="right"/>
              <w:rPr>
                <w:rFonts w:cs="Calibri"/>
              </w:rPr>
            </w:pPr>
            <w:r>
              <w:t>13.464.688</w:t>
            </w:r>
          </w:p>
        </w:tc>
      </w:tr>
      <w:tr w:rsidR="0088085F" w:rsidRPr="002E2437" w14:paraId="5703DB3D" w14:textId="77777777" w:rsidTr="00A77D09">
        <w:trPr>
          <w:trHeight w:hRule="exact" w:val="227"/>
          <w:jc w:val="center"/>
        </w:trPr>
        <w:tc>
          <w:tcPr>
            <w:tcW w:w="2697" w:type="pct"/>
            <w:tcBorders>
              <w:top w:val="single" w:sz="2" w:space="0" w:color="000000"/>
              <w:left w:val="nil"/>
              <w:bottom w:val="single" w:sz="4" w:space="0" w:color="auto"/>
              <w:right w:val="nil"/>
            </w:tcBorders>
            <w:shd w:val="clear" w:color="auto" w:fill="auto"/>
            <w:noWrap/>
            <w:vAlign w:val="center"/>
            <w:hideMark/>
          </w:tcPr>
          <w:p w14:paraId="38A340DC" w14:textId="77777777" w:rsidR="0088085F" w:rsidRPr="002E2437" w:rsidRDefault="0088085F" w:rsidP="00C13CE1">
            <w:pPr>
              <w:pStyle w:val="cuatexto"/>
              <w:rPr>
                <w:rFonts w:cs="Calibri"/>
              </w:rPr>
            </w:pPr>
            <w:r>
              <w:t>Hornidurak</w:t>
            </w:r>
          </w:p>
        </w:tc>
        <w:tc>
          <w:tcPr>
            <w:tcW w:w="857" w:type="pct"/>
            <w:tcBorders>
              <w:top w:val="single" w:sz="2" w:space="0" w:color="000000"/>
              <w:left w:val="nil"/>
              <w:bottom w:val="single" w:sz="4" w:space="0" w:color="auto"/>
              <w:right w:val="nil"/>
            </w:tcBorders>
            <w:shd w:val="clear" w:color="auto" w:fill="auto"/>
            <w:noWrap/>
            <w:vAlign w:val="center"/>
            <w:hideMark/>
          </w:tcPr>
          <w:p w14:paraId="69FC0A0B" w14:textId="77777777" w:rsidR="0088085F" w:rsidRPr="002E2437" w:rsidRDefault="0088085F" w:rsidP="00C13CE1">
            <w:pPr>
              <w:pStyle w:val="cuatexto"/>
              <w:jc w:val="right"/>
              <w:rPr>
                <w:rFonts w:cs="Calibri"/>
              </w:rPr>
            </w:pPr>
            <w:r>
              <w:t>17</w:t>
            </w:r>
          </w:p>
        </w:tc>
        <w:tc>
          <w:tcPr>
            <w:tcW w:w="1446" w:type="pct"/>
            <w:tcBorders>
              <w:top w:val="single" w:sz="2" w:space="0" w:color="000000"/>
              <w:left w:val="nil"/>
              <w:bottom w:val="single" w:sz="4" w:space="0" w:color="auto"/>
              <w:right w:val="nil"/>
            </w:tcBorders>
            <w:shd w:val="clear" w:color="auto" w:fill="auto"/>
            <w:noWrap/>
            <w:vAlign w:val="center"/>
            <w:hideMark/>
          </w:tcPr>
          <w:p w14:paraId="051A24D6" w14:textId="77777777" w:rsidR="0088085F" w:rsidRPr="002E2437" w:rsidRDefault="0088085F" w:rsidP="00C13CE1">
            <w:pPr>
              <w:pStyle w:val="cuatexto"/>
              <w:jc w:val="right"/>
              <w:rPr>
                <w:rFonts w:cs="Calibri"/>
              </w:rPr>
            </w:pPr>
            <w:r>
              <w:t>11.609.374</w:t>
            </w:r>
          </w:p>
        </w:tc>
      </w:tr>
      <w:tr w:rsidR="0088085F" w:rsidRPr="00B0783F" w14:paraId="6CD4E461" w14:textId="77777777" w:rsidTr="001E5CF2">
        <w:trPr>
          <w:trHeight w:val="255"/>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14:paraId="49FEA786" w14:textId="77777777" w:rsidR="0088085F" w:rsidRPr="00FD7A17" w:rsidRDefault="0088085F" w:rsidP="00C13CE1">
            <w:pPr>
              <w:pStyle w:val="cuadroCabe"/>
            </w:pPr>
            <w:r>
              <w:t>Guztizko orokorra</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14:paraId="496D9CE4" w14:textId="77777777" w:rsidR="0088085F" w:rsidRPr="00FD7A17" w:rsidRDefault="0088085F" w:rsidP="00C13CE1">
            <w:pPr>
              <w:pStyle w:val="cuadroCabe"/>
              <w:jc w:val="right"/>
            </w:pPr>
            <w:r>
              <w:t>124</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14:paraId="0D28AF2C" w14:textId="77777777" w:rsidR="0088085F" w:rsidRPr="00FD7A17" w:rsidRDefault="0088085F" w:rsidP="00C13CE1">
            <w:pPr>
              <w:pStyle w:val="cuadroCabe"/>
              <w:jc w:val="right"/>
            </w:pPr>
            <w:r>
              <w:t>80.184.170</w:t>
            </w:r>
          </w:p>
        </w:tc>
      </w:tr>
    </w:tbl>
    <w:p w14:paraId="3E4A3C53" w14:textId="77777777" w:rsidR="00ED21C8" w:rsidRDefault="00ED21C8" w:rsidP="00923043">
      <w:pPr>
        <w:pStyle w:val="texto"/>
        <w:spacing w:before="220"/>
      </w:pPr>
    </w:p>
    <w:p w14:paraId="40F902F6" w14:textId="77777777" w:rsidR="00ED21C8" w:rsidRDefault="00ED21C8" w:rsidP="00923043">
      <w:pPr>
        <w:pStyle w:val="texto"/>
        <w:spacing w:before="220"/>
      </w:pPr>
    </w:p>
    <w:p w14:paraId="2BF363CC" w14:textId="77777777" w:rsidR="00ED21C8" w:rsidRDefault="00ED21C8" w:rsidP="00923043">
      <w:pPr>
        <w:pStyle w:val="texto"/>
        <w:spacing w:before="220"/>
      </w:pPr>
    </w:p>
    <w:p w14:paraId="33484714" w14:textId="77777777" w:rsidR="00A005AA" w:rsidRDefault="00A005AA">
      <w:pPr>
        <w:spacing w:after="0"/>
        <w:ind w:firstLine="0"/>
        <w:jc w:val="left"/>
        <w:rPr>
          <w:spacing w:val="6"/>
          <w:sz w:val="26"/>
          <w:szCs w:val="24"/>
        </w:rPr>
      </w:pPr>
      <w:r>
        <w:br w:type="page"/>
      </w:r>
    </w:p>
    <w:p w14:paraId="76DB860E" w14:textId="77777777" w:rsidR="00E96821" w:rsidRDefault="0088085F" w:rsidP="00DB6EDE">
      <w:pPr>
        <w:pStyle w:val="texto"/>
        <w:spacing w:before="220" w:after="100"/>
      </w:pPr>
      <w:r>
        <w:lastRenderedPageBreak/>
        <w:t>Aurreko analisi bera egin dugu, baina adjudikazioaren gutizko zenbatekoak harturik, kontratuak irauten duen urteetarako, eta datu hauek lortu ditugu:</w:t>
      </w:r>
    </w:p>
    <w:p w14:paraId="5EB2C557" w14:textId="77777777" w:rsidR="00E96821" w:rsidRPr="00DB6EDE" w:rsidRDefault="00E96821" w:rsidP="00E96821">
      <w:pPr>
        <w:pStyle w:val="texto"/>
        <w:spacing w:after="0"/>
        <w:rPr>
          <w:sz w:val="16"/>
          <w:szCs w:val="16"/>
        </w:rPr>
      </w:pPr>
    </w:p>
    <w:tbl>
      <w:tblPr>
        <w:tblW w:w="4976" w:type="pct"/>
        <w:jc w:val="center"/>
        <w:tblCellMar>
          <w:left w:w="70" w:type="dxa"/>
          <w:right w:w="70" w:type="dxa"/>
        </w:tblCellMar>
        <w:tblLook w:val="04A0" w:firstRow="1" w:lastRow="0" w:firstColumn="1" w:lastColumn="0" w:noHBand="0" w:noVBand="1"/>
      </w:tblPr>
      <w:tblGrid>
        <w:gridCol w:w="2068"/>
        <w:gridCol w:w="752"/>
        <w:gridCol w:w="1280"/>
        <w:gridCol w:w="1034"/>
        <w:gridCol w:w="2124"/>
        <w:gridCol w:w="1489"/>
      </w:tblGrid>
      <w:tr w:rsidR="0026436D" w:rsidRPr="00DE60B7" w14:paraId="33AE38B9" w14:textId="77777777" w:rsidTr="00DE60B7">
        <w:trPr>
          <w:trHeight w:val="227"/>
          <w:jc w:val="center"/>
        </w:trPr>
        <w:tc>
          <w:tcPr>
            <w:tcW w:w="1177" w:type="pct"/>
            <w:vMerge w:val="restart"/>
            <w:tcBorders>
              <w:top w:val="single" w:sz="4" w:space="0" w:color="auto"/>
              <w:left w:val="nil"/>
              <w:bottom w:val="single" w:sz="4" w:space="0" w:color="auto"/>
              <w:right w:val="nil"/>
            </w:tcBorders>
            <w:shd w:val="clear" w:color="000000" w:fill="FABF8F"/>
            <w:vAlign w:val="center"/>
            <w:hideMark/>
          </w:tcPr>
          <w:p w14:paraId="0B4976FF" w14:textId="77777777" w:rsidR="0026436D" w:rsidRPr="00DE60B7" w:rsidRDefault="0026436D" w:rsidP="00B33587">
            <w:pPr>
              <w:pStyle w:val="cuadroCabe"/>
              <w:jc w:val="left"/>
              <w:rPr>
                <w:sz w:val="16"/>
                <w:szCs w:val="16"/>
              </w:rPr>
            </w:pPr>
            <w:r>
              <w:rPr>
                <w:sz w:val="16"/>
                <w:szCs w:val="16"/>
              </w:rPr>
              <w:t>Tartea</w:t>
            </w:r>
          </w:p>
        </w:tc>
        <w:tc>
          <w:tcPr>
            <w:tcW w:w="2971" w:type="pct"/>
            <w:gridSpan w:val="4"/>
            <w:tcBorders>
              <w:top w:val="single" w:sz="4" w:space="0" w:color="auto"/>
              <w:left w:val="nil"/>
              <w:bottom w:val="single" w:sz="4" w:space="0" w:color="auto"/>
              <w:right w:val="nil"/>
            </w:tcBorders>
            <w:shd w:val="clear" w:color="000000" w:fill="FABF8F"/>
            <w:vAlign w:val="center"/>
            <w:hideMark/>
          </w:tcPr>
          <w:p w14:paraId="1C66C6B1" w14:textId="77777777" w:rsidR="0026436D" w:rsidRPr="00DE60B7" w:rsidRDefault="0026436D" w:rsidP="00B33587">
            <w:pPr>
              <w:pStyle w:val="cuadroCabe"/>
              <w:jc w:val="center"/>
              <w:rPr>
                <w:sz w:val="16"/>
                <w:szCs w:val="16"/>
              </w:rPr>
            </w:pPr>
            <w:r>
              <w:rPr>
                <w:sz w:val="16"/>
                <w:szCs w:val="16"/>
              </w:rPr>
              <w:t>Kontratuen kopurua</w:t>
            </w:r>
          </w:p>
        </w:tc>
        <w:tc>
          <w:tcPr>
            <w:tcW w:w="853" w:type="pct"/>
            <w:vMerge w:val="restart"/>
            <w:tcBorders>
              <w:top w:val="single" w:sz="4" w:space="0" w:color="auto"/>
              <w:left w:val="nil"/>
              <w:bottom w:val="single" w:sz="4" w:space="0" w:color="auto"/>
              <w:right w:val="nil"/>
            </w:tcBorders>
            <w:shd w:val="clear" w:color="000000" w:fill="FABF8F"/>
            <w:vAlign w:val="center"/>
            <w:hideMark/>
          </w:tcPr>
          <w:p w14:paraId="2DE134AA" w14:textId="77777777" w:rsidR="0026436D" w:rsidRPr="00DE60B7" w:rsidRDefault="0026436D" w:rsidP="00B33587">
            <w:pPr>
              <w:pStyle w:val="cuadroCabe"/>
              <w:rPr>
                <w:sz w:val="16"/>
                <w:szCs w:val="16"/>
              </w:rPr>
            </w:pPr>
            <w:r>
              <w:rPr>
                <w:sz w:val="16"/>
                <w:szCs w:val="16"/>
              </w:rPr>
              <w:t>Urteko adj. zenb.</w:t>
            </w:r>
          </w:p>
        </w:tc>
      </w:tr>
      <w:tr w:rsidR="0026436D" w:rsidRPr="00DE60B7" w14:paraId="111A6602" w14:textId="77777777" w:rsidTr="00DE60B7">
        <w:trPr>
          <w:trHeight w:val="284"/>
          <w:jc w:val="center"/>
        </w:trPr>
        <w:tc>
          <w:tcPr>
            <w:tcW w:w="1177" w:type="pct"/>
            <w:vMerge/>
            <w:tcBorders>
              <w:top w:val="single" w:sz="4" w:space="0" w:color="auto"/>
              <w:left w:val="nil"/>
              <w:bottom w:val="single" w:sz="4" w:space="0" w:color="auto"/>
              <w:right w:val="nil"/>
            </w:tcBorders>
            <w:vAlign w:val="center"/>
            <w:hideMark/>
          </w:tcPr>
          <w:p w14:paraId="3DC2D850" w14:textId="77777777" w:rsidR="0026436D" w:rsidRPr="00DE60B7" w:rsidRDefault="0026436D" w:rsidP="00B33587">
            <w:pPr>
              <w:pStyle w:val="cuadroCabe"/>
              <w:jc w:val="left"/>
              <w:rPr>
                <w:sz w:val="16"/>
                <w:szCs w:val="16"/>
                <w:lang w:val="es-ES" w:eastAsia="es-ES"/>
              </w:rPr>
            </w:pPr>
          </w:p>
        </w:tc>
        <w:tc>
          <w:tcPr>
            <w:tcW w:w="431" w:type="pct"/>
            <w:tcBorders>
              <w:top w:val="nil"/>
              <w:left w:val="nil"/>
              <w:bottom w:val="single" w:sz="4" w:space="0" w:color="auto"/>
              <w:right w:val="nil"/>
            </w:tcBorders>
            <w:shd w:val="clear" w:color="000000" w:fill="FABF8F"/>
            <w:vAlign w:val="center"/>
            <w:hideMark/>
          </w:tcPr>
          <w:p w14:paraId="76F15D5C" w14:textId="77777777" w:rsidR="0026436D" w:rsidRPr="00DE60B7" w:rsidRDefault="0026436D" w:rsidP="000A3BD7">
            <w:pPr>
              <w:pStyle w:val="cuadroCabe"/>
              <w:jc w:val="right"/>
              <w:rPr>
                <w:sz w:val="16"/>
                <w:szCs w:val="16"/>
              </w:rPr>
            </w:pPr>
            <w:r>
              <w:rPr>
                <w:sz w:val="16"/>
                <w:szCs w:val="16"/>
              </w:rPr>
              <w:t>Obrak</w:t>
            </w:r>
          </w:p>
        </w:tc>
        <w:tc>
          <w:tcPr>
            <w:tcW w:w="733" w:type="pct"/>
            <w:tcBorders>
              <w:top w:val="nil"/>
              <w:left w:val="nil"/>
              <w:bottom w:val="single" w:sz="4" w:space="0" w:color="auto"/>
              <w:right w:val="nil"/>
            </w:tcBorders>
            <w:shd w:val="clear" w:color="000000" w:fill="FABF8F"/>
            <w:vAlign w:val="center"/>
            <w:hideMark/>
          </w:tcPr>
          <w:p w14:paraId="24978CA2" w14:textId="77777777" w:rsidR="0026436D" w:rsidRPr="00DE60B7" w:rsidRDefault="0026436D" w:rsidP="000A3BD7">
            <w:pPr>
              <w:pStyle w:val="cuadroCabe"/>
              <w:jc w:val="right"/>
              <w:rPr>
                <w:sz w:val="16"/>
                <w:szCs w:val="16"/>
              </w:rPr>
            </w:pPr>
            <w:r>
              <w:rPr>
                <w:sz w:val="16"/>
                <w:szCs w:val="16"/>
              </w:rPr>
              <w:t>Hornidurak</w:t>
            </w:r>
          </w:p>
        </w:tc>
        <w:tc>
          <w:tcPr>
            <w:tcW w:w="592" w:type="pct"/>
            <w:tcBorders>
              <w:top w:val="nil"/>
              <w:left w:val="nil"/>
              <w:bottom w:val="single" w:sz="4" w:space="0" w:color="auto"/>
              <w:right w:val="nil"/>
            </w:tcBorders>
            <w:shd w:val="clear" w:color="000000" w:fill="FABF8F"/>
            <w:vAlign w:val="center"/>
            <w:hideMark/>
          </w:tcPr>
          <w:p w14:paraId="64FAE037" w14:textId="77777777" w:rsidR="0026436D" w:rsidRPr="00DE60B7" w:rsidRDefault="0026436D" w:rsidP="000A3BD7">
            <w:pPr>
              <w:pStyle w:val="cuadroCabe"/>
              <w:jc w:val="right"/>
              <w:rPr>
                <w:sz w:val="16"/>
                <w:szCs w:val="16"/>
              </w:rPr>
            </w:pPr>
            <w:r>
              <w:rPr>
                <w:sz w:val="16"/>
                <w:szCs w:val="16"/>
              </w:rPr>
              <w:t>Zerbitzuak</w:t>
            </w:r>
          </w:p>
        </w:tc>
        <w:tc>
          <w:tcPr>
            <w:tcW w:w="1215" w:type="pct"/>
            <w:tcBorders>
              <w:top w:val="nil"/>
              <w:left w:val="nil"/>
              <w:bottom w:val="single" w:sz="4" w:space="0" w:color="auto"/>
              <w:right w:val="nil"/>
            </w:tcBorders>
            <w:shd w:val="clear" w:color="000000" w:fill="FABF8F"/>
            <w:vAlign w:val="center"/>
            <w:hideMark/>
          </w:tcPr>
          <w:p w14:paraId="0778951F" w14:textId="77777777" w:rsidR="0026436D" w:rsidRPr="00DE60B7" w:rsidRDefault="00CE01B8" w:rsidP="00CE01B8">
            <w:pPr>
              <w:pStyle w:val="cuadroCabe"/>
              <w:rPr>
                <w:sz w:val="16"/>
                <w:szCs w:val="16"/>
              </w:rPr>
            </w:pPr>
            <w:r>
              <w:rPr>
                <w:sz w:val="16"/>
                <w:szCs w:val="16"/>
              </w:rPr>
              <w:t xml:space="preserve">  Zerbitzu emakidak</w:t>
            </w:r>
          </w:p>
        </w:tc>
        <w:tc>
          <w:tcPr>
            <w:tcW w:w="853" w:type="pct"/>
            <w:vMerge/>
            <w:tcBorders>
              <w:top w:val="single" w:sz="4" w:space="0" w:color="auto"/>
              <w:left w:val="nil"/>
              <w:bottom w:val="single" w:sz="4" w:space="0" w:color="auto"/>
              <w:right w:val="nil"/>
            </w:tcBorders>
            <w:vAlign w:val="center"/>
            <w:hideMark/>
          </w:tcPr>
          <w:p w14:paraId="37FD7265" w14:textId="77777777" w:rsidR="0026436D" w:rsidRPr="00DE60B7" w:rsidRDefault="0026436D" w:rsidP="00B33587">
            <w:pPr>
              <w:pStyle w:val="cuadroCabe"/>
              <w:jc w:val="right"/>
              <w:rPr>
                <w:sz w:val="16"/>
                <w:szCs w:val="16"/>
                <w:lang w:val="es-ES" w:eastAsia="es-ES"/>
              </w:rPr>
            </w:pPr>
          </w:p>
        </w:tc>
      </w:tr>
      <w:tr w:rsidR="0026436D" w:rsidRPr="00DE60B7" w14:paraId="6550D419" w14:textId="77777777" w:rsidTr="00DE60B7">
        <w:trPr>
          <w:trHeight w:hRule="exact" w:val="227"/>
          <w:jc w:val="center"/>
        </w:trPr>
        <w:tc>
          <w:tcPr>
            <w:tcW w:w="1177" w:type="pct"/>
            <w:tcBorders>
              <w:top w:val="single" w:sz="4" w:space="0" w:color="auto"/>
              <w:left w:val="nil"/>
              <w:bottom w:val="single" w:sz="2" w:space="0" w:color="auto"/>
              <w:right w:val="nil"/>
            </w:tcBorders>
            <w:shd w:val="clear" w:color="auto" w:fill="auto"/>
            <w:noWrap/>
            <w:vAlign w:val="center"/>
            <w:hideMark/>
          </w:tcPr>
          <w:p w14:paraId="3CC821FC" w14:textId="77777777" w:rsidR="0026436D" w:rsidRPr="00DE60B7" w:rsidRDefault="0026436D" w:rsidP="00B33587">
            <w:pPr>
              <w:pStyle w:val="cuatexto"/>
              <w:jc w:val="left"/>
              <w:rPr>
                <w:sz w:val="18"/>
                <w:szCs w:val="18"/>
              </w:rPr>
            </w:pPr>
            <w:r>
              <w:rPr>
                <w:sz w:val="18"/>
                <w:szCs w:val="18"/>
              </w:rPr>
              <w:t>&gt;600.000 €</w:t>
            </w:r>
          </w:p>
        </w:tc>
        <w:tc>
          <w:tcPr>
            <w:tcW w:w="431" w:type="pct"/>
            <w:tcBorders>
              <w:top w:val="single" w:sz="4" w:space="0" w:color="auto"/>
              <w:left w:val="nil"/>
              <w:bottom w:val="single" w:sz="2" w:space="0" w:color="auto"/>
              <w:right w:val="nil"/>
            </w:tcBorders>
            <w:shd w:val="clear" w:color="auto" w:fill="auto"/>
            <w:noWrap/>
            <w:vAlign w:val="center"/>
            <w:hideMark/>
          </w:tcPr>
          <w:p w14:paraId="64CC906B" w14:textId="77777777" w:rsidR="0026436D" w:rsidRPr="00DE60B7" w:rsidRDefault="0026436D" w:rsidP="000A3BD7">
            <w:pPr>
              <w:pStyle w:val="cuatexto"/>
              <w:jc w:val="right"/>
              <w:rPr>
                <w:sz w:val="18"/>
                <w:szCs w:val="18"/>
              </w:rPr>
            </w:pPr>
            <w:r>
              <w:rPr>
                <w:sz w:val="18"/>
                <w:szCs w:val="18"/>
              </w:rPr>
              <w:t>19</w:t>
            </w:r>
          </w:p>
        </w:tc>
        <w:tc>
          <w:tcPr>
            <w:tcW w:w="733" w:type="pct"/>
            <w:tcBorders>
              <w:top w:val="single" w:sz="4" w:space="0" w:color="auto"/>
              <w:left w:val="nil"/>
              <w:bottom w:val="single" w:sz="2" w:space="0" w:color="auto"/>
              <w:right w:val="nil"/>
            </w:tcBorders>
            <w:shd w:val="clear" w:color="auto" w:fill="auto"/>
            <w:noWrap/>
            <w:vAlign w:val="center"/>
            <w:hideMark/>
          </w:tcPr>
          <w:p w14:paraId="16CD4AD7" w14:textId="77777777" w:rsidR="0026436D" w:rsidRPr="00DE60B7" w:rsidRDefault="0026436D" w:rsidP="000A3BD7">
            <w:pPr>
              <w:pStyle w:val="cuatexto"/>
              <w:jc w:val="right"/>
              <w:rPr>
                <w:sz w:val="18"/>
                <w:szCs w:val="18"/>
              </w:rPr>
            </w:pPr>
            <w:r>
              <w:rPr>
                <w:sz w:val="18"/>
                <w:szCs w:val="18"/>
              </w:rPr>
              <w:t>5</w:t>
            </w:r>
          </w:p>
        </w:tc>
        <w:tc>
          <w:tcPr>
            <w:tcW w:w="592" w:type="pct"/>
            <w:tcBorders>
              <w:top w:val="single" w:sz="4" w:space="0" w:color="auto"/>
              <w:left w:val="nil"/>
              <w:bottom w:val="single" w:sz="2" w:space="0" w:color="auto"/>
              <w:right w:val="nil"/>
            </w:tcBorders>
            <w:shd w:val="clear" w:color="auto" w:fill="auto"/>
            <w:noWrap/>
            <w:vAlign w:val="center"/>
            <w:hideMark/>
          </w:tcPr>
          <w:p w14:paraId="5CBCD825" w14:textId="77777777" w:rsidR="0026436D" w:rsidRPr="00DE60B7" w:rsidRDefault="0026436D" w:rsidP="000A3BD7">
            <w:pPr>
              <w:pStyle w:val="cuatexto"/>
              <w:jc w:val="right"/>
              <w:rPr>
                <w:sz w:val="18"/>
                <w:szCs w:val="18"/>
              </w:rPr>
            </w:pPr>
            <w:r>
              <w:rPr>
                <w:sz w:val="18"/>
                <w:szCs w:val="18"/>
              </w:rPr>
              <w:t>2</w:t>
            </w:r>
          </w:p>
        </w:tc>
        <w:tc>
          <w:tcPr>
            <w:tcW w:w="1215" w:type="pct"/>
            <w:tcBorders>
              <w:top w:val="single" w:sz="4" w:space="0" w:color="auto"/>
              <w:left w:val="nil"/>
              <w:bottom w:val="single" w:sz="2" w:space="0" w:color="auto"/>
              <w:right w:val="nil"/>
            </w:tcBorders>
            <w:shd w:val="clear" w:color="auto" w:fill="auto"/>
            <w:noWrap/>
            <w:vAlign w:val="center"/>
            <w:hideMark/>
          </w:tcPr>
          <w:p w14:paraId="53BCEC91" w14:textId="77777777" w:rsidR="0026436D" w:rsidRPr="00DE60B7" w:rsidRDefault="00CE01B8" w:rsidP="00436007">
            <w:pPr>
              <w:pStyle w:val="cuatexto"/>
              <w:jc w:val="center"/>
              <w:rPr>
                <w:sz w:val="18"/>
                <w:szCs w:val="18"/>
              </w:rPr>
            </w:pPr>
            <w:r>
              <w:rPr>
                <w:sz w:val="18"/>
                <w:szCs w:val="18"/>
              </w:rPr>
              <w:t xml:space="preserve">                          1</w:t>
            </w:r>
          </w:p>
        </w:tc>
        <w:tc>
          <w:tcPr>
            <w:tcW w:w="853" w:type="pct"/>
            <w:tcBorders>
              <w:top w:val="single" w:sz="4" w:space="0" w:color="auto"/>
              <w:left w:val="nil"/>
              <w:bottom w:val="single" w:sz="2" w:space="0" w:color="auto"/>
              <w:right w:val="nil"/>
            </w:tcBorders>
            <w:shd w:val="clear" w:color="auto" w:fill="auto"/>
            <w:noWrap/>
            <w:vAlign w:val="center"/>
            <w:hideMark/>
          </w:tcPr>
          <w:p w14:paraId="11CC4A73" w14:textId="77777777" w:rsidR="0026436D" w:rsidRPr="00DE60B7" w:rsidRDefault="00ED21C8" w:rsidP="00B33587">
            <w:pPr>
              <w:pStyle w:val="cuatexto"/>
              <w:jc w:val="right"/>
              <w:rPr>
                <w:sz w:val="18"/>
                <w:szCs w:val="18"/>
              </w:rPr>
            </w:pPr>
            <w:r>
              <w:rPr>
                <w:sz w:val="18"/>
                <w:szCs w:val="18"/>
              </w:rPr>
              <w:t>81.921.873</w:t>
            </w:r>
          </w:p>
        </w:tc>
      </w:tr>
      <w:tr w:rsidR="0026436D" w:rsidRPr="00DE60B7" w14:paraId="363E7BB5" w14:textId="77777777" w:rsidTr="00DE60B7">
        <w:trPr>
          <w:trHeight w:hRule="exact" w:val="227"/>
          <w:jc w:val="center"/>
        </w:trPr>
        <w:tc>
          <w:tcPr>
            <w:tcW w:w="1177" w:type="pct"/>
            <w:tcBorders>
              <w:top w:val="single" w:sz="2" w:space="0" w:color="auto"/>
              <w:left w:val="nil"/>
              <w:bottom w:val="single" w:sz="2" w:space="0" w:color="auto"/>
              <w:right w:val="nil"/>
            </w:tcBorders>
            <w:shd w:val="clear" w:color="auto" w:fill="auto"/>
            <w:noWrap/>
            <w:vAlign w:val="center"/>
            <w:hideMark/>
          </w:tcPr>
          <w:p w14:paraId="68E5B75E" w14:textId="77777777" w:rsidR="0026436D" w:rsidRPr="00DE60B7" w:rsidRDefault="0026436D" w:rsidP="00B33587">
            <w:pPr>
              <w:pStyle w:val="cuatexto"/>
              <w:jc w:val="left"/>
              <w:rPr>
                <w:sz w:val="18"/>
                <w:szCs w:val="18"/>
              </w:rPr>
            </w:pPr>
            <w:r>
              <w:rPr>
                <w:sz w:val="18"/>
                <w:szCs w:val="18"/>
              </w:rPr>
              <w:t>&gt;400.000 eta &lt;= 600.000 €</w:t>
            </w:r>
          </w:p>
        </w:tc>
        <w:tc>
          <w:tcPr>
            <w:tcW w:w="431" w:type="pct"/>
            <w:tcBorders>
              <w:top w:val="single" w:sz="2" w:space="0" w:color="auto"/>
              <w:left w:val="nil"/>
              <w:bottom w:val="single" w:sz="2" w:space="0" w:color="auto"/>
              <w:right w:val="nil"/>
            </w:tcBorders>
            <w:shd w:val="clear" w:color="auto" w:fill="auto"/>
            <w:noWrap/>
            <w:vAlign w:val="center"/>
            <w:hideMark/>
          </w:tcPr>
          <w:p w14:paraId="4FB88DC1" w14:textId="77777777" w:rsidR="0026436D" w:rsidRPr="00DE60B7" w:rsidRDefault="0026436D" w:rsidP="000A3BD7">
            <w:pPr>
              <w:pStyle w:val="cuatexto"/>
              <w:jc w:val="right"/>
              <w:rPr>
                <w:sz w:val="18"/>
                <w:szCs w:val="18"/>
              </w:rPr>
            </w:pPr>
            <w:r>
              <w:rPr>
                <w:sz w:val="18"/>
                <w:szCs w:val="18"/>
              </w:rPr>
              <w:t>15</w:t>
            </w:r>
          </w:p>
        </w:tc>
        <w:tc>
          <w:tcPr>
            <w:tcW w:w="733" w:type="pct"/>
            <w:tcBorders>
              <w:top w:val="single" w:sz="2" w:space="0" w:color="auto"/>
              <w:left w:val="nil"/>
              <w:bottom w:val="single" w:sz="2" w:space="0" w:color="auto"/>
              <w:right w:val="nil"/>
            </w:tcBorders>
            <w:shd w:val="clear" w:color="auto" w:fill="auto"/>
            <w:noWrap/>
            <w:vAlign w:val="center"/>
            <w:hideMark/>
          </w:tcPr>
          <w:p w14:paraId="76230192" w14:textId="77777777" w:rsidR="0026436D" w:rsidRPr="00DE60B7" w:rsidRDefault="0026436D" w:rsidP="000A3BD7">
            <w:pPr>
              <w:pStyle w:val="cuatexto"/>
              <w:jc w:val="right"/>
              <w:rPr>
                <w:sz w:val="18"/>
                <w:szCs w:val="18"/>
              </w:rPr>
            </w:pPr>
            <w:r>
              <w:rPr>
                <w:sz w:val="18"/>
                <w:szCs w:val="18"/>
              </w:rPr>
              <w:t>3</w:t>
            </w:r>
          </w:p>
        </w:tc>
        <w:tc>
          <w:tcPr>
            <w:tcW w:w="592" w:type="pct"/>
            <w:tcBorders>
              <w:top w:val="single" w:sz="2" w:space="0" w:color="auto"/>
              <w:left w:val="nil"/>
              <w:bottom w:val="single" w:sz="2" w:space="0" w:color="auto"/>
              <w:right w:val="nil"/>
            </w:tcBorders>
            <w:shd w:val="clear" w:color="auto" w:fill="auto"/>
            <w:noWrap/>
            <w:vAlign w:val="center"/>
            <w:hideMark/>
          </w:tcPr>
          <w:p w14:paraId="380043C9" w14:textId="77777777" w:rsidR="0026436D" w:rsidRPr="00DE60B7" w:rsidRDefault="0026436D" w:rsidP="000A3BD7">
            <w:pPr>
              <w:pStyle w:val="cuatexto"/>
              <w:jc w:val="right"/>
              <w:rPr>
                <w:sz w:val="18"/>
                <w:szCs w:val="18"/>
              </w:rPr>
            </w:pPr>
            <w:r>
              <w:rPr>
                <w:sz w:val="18"/>
                <w:szCs w:val="18"/>
              </w:rPr>
              <w:t>2</w:t>
            </w:r>
          </w:p>
        </w:tc>
        <w:tc>
          <w:tcPr>
            <w:tcW w:w="1215" w:type="pct"/>
            <w:tcBorders>
              <w:top w:val="single" w:sz="2" w:space="0" w:color="auto"/>
              <w:left w:val="nil"/>
              <w:bottom w:val="single" w:sz="2" w:space="0" w:color="auto"/>
              <w:right w:val="nil"/>
            </w:tcBorders>
            <w:shd w:val="clear" w:color="auto" w:fill="auto"/>
            <w:noWrap/>
            <w:vAlign w:val="center"/>
            <w:hideMark/>
          </w:tcPr>
          <w:p w14:paraId="7D3558B2" w14:textId="77777777" w:rsidR="0026436D" w:rsidRPr="00DE60B7" w:rsidRDefault="0026436D" w:rsidP="00B33587">
            <w:pPr>
              <w:pStyle w:val="cuatexto"/>
              <w:jc w:val="right"/>
              <w:rPr>
                <w:sz w:val="18"/>
                <w:szCs w:val="18"/>
                <w:lang w:val="es-ES" w:eastAsia="es-ES"/>
              </w:rPr>
            </w:pPr>
          </w:p>
        </w:tc>
        <w:tc>
          <w:tcPr>
            <w:tcW w:w="853" w:type="pct"/>
            <w:tcBorders>
              <w:top w:val="single" w:sz="2" w:space="0" w:color="auto"/>
              <w:left w:val="nil"/>
              <w:bottom w:val="single" w:sz="2" w:space="0" w:color="auto"/>
              <w:right w:val="nil"/>
            </w:tcBorders>
            <w:shd w:val="clear" w:color="auto" w:fill="auto"/>
            <w:noWrap/>
            <w:vAlign w:val="center"/>
            <w:hideMark/>
          </w:tcPr>
          <w:p w14:paraId="0298AD56" w14:textId="77777777" w:rsidR="0026436D" w:rsidRPr="00DE60B7" w:rsidRDefault="00ED21C8" w:rsidP="00B33587">
            <w:pPr>
              <w:pStyle w:val="cuatexto"/>
              <w:jc w:val="right"/>
              <w:rPr>
                <w:sz w:val="18"/>
                <w:szCs w:val="18"/>
              </w:rPr>
            </w:pPr>
            <w:r>
              <w:rPr>
                <w:sz w:val="18"/>
                <w:szCs w:val="18"/>
              </w:rPr>
              <w:t>9.728.611</w:t>
            </w:r>
          </w:p>
        </w:tc>
      </w:tr>
      <w:tr w:rsidR="0026436D" w:rsidRPr="00DE60B7" w14:paraId="7E87231F" w14:textId="77777777" w:rsidTr="00DE60B7">
        <w:trPr>
          <w:trHeight w:hRule="exact" w:val="227"/>
          <w:jc w:val="center"/>
        </w:trPr>
        <w:tc>
          <w:tcPr>
            <w:tcW w:w="1177" w:type="pct"/>
            <w:tcBorders>
              <w:top w:val="single" w:sz="2" w:space="0" w:color="auto"/>
              <w:left w:val="nil"/>
              <w:bottom w:val="single" w:sz="4" w:space="0" w:color="auto"/>
              <w:right w:val="nil"/>
            </w:tcBorders>
            <w:shd w:val="clear" w:color="auto" w:fill="auto"/>
            <w:noWrap/>
            <w:vAlign w:val="center"/>
            <w:hideMark/>
          </w:tcPr>
          <w:p w14:paraId="161CA2D4" w14:textId="77777777" w:rsidR="0026436D" w:rsidRPr="00DE60B7" w:rsidRDefault="0026436D" w:rsidP="00B33587">
            <w:pPr>
              <w:pStyle w:val="cuatexto"/>
              <w:jc w:val="left"/>
              <w:rPr>
                <w:sz w:val="18"/>
                <w:szCs w:val="18"/>
              </w:rPr>
            </w:pPr>
            <w:r>
              <w:rPr>
                <w:sz w:val="18"/>
                <w:szCs w:val="18"/>
              </w:rPr>
              <w:t>&gt;150.000 eta &lt;= 400.000 €</w:t>
            </w:r>
          </w:p>
        </w:tc>
        <w:tc>
          <w:tcPr>
            <w:tcW w:w="431" w:type="pct"/>
            <w:tcBorders>
              <w:top w:val="single" w:sz="2" w:space="0" w:color="auto"/>
              <w:left w:val="nil"/>
              <w:bottom w:val="single" w:sz="4" w:space="0" w:color="auto"/>
              <w:right w:val="nil"/>
            </w:tcBorders>
            <w:shd w:val="clear" w:color="auto" w:fill="auto"/>
            <w:noWrap/>
            <w:vAlign w:val="center"/>
            <w:hideMark/>
          </w:tcPr>
          <w:p w14:paraId="639F61DA" w14:textId="77777777" w:rsidR="0026436D" w:rsidRPr="00DE60B7" w:rsidRDefault="0026436D" w:rsidP="000A3BD7">
            <w:pPr>
              <w:pStyle w:val="cuatexto"/>
              <w:jc w:val="right"/>
              <w:rPr>
                <w:sz w:val="18"/>
                <w:szCs w:val="18"/>
              </w:rPr>
            </w:pPr>
            <w:r>
              <w:rPr>
                <w:sz w:val="18"/>
                <w:szCs w:val="18"/>
              </w:rPr>
              <w:t>59</w:t>
            </w:r>
          </w:p>
        </w:tc>
        <w:tc>
          <w:tcPr>
            <w:tcW w:w="733" w:type="pct"/>
            <w:tcBorders>
              <w:top w:val="single" w:sz="2" w:space="0" w:color="auto"/>
              <w:left w:val="nil"/>
              <w:bottom w:val="single" w:sz="4" w:space="0" w:color="auto"/>
              <w:right w:val="nil"/>
            </w:tcBorders>
            <w:shd w:val="clear" w:color="auto" w:fill="auto"/>
            <w:noWrap/>
            <w:vAlign w:val="center"/>
            <w:hideMark/>
          </w:tcPr>
          <w:p w14:paraId="7479C2EE" w14:textId="77777777" w:rsidR="0026436D" w:rsidRPr="00DE60B7" w:rsidRDefault="0026436D" w:rsidP="000A3BD7">
            <w:pPr>
              <w:pStyle w:val="cuatexto"/>
              <w:jc w:val="right"/>
              <w:rPr>
                <w:sz w:val="18"/>
                <w:szCs w:val="18"/>
              </w:rPr>
            </w:pPr>
            <w:r>
              <w:rPr>
                <w:sz w:val="18"/>
                <w:szCs w:val="18"/>
              </w:rPr>
              <w:t>11</w:t>
            </w:r>
          </w:p>
        </w:tc>
        <w:tc>
          <w:tcPr>
            <w:tcW w:w="592" w:type="pct"/>
            <w:tcBorders>
              <w:top w:val="single" w:sz="2" w:space="0" w:color="auto"/>
              <w:left w:val="nil"/>
              <w:bottom w:val="single" w:sz="4" w:space="0" w:color="auto"/>
              <w:right w:val="nil"/>
            </w:tcBorders>
            <w:shd w:val="clear" w:color="auto" w:fill="auto"/>
            <w:noWrap/>
            <w:vAlign w:val="center"/>
            <w:hideMark/>
          </w:tcPr>
          <w:p w14:paraId="7E382363" w14:textId="77777777" w:rsidR="0026436D" w:rsidRPr="00DE60B7" w:rsidRDefault="0026436D" w:rsidP="000A3BD7">
            <w:pPr>
              <w:pStyle w:val="cuatexto"/>
              <w:jc w:val="right"/>
              <w:rPr>
                <w:sz w:val="18"/>
                <w:szCs w:val="18"/>
              </w:rPr>
            </w:pPr>
            <w:r>
              <w:rPr>
                <w:sz w:val="18"/>
                <w:szCs w:val="18"/>
              </w:rPr>
              <w:t>10</w:t>
            </w:r>
          </w:p>
        </w:tc>
        <w:tc>
          <w:tcPr>
            <w:tcW w:w="1215" w:type="pct"/>
            <w:tcBorders>
              <w:top w:val="single" w:sz="2" w:space="0" w:color="auto"/>
              <w:left w:val="nil"/>
              <w:bottom w:val="single" w:sz="4" w:space="0" w:color="auto"/>
              <w:right w:val="nil"/>
            </w:tcBorders>
            <w:shd w:val="clear" w:color="auto" w:fill="auto"/>
            <w:noWrap/>
            <w:vAlign w:val="center"/>
            <w:hideMark/>
          </w:tcPr>
          <w:p w14:paraId="4AB281C7" w14:textId="77777777" w:rsidR="0026436D" w:rsidRPr="00DE60B7" w:rsidRDefault="00CE01B8" w:rsidP="00436007">
            <w:pPr>
              <w:pStyle w:val="cuatexto"/>
              <w:jc w:val="center"/>
              <w:rPr>
                <w:sz w:val="18"/>
                <w:szCs w:val="18"/>
              </w:rPr>
            </w:pPr>
            <w:r>
              <w:rPr>
                <w:sz w:val="18"/>
                <w:szCs w:val="18"/>
              </w:rPr>
              <w:t xml:space="preserve">                          1</w:t>
            </w:r>
          </w:p>
        </w:tc>
        <w:tc>
          <w:tcPr>
            <w:tcW w:w="853" w:type="pct"/>
            <w:tcBorders>
              <w:top w:val="single" w:sz="2" w:space="0" w:color="auto"/>
              <w:left w:val="nil"/>
              <w:bottom w:val="single" w:sz="4" w:space="0" w:color="auto"/>
              <w:right w:val="nil"/>
            </w:tcBorders>
            <w:shd w:val="clear" w:color="auto" w:fill="auto"/>
            <w:noWrap/>
            <w:vAlign w:val="center"/>
            <w:hideMark/>
          </w:tcPr>
          <w:p w14:paraId="3D299007" w14:textId="77777777" w:rsidR="0026436D" w:rsidRPr="00DE60B7" w:rsidRDefault="00ED21C8" w:rsidP="00B33587">
            <w:pPr>
              <w:pStyle w:val="cuatexto"/>
              <w:jc w:val="right"/>
              <w:rPr>
                <w:sz w:val="18"/>
                <w:szCs w:val="18"/>
              </w:rPr>
            </w:pPr>
            <w:r>
              <w:rPr>
                <w:sz w:val="18"/>
                <w:szCs w:val="18"/>
              </w:rPr>
              <w:t>19.330.608</w:t>
            </w:r>
          </w:p>
        </w:tc>
      </w:tr>
    </w:tbl>
    <w:p w14:paraId="215B6083" w14:textId="77777777" w:rsidR="0088085F" w:rsidRPr="005279EF" w:rsidRDefault="0088085F" w:rsidP="00DB6EDE">
      <w:pPr>
        <w:pStyle w:val="texto"/>
        <w:spacing w:before="260" w:after="240"/>
      </w:pPr>
      <w:r>
        <w:t>Hona zenbatekoari erreparatuz gero garrantzitsuenak diren kontratu horien adjudikazio zenbatekoa, guztira:</w:t>
      </w:r>
    </w:p>
    <w:tbl>
      <w:tblPr>
        <w:tblW w:w="5000" w:type="pct"/>
        <w:jc w:val="center"/>
        <w:tblCellMar>
          <w:left w:w="70" w:type="dxa"/>
          <w:right w:w="70" w:type="dxa"/>
        </w:tblCellMar>
        <w:tblLook w:val="04A0" w:firstRow="1" w:lastRow="0" w:firstColumn="1" w:lastColumn="0" w:noHBand="0" w:noVBand="1"/>
      </w:tblPr>
      <w:tblGrid>
        <w:gridCol w:w="4741"/>
        <w:gridCol w:w="1506"/>
        <w:gridCol w:w="2542"/>
      </w:tblGrid>
      <w:tr w:rsidR="0088085F" w:rsidRPr="00FD7A17" w14:paraId="79B86AFA" w14:textId="77777777" w:rsidTr="00A005AA">
        <w:trPr>
          <w:trHeight w:val="255"/>
          <w:jc w:val="center"/>
        </w:trPr>
        <w:tc>
          <w:tcPr>
            <w:tcW w:w="2697" w:type="pct"/>
            <w:tcBorders>
              <w:top w:val="single" w:sz="4" w:space="0" w:color="000000"/>
              <w:left w:val="nil"/>
              <w:bottom w:val="single" w:sz="4" w:space="0" w:color="000000"/>
              <w:right w:val="nil"/>
            </w:tcBorders>
            <w:shd w:val="clear" w:color="auto" w:fill="FABF8F" w:themeFill="accent6" w:themeFillTint="99"/>
            <w:noWrap/>
            <w:vAlign w:val="center"/>
            <w:hideMark/>
          </w:tcPr>
          <w:p w14:paraId="49924BFE" w14:textId="77777777" w:rsidR="0088085F" w:rsidRPr="00FD7A17" w:rsidRDefault="0088085F" w:rsidP="00C13CE1">
            <w:pPr>
              <w:pStyle w:val="cuadroCabe"/>
            </w:pPr>
            <w:r>
              <w:t>Kontratu mota</w:t>
            </w:r>
          </w:p>
        </w:tc>
        <w:tc>
          <w:tcPr>
            <w:tcW w:w="857" w:type="pct"/>
            <w:tcBorders>
              <w:top w:val="single" w:sz="4" w:space="0" w:color="000000"/>
              <w:left w:val="nil"/>
              <w:bottom w:val="single" w:sz="4" w:space="0" w:color="000000"/>
              <w:right w:val="nil"/>
            </w:tcBorders>
            <w:shd w:val="clear" w:color="auto" w:fill="FABF8F" w:themeFill="accent6" w:themeFillTint="99"/>
            <w:noWrap/>
            <w:vAlign w:val="center"/>
            <w:hideMark/>
          </w:tcPr>
          <w:p w14:paraId="0C7A3747" w14:textId="77777777" w:rsidR="0088085F" w:rsidRPr="00FD7A17" w:rsidRDefault="0088085F" w:rsidP="00C13CE1">
            <w:pPr>
              <w:pStyle w:val="cuadroCabe"/>
              <w:jc w:val="right"/>
            </w:pPr>
            <w:r>
              <w:t>Kopurua</w:t>
            </w:r>
          </w:p>
        </w:tc>
        <w:tc>
          <w:tcPr>
            <w:tcW w:w="1446" w:type="pct"/>
            <w:tcBorders>
              <w:top w:val="single" w:sz="4" w:space="0" w:color="000000"/>
              <w:left w:val="nil"/>
              <w:bottom w:val="single" w:sz="4" w:space="0" w:color="000000"/>
            </w:tcBorders>
            <w:shd w:val="clear" w:color="auto" w:fill="FABF8F" w:themeFill="accent6" w:themeFillTint="99"/>
            <w:vAlign w:val="center"/>
            <w:hideMark/>
          </w:tcPr>
          <w:p w14:paraId="47A756C4" w14:textId="77777777" w:rsidR="0088085F" w:rsidRPr="00FD7A17" w:rsidRDefault="0088085F" w:rsidP="00C13CE1">
            <w:pPr>
              <w:pStyle w:val="cuadroCabe"/>
              <w:jc w:val="right"/>
            </w:pPr>
            <w:r>
              <w:t>Adjudikazio zenbatekoa</w:t>
            </w:r>
          </w:p>
        </w:tc>
      </w:tr>
      <w:tr w:rsidR="0088085F" w:rsidRPr="002E2437" w14:paraId="69D1E329" w14:textId="77777777" w:rsidTr="00A005AA">
        <w:trPr>
          <w:trHeight w:hRule="exact" w:val="227"/>
          <w:jc w:val="center"/>
        </w:trPr>
        <w:tc>
          <w:tcPr>
            <w:tcW w:w="2697" w:type="pct"/>
            <w:tcBorders>
              <w:top w:val="single" w:sz="4" w:space="0" w:color="000000"/>
              <w:left w:val="nil"/>
              <w:bottom w:val="single" w:sz="2" w:space="0" w:color="000000"/>
              <w:right w:val="nil"/>
            </w:tcBorders>
            <w:shd w:val="clear" w:color="auto" w:fill="auto"/>
            <w:noWrap/>
            <w:vAlign w:val="center"/>
            <w:hideMark/>
          </w:tcPr>
          <w:p w14:paraId="32ECE77E" w14:textId="77777777" w:rsidR="0088085F" w:rsidRPr="002E2437" w:rsidRDefault="0088085F" w:rsidP="00C13CE1">
            <w:pPr>
              <w:pStyle w:val="cuatexto"/>
              <w:rPr>
                <w:rFonts w:cs="Calibri"/>
              </w:rPr>
            </w:pPr>
            <w:r>
              <w:t>Obrak</w:t>
            </w:r>
          </w:p>
        </w:tc>
        <w:tc>
          <w:tcPr>
            <w:tcW w:w="857" w:type="pct"/>
            <w:tcBorders>
              <w:top w:val="single" w:sz="4" w:space="0" w:color="000000"/>
              <w:left w:val="nil"/>
              <w:bottom w:val="single" w:sz="2" w:space="0" w:color="000000"/>
              <w:right w:val="nil"/>
            </w:tcBorders>
            <w:shd w:val="clear" w:color="auto" w:fill="auto"/>
            <w:noWrap/>
            <w:vAlign w:val="center"/>
            <w:hideMark/>
          </w:tcPr>
          <w:p w14:paraId="45798B30" w14:textId="77777777" w:rsidR="0088085F" w:rsidRPr="002E2437" w:rsidRDefault="0088085F" w:rsidP="00C13CE1">
            <w:pPr>
              <w:pStyle w:val="cuatexto"/>
              <w:jc w:val="right"/>
              <w:rPr>
                <w:rFonts w:cs="Calibri"/>
              </w:rPr>
            </w:pPr>
            <w:r>
              <w:t>93</w:t>
            </w:r>
          </w:p>
        </w:tc>
        <w:tc>
          <w:tcPr>
            <w:tcW w:w="1446" w:type="pct"/>
            <w:tcBorders>
              <w:top w:val="single" w:sz="4" w:space="0" w:color="000000"/>
              <w:left w:val="nil"/>
              <w:bottom w:val="single" w:sz="2" w:space="0" w:color="000000"/>
              <w:right w:val="nil"/>
            </w:tcBorders>
            <w:shd w:val="clear" w:color="auto" w:fill="auto"/>
            <w:noWrap/>
            <w:vAlign w:val="center"/>
            <w:hideMark/>
          </w:tcPr>
          <w:p w14:paraId="62DD960A" w14:textId="77777777" w:rsidR="0088085F" w:rsidRPr="002E2437" w:rsidRDefault="0088085F" w:rsidP="00C13CE1">
            <w:pPr>
              <w:pStyle w:val="cuatexto"/>
              <w:jc w:val="right"/>
              <w:rPr>
                <w:rFonts w:cs="Calibri"/>
              </w:rPr>
            </w:pPr>
            <w:r>
              <w:t>55.110.108</w:t>
            </w:r>
          </w:p>
        </w:tc>
      </w:tr>
      <w:tr w:rsidR="0088085F" w:rsidRPr="002E2437" w14:paraId="7FFA250B" w14:textId="77777777" w:rsidTr="00A005AA">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34047A75" w14:textId="77777777" w:rsidR="0088085F" w:rsidRPr="002E2437" w:rsidRDefault="0088085F" w:rsidP="00C13CE1">
            <w:pPr>
              <w:pStyle w:val="cuatexto"/>
              <w:rPr>
                <w:rFonts w:cs="Calibri"/>
              </w:rPr>
            </w:pPr>
            <w:r>
              <w:t>Zerbitzuak</w:t>
            </w:r>
          </w:p>
        </w:tc>
        <w:tc>
          <w:tcPr>
            <w:tcW w:w="857" w:type="pct"/>
            <w:tcBorders>
              <w:top w:val="single" w:sz="2" w:space="0" w:color="000000"/>
              <w:left w:val="nil"/>
              <w:bottom w:val="single" w:sz="2" w:space="0" w:color="000000"/>
              <w:right w:val="nil"/>
            </w:tcBorders>
            <w:shd w:val="clear" w:color="auto" w:fill="auto"/>
            <w:noWrap/>
            <w:vAlign w:val="center"/>
            <w:hideMark/>
          </w:tcPr>
          <w:p w14:paraId="2ADA96D3" w14:textId="77777777" w:rsidR="0088085F" w:rsidRPr="002E2437" w:rsidRDefault="0088085F" w:rsidP="00C13CE1">
            <w:pPr>
              <w:pStyle w:val="cuatexto"/>
              <w:jc w:val="right"/>
              <w:rPr>
                <w:rFonts w:cs="Calibri"/>
              </w:rPr>
            </w:pPr>
            <w:r>
              <w:t>14</w:t>
            </w:r>
          </w:p>
        </w:tc>
        <w:tc>
          <w:tcPr>
            <w:tcW w:w="1446" w:type="pct"/>
            <w:tcBorders>
              <w:top w:val="single" w:sz="2" w:space="0" w:color="000000"/>
              <w:left w:val="nil"/>
              <w:bottom w:val="single" w:sz="2" w:space="0" w:color="000000"/>
              <w:right w:val="nil"/>
            </w:tcBorders>
            <w:shd w:val="clear" w:color="auto" w:fill="auto"/>
            <w:noWrap/>
            <w:vAlign w:val="center"/>
            <w:hideMark/>
          </w:tcPr>
          <w:p w14:paraId="1ED8D899" w14:textId="77777777" w:rsidR="0088085F" w:rsidRPr="002E2437" w:rsidRDefault="0088085F" w:rsidP="00C13CE1">
            <w:pPr>
              <w:pStyle w:val="cuatexto"/>
              <w:jc w:val="right"/>
              <w:rPr>
                <w:rFonts w:cs="Calibri"/>
              </w:rPr>
            </w:pPr>
            <w:r>
              <w:t>41.196.944</w:t>
            </w:r>
          </w:p>
        </w:tc>
      </w:tr>
      <w:tr w:rsidR="0088085F" w:rsidRPr="002E2437" w14:paraId="4E0B3BC4" w14:textId="77777777" w:rsidTr="00A005AA">
        <w:trPr>
          <w:trHeight w:hRule="exact" w:val="227"/>
          <w:jc w:val="center"/>
        </w:trPr>
        <w:tc>
          <w:tcPr>
            <w:tcW w:w="2697" w:type="pct"/>
            <w:tcBorders>
              <w:top w:val="single" w:sz="2" w:space="0" w:color="000000"/>
              <w:left w:val="nil"/>
              <w:bottom w:val="single" w:sz="2" w:space="0" w:color="000000"/>
              <w:right w:val="nil"/>
            </w:tcBorders>
            <w:shd w:val="clear" w:color="auto" w:fill="auto"/>
            <w:noWrap/>
            <w:vAlign w:val="center"/>
            <w:hideMark/>
          </w:tcPr>
          <w:p w14:paraId="3A6C116E" w14:textId="77777777" w:rsidR="0088085F" w:rsidRPr="002E2437" w:rsidRDefault="0088085F" w:rsidP="00C13CE1">
            <w:pPr>
              <w:pStyle w:val="cuatexto"/>
              <w:rPr>
                <w:rFonts w:cs="Calibri"/>
              </w:rPr>
            </w:pPr>
            <w:r>
              <w:t>Hornidurak</w:t>
            </w:r>
          </w:p>
        </w:tc>
        <w:tc>
          <w:tcPr>
            <w:tcW w:w="857" w:type="pct"/>
            <w:tcBorders>
              <w:top w:val="single" w:sz="2" w:space="0" w:color="000000"/>
              <w:left w:val="nil"/>
              <w:bottom w:val="single" w:sz="2" w:space="0" w:color="000000"/>
              <w:right w:val="nil"/>
            </w:tcBorders>
            <w:shd w:val="clear" w:color="auto" w:fill="auto"/>
            <w:noWrap/>
            <w:vAlign w:val="center"/>
            <w:hideMark/>
          </w:tcPr>
          <w:p w14:paraId="5EE57B4E" w14:textId="77777777" w:rsidR="0088085F" w:rsidRPr="002E2437" w:rsidRDefault="0088085F" w:rsidP="00C13CE1">
            <w:pPr>
              <w:pStyle w:val="cuatexto"/>
              <w:jc w:val="right"/>
              <w:rPr>
                <w:rFonts w:cs="Calibri"/>
              </w:rPr>
            </w:pPr>
            <w:r>
              <w:t>19</w:t>
            </w:r>
          </w:p>
        </w:tc>
        <w:tc>
          <w:tcPr>
            <w:tcW w:w="1446" w:type="pct"/>
            <w:tcBorders>
              <w:top w:val="single" w:sz="2" w:space="0" w:color="000000"/>
              <w:left w:val="nil"/>
              <w:bottom w:val="single" w:sz="2" w:space="0" w:color="000000"/>
              <w:right w:val="nil"/>
            </w:tcBorders>
            <w:shd w:val="clear" w:color="auto" w:fill="auto"/>
            <w:noWrap/>
            <w:vAlign w:val="center"/>
            <w:hideMark/>
          </w:tcPr>
          <w:p w14:paraId="24B85114" w14:textId="77777777" w:rsidR="0088085F" w:rsidRPr="002E2437" w:rsidRDefault="0088085F" w:rsidP="00C13CE1">
            <w:pPr>
              <w:pStyle w:val="cuatexto"/>
              <w:jc w:val="right"/>
              <w:rPr>
                <w:rFonts w:cs="Calibri"/>
              </w:rPr>
            </w:pPr>
            <w:r>
              <w:t>12.859.233</w:t>
            </w:r>
          </w:p>
        </w:tc>
      </w:tr>
      <w:tr w:rsidR="0088085F" w:rsidRPr="002E2437" w14:paraId="26E94ED2" w14:textId="77777777" w:rsidTr="00A005AA">
        <w:trPr>
          <w:trHeight w:hRule="exact" w:val="227"/>
          <w:jc w:val="center"/>
        </w:trPr>
        <w:tc>
          <w:tcPr>
            <w:tcW w:w="2697" w:type="pct"/>
            <w:tcBorders>
              <w:top w:val="single" w:sz="2" w:space="0" w:color="000000"/>
              <w:left w:val="nil"/>
              <w:bottom w:val="single" w:sz="4" w:space="0" w:color="auto"/>
              <w:right w:val="nil"/>
            </w:tcBorders>
            <w:shd w:val="clear" w:color="auto" w:fill="auto"/>
            <w:noWrap/>
            <w:vAlign w:val="center"/>
          </w:tcPr>
          <w:p w14:paraId="20009D54" w14:textId="77777777" w:rsidR="0088085F" w:rsidRPr="002E2437" w:rsidRDefault="0088085F" w:rsidP="00C13CE1">
            <w:pPr>
              <w:pStyle w:val="cuatexto"/>
              <w:rPr>
                <w:rFonts w:cs="Calibri"/>
              </w:rPr>
            </w:pPr>
            <w:r>
              <w:t>Zerbitzu emakida</w:t>
            </w:r>
          </w:p>
        </w:tc>
        <w:tc>
          <w:tcPr>
            <w:tcW w:w="857" w:type="pct"/>
            <w:tcBorders>
              <w:top w:val="single" w:sz="2" w:space="0" w:color="000000"/>
              <w:left w:val="nil"/>
              <w:bottom w:val="single" w:sz="4" w:space="0" w:color="auto"/>
              <w:right w:val="nil"/>
            </w:tcBorders>
            <w:shd w:val="clear" w:color="auto" w:fill="auto"/>
            <w:noWrap/>
            <w:vAlign w:val="center"/>
          </w:tcPr>
          <w:p w14:paraId="52A07229" w14:textId="77777777" w:rsidR="0088085F" w:rsidRDefault="0088085F" w:rsidP="00C13CE1">
            <w:pPr>
              <w:pStyle w:val="cuatexto"/>
              <w:jc w:val="right"/>
              <w:rPr>
                <w:rFonts w:cs="Calibri"/>
              </w:rPr>
            </w:pPr>
            <w:r>
              <w:t>2</w:t>
            </w:r>
          </w:p>
        </w:tc>
        <w:tc>
          <w:tcPr>
            <w:tcW w:w="1446" w:type="pct"/>
            <w:tcBorders>
              <w:top w:val="single" w:sz="2" w:space="0" w:color="000000"/>
              <w:left w:val="nil"/>
              <w:bottom w:val="single" w:sz="4" w:space="0" w:color="auto"/>
              <w:right w:val="nil"/>
            </w:tcBorders>
            <w:shd w:val="clear" w:color="auto" w:fill="auto"/>
            <w:noWrap/>
            <w:vAlign w:val="center"/>
          </w:tcPr>
          <w:p w14:paraId="70487625" w14:textId="77777777" w:rsidR="0088085F" w:rsidRDefault="0088085F" w:rsidP="00C13CE1">
            <w:pPr>
              <w:pStyle w:val="cuatexto"/>
              <w:jc w:val="right"/>
              <w:rPr>
                <w:rFonts w:cs="Calibri"/>
              </w:rPr>
            </w:pPr>
            <w:r>
              <w:t>1.814.808</w:t>
            </w:r>
          </w:p>
        </w:tc>
      </w:tr>
      <w:tr w:rsidR="0088085F" w:rsidRPr="00B0783F" w14:paraId="0BE41383" w14:textId="77777777" w:rsidTr="00A005AA">
        <w:trPr>
          <w:trHeight w:val="255"/>
          <w:jc w:val="center"/>
        </w:trPr>
        <w:tc>
          <w:tcPr>
            <w:tcW w:w="2697" w:type="pct"/>
            <w:tcBorders>
              <w:top w:val="single" w:sz="4" w:space="0" w:color="auto"/>
              <w:left w:val="nil"/>
              <w:bottom w:val="single" w:sz="4" w:space="0" w:color="000000"/>
              <w:right w:val="nil"/>
            </w:tcBorders>
            <w:shd w:val="clear" w:color="auto" w:fill="FABF8F" w:themeFill="accent6" w:themeFillTint="99"/>
            <w:noWrap/>
            <w:vAlign w:val="center"/>
            <w:hideMark/>
          </w:tcPr>
          <w:p w14:paraId="5F819EFC" w14:textId="77777777" w:rsidR="0088085F" w:rsidRPr="00FD7A17" w:rsidRDefault="0088085F" w:rsidP="00C13CE1">
            <w:pPr>
              <w:pStyle w:val="cuadroCabe"/>
            </w:pPr>
            <w:r>
              <w:t>Guztizko orokorra</w:t>
            </w:r>
          </w:p>
        </w:tc>
        <w:tc>
          <w:tcPr>
            <w:tcW w:w="857" w:type="pct"/>
            <w:tcBorders>
              <w:top w:val="single" w:sz="4" w:space="0" w:color="auto"/>
              <w:left w:val="nil"/>
              <w:bottom w:val="single" w:sz="4" w:space="0" w:color="000000"/>
              <w:right w:val="nil"/>
            </w:tcBorders>
            <w:shd w:val="clear" w:color="auto" w:fill="FABF8F" w:themeFill="accent6" w:themeFillTint="99"/>
            <w:noWrap/>
            <w:vAlign w:val="center"/>
            <w:hideMark/>
          </w:tcPr>
          <w:p w14:paraId="0ABD1B71" w14:textId="77777777" w:rsidR="0088085F" w:rsidRPr="00FD7A17" w:rsidRDefault="0088085F" w:rsidP="00C13CE1">
            <w:pPr>
              <w:pStyle w:val="cuadroCabe"/>
              <w:jc w:val="right"/>
            </w:pPr>
            <w:r>
              <w:t>128</w:t>
            </w:r>
          </w:p>
        </w:tc>
        <w:tc>
          <w:tcPr>
            <w:tcW w:w="1446" w:type="pct"/>
            <w:tcBorders>
              <w:top w:val="single" w:sz="4" w:space="0" w:color="auto"/>
              <w:left w:val="nil"/>
              <w:bottom w:val="single" w:sz="4" w:space="0" w:color="000000"/>
            </w:tcBorders>
            <w:shd w:val="clear" w:color="auto" w:fill="FABF8F" w:themeFill="accent6" w:themeFillTint="99"/>
            <w:noWrap/>
            <w:vAlign w:val="center"/>
            <w:hideMark/>
          </w:tcPr>
          <w:p w14:paraId="13D27520" w14:textId="77777777" w:rsidR="0088085F" w:rsidRPr="00FD7A17" w:rsidRDefault="0088085F" w:rsidP="00C13CE1">
            <w:pPr>
              <w:pStyle w:val="cuadroCabe"/>
              <w:jc w:val="right"/>
            </w:pPr>
            <w:r>
              <w:t>110.981.092</w:t>
            </w:r>
          </w:p>
        </w:tc>
      </w:tr>
    </w:tbl>
    <w:p w14:paraId="47CD359F" w14:textId="77777777" w:rsidR="0088085F" w:rsidRDefault="0088085F" w:rsidP="0088085F">
      <w:pPr>
        <w:spacing w:after="0"/>
        <w:ind w:firstLine="0"/>
        <w:jc w:val="left"/>
        <w:rPr>
          <w:color w:val="000000" w:themeColor="text1"/>
        </w:rPr>
      </w:pPr>
      <w:r>
        <w:br w:type="page"/>
      </w:r>
    </w:p>
    <w:p w14:paraId="268EF4F9" w14:textId="77777777" w:rsidR="0088085F" w:rsidRPr="00B81E61" w:rsidRDefault="0088085F" w:rsidP="0088085F">
      <w:pPr>
        <w:pStyle w:val="atitulo1"/>
        <w:rPr>
          <w:color w:val="000000" w:themeColor="text1"/>
        </w:rPr>
      </w:pPr>
      <w:bookmarkStart w:id="90" w:name="_Toc52348296"/>
      <w:bookmarkStart w:id="91" w:name="_Toc89161273"/>
      <w:bookmarkStart w:id="92" w:name="_Toc94871728"/>
      <w:r>
        <w:rPr>
          <w:color w:val="000000" w:themeColor="text1"/>
        </w:rPr>
        <w:lastRenderedPageBreak/>
        <w:t>VII. Nafarroako udalen, EAEkoen eta Estatukoen arteko konparazioa zenbait adierazleri erreparatuta</w:t>
      </w:r>
      <w:bookmarkStart w:id="93" w:name="_Toc52348297"/>
      <w:bookmarkEnd w:id="90"/>
      <w:bookmarkEnd w:id="91"/>
      <w:bookmarkEnd w:id="92"/>
    </w:p>
    <w:p w14:paraId="5558B0A0" w14:textId="77777777" w:rsidR="0088085F" w:rsidRDefault="0088085F" w:rsidP="00262228">
      <w:pPr>
        <w:pStyle w:val="texto"/>
      </w:pPr>
      <w:r>
        <w:t xml:space="preserve">Atal honetan Nafarroako udalen, Euskal Autonomia Erkidegokoen eta Estatuko gainerakoen arteko konparazioa egiten da, zenbait adierazle erabiliz. Erabilitako informazioa Lurralde Kohesiorako Departamentuaren azterlan honetatik hartu da: Toki Sektoreari buruzko Txostena 2019. </w:t>
      </w:r>
      <w:bookmarkEnd w:id="93"/>
    </w:p>
    <w:p w14:paraId="467CBE7F" w14:textId="77777777" w:rsidR="00E96821" w:rsidRPr="00262228" w:rsidRDefault="00E96821" w:rsidP="00E96821">
      <w:pPr>
        <w:pStyle w:val="texto"/>
        <w:spacing w:before="220"/>
      </w:pPr>
      <w:r>
        <w:t>Konparazioa homogeneoagoa izan dadin, 40.000 biztanle baino gutxiago izan eta probintziako hiriburuak ez diren udalak hartu dira, Nafarroako udalen tamaina txikia dela-eta.</w:t>
      </w:r>
    </w:p>
    <w:p w14:paraId="3AA4D5D8" w14:textId="77777777" w:rsidR="0088085F" w:rsidRPr="00262228" w:rsidRDefault="0088085F" w:rsidP="00945580">
      <w:pPr>
        <w:pStyle w:val="texto"/>
        <w:spacing w:after="240"/>
      </w:pPr>
      <w:r>
        <w:t>Konparatutako datuak honako udalerri eta biztanle kopuru hauei dagozkie:</w:t>
      </w:r>
    </w:p>
    <w:tbl>
      <w:tblPr>
        <w:tblW w:w="5000" w:type="pct"/>
        <w:jc w:val="center"/>
        <w:tblCellMar>
          <w:left w:w="70" w:type="dxa"/>
          <w:right w:w="70" w:type="dxa"/>
        </w:tblCellMar>
        <w:tblLook w:val="04A0" w:firstRow="1" w:lastRow="0" w:firstColumn="1" w:lastColumn="0" w:noHBand="0" w:noVBand="1"/>
      </w:tblPr>
      <w:tblGrid>
        <w:gridCol w:w="4460"/>
        <w:gridCol w:w="1071"/>
        <w:gridCol w:w="1195"/>
        <w:gridCol w:w="1021"/>
        <w:gridCol w:w="1042"/>
      </w:tblGrid>
      <w:tr w:rsidR="0088085F" w:rsidRPr="00B81E61" w14:paraId="45AD2A49" w14:textId="77777777" w:rsidTr="00C83E40">
        <w:trPr>
          <w:trHeight w:val="284"/>
          <w:jc w:val="center"/>
        </w:trPr>
        <w:tc>
          <w:tcPr>
            <w:tcW w:w="2538" w:type="pct"/>
            <w:tcBorders>
              <w:top w:val="single" w:sz="4" w:space="0" w:color="auto"/>
              <w:left w:val="nil"/>
              <w:bottom w:val="single" w:sz="4" w:space="0" w:color="auto"/>
              <w:right w:val="nil"/>
            </w:tcBorders>
            <w:shd w:val="clear" w:color="000000" w:fill="FABF8F"/>
            <w:noWrap/>
            <w:vAlign w:val="center"/>
            <w:hideMark/>
          </w:tcPr>
          <w:p w14:paraId="60AC92CA" w14:textId="77777777" w:rsidR="0088085F" w:rsidRPr="00B81E61" w:rsidRDefault="0088085F" w:rsidP="00945580">
            <w:pPr>
              <w:pStyle w:val="cuadroCabe"/>
              <w:jc w:val="left"/>
            </w:pPr>
            <w:r>
              <w:t>Adierazlea</w:t>
            </w:r>
          </w:p>
        </w:tc>
        <w:tc>
          <w:tcPr>
            <w:tcW w:w="609" w:type="pct"/>
            <w:tcBorders>
              <w:top w:val="single" w:sz="4" w:space="0" w:color="auto"/>
              <w:left w:val="nil"/>
              <w:bottom w:val="single" w:sz="4" w:space="0" w:color="auto"/>
              <w:right w:val="nil"/>
            </w:tcBorders>
            <w:shd w:val="clear" w:color="000000" w:fill="FABF8F"/>
            <w:noWrap/>
            <w:vAlign w:val="center"/>
            <w:hideMark/>
          </w:tcPr>
          <w:p w14:paraId="5788289F" w14:textId="77777777" w:rsidR="0088085F" w:rsidRPr="00B81E61" w:rsidRDefault="0088085F" w:rsidP="00945580">
            <w:pPr>
              <w:pStyle w:val="cuadroCabe"/>
              <w:jc w:val="right"/>
            </w:pPr>
            <w:r>
              <w:t>Nafarroa</w:t>
            </w:r>
          </w:p>
        </w:tc>
        <w:tc>
          <w:tcPr>
            <w:tcW w:w="680" w:type="pct"/>
            <w:tcBorders>
              <w:top w:val="single" w:sz="4" w:space="0" w:color="auto"/>
              <w:left w:val="nil"/>
              <w:bottom w:val="single" w:sz="4" w:space="0" w:color="auto"/>
              <w:right w:val="nil"/>
            </w:tcBorders>
            <w:shd w:val="clear" w:color="000000" w:fill="FABF8F"/>
            <w:vAlign w:val="center"/>
          </w:tcPr>
          <w:p w14:paraId="1D8B426A" w14:textId="77777777" w:rsidR="0088085F" w:rsidRPr="00B81E61" w:rsidRDefault="0088085F" w:rsidP="00945580">
            <w:pPr>
              <w:pStyle w:val="cuadroCabe"/>
              <w:jc w:val="right"/>
            </w:pPr>
            <w:r>
              <w:t>EAE(*)</w:t>
            </w:r>
          </w:p>
        </w:tc>
        <w:tc>
          <w:tcPr>
            <w:tcW w:w="580" w:type="pct"/>
            <w:tcBorders>
              <w:top w:val="single" w:sz="4" w:space="0" w:color="auto"/>
              <w:left w:val="nil"/>
              <w:bottom w:val="single" w:sz="4" w:space="0" w:color="auto"/>
              <w:right w:val="nil"/>
            </w:tcBorders>
            <w:shd w:val="clear" w:color="000000" w:fill="FABF8F"/>
            <w:noWrap/>
            <w:vAlign w:val="center"/>
            <w:hideMark/>
          </w:tcPr>
          <w:p w14:paraId="027FB082" w14:textId="77777777" w:rsidR="0088085F" w:rsidRPr="00B81E61" w:rsidRDefault="0088085F" w:rsidP="00945580">
            <w:pPr>
              <w:pStyle w:val="cuadroCabe"/>
              <w:jc w:val="right"/>
            </w:pPr>
            <w:r>
              <w:t>Estatua</w:t>
            </w:r>
          </w:p>
        </w:tc>
        <w:tc>
          <w:tcPr>
            <w:tcW w:w="593" w:type="pct"/>
            <w:tcBorders>
              <w:top w:val="single" w:sz="4" w:space="0" w:color="auto"/>
              <w:left w:val="nil"/>
              <w:bottom w:val="single" w:sz="4" w:space="0" w:color="auto"/>
              <w:right w:val="nil"/>
            </w:tcBorders>
            <w:shd w:val="clear" w:color="000000" w:fill="FABF8F"/>
            <w:vAlign w:val="center"/>
            <w:hideMark/>
          </w:tcPr>
          <w:p w14:paraId="77A31017" w14:textId="77777777" w:rsidR="0088085F" w:rsidRPr="00B81E61" w:rsidRDefault="0088085F" w:rsidP="00945580">
            <w:pPr>
              <w:pStyle w:val="cuadroCabe"/>
              <w:jc w:val="right"/>
            </w:pPr>
            <w:r>
              <w:t>Guztira</w:t>
            </w:r>
          </w:p>
        </w:tc>
      </w:tr>
      <w:tr w:rsidR="0088085F" w:rsidRPr="00B81E61" w14:paraId="547CC271" w14:textId="77777777" w:rsidTr="00C83E40">
        <w:trPr>
          <w:trHeight w:val="252"/>
          <w:jc w:val="center"/>
        </w:trPr>
        <w:tc>
          <w:tcPr>
            <w:tcW w:w="2538" w:type="pct"/>
            <w:tcBorders>
              <w:top w:val="single" w:sz="4" w:space="0" w:color="auto"/>
              <w:left w:val="nil"/>
              <w:bottom w:val="single" w:sz="2" w:space="0" w:color="auto"/>
              <w:right w:val="nil"/>
            </w:tcBorders>
            <w:shd w:val="clear" w:color="auto" w:fill="auto"/>
            <w:vAlign w:val="center"/>
            <w:hideMark/>
          </w:tcPr>
          <w:p w14:paraId="1F3BFA87" w14:textId="77777777" w:rsidR="0088085F" w:rsidRPr="00B81E61" w:rsidRDefault="0088085F" w:rsidP="00945580">
            <w:pPr>
              <w:pStyle w:val="cuatexto"/>
              <w:jc w:val="left"/>
            </w:pPr>
            <w:r>
              <w:t>40.000 biztanletik beherako udalerrien kopurua</w:t>
            </w:r>
          </w:p>
        </w:tc>
        <w:tc>
          <w:tcPr>
            <w:tcW w:w="609" w:type="pct"/>
            <w:tcBorders>
              <w:top w:val="single" w:sz="4" w:space="0" w:color="auto"/>
              <w:left w:val="nil"/>
              <w:bottom w:val="single" w:sz="2" w:space="0" w:color="auto"/>
              <w:right w:val="nil"/>
            </w:tcBorders>
            <w:shd w:val="clear" w:color="auto" w:fill="auto"/>
            <w:noWrap/>
            <w:vAlign w:val="center"/>
            <w:hideMark/>
          </w:tcPr>
          <w:p w14:paraId="5B06D5DF" w14:textId="77777777" w:rsidR="0088085F" w:rsidRPr="00B81E61" w:rsidRDefault="0088085F" w:rsidP="00945580">
            <w:pPr>
              <w:pStyle w:val="cuatexto"/>
              <w:jc w:val="right"/>
            </w:pPr>
            <w:r>
              <w:t>264</w:t>
            </w:r>
          </w:p>
        </w:tc>
        <w:tc>
          <w:tcPr>
            <w:tcW w:w="680" w:type="pct"/>
            <w:tcBorders>
              <w:top w:val="single" w:sz="4" w:space="0" w:color="auto"/>
              <w:left w:val="nil"/>
              <w:bottom w:val="single" w:sz="2" w:space="0" w:color="auto"/>
              <w:right w:val="nil"/>
            </w:tcBorders>
            <w:vAlign w:val="center"/>
          </w:tcPr>
          <w:p w14:paraId="3047BB22" w14:textId="77777777" w:rsidR="0088085F" w:rsidRPr="00B81E61" w:rsidRDefault="0088085F" w:rsidP="00945580">
            <w:pPr>
              <w:pStyle w:val="cuatexto"/>
              <w:jc w:val="right"/>
            </w:pPr>
            <w:r>
              <w:t>188</w:t>
            </w:r>
          </w:p>
        </w:tc>
        <w:tc>
          <w:tcPr>
            <w:tcW w:w="580" w:type="pct"/>
            <w:tcBorders>
              <w:top w:val="single" w:sz="4" w:space="0" w:color="auto"/>
              <w:left w:val="nil"/>
              <w:bottom w:val="single" w:sz="2" w:space="0" w:color="auto"/>
              <w:right w:val="nil"/>
            </w:tcBorders>
            <w:shd w:val="clear" w:color="auto" w:fill="auto"/>
            <w:noWrap/>
            <w:vAlign w:val="center"/>
            <w:hideMark/>
          </w:tcPr>
          <w:p w14:paraId="4AE2C923" w14:textId="77777777" w:rsidR="0088085F" w:rsidRPr="00B81E61" w:rsidRDefault="0088085F" w:rsidP="00945580">
            <w:pPr>
              <w:pStyle w:val="cuatexto"/>
              <w:jc w:val="right"/>
            </w:pPr>
            <w:r>
              <w:t>6.517</w:t>
            </w:r>
          </w:p>
        </w:tc>
        <w:tc>
          <w:tcPr>
            <w:tcW w:w="593" w:type="pct"/>
            <w:tcBorders>
              <w:top w:val="single" w:sz="4" w:space="0" w:color="auto"/>
              <w:left w:val="nil"/>
              <w:bottom w:val="single" w:sz="2" w:space="0" w:color="auto"/>
              <w:right w:val="nil"/>
            </w:tcBorders>
            <w:shd w:val="clear" w:color="auto" w:fill="auto"/>
            <w:noWrap/>
            <w:vAlign w:val="center"/>
            <w:hideMark/>
          </w:tcPr>
          <w:p w14:paraId="794B2FFC" w14:textId="77777777" w:rsidR="0088085F" w:rsidRPr="00B81E61" w:rsidRDefault="0088085F" w:rsidP="00945580">
            <w:pPr>
              <w:pStyle w:val="cuatexto"/>
              <w:jc w:val="right"/>
            </w:pPr>
            <w:r>
              <w:t>6.969</w:t>
            </w:r>
          </w:p>
        </w:tc>
      </w:tr>
      <w:tr w:rsidR="0088085F" w:rsidRPr="00B81E61" w14:paraId="21489724" w14:textId="77777777" w:rsidTr="00C83E40">
        <w:trPr>
          <w:trHeight w:val="252"/>
          <w:jc w:val="center"/>
        </w:trPr>
        <w:tc>
          <w:tcPr>
            <w:tcW w:w="2538" w:type="pct"/>
            <w:tcBorders>
              <w:top w:val="single" w:sz="2" w:space="0" w:color="auto"/>
              <w:left w:val="nil"/>
              <w:bottom w:val="single" w:sz="2" w:space="0" w:color="auto"/>
              <w:right w:val="nil"/>
            </w:tcBorders>
            <w:shd w:val="clear" w:color="auto" w:fill="auto"/>
            <w:vAlign w:val="center"/>
            <w:hideMark/>
          </w:tcPr>
          <w:p w14:paraId="513C5878" w14:textId="77777777" w:rsidR="0088085F" w:rsidRPr="00B81E61" w:rsidRDefault="0088085F" w:rsidP="00945580">
            <w:pPr>
              <w:pStyle w:val="cuatexto"/>
              <w:jc w:val="left"/>
            </w:pPr>
            <w:r>
              <w:t>Erreferentziako udalerrietako biztanleak, guztira</w:t>
            </w:r>
          </w:p>
        </w:tc>
        <w:tc>
          <w:tcPr>
            <w:tcW w:w="609" w:type="pct"/>
            <w:tcBorders>
              <w:top w:val="single" w:sz="2" w:space="0" w:color="auto"/>
              <w:left w:val="nil"/>
              <w:bottom w:val="single" w:sz="2" w:space="0" w:color="auto"/>
              <w:right w:val="nil"/>
            </w:tcBorders>
            <w:shd w:val="clear" w:color="auto" w:fill="auto"/>
            <w:noWrap/>
            <w:vAlign w:val="center"/>
            <w:hideMark/>
          </w:tcPr>
          <w:p w14:paraId="131AD142" w14:textId="77777777" w:rsidR="0088085F" w:rsidRPr="00B81E61" w:rsidRDefault="0088085F" w:rsidP="00945580">
            <w:pPr>
              <w:pStyle w:val="cuatexto"/>
              <w:jc w:val="right"/>
            </w:pPr>
            <w:r>
              <w:t>447.513</w:t>
            </w:r>
          </w:p>
        </w:tc>
        <w:tc>
          <w:tcPr>
            <w:tcW w:w="680" w:type="pct"/>
            <w:tcBorders>
              <w:top w:val="single" w:sz="2" w:space="0" w:color="auto"/>
              <w:left w:val="nil"/>
              <w:bottom w:val="single" w:sz="2" w:space="0" w:color="auto"/>
              <w:right w:val="nil"/>
            </w:tcBorders>
            <w:vAlign w:val="center"/>
          </w:tcPr>
          <w:p w14:paraId="06DA8667" w14:textId="77777777" w:rsidR="0088085F" w:rsidRPr="00B81E61" w:rsidRDefault="0088085F" w:rsidP="00945580">
            <w:pPr>
              <w:pStyle w:val="cuatexto"/>
              <w:jc w:val="right"/>
            </w:pPr>
            <w:r>
              <w:t>957.350</w:t>
            </w:r>
          </w:p>
        </w:tc>
        <w:tc>
          <w:tcPr>
            <w:tcW w:w="580" w:type="pct"/>
            <w:tcBorders>
              <w:top w:val="single" w:sz="2" w:space="0" w:color="auto"/>
              <w:left w:val="nil"/>
              <w:bottom w:val="single" w:sz="2" w:space="0" w:color="auto"/>
              <w:right w:val="nil"/>
            </w:tcBorders>
            <w:shd w:val="clear" w:color="auto" w:fill="auto"/>
            <w:noWrap/>
            <w:vAlign w:val="center"/>
            <w:hideMark/>
          </w:tcPr>
          <w:p w14:paraId="0862E474" w14:textId="77777777" w:rsidR="0088085F" w:rsidRPr="00B81E61" w:rsidRDefault="0088085F" w:rsidP="00945580">
            <w:pPr>
              <w:pStyle w:val="cuatexto"/>
              <w:jc w:val="right"/>
            </w:pPr>
            <w:r>
              <w:t>18.238.324</w:t>
            </w:r>
          </w:p>
        </w:tc>
        <w:tc>
          <w:tcPr>
            <w:tcW w:w="593" w:type="pct"/>
            <w:tcBorders>
              <w:top w:val="single" w:sz="2" w:space="0" w:color="auto"/>
              <w:left w:val="nil"/>
              <w:bottom w:val="single" w:sz="2" w:space="0" w:color="auto"/>
              <w:right w:val="nil"/>
            </w:tcBorders>
            <w:shd w:val="clear" w:color="auto" w:fill="auto"/>
            <w:noWrap/>
            <w:vAlign w:val="center"/>
            <w:hideMark/>
          </w:tcPr>
          <w:p w14:paraId="54E2F11C" w14:textId="77777777" w:rsidR="0088085F" w:rsidRPr="00B81E61" w:rsidRDefault="0088085F" w:rsidP="00945580">
            <w:pPr>
              <w:pStyle w:val="cuatexto"/>
              <w:jc w:val="right"/>
            </w:pPr>
            <w:r>
              <w:t>19.643.187</w:t>
            </w:r>
          </w:p>
        </w:tc>
      </w:tr>
      <w:tr w:rsidR="0088085F" w:rsidRPr="00B81E61" w14:paraId="45C4A5AD" w14:textId="77777777" w:rsidTr="00C83E40">
        <w:trPr>
          <w:trHeight w:val="252"/>
          <w:jc w:val="center"/>
        </w:trPr>
        <w:tc>
          <w:tcPr>
            <w:tcW w:w="2538" w:type="pct"/>
            <w:tcBorders>
              <w:top w:val="single" w:sz="2" w:space="0" w:color="auto"/>
              <w:left w:val="nil"/>
              <w:bottom w:val="single" w:sz="4" w:space="0" w:color="auto"/>
              <w:right w:val="nil"/>
            </w:tcBorders>
            <w:shd w:val="clear" w:color="auto" w:fill="auto"/>
            <w:vAlign w:val="center"/>
            <w:hideMark/>
          </w:tcPr>
          <w:p w14:paraId="78DAFCFE" w14:textId="77777777" w:rsidR="0088085F" w:rsidRPr="00B81E61" w:rsidRDefault="0088085F" w:rsidP="00945580">
            <w:pPr>
              <w:pStyle w:val="cuatexto"/>
              <w:jc w:val="left"/>
            </w:pPr>
            <w:r>
              <w:t>Batez besteko biztanle kopurua</w:t>
            </w:r>
          </w:p>
        </w:tc>
        <w:tc>
          <w:tcPr>
            <w:tcW w:w="609" w:type="pct"/>
            <w:tcBorders>
              <w:top w:val="single" w:sz="2" w:space="0" w:color="auto"/>
              <w:left w:val="nil"/>
              <w:bottom w:val="single" w:sz="4" w:space="0" w:color="auto"/>
              <w:right w:val="nil"/>
            </w:tcBorders>
            <w:shd w:val="clear" w:color="auto" w:fill="auto"/>
            <w:noWrap/>
            <w:vAlign w:val="center"/>
            <w:hideMark/>
          </w:tcPr>
          <w:p w14:paraId="04288FF7" w14:textId="77777777" w:rsidR="0088085F" w:rsidRPr="00B81E61" w:rsidRDefault="0088085F" w:rsidP="00945580">
            <w:pPr>
              <w:pStyle w:val="cuatexto"/>
              <w:jc w:val="right"/>
            </w:pPr>
            <w:r>
              <w:t>1.695</w:t>
            </w:r>
          </w:p>
        </w:tc>
        <w:tc>
          <w:tcPr>
            <w:tcW w:w="680" w:type="pct"/>
            <w:tcBorders>
              <w:top w:val="single" w:sz="2" w:space="0" w:color="auto"/>
              <w:left w:val="nil"/>
              <w:bottom w:val="single" w:sz="4" w:space="0" w:color="auto"/>
              <w:right w:val="nil"/>
            </w:tcBorders>
            <w:vAlign w:val="center"/>
          </w:tcPr>
          <w:p w14:paraId="2327BB97" w14:textId="77777777" w:rsidR="0088085F" w:rsidRPr="00B81E61" w:rsidRDefault="0088085F" w:rsidP="00945580">
            <w:pPr>
              <w:pStyle w:val="cuatexto"/>
              <w:jc w:val="right"/>
            </w:pPr>
            <w:r>
              <w:t>5.092</w:t>
            </w:r>
          </w:p>
        </w:tc>
        <w:tc>
          <w:tcPr>
            <w:tcW w:w="580" w:type="pct"/>
            <w:tcBorders>
              <w:top w:val="single" w:sz="2" w:space="0" w:color="auto"/>
              <w:left w:val="nil"/>
              <w:bottom w:val="single" w:sz="4" w:space="0" w:color="auto"/>
              <w:right w:val="nil"/>
            </w:tcBorders>
            <w:shd w:val="clear" w:color="auto" w:fill="auto"/>
            <w:noWrap/>
            <w:vAlign w:val="center"/>
            <w:hideMark/>
          </w:tcPr>
          <w:p w14:paraId="465466EC" w14:textId="77777777" w:rsidR="0088085F" w:rsidRPr="00B81E61" w:rsidRDefault="0088085F" w:rsidP="00945580">
            <w:pPr>
              <w:pStyle w:val="cuatexto"/>
              <w:jc w:val="right"/>
            </w:pPr>
            <w:r>
              <w:t>2.799</w:t>
            </w:r>
          </w:p>
        </w:tc>
        <w:tc>
          <w:tcPr>
            <w:tcW w:w="593" w:type="pct"/>
            <w:tcBorders>
              <w:top w:val="single" w:sz="2" w:space="0" w:color="auto"/>
              <w:left w:val="nil"/>
              <w:bottom w:val="single" w:sz="4" w:space="0" w:color="auto"/>
              <w:right w:val="nil"/>
            </w:tcBorders>
            <w:shd w:val="clear" w:color="auto" w:fill="auto"/>
            <w:noWrap/>
            <w:vAlign w:val="center"/>
            <w:hideMark/>
          </w:tcPr>
          <w:p w14:paraId="2EFD481F" w14:textId="77777777" w:rsidR="0088085F" w:rsidRPr="00B81E61" w:rsidRDefault="0088085F" w:rsidP="00945580">
            <w:pPr>
              <w:pStyle w:val="cuatexto"/>
              <w:jc w:val="right"/>
            </w:pPr>
            <w:r>
              <w:t>9.586</w:t>
            </w:r>
          </w:p>
        </w:tc>
      </w:tr>
    </w:tbl>
    <w:p w14:paraId="2414C494" w14:textId="77777777" w:rsidR="007F0D71" w:rsidRPr="00944DBF" w:rsidRDefault="007F0D71" w:rsidP="00944DBF">
      <w:pPr>
        <w:pStyle w:val="texto"/>
        <w:spacing w:before="80" w:after="120"/>
        <w:ind w:left="56" w:firstLine="0"/>
        <w:rPr>
          <w:rFonts w:ascii="Arial" w:hAnsi="Arial" w:cs="Arial"/>
          <w:sz w:val="16"/>
          <w:szCs w:val="16"/>
        </w:rPr>
      </w:pPr>
      <w:bookmarkStart w:id="94" w:name="_Toc52348299"/>
      <w:r>
        <w:rPr>
          <w:rFonts w:ascii="Arial" w:hAnsi="Arial"/>
          <w:sz w:val="16"/>
          <w:szCs w:val="16"/>
        </w:rPr>
        <w:t>(*) Ez dira jaso Arabako udalen datuak (50), bakar batek ere ez diolako Ministerioari kontu orokorrik aurkeztu.</w:t>
      </w:r>
    </w:p>
    <w:p w14:paraId="4BC6165D" w14:textId="77777777" w:rsidR="0088085F" w:rsidRPr="00262228" w:rsidRDefault="0088085F" w:rsidP="00C83E40">
      <w:pPr>
        <w:pStyle w:val="texto"/>
        <w:spacing w:before="220"/>
      </w:pPr>
      <w:r>
        <w:t xml:space="preserve">Nafarroako batez besteko biztanle kopuru txikia nabarmentzen da Estatuko gainerako udalen eta batez ere EAEkoen aldean. Nafarroan </w:t>
      </w:r>
      <w:r>
        <w:rPr>
          <w:color w:val="000000" w:themeColor="text1"/>
        </w:rPr>
        <w:t xml:space="preserve">udal bakar batek gainditzen du 40.000 biztanleen atalasea, eta Euskal Autonomia Erkidegoan </w:t>
      </w:r>
      <w:r>
        <w:t>badira bederatzi tamaina horretako udalak.</w:t>
      </w:r>
    </w:p>
    <w:p w14:paraId="0954DB42" w14:textId="77777777" w:rsidR="0088085F" w:rsidRPr="00262228" w:rsidRDefault="0088085F" w:rsidP="00F7590F">
      <w:pPr>
        <w:pStyle w:val="texto"/>
        <w:spacing w:after="240"/>
      </w:pPr>
      <w:r>
        <w:t>Beheko tauletan diru-sarrerak eta gastuak azaltzen dira kapitulu ekonomikoaren arabera eta biztanle bakoitzeko:</w:t>
      </w:r>
    </w:p>
    <w:tbl>
      <w:tblPr>
        <w:tblW w:w="8891" w:type="dxa"/>
        <w:jc w:val="center"/>
        <w:tblCellMar>
          <w:left w:w="70" w:type="dxa"/>
          <w:right w:w="70" w:type="dxa"/>
        </w:tblCellMar>
        <w:tblLook w:val="04A0" w:firstRow="1" w:lastRow="0" w:firstColumn="1" w:lastColumn="0" w:noHBand="0" w:noVBand="1"/>
      </w:tblPr>
      <w:tblGrid>
        <w:gridCol w:w="4256"/>
        <w:gridCol w:w="607"/>
        <w:gridCol w:w="952"/>
        <w:gridCol w:w="10"/>
        <w:gridCol w:w="605"/>
        <w:gridCol w:w="938"/>
        <w:gridCol w:w="672"/>
        <w:gridCol w:w="851"/>
      </w:tblGrid>
      <w:tr w:rsidR="0088085F" w:rsidRPr="00A20762" w14:paraId="2ADABD9E" w14:textId="77777777" w:rsidTr="00A942F8">
        <w:trPr>
          <w:trHeight w:val="113"/>
          <w:jc w:val="center"/>
        </w:trPr>
        <w:tc>
          <w:tcPr>
            <w:tcW w:w="4256" w:type="dxa"/>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176C34EB" w14:textId="77777777" w:rsidR="0088085F" w:rsidRPr="00A20762" w:rsidRDefault="000A3BD7" w:rsidP="00E03B06">
            <w:pPr>
              <w:pStyle w:val="cuadroCabe"/>
              <w:jc w:val="left"/>
              <w:rPr>
                <w:sz w:val="15"/>
                <w:szCs w:val="15"/>
              </w:rPr>
            </w:pPr>
            <w:r>
              <w:rPr>
                <w:sz w:val="15"/>
                <w:szCs w:val="15"/>
              </w:rPr>
              <w:t>Diru-sarrerak</w:t>
            </w:r>
          </w:p>
        </w:tc>
        <w:tc>
          <w:tcPr>
            <w:tcW w:w="1569" w:type="dxa"/>
            <w:gridSpan w:val="3"/>
            <w:tcBorders>
              <w:top w:val="single" w:sz="4" w:space="0" w:color="auto"/>
              <w:left w:val="nil"/>
              <w:bottom w:val="single" w:sz="2" w:space="0" w:color="auto"/>
              <w:right w:val="nil"/>
            </w:tcBorders>
            <w:shd w:val="clear" w:color="auto" w:fill="FABF8F" w:themeFill="accent6" w:themeFillTint="99"/>
            <w:vAlign w:val="center"/>
            <w:hideMark/>
          </w:tcPr>
          <w:p w14:paraId="2D36C8DB" w14:textId="77777777" w:rsidR="0088085F" w:rsidRPr="00A20762" w:rsidRDefault="0088085F" w:rsidP="00A72CB5">
            <w:pPr>
              <w:pStyle w:val="cuadroCabe"/>
              <w:ind w:right="-216"/>
              <w:jc w:val="center"/>
              <w:rPr>
                <w:sz w:val="15"/>
                <w:szCs w:val="15"/>
              </w:rPr>
            </w:pPr>
            <w:r>
              <w:rPr>
                <w:sz w:val="15"/>
                <w:szCs w:val="15"/>
              </w:rPr>
              <w:t>Nafarroa</w:t>
            </w:r>
          </w:p>
        </w:tc>
        <w:tc>
          <w:tcPr>
            <w:tcW w:w="1543"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14:paraId="29C436DA" w14:textId="77777777" w:rsidR="0088085F" w:rsidRPr="00A20762" w:rsidRDefault="0088085F" w:rsidP="00A72CB5">
            <w:pPr>
              <w:pStyle w:val="cuadroCabe"/>
              <w:ind w:right="-199"/>
              <w:jc w:val="center"/>
              <w:rPr>
                <w:sz w:val="15"/>
                <w:szCs w:val="15"/>
              </w:rPr>
            </w:pPr>
            <w:r>
              <w:rPr>
                <w:sz w:val="15"/>
                <w:szCs w:val="15"/>
              </w:rPr>
              <w:t>EAE</w:t>
            </w:r>
          </w:p>
        </w:tc>
        <w:tc>
          <w:tcPr>
            <w:tcW w:w="1523"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677912FF" w14:textId="77777777" w:rsidR="0088085F" w:rsidRPr="00A20762" w:rsidRDefault="00956974" w:rsidP="00956974">
            <w:pPr>
              <w:pStyle w:val="cuadroCabe"/>
              <w:jc w:val="right"/>
              <w:rPr>
                <w:sz w:val="15"/>
                <w:szCs w:val="15"/>
              </w:rPr>
            </w:pPr>
            <w:r>
              <w:rPr>
                <w:sz w:val="15"/>
                <w:szCs w:val="15"/>
              </w:rPr>
              <w:t xml:space="preserve">   Estatuko gainerakoak</w:t>
            </w:r>
          </w:p>
        </w:tc>
      </w:tr>
      <w:tr w:rsidR="0088085F" w:rsidRPr="00A20762" w14:paraId="6AEE1EFC" w14:textId="77777777" w:rsidTr="00A942F8">
        <w:trPr>
          <w:trHeight w:val="113"/>
          <w:jc w:val="center"/>
        </w:trPr>
        <w:tc>
          <w:tcPr>
            <w:tcW w:w="4256" w:type="dxa"/>
            <w:vMerge/>
            <w:tcBorders>
              <w:top w:val="single" w:sz="2" w:space="0" w:color="auto"/>
              <w:left w:val="nil"/>
              <w:bottom w:val="single" w:sz="4" w:space="0" w:color="000000"/>
              <w:right w:val="nil"/>
            </w:tcBorders>
            <w:shd w:val="clear" w:color="auto" w:fill="FABF8F" w:themeFill="accent6" w:themeFillTint="99"/>
            <w:vAlign w:val="center"/>
            <w:hideMark/>
          </w:tcPr>
          <w:p w14:paraId="24A92F57" w14:textId="77777777" w:rsidR="0088085F" w:rsidRPr="00A20762" w:rsidRDefault="0088085F" w:rsidP="00E03B06">
            <w:pPr>
              <w:pStyle w:val="cuadroCabe"/>
              <w:jc w:val="left"/>
              <w:rPr>
                <w:sz w:val="15"/>
                <w:szCs w:val="15"/>
                <w:lang w:val="es-ES" w:eastAsia="es-ES"/>
              </w:rPr>
            </w:pPr>
          </w:p>
        </w:tc>
        <w:tc>
          <w:tcPr>
            <w:tcW w:w="607" w:type="dxa"/>
            <w:tcBorders>
              <w:top w:val="single" w:sz="2" w:space="0" w:color="auto"/>
              <w:left w:val="nil"/>
              <w:bottom w:val="single" w:sz="4" w:space="0" w:color="auto"/>
              <w:right w:val="nil"/>
            </w:tcBorders>
            <w:shd w:val="clear" w:color="auto" w:fill="FABF8F" w:themeFill="accent6" w:themeFillTint="99"/>
            <w:vAlign w:val="center"/>
            <w:hideMark/>
          </w:tcPr>
          <w:p w14:paraId="0989E763" w14:textId="77777777" w:rsidR="0088085F" w:rsidRPr="00A20762" w:rsidRDefault="0088085F" w:rsidP="00E03B06">
            <w:pPr>
              <w:pStyle w:val="cuadroCabe"/>
              <w:jc w:val="right"/>
              <w:rPr>
                <w:sz w:val="15"/>
                <w:szCs w:val="15"/>
              </w:rPr>
            </w:pPr>
            <w:r>
              <w:rPr>
                <w:sz w:val="15"/>
                <w:szCs w:val="15"/>
              </w:rPr>
              <w:t>Per capita</w:t>
            </w:r>
          </w:p>
        </w:tc>
        <w:tc>
          <w:tcPr>
            <w:tcW w:w="952" w:type="dxa"/>
            <w:tcBorders>
              <w:top w:val="single" w:sz="2" w:space="0" w:color="auto"/>
              <w:left w:val="nil"/>
              <w:bottom w:val="single" w:sz="4" w:space="0" w:color="auto"/>
              <w:right w:val="nil"/>
            </w:tcBorders>
            <w:shd w:val="clear" w:color="auto" w:fill="FABF8F" w:themeFill="accent6" w:themeFillTint="99"/>
            <w:noWrap/>
            <w:vAlign w:val="center"/>
            <w:hideMark/>
          </w:tcPr>
          <w:p w14:paraId="0A7E7F16" w14:textId="77777777" w:rsidR="00A20762" w:rsidRDefault="0088085F" w:rsidP="00E03B06">
            <w:pPr>
              <w:pStyle w:val="cuadroCabe"/>
              <w:jc w:val="right"/>
              <w:rPr>
                <w:sz w:val="15"/>
                <w:szCs w:val="15"/>
              </w:rPr>
            </w:pPr>
            <w:r>
              <w:rPr>
                <w:sz w:val="15"/>
                <w:szCs w:val="15"/>
              </w:rPr>
              <w:t xml:space="preserve">Ehunekoa, </w:t>
            </w:r>
          </w:p>
          <w:p w14:paraId="31DE125C" w14:textId="77777777" w:rsidR="0088085F" w:rsidRPr="00A20762" w:rsidRDefault="0088085F" w:rsidP="00E03B06">
            <w:pPr>
              <w:pStyle w:val="cuadroCabe"/>
              <w:jc w:val="right"/>
              <w:rPr>
                <w:sz w:val="15"/>
                <w:szCs w:val="15"/>
              </w:rPr>
            </w:pPr>
            <w:r>
              <w:rPr>
                <w:sz w:val="15"/>
                <w:szCs w:val="15"/>
              </w:rPr>
              <w:t>guztizkoaren gainean</w:t>
            </w:r>
          </w:p>
        </w:tc>
        <w:tc>
          <w:tcPr>
            <w:tcW w:w="615" w:type="dxa"/>
            <w:gridSpan w:val="2"/>
            <w:tcBorders>
              <w:top w:val="single" w:sz="2" w:space="0" w:color="auto"/>
              <w:left w:val="nil"/>
              <w:bottom w:val="single" w:sz="4" w:space="0" w:color="auto"/>
              <w:right w:val="nil"/>
            </w:tcBorders>
            <w:shd w:val="clear" w:color="auto" w:fill="FABF8F" w:themeFill="accent6" w:themeFillTint="99"/>
            <w:noWrap/>
            <w:vAlign w:val="center"/>
            <w:hideMark/>
          </w:tcPr>
          <w:p w14:paraId="2F732312" w14:textId="77777777" w:rsidR="0088085F" w:rsidRPr="00A20762" w:rsidRDefault="0088085F" w:rsidP="00E03B06">
            <w:pPr>
              <w:pStyle w:val="cuadroCabe"/>
              <w:jc w:val="right"/>
              <w:rPr>
                <w:sz w:val="15"/>
                <w:szCs w:val="15"/>
              </w:rPr>
            </w:pPr>
            <w:r>
              <w:rPr>
                <w:sz w:val="15"/>
                <w:szCs w:val="15"/>
              </w:rPr>
              <w:t>Per capita</w:t>
            </w:r>
          </w:p>
        </w:tc>
        <w:tc>
          <w:tcPr>
            <w:tcW w:w="938" w:type="dxa"/>
            <w:tcBorders>
              <w:top w:val="single" w:sz="2" w:space="0" w:color="auto"/>
              <w:left w:val="nil"/>
              <w:bottom w:val="single" w:sz="4" w:space="0" w:color="auto"/>
              <w:right w:val="nil"/>
            </w:tcBorders>
            <w:shd w:val="clear" w:color="auto" w:fill="FABF8F" w:themeFill="accent6" w:themeFillTint="99"/>
            <w:noWrap/>
            <w:vAlign w:val="center"/>
            <w:hideMark/>
          </w:tcPr>
          <w:p w14:paraId="6F154699" w14:textId="77777777" w:rsidR="00E03B06" w:rsidRDefault="0088085F" w:rsidP="00E03B06">
            <w:pPr>
              <w:pStyle w:val="cuadroCabe"/>
              <w:jc w:val="right"/>
              <w:rPr>
                <w:sz w:val="15"/>
                <w:szCs w:val="15"/>
              </w:rPr>
            </w:pPr>
            <w:r>
              <w:rPr>
                <w:sz w:val="15"/>
                <w:szCs w:val="15"/>
              </w:rPr>
              <w:t xml:space="preserve">Ehunekoa, </w:t>
            </w:r>
          </w:p>
          <w:p w14:paraId="1E424C5A" w14:textId="77777777" w:rsidR="0088085F" w:rsidRPr="00A20762" w:rsidRDefault="0088085F" w:rsidP="00E03B06">
            <w:pPr>
              <w:pStyle w:val="cuadroCabe"/>
              <w:jc w:val="right"/>
              <w:rPr>
                <w:sz w:val="15"/>
                <w:szCs w:val="15"/>
              </w:rPr>
            </w:pPr>
            <w:r>
              <w:rPr>
                <w:sz w:val="15"/>
                <w:szCs w:val="15"/>
              </w:rPr>
              <w:t>guztizkoaren gainean</w:t>
            </w:r>
          </w:p>
        </w:tc>
        <w:tc>
          <w:tcPr>
            <w:tcW w:w="672" w:type="dxa"/>
            <w:tcBorders>
              <w:top w:val="single" w:sz="2" w:space="0" w:color="auto"/>
              <w:left w:val="nil"/>
              <w:bottom w:val="single" w:sz="4" w:space="0" w:color="auto"/>
              <w:right w:val="nil"/>
            </w:tcBorders>
            <w:shd w:val="clear" w:color="auto" w:fill="FABF8F" w:themeFill="accent6" w:themeFillTint="99"/>
            <w:vAlign w:val="center"/>
            <w:hideMark/>
          </w:tcPr>
          <w:p w14:paraId="7077DA68" w14:textId="77777777" w:rsidR="0088085F" w:rsidRPr="00A20762" w:rsidRDefault="0088085F" w:rsidP="00E03B06">
            <w:pPr>
              <w:pStyle w:val="cuadroCabe"/>
              <w:jc w:val="right"/>
              <w:rPr>
                <w:sz w:val="15"/>
                <w:szCs w:val="15"/>
              </w:rPr>
            </w:pPr>
            <w:r>
              <w:rPr>
                <w:sz w:val="15"/>
                <w:szCs w:val="15"/>
              </w:rPr>
              <w:t>Per capita</w:t>
            </w:r>
          </w:p>
        </w:tc>
        <w:tc>
          <w:tcPr>
            <w:tcW w:w="851" w:type="dxa"/>
            <w:tcBorders>
              <w:top w:val="single" w:sz="2" w:space="0" w:color="auto"/>
              <w:left w:val="nil"/>
              <w:bottom w:val="single" w:sz="4" w:space="0" w:color="auto"/>
              <w:right w:val="nil"/>
            </w:tcBorders>
            <w:shd w:val="clear" w:color="auto" w:fill="FABF8F" w:themeFill="accent6" w:themeFillTint="99"/>
            <w:vAlign w:val="center"/>
            <w:hideMark/>
          </w:tcPr>
          <w:p w14:paraId="4102AD16" w14:textId="77777777" w:rsidR="00E03B06" w:rsidRDefault="0088085F" w:rsidP="00E03B06">
            <w:pPr>
              <w:pStyle w:val="cuadroCabe"/>
              <w:jc w:val="right"/>
              <w:rPr>
                <w:sz w:val="15"/>
                <w:szCs w:val="15"/>
              </w:rPr>
            </w:pPr>
            <w:r>
              <w:rPr>
                <w:sz w:val="15"/>
                <w:szCs w:val="15"/>
              </w:rPr>
              <w:t xml:space="preserve">Ehunekoa, </w:t>
            </w:r>
          </w:p>
          <w:p w14:paraId="1EB6EEA6" w14:textId="77777777" w:rsidR="0088085F" w:rsidRPr="00A20762" w:rsidRDefault="0088085F" w:rsidP="00E03B06">
            <w:pPr>
              <w:pStyle w:val="cuadroCabe"/>
              <w:jc w:val="right"/>
              <w:rPr>
                <w:sz w:val="15"/>
                <w:szCs w:val="15"/>
              </w:rPr>
            </w:pPr>
            <w:r>
              <w:rPr>
                <w:sz w:val="15"/>
                <w:szCs w:val="15"/>
              </w:rPr>
              <w:t>guztizkoaren gainean</w:t>
            </w:r>
          </w:p>
        </w:tc>
      </w:tr>
      <w:tr w:rsidR="0088085F" w:rsidRPr="003D58AB" w14:paraId="119AC45A" w14:textId="77777777" w:rsidTr="00A942F8">
        <w:trPr>
          <w:trHeight w:hRule="exact" w:val="255"/>
          <w:jc w:val="center"/>
        </w:trPr>
        <w:tc>
          <w:tcPr>
            <w:tcW w:w="4256" w:type="dxa"/>
            <w:tcBorders>
              <w:top w:val="nil"/>
              <w:left w:val="nil"/>
              <w:bottom w:val="single" w:sz="2" w:space="0" w:color="auto"/>
              <w:right w:val="nil"/>
            </w:tcBorders>
            <w:shd w:val="clear" w:color="auto" w:fill="auto"/>
            <w:noWrap/>
            <w:vAlign w:val="center"/>
            <w:hideMark/>
          </w:tcPr>
          <w:p w14:paraId="4C278ABA" w14:textId="77777777" w:rsidR="0088085F" w:rsidRPr="004C5C5D" w:rsidRDefault="0088085F" w:rsidP="00E03B06">
            <w:pPr>
              <w:pStyle w:val="cuatexto"/>
              <w:jc w:val="left"/>
              <w:rPr>
                <w:sz w:val="18"/>
                <w:szCs w:val="18"/>
              </w:rPr>
            </w:pPr>
            <w:r>
              <w:rPr>
                <w:sz w:val="18"/>
                <w:szCs w:val="18"/>
              </w:rPr>
              <w:t>Zuzeneko zergak</w:t>
            </w:r>
          </w:p>
        </w:tc>
        <w:tc>
          <w:tcPr>
            <w:tcW w:w="607" w:type="dxa"/>
            <w:tcBorders>
              <w:top w:val="nil"/>
              <w:left w:val="nil"/>
              <w:bottom w:val="single" w:sz="2" w:space="0" w:color="auto"/>
              <w:right w:val="nil"/>
            </w:tcBorders>
            <w:shd w:val="clear" w:color="auto" w:fill="auto"/>
            <w:noWrap/>
            <w:vAlign w:val="center"/>
            <w:hideMark/>
          </w:tcPr>
          <w:p w14:paraId="2401F20A" w14:textId="77777777" w:rsidR="0088085F" w:rsidRPr="003D58AB" w:rsidRDefault="0088085F" w:rsidP="00E03B06">
            <w:pPr>
              <w:pStyle w:val="cuatexto"/>
              <w:jc w:val="right"/>
              <w:rPr>
                <w:color w:val="000000"/>
                <w:sz w:val="18"/>
                <w:szCs w:val="18"/>
              </w:rPr>
            </w:pPr>
            <w:r>
              <w:rPr>
                <w:color w:val="000000"/>
                <w:sz w:val="18"/>
                <w:szCs w:val="18"/>
              </w:rPr>
              <w:t>316</w:t>
            </w:r>
          </w:p>
        </w:tc>
        <w:tc>
          <w:tcPr>
            <w:tcW w:w="952" w:type="dxa"/>
            <w:tcBorders>
              <w:top w:val="nil"/>
              <w:left w:val="nil"/>
              <w:bottom w:val="single" w:sz="2" w:space="0" w:color="auto"/>
              <w:right w:val="nil"/>
            </w:tcBorders>
            <w:shd w:val="clear" w:color="auto" w:fill="auto"/>
            <w:noWrap/>
            <w:vAlign w:val="center"/>
            <w:hideMark/>
          </w:tcPr>
          <w:p w14:paraId="79AF35C2" w14:textId="77777777" w:rsidR="0088085F" w:rsidRPr="003D58AB" w:rsidRDefault="0088085F" w:rsidP="00E03B06">
            <w:pPr>
              <w:pStyle w:val="cuatexto"/>
              <w:jc w:val="right"/>
              <w:rPr>
                <w:sz w:val="18"/>
                <w:szCs w:val="18"/>
              </w:rPr>
            </w:pPr>
            <w:r>
              <w:rPr>
                <w:sz w:val="18"/>
                <w:szCs w:val="18"/>
              </w:rPr>
              <w:t xml:space="preserve">         26,7 </w:t>
            </w:r>
          </w:p>
        </w:tc>
        <w:tc>
          <w:tcPr>
            <w:tcW w:w="615" w:type="dxa"/>
            <w:gridSpan w:val="2"/>
            <w:tcBorders>
              <w:top w:val="nil"/>
              <w:left w:val="nil"/>
              <w:bottom w:val="single" w:sz="2" w:space="0" w:color="auto"/>
              <w:right w:val="nil"/>
            </w:tcBorders>
            <w:shd w:val="clear" w:color="auto" w:fill="auto"/>
            <w:noWrap/>
            <w:vAlign w:val="center"/>
            <w:hideMark/>
          </w:tcPr>
          <w:p w14:paraId="51AE424B" w14:textId="77777777" w:rsidR="0088085F" w:rsidRPr="003D58AB" w:rsidRDefault="0088085F" w:rsidP="00E03B06">
            <w:pPr>
              <w:pStyle w:val="cuatexto"/>
              <w:jc w:val="right"/>
              <w:rPr>
                <w:color w:val="000000"/>
                <w:sz w:val="18"/>
                <w:szCs w:val="18"/>
              </w:rPr>
            </w:pPr>
            <w:r>
              <w:rPr>
                <w:color w:val="000000"/>
                <w:sz w:val="18"/>
                <w:szCs w:val="18"/>
              </w:rPr>
              <w:t>306</w:t>
            </w:r>
          </w:p>
        </w:tc>
        <w:tc>
          <w:tcPr>
            <w:tcW w:w="938" w:type="dxa"/>
            <w:tcBorders>
              <w:top w:val="nil"/>
              <w:left w:val="nil"/>
              <w:bottom w:val="single" w:sz="2" w:space="0" w:color="auto"/>
              <w:right w:val="nil"/>
            </w:tcBorders>
            <w:shd w:val="clear" w:color="auto" w:fill="auto"/>
            <w:noWrap/>
            <w:vAlign w:val="center"/>
            <w:hideMark/>
          </w:tcPr>
          <w:p w14:paraId="253229F7" w14:textId="77777777" w:rsidR="0088085F" w:rsidRPr="003D58AB" w:rsidRDefault="0088085F" w:rsidP="00E03B06">
            <w:pPr>
              <w:pStyle w:val="cuatexto"/>
              <w:jc w:val="right"/>
              <w:rPr>
                <w:sz w:val="18"/>
                <w:szCs w:val="18"/>
              </w:rPr>
            </w:pPr>
            <w:r>
              <w:rPr>
                <w:sz w:val="18"/>
                <w:szCs w:val="18"/>
              </w:rPr>
              <w:t xml:space="preserve">        20,8 </w:t>
            </w:r>
          </w:p>
        </w:tc>
        <w:tc>
          <w:tcPr>
            <w:tcW w:w="672" w:type="dxa"/>
            <w:tcBorders>
              <w:top w:val="nil"/>
              <w:left w:val="nil"/>
              <w:bottom w:val="single" w:sz="2" w:space="0" w:color="auto"/>
              <w:right w:val="nil"/>
            </w:tcBorders>
            <w:shd w:val="clear" w:color="auto" w:fill="auto"/>
            <w:noWrap/>
            <w:vAlign w:val="center"/>
            <w:hideMark/>
          </w:tcPr>
          <w:p w14:paraId="10809FBB" w14:textId="77777777" w:rsidR="0088085F" w:rsidRPr="003D58AB" w:rsidRDefault="0088085F" w:rsidP="00E03B06">
            <w:pPr>
              <w:pStyle w:val="cuatexto"/>
              <w:jc w:val="right"/>
              <w:rPr>
                <w:color w:val="000000"/>
                <w:sz w:val="18"/>
                <w:szCs w:val="18"/>
              </w:rPr>
            </w:pPr>
            <w:r>
              <w:rPr>
                <w:color w:val="000000"/>
                <w:sz w:val="18"/>
                <w:szCs w:val="18"/>
              </w:rPr>
              <w:t>429</w:t>
            </w:r>
          </w:p>
        </w:tc>
        <w:tc>
          <w:tcPr>
            <w:tcW w:w="851" w:type="dxa"/>
            <w:tcBorders>
              <w:top w:val="nil"/>
              <w:left w:val="nil"/>
              <w:bottom w:val="single" w:sz="2" w:space="0" w:color="auto"/>
              <w:right w:val="nil"/>
            </w:tcBorders>
            <w:shd w:val="clear" w:color="auto" w:fill="auto"/>
            <w:noWrap/>
            <w:vAlign w:val="center"/>
            <w:hideMark/>
          </w:tcPr>
          <w:p w14:paraId="317C88D9" w14:textId="77777777" w:rsidR="0088085F" w:rsidRPr="003D58AB" w:rsidRDefault="0088085F" w:rsidP="00E03B06">
            <w:pPr>
              <w:pStyle w:val="cuatexto"/>
              <w:jc w:val="right"/>
              <w:rPr>
                <w:sz w:val="18"/>
                <w:szCs w:val="18"/>
              </w:rPr>
            </w:pPr>
            <w:r>
              <w:rPr>
                <w:sz w:val="18"/>
                <w:szCs w:val="18"/>
              </w:rPr>
              <w:t xml:space="preserve">       36,9 </w:t>
            </w:r>
          </w:p>
        </w:tc>
      </w:tr>
      <w:tr w:rsidR="0088085F" w:rsidRPr="003D58AB" w14:paraId="59CC851C"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796B6A2A" w14:textId="77777777" w:rsidR="0088085F" w:rsidRPr="004C5C5D" w:rsidRDefault="0088085F" w:rsidP="00E03B06">
            <w:pPr>
              <w:pStyle w:val="cuatexto"/>
              <w:jc w:val="left"/>
              <w:rPr>
                <w:sz w:val="18"/>
                <w:szCs w:val="18"/>
              </w:rPr>
            </w:pPr>
            <w:r>
              <w:rPr>
                <w:sz w:val="18"/>
                <w:szCs w:val="18"/>
              </w:rPr>
              <w:t>Zeharkako zergak</w:t>
            </w:r>
          </w:p>
        </w:tc>
        <w:tc>
          <w:tcPr>
            <w:tcW w:w="607" w:type="dxa"/>
            <w:tcBorders>
              <w:top w:val="single" w:sz="2" w:space="0" w:color="auto"/>
              <w:left w:val="nil"/>
              <w:bottom w:val="single" w:sz="2" w:space="0" w:color="auto"/>
              <w:right w:val="nil"/>
            </w:tcBorders>
            <w:shd w:val="clear" w:color="auto" w:fill="auto"/>
            <w:noWrap/>
            <w:vAlign w:val="center"/>
            <w:hideMark/>
          </w:tcPr>
          <w:p w14:paraId="28D4B350" w14:textId="77777777" w:rsidR="0088085F" w:rsidRPr="003D58AB" w:rsidRDefault="0088085F" w:rsidP="00E03B06">
            <w:pPr>
              <w:pStyle w:val="cuatexto"/>
              <w:jc w:val="right"/>
              <w:rPr>
                <w:color w:val="000000"/>
                <w:sz w:val="18"/>
                <w:szCs w:val="18"/>
              </w:rPr>
            </w:pPr>
            <w:r>
              <w:rPr>
                <w:color w:val="000000"/>
                <w:sz w:val="18"/>
                <w:szCs w:val="18"/>
              </w:rPr>
              <w:t>55</w:t>
            </w:r>
          </w:p>
        </w:tc>
        <w:tc>
          <w:tcPr>
            <w:tcW w:w="952" w:type="dxa"/>
            <w:tcBorders>
              <w:top w:val="single" w:sz="2" w:space="0" w:color="auto"/>
              <w:left w:val="nil"/>
              <w:bottom w:val="single" w:sz="2" w:space="0" w:color="auto"/>
              <w:right w:val="nil"/>
            </w:tcBorders>
            <w:shd w:val="clear" w:color="auto" w:fill="auto"/>
            <w:noWrap/>
            <w:vAlign w:val="center"/>
            <w:hideMark/>
          </w:tcPr>
          <w:p w14:paraId="02EFC6D4" w14:textId="77777777" w:rsidR="0088085F" w:rsidRPr="003D58AB" w:rsidRDefault="0088085F" w:rsidP="00E03B06">
            <w:pPr>
              <w:pStyle w:val="cuatexto"/>
              <w:jc w:val="right"/>
              <w:rPr>
                <w:sz w:val="18"/>
                <w:szCs w:val="18"/>
              </w:rPr>
            </w:pPr>
            <w:r>
              <w:rPr>
                <w:sz w:val="18"/>
                <w:szCs w:val="18"/>
              </w:rPr>
              <w:t xml:space="preserve">           4,6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43AB606C" w14:textId="77777777" w:rsidR="0088085F" w:rsidRPr="003D58AB" w:rsidRDefault="0088085F" w:rsidP="00E03B06">
            <w:pPr>
              <w:pStyle w:val="cuatexto"/>
              <w:jc w:val="right"/>
              <w:rPr>
                <w:color w:val="000000"/>
                <w:sz w:val="18"/>
                <w:szCs w:val="18"/>
              </w:rPr>
            </w:pPr>
            <w:r>
              <w:rPr>
                <w:color w:val="000000"/>
                <w:sz w:val="18"/>
                <w:szCs w:val="18"/>
              </w:rPr>
              <w:t>33</w:t>
            </w:r>
          </w:p>
        </w:tc>
        <w:tc>
          <w:tcPr>
            <w:tcW w:w="938" w:type="dxa"/>
            <w:tcBorders>
              <w:top w:val="single" w:sz="2" w:space="0" w:color="auto"/>
              <w:left w:val="nil"/>
              <w:bottom w:val="single" w:sz="2" w:space="0" w:color="auto"/>
              <w:right w:val="nil"/>
            </w:tcBorders>
            <w:shd w:val="clear" w:color="auto" w:fill="auto"/>
            <w:noWrap/>
            <w:vAlign w:val="center"/>
            <w:hideMark/>
          </w:tcPr>
          <w:p w14:paraId="209EEBED" w14:textId="77777777" w:rsidR="0088085F" w:rsidRPr="003D58AB" w:rsidRDefault="0088085F" w:rsidP="00E03B06">
            <w:pPr>
              <w:pStyle w:val="cuatexto"/>
              <w:jc w:val="right"/>
              <w:rPr>
                <w:sz w:val="18"/>
                <w:szCs w:val="18"/>
              </w:rPr>
            </w:pPr>
            <w:r>
              <w:rPr>
                <w:sz w:val="18"/>
                <w:szCs w:val="18"/>
              </w:rPr>
              <w:t xml:space="preserve">          2,2 </w:t>
            </w:r>
          </w:p>
        </w:tc>
        <w:tc>
          <w:tcPr>
            <w:tcW w:w="672" w:type="dxa"/>
            <w:tcBorders>
              <w:top w:val="single" w:sz="2" w:space="0" w:color="auto"/>
              <w:left w:val="nil"/>
              <w:bottom w:val="single" w:sz="2" w:space="0" w:color="auto"/>
              <w:right w:val="nil"/>
            </w:tcBorders>
            <w:shd w:val="clear" w:color="auto" w:fill="auto"/>
            <w:noWrap/>
            <w:vAlign w:val="center"/>
            <w:hideMark/>
          </w:tcPr>
          <w:p w14:paraId="0BCDA1AB" w14:textId="77777777" w:rsidR="0088085F" w:rsidRPr="003D58AB" w:rsidRDefault="0088085F" w:rsidP="00E03B06">
            <w:pPr>
              <w:pStyle w:val="cuatexto"/>
              <w:jc w:val="right"/>
              <w:rPr>
                <w:color w:val="000000"/>
                <w:sz w:val="18"/>
                <w:szCs w:val="18"/>
              </w:rPr>
            </w:pPr>
            <w:r>
              <w:rPr>
                <w:color w:val="000000"/>
                <w:sz w:val="18"/>
                <w:szCs w:val="18"/>
              </w:rPr>
              <w:t>28</w:t>
            </w:r>
          </w:p>
        </w:tc>
        <w:tc>
          <w:tcPr>
            <w:tcW w:w="851" w:type="dxa"/>
            <w:tcBorders>
              <w:top w:val="single" w:sz="2" w:space="0" w:color="auto"/>
              <w:left w:val="nil"/>
              <w:bottom w:val="single" w:sz="2" w:space="0" w:color="auto"/>
              <w:right w:val="nil"/>
            </w:tcBorders>
            <w:shd w:val="clear" w:color="auto" w:fill="auto"/>
            <w:noWrap/>
            <w:vAlign w:val="center"/>
            <w:hideMark/>
          </w:tcPr>
          <w:p w14:paraId="6ABFC3EF" w14:textId="77777777" w:rsidR="0088085F" w:rsidRPr="003D58AB" w:rsidRDefault="0088085F" w:rsidP="00E03B06">
            <w:pPr>
              <w:pStyle w:val="cuatexto"/>
              <w:jc w:val="right"/>
              <w:rPr>
                <w:sz w:val="18"/>
                <w:szCs w:val="18"/>
              </w:rPr>
            </w:pPr>
            <w:r>
              <w:rPr>
                <w:sz w:val="18"/>
                <w:szCs w:val="18"/>
              </w:rPr>
              <w:t xml:space="preserve">         2,4 </w:t>
            </w:r>
          </w:p>
        </w:tc>
      </w:tr>
      <w:tr w:rsidR="0088085F" w:rsidRPr="003D58AB" w14:paraId="7FDDEAE8"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161B627C" w14:textId="77777777" w:rsidR="0088085F" w:rsidRPr="004C5C5D" w:rsidRDefault="0088085F" w:rsidP="00E03B06">
            <w:pPr>
              <w:pStyle w:val="cuatexto"/>
              <w:jc w:val="left"/>
              <w:rPr>
                <w:sz w:val="18"/>
                <w:szCs w:val="18"/>
              </w:rPr>
            </w:pPr>
            <w:r>
              <w:rPr>
                <w:sz w:val="18"/>
                <w:szCs w:val="18"/>
              </w:rPr>
              <w:t>Tasak, prezio publikoak eta beste diru-sarrera batzuk</w:t>
            </w:r>
          </w:p>
        </w:tc>
        <w:tc>
          <w:tcPr>
            <w:tcW w:w="607" w:type="dxa"/>
            <w:tcBorders>
              <w:top w:val="single" w:sz="2" w:space="0" w:color="auto"/>
              <w:left w:val="nil"/>
              <w:bottom w:val="single" w:sz="2" w:space="0" w:color="auto"/>
              <w:right w:val="nil"/>
            </w:tcBorders>
            <w:shd w:val="clear" w:color="auto" w:fill="auto"/>
            <w:noWrap/>
            <w:vAlign w:val="center"/>
            <w:hideMark/>
          </w:tcPr>
          <w:p w14:paraId="339DE452" w14:textId="77777777" w:rsidR="0088085F" w:rsidRPr="003D58AB" w:rsidRDefault="0088085F" w:rsidP="00E03B06">
            <w:pPr>
              <w:pStyle w:val="cuatexto"/>
              <w:jc w:val="right"/>
              <w:rPr>
                <w:color w:val="000000"/>
                <w:sz w:val="18"/>
                <w:szCs w:val="18"/>
              </w:rPr>
            </w:pPr>
            <w:r>
              <w:rPr>
                <w:color w:val="000000"/>
                <w:sz w:val="18"/>
                <w:szCs w:val="18"/>
              </w:rPr>
              <w:t>181</w:t>
            </w:r>
          </w:p>
        </w:tc>
        <w:tc>
          <w:tcPr>
            <w:tcW w:w="952" w:type="dxa"/>
            <w:tcBorders>
              <w:top w:val="single" w:sz="2" w:space="0" w:color="auto"/>
              <w:left w:val="nil"/>
              <w:bottom w:val="single" w:sz="2" w:space="0" w:color="auto"/>
              <w:right w:val="nil"/>
            </w:tcBorders>
            <w:shd w:val="clear" w:color="auto" w:fill="auto"/>
            <w:noWrap/>
            <w:vAlign w:val="center"/>
            <w:hideMark/>
          </w:tcPr>
          <w:p w14:paraId="4B4CFD3F" w14:textId="77777777" w:rsidR="0088085F" w:rsidRPr="003D58AB" w:rsidRDefault="0088085F" w:rsidP="00E03B06">
            <w:pPr>
              <w:pStyle w:val="cuatexto"/>
              <w:jc w:val="right"/>
              <w:rPr>
                <w:sz w:val="18"/>
                <w:szCs w:val="18"/>
              </w:rPr>
            </w:pPr>
            <w:r>
              <w:rPr>
                <w:sz w:val="18"/>
                <w:szCs w:val="18"/>
              </w:rPr>
              <w:t xml:space="preserve">         15,3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639C4375" w14:textId="77777777" w:rsidR="0088085F" w:rsidRPr="003D58AB" w:rsidRDefault="0088085F" w:rsidP="00E03B06">
            <w:pPr>
              <w:pStyle w:val="cuatexto"/>
              <w:jc w:val="right"/>
              <w:rPr>
                <w:color w:val="000000"/>
                <w:sz w:val="18"/>
                <w:szCs w:val="18"/>
              </w:rPr>
            </w:pPr>
            <w:r>
              <w:rPr>
                <w:color w:val="000000"/>
                <w:sz w:val="18"/>
                <w:szCs w:val="18"/>
              </w:rPr>
              <w:t>236</w:t>
            </w:r>
          </w:p>
        </w:tc>
        <w:tc>
          <w:tcPr>
            <w:tcW w:w="938" w:type="dxa"/>
            <w:tcBorders>
              <w:top w:val="single" w:sz="2" w:space="0" w:color="auto"/>
              <w:left w:val="nil"/>
              <w:bottom w:val="single" w:sz="2" w:space="0" w:color="auto"/>
              <w:right w:val="nil"/>
            </w:tcBorders>
            <w:shd w:val="clear" w:color="auto" w:fill="auto"/>
            <w:noWrap/>
            <w:vAlign w:val="center"/>
            <w:hideMark/>
          </w:tcPr>
          <w:p w14:paraId="7CD4DD15" w14:textId="77777777" w:rsidR="0088085F" w:rsidRPr="003D58AB" w:rsidRDefault="0088085F" w:rsidP="00E03B06">
            <w:pPr>
              <w:pStyle w:val="cuatexto"/>
              <w:jc w:val="right"/>
              <w:rPr>
                <w:sz w:val="18"/>
                <w:szCs w:val="18"/>
              </w:rPr>
            </w:pPr>
            <w:r>
              <w:rPr>
                <w:sz w:val="18"/>
                <w:szCs w:val="18"/>
              </w:rPr>
              <w:t xml:space="preserve">        16,0 </w:t>
            </w:r>
          </w:p>
        </w:tc>
        <w:tc>
          <w:tcPr>
            <w:tcW w:w="672" w:type="dxa"/>
            <w:tcBorders>
              <w:top w:val="single" w:sz="2" w:space="0" w:color="auto"/>
              <w:left w:val="nil"/>
              <w:bottom w:val="single" w:sz="2" w:space="0" w:color="auto"/>
              <w:right w:val="nil"/>
            </w:tcBorders>
            <w:shd w:val="clear" w:color="auto" w:fill="auto"/>
            <w:noWrap/>
            <w:vAlign w:val="center"/>
            <w:hideMark/>
          </w:tcPr>
          <w:p w14:paraId="0D3258F5" w14:textId="77777777" w:rsidR="0088085F" w:rsidRPr="003D58AB" w:rsidRDefault="0088085F" w:rsidP="00E03B06">
            <w:pPr>
              <w:pStyle w:val="cuatexto"/>
              <w:jc w:val="right"/>
              <w:rPr>
                <w:color w:val="000000"/>
                <w:sz w:val="18"/>
                <w:szCs w:val="18"/>
              </w:rPr>
            </w:pPr>
            <w:r>
              <w:rPr>
                <w:color w:val="000000"/>
                <w:sz w:val="18"/>
                <w:szCs w:val="18"/>
              </w:rPr>
              <w:t>193</w:t>
            </w:r>
          </w:p>
        </w:tc>
        <w:tc>
          <w:tcPr>
            <w:tcW w:w="851" w:type="dxa"/>
            <w:tcBorders>
              <w:top w:val="single" w:sz="2" w:space="0" w:color="auto"/>
              <w:left w:val="nil"/>
              <w:bottom w:val="single" w:sz="2" w:space="0" w:color="auto"/>
              <w:right w:val="nil"/>
            </w:tcBorders>
            <w:shd w:val="clear" w:color="auto" w:fill="auto"/>
            <w:noWrap/>
            <w:vAlign w:val="center"/>
            <w:hideMark/>
          </w:tcPr>
          <w:p w14:paraId="5F8B58E3" w14:textId="77777777" w:rsidR="0088085F" w:rsidRPr="003D58AB" w:rsidRDefault="0088085F" w:rsidP="00E03B06">
            <w:pPr>
              <w:pStyle w:val="cuatexto"/>
              <w:jc w:val="right"/>
              <w:rPr>
                <w:sz w:val="18"/>
                <w:szCs w:val="18"/>
              </w:rPr>
            </w:pPr>
            <w:r>
              <w:rPr>
                <w:sz w:val="18"/>
                <w:szCs w:val="18"/>
              </w:rPr>
              <w:t xml:space="preserve">       16,6 </w:t>
            </w:r>
          </w:p>
        </w:tc>
      </w:tr>
      <w:tr w:rsidR="0088085F" w:rsidRPr="003D58AB" w14:paraId="67C438F1" w14:textId="77777777" w:rsidTr="00A942F8">
        <w:trPr>
          <w:trHeight w:hRule="exact" w:val="255"/>
          <w:jc w:val="center"/>
        </w:trPr>
        <w:tc>
          <w:tcPr>
            <w:tcW w:w="4256" w:type="dxa"/>
            <w:tcBorders>
              <w:top w:val="single" w:sz="2" w:space="0" w:color="auto"/>
              <w:left w:val="nil"/>
              <w:bottom w:val="single" w:sz="2" w:space="0" w:color="auto"/>
              <w:right w:val="nil"/>
            </w:tcBorders>
            <w:shd w:val="clear" w:color="auto" w:fill="auto"/>
            <w:noWrap/>
            <w:vAlign w:val="center"/>
            <w:hideMark/>
          </w:tcPr>
          <w:p w14:paraId="7F89BC71" w14:textId="77777777" w:rsidR="0088085F" w:rsidRPr="004C5C5D" w:rsidRDefault="0088085F" w:rsidP="00E03B06">
            <w:pPr>
              <w:pStyle w:val="cuatexto"/>
              <w:jc w:val="left"/>
              <w:rPr>
                <w:sz w:val="18"/>
                <w:szCs w:val="18"/>
              </w:rPr>
            </w:pPr>
            <w:r>
              <w:rPr>
                <w:sz w:val="18"/>
                <w:szCs w:val="18"/>
              </w:rPr>
              <w:t>Transferentzia arruntak</w:t>
            </w:r>
          </w:p>
        </w:tc>
        <w:tc>
          <w:tcPr>
            <w:tcW w:w="607" w:type="dxa"/>
            <w:tcBorders>
              <w:top w:val="single" w:sz="2" w:space="0" w:color="auto"/>
              <w:left w:val="nil"/>
              <w:bottom w:val="single" w:sz="2" w:space="0" w:color="auto"/>
              <w:right w:val="nil"/>
            </w:tcBorders>
            <w:shd w:val="clear" w:color="auto" w:fill="auto"/>
            <w:noWrap/>
            <w:vAlign w:val="center"/>
            <w:hideMark/>
          </w:tcPr>
          <w:p w14:paraId="620F261F" w14:textId="77777777" w:rsidR="0088085F" w:rsidRPr="003D58AB" w:rsidRDefault="0088085F" w:rsidP="00E03B06">
            <w:pPr>
              <w:pStyle w:val="cuatexto"/>
              <w:jc w:val="right"/>
              <w:rPr>
                <w:color w:val="000000"/>
                <w:sz w:val="18"/>
                <w:szCs w:val="18"/>
              </w:rPr>
            </w:pPr>
            <w:r>
              <w:rPr>
                <w:color w:val="000000"/>
                <w:sz w:val="18"/>
                <w:szCs w:val="18"/>
              </w:rPr>
              <w:t>416</w:t>
            </w:r>
          </w:p>
        </w:tc>
        <w:tc>
          <w:tcPr>
            <w:tcW w:w="952" w:type="dxa"/>
            <w:tcBorders>
              <w:top w:val="single" w:sz="2" w:space="0" w:color="auto"/>
              <w:left w:val="nil"/>
              <w:bottom w:val="single" w:sz="2" w:space="0" w:color="auto"/>
              <w:right w:val="nil"/>
            </w:tcBorders>
            <w:shd w:val="clear" w:color="auto" w:fill="auto"/>
            <w:noWrap/>
            <w:vAlign w:val="center"/>
            <w:hideMark/>
          </w:tcPr>
          <w:p w14:paraId="7A3662D4" w14:textId="77777777" w:rsidR="0088085F" w:rsidRPr="003D58AB" w:rsidRDefault="0088085F" w:rsidP="00E03B06">
            <w:pPr>
              <w:pStyle w:val="cuatexto"/>
              <w:jc w:val="right"/>
              <w:rPr>
                <w:sz w:val="18"/>
                <w:szCs w:val="18"/>
              </w:rPr>
            </w:pPr>
            <w:r>
              <w:rPr>
                <w:sz w:val="18"/>
                <w:szCs w:val="18"/>
              </w:rPr>
              <w:t xml:space="preserve">         35,2 </w:t>
            </w:r>
          </w:p>
        </w:tc>
        <w:tc>
          <w:tcPr>
            <w:tcW w:w="615" w:type="dxa"/>
            <w:gridSpan w:val="2"/>
            <w:tcBorders>
              <w:top w:val="single" w:sz="2" w:space="0" w:color="auto"/>
              <w:left w:val="nil"/>
              <w:bottom w:val="single" w:sz="2" w:space="0" w:color="auto"/>
              <w:right w:val="nil"/>
            </w:tcBorders>
            <w:shd w:val="clear" w:color="auto" w:fill="auto"/>
            <w:noWrap/>
            <w:vAlign w:val="center"/>
            <w:hideMark/>
          </w:tcPr>
          <w:p w14:paraId="137A4A9E" w14:textId="77777777" w:rsidR="0088085F" w:rsidRPr="003D58AB" w:rsidRDefault="0088085F" w:rsidP="00E03B06">
            <w:pPr>
              <w:pStyle w:val="cuatexto"/>
              <w:jc w:val="right"/>
              <w:rPr>
                <w:color w:val="000000"/>
                <w:sz w:val="18"/>
                <w:szCs w:val="18"/>
              </w:rPr>
            </w:pPr>
            <w:r>
              <w:rPr>
                <w:color w:val="000000"/>
                <w:sz w:val="18"/>
                <w:szCs w:val="18"/>
              </w:rPr>
              <w:t>807</w:t>
            </w:r>
          </w:p>
        </w:tc>
        <w:tc>
          <w:tcPr>
            <w:tcW w:w="938" w:type="dxa"/>
            <w:tcBorders>
              <w:top w:val="single" w:sz="2" w:space="0" w:color="auto"/>
              <w:left w:val="nil"/>
              <w:bottom w:val="single" w:sz="2" w:space="0" w:color="auto"/>
              <w:right w:val="nil"/>
            </w:tcBorders>
            <w:shd w:val="clear" w:color="auto" w:fill="auto"/>
            <w:noWrap/>
            <w:vAlign w:val="center"/>
            <w:hideMark/>
          </w:tcPr>
          <w:p w14:paraId="558D3C94" w14:textId="77777777" w:rsidR="0088085F" w:rsidRPr="003D58AB" w:rsidRDefault="0088085F" w:rsidP="00E03B06">
            <w:pPr>
              <w:pStyle w:val="cuatexto"/>
              <w:jc w:val="right"/>
              <w:rPr>
                <w:sz w:val="18"/>
                <w:szCs w:val="18"/>
              </w:rPr>
            </w:pPr>
            <w:r>
              <w:rPr>
                <w:sz w:val="18"/>
                <w:szCs w:val="18"/>
              </w:rPr>
              <w:t xml:space="preserve">        54,8 </w:t>
            </w:r>
          </w:p>
        </w:tc>
        <w:tc>
          <w:tcPr>
            <w:tcW w:w="672" w:type="dxa"/>
            <w:tcBorders>
              <w:top w:val="single" w:sz="2" w:space="0" w:color="auto"/>
              <w:left w:val="nil"/>
              <w:bottom w:val="single" w:sz="2" w:space="0" w:color="auto"/>
              <w:right w:val="nil"/>
            </w:tcBorders>
            <w:shd w:val="clear" w:color="auto" w:fill="auto"/>
            <w:noWrap/>
            <w:vAlign w:val="center"/>
            <w:hideMark/>
          </w:tcPr>
          <w:p w14:paraId="2659E7E9" w14:textId="77777777" w:rsidR="0088085F" w:rsidRPr="003D58AB" w:rsidRDefault="0088085F" w:rsidP="00E03B06">
            <w:pPr>
              <w:pStyle w:val="cuatexto"/>
              <w:jc w:val="right"/>
              <w:rPr>
                <w:color w:val="000000"/>
                <w:sz w:val="18"/>
                <w:szCs w:val="18"/>
              </w:rPr>
            </w:pPr>
            <w:r>
              <w:rPr>
                <w:color w:val="000000"/>
                <w:sz w:val="18"/>
                <w:szCs w:val="18"/>
              </w:rPr>
              <w:t>360</w:t>
            </w:r>
          </w:p>
        </w:tc>
        <w:tc>
          <w:tcPr>
            <w:tcW w:w="851" w:type="dxa"/>
            <w:tcBorders>
              <w:top w:val="single" w:sz="2" w:space="0" w:color="auto"/>
              <w:left w:val="nil"/>
              <w:bottom w:val="single" w:sz="2" w:space="0" w:color="auto"/>
              <w:right w:val="nil"/>
            </w:tcBorders>
            <w:shd w:val="clear" w:color="auto" w:fill="auto"/>
            <w:noWrap/>
            <w:vAlign w:val="center"/>
            <w:hideMark/>
          </w:tcPr>
          <w:p w14:paraId="6222AFEE" w14:textId="77777777" w:rsidR="0088085F" w:rsidRPr="003D58AB" w:rsidRDefault="0088085F" w:rsidP="00E03B06">
            <w:pPr>
              <w:pStyle w:val="cuatexto"/>
              <w:jc w:val="right"/>
              <w:rPr>
                <w:sz w:val="18"/>
                <w:szCs w:val="18"/>
              </w:rPr>
            </w:pPr>
            <w:r>
              <w:rPr>
                <w:sz w:val="18"/>
                <w:szCs w:val="18"/>
              </w:rPr>
              <w:t xml:space="preserve">       30,9 </w:t>
            </w:r>
          </w:p>
        </w:tc>
      </w:tr>
      <w:tr w:rsidR="0088085F" w:rsidRPr="003D58AB" w14:paraId="5C86F4F6"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6DC95C93" w14:textId="77777777" w:rsidR="0088085F" w:rsidRPr="004C5C5D" w:rsidRDefault="0088085F" w:rsidP="00E03B06">
            <w:pPr>
              <w:pStyle w:val="cuatexto"/>
              <w:jc w:val="left"/>
              <w:rPr>
                <w:sz w:val="18"/>
                <w:szCs w:val="18"/>
              </w:rPr>
            </w:pPr>
            <w:r>
              <w:rPr>
                <w:sz w:val="18"/>
                <w:szCs w:val="18"/>
              </w:rPr>
              <w:t>Ondarearen bidezko diru-sarrerak eta herri-aprobetxamenduak</w:t>
            </w:r>
          </w:p>
        </w:tc>
        <w:tc>
          <w:tcPr>
            <w:tcW w:w="607" w:type="dxa"/>
            <w:tcBorders>
              <w:top w:val="single" w:sz="2" w:space="0" w:color="auto"/>
              <w:left w:val="nil"/>
              <w:bottom w:val="single" w:sz="4" w:space="0" w:color="auto"/>
              <w:right w:val="nil"/>
            </w:tcBorders>
            <w:shd w:val="clear" w:color="auto" w:fill="auto"/>
            <w:noWrap/>
            <w:vAlign w:val="center"/>
            <w:hideMark/>
          </w:tcPr>
          <w:p w14:paraId="60F16A3D" w14:textId="77777777" w:rsidR="0088085F" w:rsidRPr="003D58AB" w:rsidRDefault="0088085F" w:rsidP="00E03B06">
            <w:pPr>
              <w:pStyle w:val="cuatexto"/>
              <w:jc w:val="right"/>
              <w:rPr>
                <w:color w:val="000000"/>
                <w:sz w:val="18"/>
                <w:szCs w:val="18"/>
              </w:rPr>
            </w:pPr>
            <w:r>
              <w:rPr>
                <w:color w:val="000000"/>
                <w:sz w:val="18"/>
                <w:szCs w:val="18"/>
              </w:rPr>
              <w:t>64</w:t>
            </w:r>
          </w:p>
        </w:tc>
        <w:tc>
          <w:tcPr>
            <w:tcW w:w="952" w:type="dxa"/>
            <w:tcBorders>
              <w:top w:val="single" w:sz="2" w:space="0" w:color="auto"/>
              <w:left w:val="nil"/>
              <w:bottom w:val="single" w:sz="4" w:space="0" w:color="auto"/>
              <w:right w:val="nil"/>
            </w:tcBorders>
            <w:shd w:val="clear" w:color="auto" w:fill="auto"/>
            <w:noWrap/>
            <w:vAlign w:val="center"/>
            <w:hideMark/>
          </w:tcPr>
          <w:p w14:paraId="2885834C" w14:textId="77777777" w:rsidR="0088085F" w:rsidRPr="003D58AB" w:rsidRDefault="0088085F" w:rsidP="00E03B06">
            <w:pPr>
              <w:pStyle w:val="cuatexto"/>
              <w:jc w:val="right"/>
              <w:rPr>
                <w:sz w:val="18"/>
                <w:szCs w:val="18"/>
              </w:rPr>
            </w:pPr>
            <w:r>
              <w:rPr>
                <w:sz w:val="18"/>
                <w:szCs w:val="18"/>
              </w:rPr>
              <w:t xml:space="preserve">           5,4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250ACBFC" w14:textId="77777777" w:rsidR="0088085F" w:rsidRPr="003D58AB" w:rsidRDefault="0088085F" w:rsidP="00E03B06">
            <w:pPr>
              <w:pStyle w:val="cuatexto"/>
              <w:jc w:val="right"/>
              <w:rPr>
                <w:color w:val="000000"/>
                <w:sz w:val="18"/>
                <w:szCs w:val="18"/>
              </w:rPr>
            </w:pPr>
            <w:r>
              <w:rPr>
                <w:color w:val="000000"/>
                <w:sz w:val="18"/>
                <w:szCs w:val="18"/>
              </w:rPr>
              <w:t>16</w:t>
            </w:r>
          </w:p>
        </w:tc>
        <w:tc>
          <w:tcPr>
            <w:tcW w:w="938" w:type="dxa"/>
            <w:tcBorders>
              <w:top w:val="single" w:sz="2" w:space="0" w:color="auto"/>
              <w:left w:val="nil"/>
              <w:bottom w:val="single" w:sz="4" w:space="0" w:color="auto"/>
              <w:right w:val="nil"/>
            </w:tcBorders>
            <w:shd w:val="clear" w:color="auto" w:fill="auto"/>
            <w:noWrap/>
            <w:vAlign w:val="center"/>
            <w:hideMark/>
          </w:tcPr>
          <w:p w14:paraId="2A404011" w14:textId="77777777" w:rsidR="0088085F" w:rsidRPr="003D58AB" w:rsidRDefault="0088085F" w:rsidP="00E03B06">
            <w:pPr>
              <w:pStyle w:val="cuatexto"/>
              <w:jc w:val="right"/>
              <w:rPr>
                <w:sz w:val="18"/>
                <w:szCs w:val="18"/>
              </w:rPr>
            </w:pPr>
            <w:r>
              <w:rPr>
                <w:sz w:val="18"/>
                <w:szCs w:val="18"/>
              </w:rPr>
              <w:t xml:space="preserve">          1,1 </w:t>
            </w:r>
          </w:p>
        </w:tc>
        <w:tc>
          <w:tcPr>
            <w:tcW w:w="672" w:type="dxa"/>
            <w:tcBorders>
              <w:top w:val="single" w:sz="2" w:space="0" w:color="auto"/>
              <w:left w:val="nil"/>
              <w:bottom w:val="single" w:sz="4" w:space="0" w:color="auto"/>
              <w:right w:val="nil"/>
            </w:tcBorders>
            <w:shd w:val="clear" w:color="auto" w:fill="auto"/>
            <w:noWrap/>
            <w:vAlign w:val="center"/>
            <w:hideMark/>
          </w:tcPr>
          <w:p w14:paraId="7DE68485" w14:textId="77777777" w:rsidR="0088085F" w:rsidRPr="003D58AB" w:rsidRDefault="0088085F" w:rsidP="00E03B06">
            <w:pPr>
              <w:pStyle w:val="cuatexto"/>
              <w:jc w:val="right"/>
              <w:rPr>
                <w:color w:val="000000"/>
                <w:sz w:val="18"/>
                <w:szCs w:val="18"/>
              </w:rPr>
            </w:pPr>
            <w:r>
              <w:rPr>
                <w:color w:val="000000"/>
                <w:sz w:val="18"/>
                <w:szCs w:val="18"/>
              </w:rPr>
              <w:t>22</w:t>
            </w:r>
          </w:p>
        </w:tc>
        <w:tc>
          <w:tcPr>
            <w:tcW w:w="851" w:type="dxa"/>
            <w:tcBorders>
              <w:top w:val="single" w:sz="2" w:space="0" w:color="auto"/>
              <w:left w:val="nil"/>
              <w:bottom w:val="single" w:sz="4" w:space="0" w:color="auto"/>
              <w:right w:val="nil"/>
            </w:tcBorders>
            <w:shd w:val="clear" w:color="auto" w:fill="auto"/>
            <w:noWrap/>
            <w:vAlign w:val="center"/>
            <w:hideMark/>
          </w:tcPr>
          <w:p w14:paraId="0F76D2F0" w14:textId="77777777" w:rsidR="0088085F" w:rsidRPr="003D58AB" w:rsidRDefault="0088085F" w:rsidP="00E03B06">
            <w:pPr>
              <w:pStyle w:val="cuatexto"/>
              <w:jc w:val="right"/>
              <w:rPr>
                <w:sz w:val="18"/>
                <w:szCs w:val="18"/>
              </w:rPr>
            </w:pPr>
            <w:r>
              <w:rPr>
                <w:sz w:val="18"/>
                <w:szCs w:val="18"/>
              </w:rPr>
              <w:t xml:space="preserve">         1,9 </w:t>
            </w:r>
          </w:p>
        </w:tc>
      </w:tr>
      <w:tr w:rsidR="0088085F" w:rsidRPr="000A3BD7" w14:paraId="60747E4F"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40706EEA" w14:textId="77777777" w:rsidR="0088085F" w:rsidRPr="000A3BD7" w:rsidRDefault="000A3BD7" w:rsidP="00E03B06">
            <w:pPr>
              <w:pStyle w:val="cuatexto"/>
              <w:jc w:val="left"/>
              <w:rPr>
                <w:b/>
                <w:bCs/>
                <w:iCs/>
                <w:sz w:val="18"/>
                <w:szCs w:val="18"/>
              </w:rPr>
            </w:pPr>
            <w:r>
              <w:rPr>
                <w:b/>
                <w:bCs/>
                <w:iCs/>
                <w:sz w:val="18"/>
                <w:szCs w:val="18"/>
              </w:rPr>
              <w:t>Diru-sarrera arruntak</w:t>
            </w:r>
          </w:p>
        </w:tc>
        <w:tc>
          <w:tcPr>
            <w:tcW w:w="607" w:type="dxa"/>
            <w:tcBorders>
              <w:top w:val="single" w:sz="4" w:space="0" w:color="auto"/>
              <w:left w:val="nil"/>
              <w:bottom w:val="single" w:sz="4" w:space="0" w:color="auto"/>
              <w:right w:val="nil"/>
            </w:tcBorders>
            <w:shd w:val="clear" w:color="auto" w:fill="auto"/>
            <w:noWrap/>
            <w:vAlign w:val="center"/>
            <w:hideMark/>
          </w:tcPr>
          <w:p w14:paraId="345BCFEA" w14:textId="77777777" w:rsidR="0088085F" w:rsidRPr="000A3BD7" w:rsidRDefault="0088085F" w:rsidP="00E03B06">
            <w:pPr>
              <w:pStyle w:val="cuatexto"/>
              <w:jc w:val="right"/>
              <w:rPr>
                <w:b/>
                <w:bCs/>
                <w:iCs/>
                <w:color w:val="000000"/>
                <w:sz w:val="18"/>
                <w:szCs w:val="18"/>
              </w:rPr>
            </w:pPr>
            <w:r>
              <w:rPr>
                <w:b/>
                <w:bCs/>
                <w:iCs/>
                <w:color w:val="000000"/>
                <w:sz w:val="18"/>
                <w:szCs w:val="18"/>
              </w:rPr>
              <w:t>1.032</w:t>
            </w:r>
          </w:p>
        </w:tc>
        <w:tc>
          <w:tcPr>
            <w:tcW w:w="952" w:type="dxa"/>
            <w:tcBorders>
              <w:top w:val="single" w:sz="4" w:space="0" w:color="auto"/>
              <w:left w:val="nil"/>
              <w:bottom w:val="single" w:sz="4" w:space="0" w:color="auto"/>
              <w:right w:val="nil"/>
            </w:tcBorders>
            <w:shd w:val="clear" w:color="auto" w:fill="auto"/>
            <w:noWrap/>
            <w:vAlign w:val="center"/>
            <w:hideMark/>
          </w:tcPr>
          <w:p w14:paraId="414413BB" w14:textId="77777777" w:rsidR="0088085F" w:rsidRPr="000A3BD7" w:rsidRDefault="0088085F" w:rsidP="00E03B06">
            <w:pPr>
              <w:pStyle w:val="cuatexto"/>
              <w:jc w:val="right"/>
              <w:rPr>
                <w:b/>
                <w:bCs/>
                <w:iCs/>
                <w:sz w:val="18"/>
                <w:szCs w:val="18"/>
              </w:rPr>
            </w:pPr>
            <w:r>
              <w:rPr>
                <w:b/>
                <w:bCs/>
                <w:iCs/>
                <w:sz w:val="18"/>
                <w:szCs w:val="18"/>
              </w:rPr>
              <w:t xml:space="preserve">        87,1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6BB5D0F6" w14:textId="77777777" w:rsidR="0088085F" w:rsidRPr="000A3BD7" w:rsidRDefault="0088085F" w:rsidP="00E03B06">
            <w:pPr>
              <w:pStyle w:val="cuatexto"/>
              <w:jc w:val="right"/>
              <w:rPr>
                <w:b/>
                <w:bCs/>
                <w:iCs/>
                <w:color w:val="000000"/>
                <w:sz w:val="18"/>
                <w:szCs w:val="18"/>
              </w:rPr>
            </w:pPr>
            <w:r>
              <w:rPr>
                <w:b/>
                <w:bCs/>
                <w:iCs/>
                <w:color w:val="000000"/>
                <w:sz w:val="18"/>
                <w:szCs w:val="18"/>
              </w:rPr>
              <w:t>1.398</w:t>
            </w:r>
          </w:p>
        </w:tc>
        <w:tc>
          <w:tcPr>
            <w:tcW w:w="938" w:type="dxa"/>
            <w:tcBorders>
              <w:top w:val="single" w:sz="4" w:space="0" w:color="auto"/>
              <w:left w:val="nil"/>
              <w:bottom w:val="single" w:sz="4" w:space="0" w:color="auto"/>
              <w:right w:val="nil"/>
            </w:tcBorders>
            <w:shd w:val="clear" w:color="auto" w:fill="auto"/>
            <w:noWrap/>
            <w:vAlign w:val="center"/>
            <w:hideMark/>
          </w:tcPr>
          <w:p w14:paraId="391E5A04" w14:textId="77777777" w:rsidR="0088085F" w:rsidRPr="000A3BD7" w:rsidRDefault="0088085F" w:rsidP="00E03B06">
            <w:pPr>
              <w:pStyle w:val="cuatexto"/>
              <w:jc w:val="right"/>
              <w:rPr>
                <w:b/>
                <w:bCs/>
                <w:iCs/>
                <w:sz w:val="18"/>
                <w:szCs w:val="18"/>
              </w:rPr>
            </w:pPr>
            <w:r>
              <w:rPr>
                <w:b/>
                <w:bCs/>
                <w:iCs/>
                <w:sz w:val="18"/>
                <w:szCs w:val="18"/>
              </w:rPr>
              <w:t xml:space="preserve">       94,9 </w:t>
            </w:r>
          </w:p>
        </w:tc>
        <w:tc>
          <w:tcPr>
            <w:tcW w:w="672" w:type="dxa"/>
            <w:tcBorders>
              <w:top w:val="single" w:sz="4" w:space="0" w:color="auto"/>
              <w:left w:val="nil"/>
              <w:bottom w:val="single" w:sz="4" w:space="0" w:color="auto"/>
              <w:right w:val="nil"/>
            </w:tcBorders>
            <w:shd w:val="clear" w:color="auto" w:fill="auto"/>
            <w:noWrap/>
            <w:vAlign w:val="center"/>
            <w:hideMark/>
          </w:tcPr>
          <w:p w14:paraId="5C700D9D" w14:textId="77777777" w:rsidR="0088085F" w:rsidRPr="000A3BD7" w:rsidRDefault="0088085F" w:rsidP="00E03B06">
            <w:pPr>
              <w:pStyle w:val="cuatexto"/>
              <w:jc w:val="right"/>
              <w:rPr>
                <w:b/>
                <w:bCs/>
                <w:iCs/>
                <w:color w:val="000000"/>
                <w:sz w:val="18"/>
                <w:szCs w:val="18"/>
              </w:rPr>
            </w:pPr>
            <w:r>
              <w:rPr>
                <w:b/>
                <w:bCs/>
                <w:iCs/>
                <w:color w:val="000000"/>
                <w:sz w:val="18"/>
                <w:szCs w:val="18"/>
              </w:rPr>
              <w:t>1.032</w:t>
            </w:r>
          </w:p>
        </w:tc>
        <w:tc>
          <w:tcPr>
            <w:tcW w:w="851" w:type="dxa"/>
            <w:tcBorders>
              <w:top w:val="single" w:sz="4" w:space="0" w:color="auto"/>
              <w:left w:val="nil"/>
              <w:bottom w:val="single" w:sz="4" w:space="0" w:color="auto"/>
              <w:right w:val="nil"/>
            </w:tcBorders>
            <w:shd w:val="clear" w:color="auto" w:fill="auto"/>
            <w:noWrap/>
            <w:vAlign w:val="center"/>
            <w:hideMark/>
          </w:tcPr>
          <w:p w14:paraId="51C728C9" w14:textId="77777777" w:rsidR="0088085F" w:rsidRPr="000A3BD7" w:rsidRDefault="0088085F" w:rsidP="00E03B06">
            <w:pPr>
              <w:pStyle w:val="cuatexto"/>
              <w:jc w:val="right"/>
              <w:rPr>
                <w:b/>
                <w:bCs/>
                <w:iCs/>
                <w:sz w:val="18"/>
                <w:szCs w:val="18"/>
              </w:rPr>
            </w:pPr>
            <w:r>
              <w:rPr>
                <w:b/>
                <w:bCs/>
                <w:iCs/>
                <w:sz w:val="18"/>
                <w:szCs w:val="18"/>
              </w:rPr>
              <w:t xml:space="preserve">      88,7 </w:t>
            </w:r>
          </w:p>
        </w:tc>
      </w:tr>
      <w:tr w:rsidR="0088085F" w:rsidRPr="003D58AB" w14:paraId="60952C90" w14:textId="77777777" w:rsidTr="00A942F8">
        <w:trPr>
          <w:trHeight w:hRule="exact" w:val="255"/>
          <w:jc w:val="center"/>
        </w:trPr>
        <w:tc>
          <w:tcPr>
            <w:tcW w:w="4256" w:type="dxa"/>
            <w:tcBorders>
              <w:top w:val="single" w:sz="4" w:space="0" w:color="auto"/>
              <w:left w:val="nil"/>
              <w:bottom w:val="single" w:sz="2" w:space="0" w:color="auto"/>
              <w:right w:val="nil"/>
            </w:tcBorders>
            <w:shd w:val="clear" w:color="auto" w:fill="auto"/>
            <w:noWrap/>
            <w:vAlign w:val="center"/>
            <w:hideMark/>
          </w:tcPr>
          <w:p w14:paraId="701E8DFD" w14:textId="77777777" w:rsidR="0088085F" w:rsidRPr="004C5C5D" w:rsidRDefault="0088085F" w:rsidP="00E03B06">
            <w:pPr>
              <w:pStyle w:val="cuatexto"/>
              <w:jc w:val="left"/>
              <w:rPr>
                <w:sz w:val="18"/>
                <w:szCs w:val="18"/>
              </w:rPr>
            </w:pPr>
            <w:r>
              <w:rPr>
                <w:sz w:val="18"/>
                <w:szCs w:val="18"/>
              </w:rPr>
              <w:t>Inbertsio errealak besterentzea</w:t>
            </w:r>
          </w:p>
        </w:tc>
        <w:tc>
          <w:tcPr>
            <w:tcW w:w="607" w:type="dxa"/>
            <w:tcBorders>
              <w:top w:val="single" w:sz="4" w:space="0" w:color="auto"/>
              <w:left w:val="nil"/>
              <w:bottom w:val="single" w:sz="2" w:space="0" w:color="auto"/>
              <w:right w:val="nil"/>
            </w:tcBorders>
            <w:shd w:val="clear" w:color="auto" w:fill="auto"/>
            <w:noWrap/>
            <w:vAlign w:val="center"/>
            <w:hideMark/>
          </w:tcPr>
          <w:p w14:paraId="5F3A1553" w14:textId="77777777" w:rsidR="0088085F" w:rsidRPr="003D58AB" w:rsidRDefault="0088085F" w:rsidP="00E03B06">
            <w:pPr>
              <w:pStyle w:val="cuatexto"/>
              <w:jc w:val="right"/>
              <w:rPr>
                <w:color w:val="000000"/>
                <w:sz w:val="18"/>
                <w:szCs w:val="18"/>
              </w:rPr>
            </w:pPr>
            <w:r>
              <w:rPr>
                <w:color w:val="000000"/>
                <w:sz w:val="18"/>
                <w:szCs w:val="18"/>
              </w:rPr>
              <w:t>20</w:t>
            </w:r>
          </w:p>
        </w:tc>
        <w:tc>
          <w:tcPr>
            <w:tcW w:w="952" w:type="dxa"/>
            <w:tcBorders>
              <w:top w:val="single" w:sz="4" w:space="0" w:color="auto"/>
              <w:left w:val="nil"/>
              <w:bottom w:val="single" w:sz="2" w:space="0" w:color="auto"/>
              <w:right w:val="nil"/>
            </w:tcBorders>
            <w:shd w:val="clear" w:color="auto" w:fill="auto"/>
            <w:noWrap/>
            <w:vAlign w:val="center"/>
            <w:hideMark/>
          </w:tcPr>
          <w:p w14:paraId="5250F914" w14:textId="77777777" w:rsidR="0088085F" w:rsidRPr="003D58AB" w:rsidRDefault="0088085F" w:rsidP="00E03B06">
            <w:pPr>
              <w:pStyle w:val="cuatexto"/>
              <w:jc w:val="right"/>
              <w:rPr>
                <w:sz w:val="18"/>
                <w:szCs w:val="18"/>
              </w:rPr>
            </w:pPr>
            <w:r>
              <w:rPr>
                <w:sz w:val="18"/>
                <w:szCs w:val="18"/>
              </w:rPr>
              <w:t xml:space="preserve">           1,7 </w:t>
            </w:r>
          </w:p>
        </w:tc>
        <w:tc>
          <w:tcPr>
            <w:tcW w:w="615" w:type="dxa"/>
            <w:gridSpan w:val="2"/>
            <w:tcBorders>
              <w:top w:val="single" w:sz="4" w:space="0" w:color="auto"/>
              <w:left w:val="nil"/>
              <w:bottom w:val="single" w:sz="2" w:space="0" w:color="auto"/>
              <w:right w:val="nil"/>
            </w:tcBorders>
            <w:shd w:val="clear" w:color="auto" w:fill="auto"/>
            <w:noWrap/>
            <w:vAlign w:val="center"/>
            <w:hideMark/>
          </w:tcPr>
          <w:p w14:paraId="07704BA3" w14:textId="77777777" w:rsidR="0088085F" w:rsidRPr="003D58AB" w:rsidRDefault="0088085F" w:rsidP="00E03B06">
            <w:pPr>
              <w:pStyle w:val="cuatexto"/>
              <w:jc w:val="right"/>
              <w:rPr>
                <w:color w:val="000000"/>
                <w:sz w:val="18"/>
                <w:szCs w:val="18"/>
              </w:rPr>
            </w:pPr>
            <w:r>
              <w:rPr>
                <w:color w:val="000000"/>
                <w:sz w:val="18"/>
                <w:szCs w:val="18"/>
              </w:rPr>
              <w:t>12</w:t>
            </w:r>
          </w:p>
        </w:tc>
        <w:tc>
          <w:tcPr>
            <w:tcW w:w="938" w:type="dxa"/>
            <w:tcBorders>
              <w:top w:val="single" w:sz="4" w:space="0" w:color="auto"/>
              <w:left w:val="nil"/>
              <w:bottom w:val="single" w:sz="2" w:space="0" w:color="auto"/>
              <w:right w:val="nil"/>
            </w:tcBorders>
            <w:shd w:val="clear" w:color="auto" w:fill="auto"/>
            <w:noWrap/>
            <w:vAlign w:val="center"/>
            <w:hideMark/>
          </w:tcPr>
          <w:p w14:paraId="7A1257BF" w14:textId="77777777" w:rsidR="0088085F" w:rsidRPr="003D58AB" w:rsidRDefault="0088085F" w:rsidP="00E03B06">
            <w:pPr>
              <w:pStyle w:val="cuatexto"/>
              <w:jc w:val="right"/>
              <w:rPr>
                <w:sz w:val="18"/>
                <w:szCs w:val="18"/>
              </w:rPr>
            </w:pPr>
            <w:r>
              <w:rPr>
                <w:sz w:val="18"/>
                <w:szCs w:val="18"/>
              </w:rPr>
              <w:t xml:space="preserve">          0,8 </w:t>
            </w:r>
          </w:p>
        </w:tc>
        <w:tc>
          <w:tcPr>
            <w:tcW w:w="672" w:type="dxa"/>
            <w:tcBorders>
              <w:top w:val="single" w:sz="4" w:space="0" w:color="auto"/>
              <w:left w:val="nil"/>
              <w:bottom w:val="single" w:sz="2" w:space="0" w:color="auto"/>
              <w:right w:val="nil"/>
            </w:tcBorders>
            <w:shd w:val="clear" w:color="auto" w:fill="auto"/>
            <w:noWrap/>
            <w:vAlign w:val="center"/>
            <w:hideMark/>
          </w:tcPr>
          <w:p w14:paraId="2CBD28AF" w14:textId="77777777" w:rsidR="0088085F" w:rsidRPr="003D58AB" w:rsidRDefault="0088085F" w:rsidP="00E03B06">
            <w:pPr>
              <w:pStyle w:val="cuatexto"/>
              <w:jc w:val="right"/>
              <w:rPr>
                <w:color w:val="000000"/>
                <w:sz w:val="18"/>
                <w:szCs w:val="18"/>
              </w:rPr>
            </w:pPr>
            <w:r>
              <w:rPr>
                <w:color w:val="000000"/>
                <w:sz w:val="18"/>
                <w:szCs w:val="18"/>
              </w:rPr>
              <w:t>4</w:t>
            </w:r>
          </w:p>
        </w:tc>
        <w:tc>
          <w:tcPr>
            <w:tcW w:w="851" w:type="dxa"/>
            <w:tcBorders>
              <w:top w:val="single" w:sz="4" w:space="0" w:color="auto"/>
              <w:left w:val="nil"/>
              <w:bottom w:val="single" w:sz="2" w:space="0" w:color="auto"/>
              <w:right w:val="nil"/>
            </w:tcBorders>
            <w:shd w:val="clear" w:color="auto" w:fill="auto"/>
            <w:noWrap/>
            <w:vAlign w:val="center"/>
            <w:hideMark/>
          </w:tcPr>
          <w:p w14:paraId="6FCE836F" w14:textId="77777777" w:rsidR="0088085F" w:rsidRPr="003D58AB" w:rsidRDefault="0088085F" w:rsidP="00E03B06">
            <w:pPr>
              <w:pStyle w:val="cuatexto"/>
              <w:jc w:val="right"/>
              <w:rPr>
                <w:sz w:val="18"/>
                <w:szCs w:val="18"/>
              </w:rPr>
            </w:pPr>
            <w:r>
              <w:rPr>
                <w:sz w:val="18"/>
                <w:szCs w:val="18"/>
              </w:rPr>
              <w:t xml:space="preserve">         0,3 </w:t>
            </w:r>
          </w:p>
        </w:tc>
      </w:tr>
      <w:tr w:rsidR="0088085F" w:rsidRPr="003D58AB" w14:paraId="0CB4E927"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55DB783D" w14:textId="77777777" w:rsidR="0088085F" w:rsidRPr="004C5C5D" w:rsidRDefault="0088085F" w:rsidP="00E03B06">
            <w:pPr>
              <w:pStyle w:val="cuatexto"/>
              <w:jc w:val="left"/>
              <w:rPr>
                <w:sz w:val="18"/>
                <w:szCs w:val="18"/>
              </w:rPr>
            </w:pPr>
            <w:r>
              <w:rPr>
                <w:sz w:val="18"/>
                <w:szCs w:val="18"/>
              </w:rPr>
              <w:t>Kapital-transferentziak eta bestelako kapital diru-sarrerak</w:t>
            </w:r>
          </w:p>
        </w:tc>
        <w:tc>
          <w:tcPr>
            <w:tcW w:w="607" w:type="dxa"/>
            <w:tcBorders>
              <w:top w:val="single" w:sz="2" w:space="0" w:color="auto"/>
              <w:left w:val="nil"/>
              <w:bottom w:val="single" w:sz="4" w:space="0" w:color="auto"/>
              <w:right w:val="nil"/>
            </w:tcBorders>
            <w:shd w:val="clear" w:color="auto" w:fill="auto"/>
            <w:noWrap/>
            <w:vAlign w:val="center"/>
            <w:hideMark/>
          </w:tcPr>
          <w:p w14:paraId="5FA09386" w14:textId="77777777" w:rsidR="0088085F" w:rsidRPr="003D58AB" w:rsidRDefault="0088085F" w:rsidP="00E03B06">
            <w:pPr>
              <w:pStyle w:val="cuatexto"/>
              <w:jc w:val="right"/>
              <w:rPr>
                <w:color w:val="000000"/>
                <w:sz w:val="18"/>
                <w:szCs w:val="18"/>
              </w:rPr>
            </w:pPr>
            <w:r>
              <w:rPr>
                <w:color w:val="000000"/>
                <w:sz w:val="18"/>
                <w:szCs w:val="18"/>
              </w:rPr>
              <w:t>125</w:t>
            </w:r>
          </w:p>
        </w:tc>
        <w:tc>
          <w:tcPr>
            <w:tcW w:w="952" w:type="dxa"/>
            <w:tcBorders>
              <w:top w:val="single" w:sz="2" w:space="0" w:color="auto"/>
              <w:left w:val="nil"/>
              <w:bottom w:val="single" w:sz="4" w:space="0" w:color="auto"/>
              <w:right w:val="nil"/>
            </w:tcBorders>
            <w:shd w:val="clear" w:color="auto" w:fill="auto"/>
            <w:noWrap/>
            <w:vAlign w:val="center"/>
            <w:hideMark/>
          </w:tcPr>
          <w:p w14:paraId="2E4873F1" w14:textId="77777777" w:rsidR="0088085F" w:rsidRPr="003D58AB" w:rsidRDefault="0088085F" w:rsidP="00E03B06">
            <w:pPr>
              <w:pStyle w:val="cuatexto"/>
              <w:jc w:val="right"/>
              <w:rPr>
                <w:sz w:val="18"/>
                <w:szCs w:val="18"/>
              </w:rPr>
            </w:pPr>
            <w:r>
              <w:rPr>
                <w:sz w:val="18"/>
                <w:szCs w:val="18"/>
              </w:rPr>
              <w:t xml:space="preserve">         10,6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2C94AC7C" w14:textId="77777777" w:rsidR="0088085F" w:rsidRPr="003D58AB" w:rsidRDefault="0088085F" w:rsidP="00E03B06">
            <w:pPr>
              <w:pStyle w:val="cuatexto"/>
              <w:jc w:val="right"/>
              <w:rPr>
                <w:color w:val="000000"/>
                <w:sz w:val="18"/>
                <w:szCs w:val="18"/>
              </w:rPr>
            </w:pPr>
            <w:r>
              <w:rPr>
                <w:color w:val="000000"/>
                <w:sz w:val="18"/>
                <w:szCs w:val="18"/>
              </w:rPr>
              <w:t>36</w:t>
            </w:r>
          </w:p>
        </w:tc>
        <w:tc>
          <w:tcPr>
            <w:tcW w:w="938" w:type="dxa"/>
            <w:tcBorders>
              <w:top w:val="single" w:sz="2" w:space="0" w:color="auto"/>
              <w:left w:val="nil"/>
              <w:bottom w:val="single" w:sz="4" w:space="0" w:color="auto"/>
              <w:right w:val="nil"/>
            </w:tcBorders>
            <w:shd w:val="clear" w:color="auto" w:fill="auto"/>
            <w:noWrap/>
            <w:vAlign w:val="center"/>
            <w:hideMark/>
          </w:tcPr>
          <w:p w14:paraId="5EA9D2E8" w14:textId="77777777" w:rsidR="0088085F" w:rsidRPr="003D58AB" w:rsidRDefault="0088085F" w:rsidP="00E03B06">
            <w:pPr>
              <w:pStyle w:val="cuatexto"/>
              <w:jc w:val="right"/>
              <w:rPr>
                <w:sz w:val="18"/>
                <w:szCs w:val="18"/>
              </w:rPr>
            </w:pPr>
            <w:r>
              <w:rPr>
                <w:sz w:val="18"/>
                <w:szCs w:val="18"/>
              </w:rPr>
              <w:t xml:space="preserve">          2,5 </w:t>
            </w:r>
          </w:p>
        </w:tc>
        <w:tc>
          <w:tcPr>
            <w:tcW w:w="672" w:type="dxa"/>
            <w:tcBorders>
              <w:top w:val="single" w:sz="2" w:space="0" w:color="auto"/>
              <w:left w:val="nil"/>
              <w:bottom w:val="single" w:sz="4" w:space="0" w:color="auto"/>
              <w:right w:val="nil"/>
            </w:tcBorders>
            <w:shd w:val="clear" w:color="auto" w:fill="auto"/>
            <w:noWrap/>
            <w:vAlign w:val="center"/>
            <w:hideMark/>
          </w:tcPr>
          <w:p w14:paraId="340D0186" w14:textId="77777777" w:rsidR="0088085F" w:rsidRPr="003D58AB" w:rsidRDefault="0088085F" w:rsidP="00E03B06">
            <w:pPr>
              <w:pStyle w:val="cuatexto"/>
              <w:jc w:val="right"/>
              <w:rPr>
                <w:color w:val="000000"/>
                <w:sz w:val="18"/>
                <w:szCs w:val="18"/>
              </w:rPr>
            </w:pPr>
            <w:r>
              <w:rPr>
                <w:color w:val="000000"/>
                <w:sz w:val="18"/>
                <w:szCs w:val="18"/>
              </w:rPr>
              <w:t>81</w:t>
            </w:r>
          </w:p>
        </w:tc>
        <w:tc>
          <w:tcPr>
            <w:tcW w:w="851" w:type="dxa"/>
            <w:tcBorders>
              <w:top w:val="single" w:sz="2" w:space="0" w:color="auto"/>
              <w:left w:val="nil"/>
              <w:bottom w:val="single" w:sz="4" w:space="0" w:color="auto"/>
              <w:right w:val="nil"/>
            </w:tcBorders>
            <w:shd w:val="clear" w:color="auto" w:fill="auto"/>
            <w:noWrap/>
            <w:vAlign w:val="center"/>
            <w:hideMark/>
          </w:tcPr>
          <w:p w14:paraId="72003317" w14:textId="77777777" w:rsidR="0088085F" w:rsidRPr="003D58AB" w:rsidRDefault="0088085F" w:rsidP="00E03B06">
            <w:pPr>
              <w:pStyle w:val="cuatexto"/>
              <w:jc w:val="right"/>
              <w:rPr>
                <w:sz w:val="18"/>
                <w:szCs w:val="18"/>
              </w:rPr>
            </w:pPr>
            <w:r>
              <w:rPr>
                <w:sz w:val="18"/>
                <w:szCs w:val="18"/>
              </w:rPr>
              <w:t xml:space="preserve">         7,0 </w:t>
            </w:r>
          </w:p>
        </w:tc>
      </w:tr>
      <w:tr w:rsidR="0088085F" w:rsidRPr="000A3BD7" w14:paraId="5AAAC9A2"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136130F2" w14:textId="77777777" w:rsidR="0088085F" w:rsidRPr="000A3BD7" w:rsidRDefault="000A3BD7" w:rsidP="00E03B06">
            <w:pPr>
              <w:pStyle w:val="cuatexto"/>
              <w:jc w:val="left"/>
              <w:rPr>
                <w:b/>
                <w:bCs/>
                <w:iCs/>
                <w:sz w:val="18"/>
                <w:szCs w:val="18"/>
              </w:rPr>
            </w:pPr>
            <w:r>
              <w:rPr>
                <w:b/>
                <w:bCs/>
                <w:iCs/>
                <w:sz w:val="18"/>
                <w:szCs w:val="18"/>
              </w:rPr>
              <w:t>Kapitaleko diru-sarrerak</w:t>
            </w:r>
          </w:p>
        </w:tc>
        <w:tc>
          <w:tcPr>
            <w:tcW w:w="607" w:type="dxa"/>
            <w:tcBorders>
              <w:top w:val="single" w:sz="4" w:space="0" w:color="auto"/>
              <w:left w:val="nil"/>
              <w:bottom w:val="single" w:sz="4" w:space="0" w:color="auto"/>
              <w:right w:val="nil"/>
            </w:tcBorders>
            <w:shd w:val="clear" w:color="auto" w:fill="auto"/>
            <w:noWrap/>
            <w:vAlign w:val="center"/>
            <w:hideMark/>
          </w:tcPr>
          <w:p w14:paraId="129F7B19" w14:textId="77777777" w:rsidR="0088085F" w:rsidRPr="000A3BD7" w:rsidRDefault="0088085F" w:rsidP="00E03B06">
            <w:pPr>
              <w:pStyle w:val="cuatexto"/>
              <w:jc w:val="right"/>
              <w:rPr>
                <w:b/>
                <w:bCs/>
                <w:iCs/>
                <w:color w:val="000000"/>
                <w:sz w:val="18"/>
                <w:szCs w:val="18"/>
              </w:rPr>
            </w:pPr>
            <w:r>
              <w:rPr>
                <w:b/>
                <w:bCs/>
                <w:iCs/>
                <w:color w:val="000000"/>
                <w:sz w:val="18"/>
                <w:szCs w:val="18"/>
              </w:rPr>
              <w:t>145</w:t>
            </w:r>
          </w:p>
        </w:tc>
        <w:tc>
          <w:tcPr>
            <w:tcW w:w="952" w:type="dxa"/>
            <w:tcBorders>
              <w:top w:val="single" w:sz="4" w:space="0" w:color="auto"/>
              <w:left w:val="nil"/>
              <w:bottom w:val="single" w:sz="4" w:space="0" w:color="auto"/>
              <w:right w:val="nil"/>
            </w:tcBorders>
            <w:shd w:val="clear" w:color="auto" w:fill="auto"/>
            <w:noWrap/>
            <w:vAlign w:val="center"/>
            <w:hideMark/>
          </w:tcPr>
          <w:p w14:paraId="0B4236FE" w14:textId="77777777" w:rsidR="0088085F" w:rsidRPr="000A3BD7" w:rsidRDefault="0088085F" w:rsidP="00E03B06">
            <w:pPr>
              <w:pStyle w:val="cuatexto"/>
              <w:jc w:val="right"/>
              <w:rPr>
                <w:b/>
                <w:bCs/>
                <w:iCs/>
                <w:sz w:val="18"/>
                <w:szCs w:val="18"/>
              </w:rPr>
            </w:pPr>
            <w:r>
              <w:rPr>
                <w:b/>
                <w:bCs/>
                <w:iCs/>
                <w:sz w:val="18"/>
                <w:szCs w:val="18"/>
              </w:rPr>
              <w:t xml:space="preserve">        12,2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064457A3" w14:textId="77777777" w:rsidR="0088085F" w:rsidRPr="000A3BD7" w:rsidRDefault="0088085F" w:rsidP="00E03B06">
            <w:pPr>
              <w:pStyle w:val="cuatexto"/>
              <w:jc w:val="right"/>
              <w:rPr>
                <w:b/>
                <w:bCs/>
                <w:iCs/>
                <w:color w:val="000000"/>
                <w:sz w:val="18"/>
                <w:szCs w:val="18"/>
              </w:rPr>
            </w:pPr>
            <w:r>
              <w:rPr>
                <w:b/>
                <w:bCs/>
                <w:iCs/>
                <w:color w:val="000000"/>
                <w:sz w:val="18"/>
                <w:szCs w:val="18"/>
              </w:rPr>
              <w:t>48</w:t>
            </w:r>
          </w:p>
        </w:tc>
        <w:tc>
          <w:tcPr>
            <w:tcW w:w="938" w:type="dxa"/>
            <w:tcBorders>
              <w:top w:val="single" w:sz="4" w:space="0" w:color="auto"/>
              <w:left w:val="nil"/>
              <w:bottom w:val="single" w:sz="4" w:space="0" w:color="auto"/>
              <w:right w:val="nil"/>
            </w:tcBorders>
            <w:shd w:val="clear" w:color="auto" w:fill="auto"/>
            <w:noWrap/>
            <w:vAlign w:val="center"/>
            <w:hideMark/>
          </w:tcPr>
          <w:p w14:paraId="06E2C5E2" w14:textId="77777777" w:rsidR="0088085F" w:rsidRPr="000A3BD7" w:rsidRDefault="0088085F" w:rsidP="00E03B06">
            <w:pPr>
              <w:pStyle w:val="cuatexto"/>
              <w:jc w:val="right"/>
              <w:rPr>
                <w:b/>
                <w:bCs/>
                <w:iCs/>
                <w:sz w:val="18"/>
                <w:szCs w:val="18"/>
              </w:rPr>
            </w:pPr>
            <w:r>
              <w:rPr>
                <w:b/>
                <w:bCs/>
                <w:iCs/>
                <w:sz w:val="18"/>
                <w:szCs w:val="18"/>
              </w:rPr>
              <w:t xml:space="preserve">         3,3 </w:t>
            </w:r>
          </w:p>
        </w:tc>
        <w:tc>
          <w:tcPr>
            <w:tcW w:w="672" w:type="dxa"/>
            <w:tcBorders>
              <w:top w:val="single" w:sz="4" w:space="0" w:color="auto"/>
              <w:left w:val="nil"/>
              <w:bottom w:val="single" w:sz="4" w:space="0" w:color="auto"/>
              <w:right w:val="nil"/>
            </w:tcBorders>
            <w:shd w:val="clear" w:color="auto" w:fill="auto"/>
            <w:noWrap/>
            <w:vAlign w:val="center"/>
            <w:hideMark/>
          </w:tcPr>
          <w:p w14:paraId="44CE3562" w14:textId="77777777" w:rsidR="0088085F" w:rsidRPr="000A3BD7" w:rsidRDefault="0088085F" w:rsidP="00E03B06">
            <w:pPr>
              <w:pStyle w:val="cuatexto"/>
              <w:jc w:val="right"/>
              <w:rPr>
                <w:b/>
                <w:bCs/>
                <w:iCs/>
                <w:color w:val="000000"/>
                <w:sz w:val="18"/>
                <w:szCs w:val="18"/>
              </w:rPr>
            </w:pPr>
            <w:r>
              <w:rPr>
                <w:b/>
                <w:bCs/>
                <w:iCs/>
                <w:color w:val="000000"/>
                <w:sz w:val="18"/>
                <w:szCs w:val="18"/>
              </w:rPr>
              <w:t>85</w:t>
            </w:r>
          </w:p>
        </w:tc>
        <w:tc>
          <w:tcPr>
            <w:tcW w:w="851" w:type="dxa"/>
            <w:tcBorders>
              <w:top w:val="single" w:sz="4" w:space="0" w:color="auto"/>
              <w:left w:val="nil"/>
              <w:bottom w:val="single" w:sz="4" w:space="0" w:color="auto"/>
              <w:right w:val="nil"/>
            </w:tcBorders>
            <w:shd w:val="clear" w:color="auto" w:fill="auto"/>
            <w:noWrap/>
            <w:vAlign w:val="center"/>
            <w:hideMark/>
          </w:tcPr>
          <w:p w14:paraId="35E2D8FA" w14:textId="77777777" w:rsidR="0088085F" w:rsidRPr="000A3BD7" w:rsidRDefault="0088085F" w:rsidP="00E03B06">
            <w:pPr>
              <w:pStyle w:val="cuatexto"/>
              <w:jc w:val="right"/>
              <w:rPr>
                <w:b/>
                <w:bCs/>
                <w:iCs/>
                <w:sz w:val="18"/>
                <w:szCs w:val="18"/>
              </w:rPr>
            </w:pPr>
            <w:r>
              <w:rPr>
                <w:b/>
                <w:bCs/>
                <w:iCs/>
                <w:sz w:val="18"/>
                <w:szCs w:val="18"/>
              </w:rPr>
              <w:t xml:space="preserve">        7,3 </w:t>
            </w:r>
          </w:p>
        </w:tc>
      </w:tr>
      <w:tr w:rsidR="0088085F" w:rsidRPr="003D58AB" w14:paraId="41AB3684" w14:textId="77777777" w:rsidTr="00A942F8">
        <w:trPr>
          <w:trHeight w:hRule="exact" w:val="255"/>
          <w:jc w:val="center"/>
        </w:trPr>
        <w:tc>
          <w:tcPr>
            <w:tcW w:w="4256" w:type="dxa"/>
            <w:tcBorders>
              <w:top w:val="single" w:sz="4" w:space="0" w:color="auto"/>
              <w:left w:val="nil"/>
              <w:bottom w:val="single" w:sz="2" w:space="0" w:color="auto"/>
              <w:right w:val="nil"/>
            </w:tcBorders>
            <w:shd w:val="clear" w:color="auto" w:fill="auto"/>
            <w:noWrap/>
            <w:vAlign w:val="center"/>
            <w:hideMark/>
          </w:tcPr>
          <w:p w14:paraId="65062B62" w14:textId="77777777" w:rsidR="0088085F" w:rsidRPr="004C5C5D" w:rsidRDefault="0088085F" w:rsidP="00E03B06">
            <w:pPr>
              <w:pStyle w:val="cuatexto"/>
              <w:jc w:val="left"/>
              <w:rPr>
                <w:sz w:val="18"/>
                <w:szCs w:val="18"/>
              </w:rPr>
            </w:pPr>
            <w:r>
              <w:rPr>
                <w:sz w:val="18"/>
                <w:szCs w:val="18"/>
              </w:rPr>
              <w:t>Aktibo finantzarioak</w:t>
            </w:r>
          </w:p>
        </w:tc>
        <w:tc>
          <w:tcPr>
            <w:tcW w:w="607" w:type="dxa"/>
            <w:tcBorders>
              <w:top w:val="single" w:sz="4" w:space="0" w:color="auto"/>
              <w:left w:val="nil"/>
              <w:bottom w:val="single" w:sz="2" w:space="0" w:color="auto"/>
              <w:right w:val="nil"/>
            </w:tcBorders>
            <w:shd w:val="clear" w:color="auto" w:fill="auto"/>
            <w:noWrap/>
            <w:vAlign w:val="center"/>
            <w:hideMark/>
          </w:tcPr>
          <w:p w14:paraId="38BB3F25" w14:textId="77777777" w:rsidR="0088085F" w:rsidRPr="003D58AB" w:rsidRDefault="0088085F" w:rsidP="00E03B06">
            <w:pPr>
              <w:pStyle w:val="cuatexto"/>
              <w:jc w:val="right"/>
              <w:rPr>
                <w:color w:val="000000"/>
                <w:sz w:val="18"/>
                <w:szCs w:val="18"/>
              </w:rPr>
            </w:pPr>
            <w:r>
              <w:rPr>
                <w:color w:val="000000"/>
                <w:sz w:val="18"/>
                <w:szCs w:val="18"/>
              </w:rPr>
              <w:t>2</w:t>
            </w:r>
          </w:p>
        </w:tc>
        <w:tc>
          <w:tcPr>
            <w:tcW w:w="952" w:type="dxa"/>
            <w:tcBorders>
              <w:top w:val="single" w:sz="4" w:space="0" w:color="auto"/>
              <w:left w:val="nil"/>
              <w:bottom w:val="single" w:sz="2" w:space="0" w:color="auto"/>
              <w:right w:val="nil"/>
            </w:tcBorders>
            <w:shd w:val="clear" w:color="auto" w:fill="auto"/>
            <w:noWrap/>
            <w:vAlign w:val="center"/>
            <w:hideMark/>
          </w:tcPr>
          <w:p w14:paraId="0272418A" w14:textId="77777777" w:rsidR="0088085F" w:rsidRPr="003D58AB" w:rsidRDefault="0088085F" w:rsidP="00E03B06">
            <w:pPr>
              <w:pStyle w:val="cuatexto"/>
              <w:jc w:val="right"/>
              <w:rPr>
                <w:sz w:val="18"/>
                <w:szCs w:val="18"/>
              </w:rPr>
            </w:pPr>
            <w:r>
              <w:rPr>
                <w:sz w:val="18"/>
                <w:szCs w:val="18"/>
              </w:rPr>
              <w:t xml:space="preserve">           0,1 </w:t>
            </w:r>
          </w:p>
        </w:tc>
        <w:tc>
          <w:tcPr>
            <w:tcW w:w="615" w:type="dxa"/>
            <w:gridSpan w:val="2"/>
            <w:tcBorders>
              <w:top w:val="single" w:sz="4" w:space="0" w:color="auto"/>
              <w:left w:val="nil"/>
              <w:bottom w:val="single" w:sz="2" w:space="0" w:color="auto"/>
              <w:right w:val="nil"/>
            </w:tcBorders>
            <w:shd w:val="clear" w:color="auto" w:fill="auto"/>
            <w:noWrap/>
            <w:vAlign w:val="center"/>
            <w:hideMark/>
          </w:tcPr>
          <w:p w14:paraId="74490F77" w14:textId="77777777" w:rsidR="0088085F" w:rsidRPr="003D58AB" w:rsidRDefault="0088085F" w:rsidP="00E03B06">
            <w:pPr>
              <w:pStyle w:val="cuatexto"/>
              <w:jc w:val="right"/>
              <w:rPr>
                <w:color w:val="000000"/>
                <w:sz w:val="18"/>
                <w:szCs w:val="18"/>
              </w:rPr>
            </w:pPr>
            <w:r>
              <w:rPr>
                <w:color w:val="000000"/>
                <w:sz w:val="18"/>
                <w:szCs w:val="18"/>
              </w:rPr>
              <w:t>2</w:t>
            </w:r>
          </w:p>
        </w:tc>
        <w:tc>
          <w:tcPr>
            <w:tcW w:w="938" w:type="dxa"/>
            <w:tcBorders>
              <w:top w:val="single" w:sz="4" w:space="0" w:color="auto"/>
              <w:left w:val="nil"/>
              <w:bottom w:val="single" w:sz="2" w:space="0" w:color="auto"/>
              <w:right w:val="nil"/>
            </w:tcBorders>
            <w:shd w:val="clear" w:color="auto" w:fill="auto"/>
            <w:noWrap/>
            <w:vAlign w:val="center"/>
            <w:hideMark/>
          </w:tcPr>
          <w:p w14:paraId="31E33B40" w14:textId="77777777" w:rsidR="0088085F" w:rsidRPr="003D58AB" w:rsidRDefault="0088085F" w:rsidP="00E03B06">
            <w:pPr>
              <w:pStyle w:val="cuatexto"/>
              <w:jc w:val="right"/>
              <w:rPr>
                <w:sz w:val="18"/>
                <w:szCs w:val="18"/>
              </w:rPr>
            </w:pPr>
            <w:r>
              <w:rPr>
                <w:sz w:val="18"/>
                <w:szCs w:val="18"/>
              </w:rPr>
              <w:t xml:space="preserve">          0,1 </w:t>
            </w:r>
          </w:p>
        </w:tc>
        <w:tc>
          <w:tcPr>
            <w:tcW w:w="672" w:type="dxa"/>
            <w:tcBorders>
              <w:top w:val="single" w:sz="4" w:space="0" w:color="auto"/>
              <w:left w:val="nil"/>
              <w:bottom w:val="single" w:sz="2" w:space="0" w:color="auto"/>
              <w:right w:val="nil"/>
            </w:tcBorders>
            <w:shd w:val="clear" w:color="auto" w:fill="auto"/>
            <w:noWrap/>
            <w:vAlign w:val="center"/>
            <w:hideMark/>
          </w:tcPr>
          <w:p w14:paraId="7564C9C2" w14:textId="77777777" w:rsidR="0088085F" w:rsidRPr="003D58AB" w:rsidRDefault="0088085F" w:rsidP="00E03B06">
            <w:pPr>
              <w:pStyle w:val="cuatexto"/>
              <w:jc w:val="right"/>
              <w:rPr>
                <w:color w:val="000000"/>
                <w:sz w:val="18"/>
                <w:szCs w:val="18"/>
              </w:rPr>
            </w:pPr>
            <w:r>
              <w:rPr>
                <w:color w:val="000000"/>
                <w:sz w:val="18"/>
                <w:szCs w:val="18"/>
              </w:rPr>
              <w:t>1</w:t>
            </w:r>
          </w:p>
        </w:tc>
        <w:tc>
          <w:tcPr>
            <w:tcW w:w="851" w:type="dxa"/>
            <w:tcBorders>
              <w:top w:val="single" w:sz="4" w:space="0" w:color="auto"/>
              <w:left w:val="nil"/>
              <w:bottom w:val="single" w:sz="2" w:space="0" w:color="auto"/>
              <w:right w:val="nil"/>
            </w:tcBorders>
            <w:shd w:val="clear" w:color="auto" w:fill="auto"/>
            <w:noWrap/>
            <w:vAlign w:val="center"/>
            <w:hideMark/>
          </w:tcPr>
          <w:p w14:paraId="369D0A91" w14:textId="77777777" w:rsidR="0088085F" w:rsidRPr="003D58AB" w:rsidRDefault="0088085F" w:rsidP="00E03B06">
            <w:pPr>
              <w:pStyle w:val="cuatexto"/>
              <w:jc w:val="right"/>
              <w:rPr>
                <w:sz w:val="18"/>
                <w:szCs w:val="18"/>
              </w:rPr>
            </w:pPr>
            <w:r>
              <w:rPr>
                <w:sz w:val="18"/>
                <w:szCs w:val="18"/>
              </w:rPr>
              <w:t xml:space="preserve">         0,1 </w:t>
            </w:r>
          </w:p>
        </w:tc>
      </w:tr>
      <w:tr w:rsidR="0088085F" w:rsidRPr="003D58AB" w14:paraId="23ED7D63" w14:textId="77777777" w:rsidTr="00A942F8">
        <w:trPr>
          <w:trHeight w:hRule="exact" w:val="255"/>
          <w:jc w:val="center"/>
        </w:trPr>
        <w:tc>
          <w:tcPr>
            <w:tcW w:w="4256" w:type="dxa"/>
            <w:tcBorders>
              <w:top w:val="single" w:sz="2" w:space="0" w:color="auto"/>
              <w:left w:val="nil"/>
              <w:bottom w:val="single" w:sz="4" w:space="0" w:color="auto"/>
              <w:right w:val="nil"/>
            </w:tcBorders>
            <w:shd w:val="clear" w:color="auto" w:fill="auto"/>
            <w:noWrap/>
            <w:vAlign w:val="center"/>
            <w:hideMark/>
          </w:tcPr>
          <w:p w14:paraId="605737A0" w14:textId="77777777" w:rsidR="0088085F" w:rsidRPr="004C5C5D" w:rsidRDefault="0088085F" w:rsidP="00E03B06">
            <w:pPr>
              <w:pStyle w:val="cuatexto"/>
              <w:jc w:val="left"/>
              <w:rPr>
                <w:sz w:val="18"/>
                <w:szCs w:val="18"/>
              </w:rPr>
            </w:pPr>
            <w:r>
              <w:rPr>
                <w:sz w:val="18"/>
                <w:szCs w:val="18"/>
              </w:rPr>
              <w:t>Pasibo finantzarioak</w:t>
            </w:r>
          </w:p>
        </w:tc>
        <w:tc>
          <w:tcPr>
            <w:tcW w:w="607" w:type="dxa"/>
            <w:tcBorders>
              <w:top w:val="single" w:sz="2" w:space="0" w:color="auto"/>
              <w:left w:val="nil"/>
              <w:bottom w:val="single" w:sz="4" w:space="0" w:color="auto"/>
              <w:right w:val="nil"/>
            </w:tcBorders>
            <w:shd w:val="clear" w:color="auto" w:fill="auto"/>
            <w:noWrap/>
            <w:vAlign w:val="center"/>
            <w:hideMark/>
          </w:tcPr>
          <w:p w14:paraId="0CFDCE85" w14:textId="77777777" w:rsidR="0088085F" w:rsidRPr="003D58AB" w:rsidRDefault="0088085F" w:rsidP="00E03B06">
            <w:pPr>
              <w:pStyle w:val="cuatexto"/>
              <w:jc w:val="right"/>
              <w:rPr>
                <w:color w:val="000000"/>
                <w:sz w:val="18"/>
                <w:szCs w:val="18"/>
              </w:rPr>
            </w:pPr>
            <w:r>
              <w:rPr>
                <w:color w:val="000000"/>
                <w:sz w:val="18"/>
                <w:szCs w:val="18"/>
              </w:rPr>
              <w:t>6</w:t>
            </w:r>
          </w:p>
        </w:tc>
        <w:tc>
          <w:tcPr>
            <w:tcW w:w="952" w:type="dxa"/>
            <w:tcBorders>
              <w:top w:val="single" w:sz="2" w:space="0" w:color="auto"/>
              <w:left w:val="nil"/>
              <w:bottom w:val="single" w:sz="4" w:space="0" w:color="auto"/>
              <w:right w:val="nil"/>
            </w:tcBorders>
            <w:shd w:val="clear" w:color="auto" w:fill="auto"/>
            <w:noWrap/>
            <w:vAlign w:val="center"/>
            <w:hideMark/>
          </w:tcPr>
          <w:p w14:paraId="7FE86C2D" w14:textId="77777777" w:rsidR="0088085F" w:rsidRPr="003D58AB" w:rsidRDefault="0088085F" w:rsidP="00E03B06">
            <w:pPr>
              <w:pStyle w:val="cuatexto"/>
              <w:jc w:val="right"/>
              <w:rPr>
                <w:sz w:val="18"/>
                <w:szCs w:val="18"/>
              </w:rPr>
            </w:pPr>
            <w:r>
              <w:rPr>
                <w:sz w:val="18"/>
                <w:szCs w:val="18"/>
              </w:rPr>
              <w:t xml:space="preserve">           0,5 </w:t>
            </w:r>
          </w:p>
        </w:tc>
        <w:tc>
          <w:tcPr>
            <w:tcW w:w="615" w:type="dxa"/>
            <w:gridSpan w:val="2"/>
            <w:tcBorders>
              <w:top w:val="single" w:sz="2" w:space="0" w:color="auto"/>
              <w:left w:val="nil"/>
              <w:bottom w:val="single" w:sz="4" w:space="0" w:color="auto"/>
              <w:right w:val="nil"/>
            </w:tcBorders>
            <w:shd w:val="clear" w:color="auto" w:fill="auto"/>
            <w:noWrap/>
            <w:vAlign w:val="center"/>
            <w:hideMark/>
          </w:tcPr>
          <w:p w14:paraId="128AEC77" w14:textId="77777777" w:rsidR="0088085F" w:rsidRPr="003D58AB" w:rsidRDefault="0088085F" w:rsidP="00E03B06">
            <w:pPr>
              <w:pStyle w:val="cuatexto"/>
              <w:jc w:val="right"/>
              <w:rPr>
                <w:color w:val="000000"/>
                <w:sz w:val="18"/>
                <w:szCs w:val="18"/>
              </w:rPr>
            </w:pPr>
            <w:r>
              <w:rPr>
                <w:color w:val="000000"/>
                <w:sz w:val="18"/>
                <w:szCs w:val="18"/>
              </w:rPr>
              <w:t>24</w:t>
            </w:r>
          </w:p>
        </w:tc>
        <w:tc>
          <w:tcPr>
            <w:tcW w:w="938" w:type="dxa"/>
            <w:tcBorders>
              <w:top w:val="single" w:sz="2" w:space="0" w:color="auto"/>
              <w:left w:val="nil"/>
              <w:bottom w:val="single" w:sz="4" w:space="0" w:color="auto"/>
              <w:right w:val="nil"/>
            </w:tcBorders>
            <w:shd w:val="clear" w:color="auto" w:fill="auto"/>
            <w:noWrap/>
            <w:vAlign w:val="center"/>
            <w:hideMark/>
          </w:tcPr>
          <w:p w14:paraId="769E5D48" w14:textId="77777777" w:rsidR="0088085F" w:rsidRPr="003D58AB" w:rsidRDefault="0088085F" w:rsidP="00E03B06">
            <w:pPr>
              <w:pStyle w:val="cuatexto"/>
              <w:jc w:val="right"/>
              <w:rPr>
                <w:sz w:val="18"/>
                <w:szCs w:val="18"/>
              </w:rPr>
            </w:pPr>
            <w:r>
              <w:rPr>
                <w:sz w:val="18"/>
                <w:szCs w:val="18"/>
              </w:rPr>
              <w:t xml:space="preserve">          1,6 </w:t>
            </w:r>
          </w:p>
        </w:tc>
        <w:tc>
          <w:tcPr>
            <w:tcW w:w="672" w:type="dxa"/>
            <w:tcBorders>
              <w:top w:val="single" w:sz="2" w:space="0" w:color="auto"/>
              <w:left w:val="nil"/>
              <w:bottom w:val="single" w:sz="4" w:space="0" w:color="auto"/>
              <w:right w:val="nil"/>
            </w:tcBorders>
            <w:shd w:val="clear" w:color="auto" w:fill="auto"/>
            <w:noWrap/>
            <w:vAlign w:val="center"/>
            <w:hideMark/>
          </w:tcPr>
          <w:p w14:paraId="346D7B02" w14:textId="77777777" w:rsidR="0088085F" w:rsidRPr="003D58AB" w:rsidRDefault="0088085F" w:rsidP="00E03B06">
            <w:pPr>
              <w:pStyle w:val="cuatexto"/>
              <w:jc w:val="right"/>
              <w:rPr>
                <w:color w:val="000000"/>
                <w:sz w:val="18"/>
                <w:szCs w:val="18"/>
              </w:rPr>
            </w:pPr>
            <w:r>
              <w:rPr>
                <w:color w:val="000000"/>
                <w:sz w:val="18"/>
                <w:szCs w:val="18"/>
              </w:rPr>
              <w:t>46</w:t>
            </w:r>
          </w:p>
        </w:tc>
        <w:tc>
          <w:tcPr>
            <w:tcW w:w="851" w:type="dxa"/>
            <w:tcBorders>
              <w:top w:val="single" w:sz="2" w:space="0" w:color="auto"/>
              <w:left w:val="nil"/>
              <w:bottom w:val="single" w:sz="4" w:space="0" w:color="auto"/>
              <w:right w:val="nil"/>
            </w:tcBorders>
            <w:shd w:val="clear" w:color="auto" w:fill="auto"/>
            <w:noWrap/>
            <w:vAlign w:val="center"/>
            <w:hideMark/>
          </w:tcPr>
          <w:p w14:paraId="6714CC46" w14:textId="77777777" w:rsidR="0088085F" w:rsidRPr="003D58AB" w:rsidRDefault="0088085F" w:rsidP="00E03B06">
            <w:pPr>
              <w:pStyle w:val="cuatexto"/>
              <w:jc w:val="right"/>
              <w:rPr>
                <w:sz w:val="18"/>
                <w:szCs w:val="18"/>
              </w:rPr>
            </w:pPr>
            <w:r>
              <w:rPr>
                <w:sz w:val="18"/>
                <w:szCs w:val="18"/>
              </w:rPr>
              <w:t xml:space="preserve">         4,0 </w:t>
            </w:r>
          </w:p>
        </w:tc>
      </w:tr>
      <w:tr w:rsidR="0088085F" w:rsidRPr="000A3BD7" w14:paraId="2855E5B7" w14:textId="77777777" w:rsidTr="00A942F8">
        <w:trPr>
          <w:trHeight w:hRule="exact" w:val="255"/>
          <w:jc w:val="center"/>
        </w:trPr>
        <w:tc>
          <w:tcPr>
            <w:tcW w:w="4256" w:type="dxa"/>
            <w:tcBorders>
              <w:top w:val="single" w:sz="4" w:space="0" w:color="auto"/>
              <w:left w:val="nil"/>
              <w:bottom w:val="single" w:sz="4" w:space="0" w:color="auto"/>
              <w:right w:val="nil"/>
            </w:tcBorders>
            <w:shd w:val="clear" w:color="auto" w:fill="auto"/>
            <w:noWrap/>
            <w:vAlign w:val="center"/>
            <w:hideMark/>
          </w:tcPr>
          <w:p w14:paraId="68EFFE47" w14:textId="77777777" w:rsidR="0088085F" w:rsidRPr="000A3BD7" w:rsidRDefault="000A3BD7" w:rsidP="00E03B06">
            <w:pPr>
              <w:pStyle w:val="cuatexto"/>
              <w:jc w:val="left"/>
              <w:rPr>
                <w:b/>
                <w:bCs/>
                <w:iCs/>
                <w:sz w:val="18"/>
                <w:szCs w:val="18"/>
              </w:rPr>
            </w:pPr>
            <w:r>
              <w:rPr>
                <w:b/>
                <w:bCs/>
                <w:iCs/>
                <w:sz w:val="18"/>
                <w:szCs w:val="18"/>
              </w:rPr>
              <w:t>Diru-sarrera finantzarioak</w:t>
            </w:r>
          </w:p>
        </w:tc>
        <w:tc>
          <w:tcPr>
            <w:tcW w:w="607" w:type="dxa"/>
            <w:tcBorders>
              <w:top w:val="single" w:sz="4" w:space="0" w:color="auto"/>
              <w:left w:val="nil"/>
              <w:bottom w:val="single" w:sz="4" w:space="0" w:color="auto"/>
              <w:right w:val="nil"/>
            </w:tcBorders>
            <w:shd w:val="clear" w:color="auto" w:fill="auto"/>
            <w:noWrap/>
            <w:vAlign w:val="center"/>
            <w:hideMark/>
          </w:tcPr>
          <w:p w14:paraId="59FAD64A" w14:textId="77777777" w:rsidR="0088085F" w:rsidRPr="000A3BD7" w:rsidRDefault="0088085F" w:rsidP="00E03B06">
            <w:pPr>
              <w:pStyle w:val="cuatexto"/>
              <w:jc w:val="right"/>
              <w:rPr>
                <w:b/>
                <w:bCs/>
                <w:iCs/>
                <w:color w:val="000000"/>
                <w:sz w:val="18"/>
                <w:szCs w:val="18"/>
              </w:rPr>
            </w:pPr>
            <w:r>
              <w:rPr>
                <w:b/>
                <w:bCs/>
                <w:iCs/>
                <w:color w:val="000000"/>
                <w:sz w:val="18"/>
                <w:szCs w:val="18"/>
              </w:rPr>
              <w:t>7</w:t>
            </w:r>
          </w:p>
        </w:tc>
        <w:tc>
          <w:tcPr>
            <w:tcW w:w="952" w:type="dxa"/>
            <w:tcBorders>
              <w:top w:val="single" w:sz="4" w:space="0" w:color="auto"/>
              <w:left w:val="nil"/>
              <w:bottom w:val="single" w:sz="4" w:space="0" w:color="auto"/>
              <w:right w:val="nil"/>
            </w:tcBorders>
            <w:shd w:val="clear" w:color="auto" w:fill="auto"/>
            <w:noWrap/>
            <w:vAlign w:val="center"/>
            <w:hideMark/>
          </w:tcPr>
          <w:p w14:paraId="06FBAF53" w14:textId="77777777" w:rsidR="0088085F" w:rsidRPr="000A3BD7" w:rsidRDefault="0088085F" w:rsidP="00E03B06">
            <w:pPr>
              <w:pStyle w:val="cuatexto"/>
              <w:jc w:val="right"/>
              <w:rPr>
                <w:b/>
                <w:bCs/>
                <w:iCs/>
                <w:sz w:val="18"/>
                <w:szCs w:val="18"/>
              </w:rPr>
            </w:pPr>
            <w:r>
              <w:rPr>
                <w:b/>
                <w:bCs/>
                <w:iCs/>
                <w:sz w:val="18"/>
                <w:szCs w:val="18"/>
              </w:rPr>
              <w:t xml:space="preserve">           0,6 </w:t>
            </w:r>
          </w:p>
        </w:tc>
        <w:tc>
          <w:tcPr>
            <w:tcW w:w="615" w:type="dxa"/>
            <w:gridSpan w:val="2"/>
            <w:tcBorders>
              <w:top w:val="single" w:sz="4" w:space="0" w:color="auto"/>
              <w:left w:val="nil"/>
              <w:bottom w:val="single" w:sz="4" w:space="0" w:color="auto"/>
              <w:right w:val="nil"/>
            </w:tcBorders>
            <w:shd w:val="clear" w:color="auto" w:fill="auto"/>
            <w:noWrap/>
            <w:vAlign w:val="center"/>
            <w:hideMark/>
          </w:tcPr>
          <w:p w14:paraId="0081BFD9" w14:textId="77777777" w:rsidR="0088085F" w:rsidRPr="000A3BD7" w:rsidRDefault="0088085F" w:rsidP="00E03B06">
            <w:pPr>
              <w:pStyle w:val="cuatexto"/>
              <w:jc w:val="right"/>
              <w:rPr>
                <w:b/>
                <w:bCs/>
                <w:iCs/>
                <w:color w:val="000000"/>
                <w:sz w:val="18"/>
                <w:szCs w:val="18"/>
              </w:rPr>
            </w:pPr>
            <w:r>
              <w:rPr>
                <w:b/>
                <w:bCs/>
                <w:iCs/>
                <w:color w:val="000000"/>
                <w:sz w:val="18"/>
                <w:szCs w:val="18"/>
              </w:rPr>
              <w:t>26</w:t>
            </w:r>
          </w:p>
        </w:tc>
        <w:tc>
          <w:tcPr>
            <w:tcW w:w="938" w:type="dxa"/>
            <w:tcBorders>
              <w:top w:val="single" w:sz="4" w:space="0" w:color="auto"/>
              <w:left w:val="nil"/>
              <w:bottom w:val="single" w:sz="4" w:space="0" w:color="auto"/>
              <w:right w:val="nil"/>
            </w:tcBorders>
            <w:shd w:val="clear" w:color="auto" w:fill="auto"/>
            <w:noWrap/>
            <w:vAlign w:val="center"/>
            <w:hideMark/>
          </w:tcPr>
          <w:p w14:paraId="0CA9A042" w14:textId="77777777" w:rsidR="0088085F" w:rsidRPr="000A3BD7" w:rsidRDefault="0088085F" w:rsidP="00E03B06">
            <w:pPr>
              <w:pStyle w:val="cuatexto"/>
              <w:jc w:val="right"/>
              <w:rPr>
                <w:b/>
                <w:bCs/>
                <w:iCs/>
                <w:sz w:val="18"/>
                <w:szCs w:val="18"/>
              </w:rPr>
            </w:pPr>
            <w:r>
              <w:rPr>
                <w:b/>
                <w:bCs/>
                <w:iCs/>
                <w:sz w:val="18"/>
                <w:szCs w:val="18"/>
              </w:rPr>
              <w:t xml:space="preserve">         1,8 </w:t>
            </w:r>
          </w:p>
        </w:tc>
        <w:tc>
          <w:tcPr>
            <w:tcW w:w="672" w:type="dxa"/>
            <w:tcBorders>
              <w:top w:val="single" w:sz="4" w:space="0" w:color="auto"/>
              <w:left w:val="nil"/>
              <w:bottom w:val="single" w:sz="4" w:space="0" w:color="auto"/>
              <w:right w:val="nil"/>
            </w:tcBorders>
            <w:shd w:val="clear" w:color="auto" w:fill="auto"/>
            <w:noWrap/>
            <w:vAlign w:val="center"/>
            <w:hideMark/>
          </w:tcPr>
          <w:p w14:paraId="6275AED6" w14:textId="77777777" w:rsidR="0088085F" w:rsidRPr="000A3BD7" w:rsidRDefault="0088085F" w:rsidP="00E03B06">
            <w:pPr>
              <w:pStyle w:val="cuatexto"/>
              <w:jc w:val="right"/>
              <w:rPr>
                <w:b/>
                <w:bCs/>
                <w:iCs/>
                <w:color w:val="000000"/>
                <w:sz w:val="18"/>
                <w:szCs w:val="18"/>
              </w:rPr>
            </w:pPr>
            <w:r>
              <w:rPr>
                <w:b/>
                <w:bCs/>
                <w:iCs/>
                <w:color w:val="000000"/>
                <w:sz w:val="18"/>
                <w:szCs w:val="18"/>
              </w:rPr>
              <w:t>47</w:t>
            </w:r>
          </w:p>
        </w:tc>
        <w:tc>
          <w:tcPr>
            <w:tcW w:w="851" w:type="dxa"/>
            <w:tcBorders>
              <w:top w:val="single" w:sz="4" w:space="0" w:color="auto"/>
              <w:left w:val="nil"/>
              <w:bottom w:val="single" w:sz="4" w:space="0" w:color="auto"/>
              <w:right w:val="nil"/>
            </w:tcBorders>
            <w:shd w:val="clear" w:color="auto" w:fill="auto"/>
            <w:noWrap/>
            <w:vAlign w:val="center"/>
            <w:hideMark/>
          </w:tcPr>
          <w:p w14:paraId="57C1292F" w14:textId="77777777" w:rsidR="0088085F" w:rsidRPr="000A3BD7" w:rsidRDefault="0088085F" w:rsidP="00E03B06">
            <w:pPr>
              <w:pStyle w:val="cuatexto"/>
              <w:jc w:val="right"/>
              <w:rPr>
                <w:b/>
                <w:bCs/>
                <w:iCs/>
                <w:sz w:val="18"/>
                <w:szCs w:val="18"/>
              </w:rPr>
            </w:pPr>
            <w:r>
              <w:rPr>
                <w:b/>
                <w:bCs/>
                <w:iCs/>
                <w:sz w:val="18"/>
                <w:szCs w:val="18"/>
              </w:rPr>
              <w:t xml:space="preserve">        4,0 </w:t>
            </w:r>
          </w:p>
        </w:tc>
      </w:tr>
      <w:tr w:rsidR="0088085F" w:rsidRPr="00F7590F" w14:paraId="78397DDD" w14:textId="77777777" w:rsidTr="00A942F8">
        <w:trPr>
          <w:trHeight w:hRule="exact" w:val="312"/>
          <w:jc w:val="center"/>
        </w:trPr>
        <w:tc>
          <w:tcPr>
            <w:tcW w:w="4256" w:type="dxa"/>
            <w:tcBorders>
              <w:top w:val="nil"/>
              <w:left w:val="nil"/>
              <w:bottom w:val="single" w:sz="4" w:space="0" w:color="auto"/>
              <w:right w:val="nil"/>
            </w:tcBorders>
            <w:shd w:val="clear" w:color="auto" w:fill="FABF8F" w:themeFill="accent6" w:themeFillTint="99"/>
            <w:noWrap/>
            <w:vAlign w:val="center"/>
            <w:hideMark/>
          </w:tcPr>
          <w:p w14:paraId="025A57B4" w14:textId="77777777" w:rsidR="0088085F" w:rsidRPr="00F7590F" w:rsidRDefault="000A3BD7" w:rsidP="00E03B06">
            <w:pPr>
              <w:pStyle w:val="cuadroCabe"/>
              <w:jc w:val="left"/>
              <w:rPr>
                <w:sz w:val="16"/>
                <w:szCs w:val="16"/>
              </w:rPr>
            </w:pPr>
            <w:r>
              <w:rPr>
                <w:sz w:val="16"/>
                <w:szCs w:val="16"/>
              </w:rPr>
              <w:t>Guztira</w:t>
            </w:r>
          </w:p>
        </w:tc>
        <w:tc>
          <w:tcPr>
            <w:tcW w:w="607" w:type="dxa"/>
            <w:tcBorders>
              <w:top w:val="nil"/>
              <w:left w:val="nil"/>
              <w:bottom w:val="single" w:sz="4" w:space="0" w:color="auto"/>
              <w:right w:val="nil"/>
            </w:tcBorders>
            <w:shd w:val="clear" w:color="auto" w:fill="FABF8F" w:themeFill="accent6" w:themeFillTint="99"/>
            <w:noWrap/>
            <w:vAlign w:val="center"/>
            <w:hideMark/>
          </w:tcPr>
          <w:p w14:paraId="5EE34D09" w14:textId="77777777" w:rsidR="0088085F" w:rsidRPr="00F7590F" w:rsidRDefault="0088085F" w:rsidP="00E03B06">
            <w:pPr>
              <w:pStyle w:val="cuadroCabe"/>
              <w:jc w:val="right"/>
              <w:rPr>
                <w:b/>
                <w:bCs/>
                <w:sz w:val="16"/>
                <w:szCs w:val="16"/>
              </w:rPr>
            </w:pPr>
            <w:r>
              <w:rPr>
                <w:b/>
                <w:bCs/>
                <w:sz w:val="16"/>
                <w:szCs w:val="16"/>
              </w:rPr>
              <w:t>1.184</w:t>
            </w:r>
          </w:p>
        </w:tc>
        <w:tc>
          <w:tcPr>
            <w:tcW w:w="952" w:type="dxa"/>
            <w:tcBorders>
              <w:top w:val="nil"/>
              <w:left w:val="nil"/>
              <w:bottom w:val="single" w:sz="4" w:space="0" w:color="auto"/>
              <w:right w:val="nil"/>
            </w:tcBorders>
            <w:shd w:val="clear" w:color="auto" w:fill="FABF8F" w:themeFill="accent6" w:themeFillTint="99"/>
            <w:noWrap/>
            <w:vAlign w:val="center"/>
            <w:hideMark/>
          </w:tcPr>
          <w:p w14:paraId="510F3866" w14:textId="77777777" w:rsidR="0088085F" w:rsidRPr="00F7590F" w:rsidRDefault="0088085F" w:rsidP="00E03B06">
            <w:pPr>
              <w:pStyle w:val="cuadroCabe"/>
              <w:jc w:val="right"/>
              <w:rPr>
                <w:b/>
                <w:bCs/>
                <w:sz w:val="16"/>
                <w:szCs w:val="16"/>
              </w:rPr>
            </w:pPr>
            <w:r>
              <w:rPr>
                <w:b/>
                <w:bCs/>
                <w:sz w:val="16"/>
                <w:szCs w:val="16"/>
              </w:rPr>
              <w:t>100</w:t>
            </w:r>
          </w:p>
        </w:tc>
        <w:tc>
          <w:tcPr>
            <w:tcW w:w="615" w:type="dxa"/>
            <w:gridSpan w:val="2"/>
            <w:tcBorders>
              <w:top w:val="nil"/>
              <w:left w:val="nil"/>
              <w:bottom w:val="single" w:sz="4" w:space="0" w:color="auto"/>
              <w:right w:val="nil"/>
            </w:tcBorders>
            <w:shd w:val="clear" w:color="auto" w:fill="FABF8F" w:themeFill="accent6" w:themeFillTint="99"/>
            <w:noWrap/>
            <w:vAlign w:val="center"/>
            <w:hideMark/>
          </w:tcPr>
          <w:p w14:paraId="4FF381A3" w14:textId="77777777" w:rsidR="0088085F" w:rsidRPr="00F7590F" w:rsidRDefault="0088085F" w:rsidP="00E03B06">
            <w:pPr>
              <w:pStyle w:val="cuadroCabe"/>
              <w:jc w:val="right"/>
              <w:rPr>
                <w:b/>
                <w:bCs/>
                <w:sz w:val="16"/>
                <w:szCs w:val="16"/>
              </w:rPr>
            </w:pPr>
            <w:r>
              <w:rPr>
                <w:b/>
                <w:bCs/>
                <w:sz w:val="16"/>
                <w:szCs w:val="16"/>
              </w:rPr>
              <w:t>1.472</w:t>
            </w:r>
          </w:p>
        </w:tc>
        <w:tc>
          <w:tcPr>
            <w:tcW w:w="938" w:type="dxa"/>
            <w:tcBorders>
              <w:top w:val="nil"/>
              <w:left w:val="nil"/>
              <w:bottom w:val="single" w:sz="4" w:space="0" w:color="auto"/>
              <w:right w:val="nil"/>
            </w:tcBorders>
            <w:shd w:val="clear" w:color="auto" w:fill="FABF8F" w:themeFill="accent6" w:themeFillTint="99"/>
            <w:noWrap/>
            <w:vAlign w:val="center"/>
            <w:hideMark/>
          </w:tcPr>
          <w:p w14:paraId="4BC12939" w14:textId="77777777" w:rsidR="0088085F" w:rsidRPr="00F7590F" w:rsidRDefault="0088085F" w:rsidP="00E03B06">
            <w:pPr>
              <w:pStyle w:val="cuadroCabe"/>
              <w:jc w:val="right"/>
              <w:rPr>
                <w:b/>
                <w:bCs/>
                <w:sz w:val="16"/>
                <w:szCs w:val="16"/>
              </w:rPr>
            </w:pPr>
            <w:r>
              <w:rPr>
                <w:b/>
                <w:bCs/>
                <w:sz w:val="16"/>
                <w:szCs w:val="16"/>
              </w:rPr>
              <w:t xml:space="preserve">         100 </w:t>
            </w:r>
          </w:p>
        </w:tc>
        <w:tc>
          <w:tcPr>
            <w:tcW w:w="672" w:type="dxa"/>
            <w:tcBorders>
              <w:top w:val="nil"/>
              <w:left w:val="nil"/>
              <w:bottom w:val="single" w:sz="4" w:space="0" w:color="auto"/>
              <w:right w:val="nil"/>
            </w:tcBorders>
            <w:shd w:val="clear" w:color="auto" w:fill="FABF8F" w:themeFill="accent6" w:themeFillTint="99"/>
            <w:noWrap/>
            <w:vAlign w:val="center"/>
            <w:hideMark/>
          </w:tcPr>
          <w:p w14:paraId="4C5755D5" w14:textId="77777777" w:rsidR="0088085F" w:rsidRPr="00F7590F" w:rsidRDefault="0088085F" w:rsidP="00E03B06">
            <w:pPr>
              <w:pStyle w:val="cuadroCabe"/>
              <w:jc w:val="right"/>
              <w:rPr>
                <w:b/>
                <w:bCs/>
                <w:sz w:val="16"/>
                <w:szCs w:val="16"/>
              </w:rPr>
            </w:pPr>
            <w:r>
              <w:rPr>
                <w:b/>
                <w:bCs/>
                <w:sz w:val="16"/>
                <w:szCs w:val="16"/>
              </w:rPr>
              <w:t>1.163</w:t>
            </w:r>
          </w:p>
        </w:tc>
        <w:tc>
          <w:tcPr>
            <w:tcW w:w="851" w:type="dxa"/>
            <w:tcBorders>
              <w:top w:val="nil"/>
              <w:left w:val="nil"/>
              <w:bottom w:val="single" w:sz="4" w:space="0" w:color="auto"/>
              <w:right w:val="nil"/>
            </w:tcBorders>
            <w:shd w:val="clear" w:color="auto" w:fill="FABF8F" w:themeFill="accent6" w:themeFillTint="99"/>
            <w:noWrap/>
            <w:vAlign w:val="center"/>
            <w:hideMark/>
          </w:tcPr>
          <w:p w14:paraId="4D84BC52" w14:textId="77777777" w:rsidR="0088085F" w:rsidRPr="00F7590F" w:rsidRDefault="0088085F" w:rsidP="00E03B06">
            <w:pPr>
              <w:pStyle w:val="cuadroCabe"/>
              <w:jc w:val="right"/>
              <w:rPr>
                <w:b/>
                <w:bCs/>
                <w:sz w:val="16"/>
                <w:szCs w:val="16"/>
              </w:rPr>
            </w:pPr>
            <w:r>
              <w:rPr>
                <w:b/>
                <w:bCs/>
                <w:sz w:val="16"/>
                <w:szCs w:val="16"/>
              </w:rPr>
              <w:t xml:space="preserve">        100 </w:t>
            </w:r>
          </w:p>
        </w:tc>
      </w:tr>
    </w:tbl>
    <w:p w14:paraId="509E6C96" w14:textId="77777777" w:rsidR="00F7590F" w:rsidRDefault="00F7590F">
      <w:pPr>
        <w:spacing w:after="0"/>
        <w:ind w:firstLine="0"/>
        <w:jc w:val="left"/>
        <w:rPr>
          <w:rStyle w:val="textoCar"/>
          <w:szCs w:val="26"/>
        </w:rPr>
      </w:pPr>
    </w:p>
    <w:p w14:paraId="68B8A682" w14:textId="77777777" w:rsidR="003D58AB" w:rsidRDefault="003D58AB">
      <w:pPr>
        <w:spacing w:after="0"/>
        <w:ind w:firstLine="0"/>
        <w:jc w:val="left"/>
        <w:rPr>
          <w:rStyle w:val="textoCar"/>
          <w:szCs w:val="26"/>
        </w:rPr>
      </w:pPr>
    </w:p>
    <w:p w14:paraId="0ED8B846" w14:textId="77777777" w:rsidR="003D58AB" w:rsidRDefault="003D58AB">
      <w:pPr>
        <w:spacing w:after="0"/>
        <w:ind w:firstLine="0"/>
        <w:jc w:val="left"/>
        <w:rPr>
          <w:rStyle w:val="textoCar"/>
          <w:szCs w:val="26"/>
        </w:rPr>
      </w:pPr>
    </w:p>
    <w:p w14:paraId="2B221040" w14:textId="77777777" w:rsidR="003D58AB" w:rsidRPr="00AA27EA" w:rsidRDefault="003D58AB" w:rsidP="008A2F96">
      <w:pPr>
        <w:spacing w:after="0"/>
        <w:ind w:firstLine="0"/>
        <w:jc w:val="left"/>
        <w:rPr>
          <w:rStyle w:val="textoCar"/>
          <w:sz w:val="8"/>
          <w:szCs w:val="8"/>
        </w:rPr>
      </w:pPr>
    </w:p>
    <w:p w14:paraId="54D63147" w14:textId="77777777" w:rsidR="003D58AB" w:rsidRPr="003D58AB" w:rsidRDefault="003D58AB" w:rsidP="003D58AB">
      <w:pPr>
        <w:spacing w:after="0"/>
        <w:ind w:firstLine="0"/>
        <w:jc w:val="left"/>
        <w:rPr>
          <w:rStyle w:val="textoCar"/>
          <w:sz w:val="10"/>
          <w:szCs w:val="10"/>
        </w:rPr>
      </w:pPr>
    </w:p>
    <w:tbl>
      <w:tblPr>
        <w:tblW w:w="8828" w:type="dxa"/>
        <w:jc w:val="center"/>
        <w:tblCellMar>
          <w:left w:w="70" w:type="dxa"/>
          <w:right w:w="70" w:type="dxa"/>
        </w:tblCellMar>
        <w:tblLook w:val="04A0" w:firstRow="1" w:lastRow="0" w:firstColumn="1" w:lastColumn="0" w:noHBand="0" w:noVBand="1"/>
      </w:tblPr>
      <w:tblGrid>
        <w:gridCol w:w="3164"/>
        <w:gridCol w:w="1066"/>
        <w:gridCol w:w="995"/>
        <w:gridCol w:w="882"/>
        <w:gridCol w:w="914"/>
        <w:gridCol w:w="929"/>
        <w:gridCol w:w="878"/>
      </w:tblGrid>
      <w:tr w:rsidR="0088085F" w:rsidRPr="00E03B06" w14:paraId="27DBF60A" w14:textId="77777777" w:rsidTr="00723826">
        <w:trPr>
          <w:trHeight w:val="113"/>
          <w:jc w:val="center"/>
        </w:trPr>
        <w:tc>
          <w:tcPr>
            <w:tcW w:w="3164" w:type="dxa"/>
            <w:vMerge w:val="restart"/>
            <w:tcBorders>
              <w:top w:val="single" w:sz="4" w:space="0" w:color="auto"/>
              <w:left w:val="nil"/>
              <w:bottom w:val="single" w:sz="2" w:space="0" w:color="auto"/>
              <w:right w:val="nil"/>
            </w:tcBorders>
            <w:shd w:val="clear" w:color="auto" w:fill="FABF8F" w:themeFill="accent6" w:themeFillTint="99"/>
            <w:noWrap/>
            <w:vAlign w:val="center"/>
            <w:hideMark/>
          </w:tcPr>
          <w:p w14:paraId="382D5C51" w14:textId="77777777" w:rsidR="0088085F" w:rsidRPr="00E03B06" w:rsidRDefault="00723826" w:rsidP="00F829E8">
            <w:pPr>
              <w:pStyle w:val="cuadroCabe"/>
              <w:jc w:val="left"/>
              <w:rPr>
                <w:sz w:val="15"/>
                <w:szCs w:val="15"/>
              </w:rPr>
            </w:pPr>
            <w:r>
              <w:rPr>
                <w:sz w:val="15"/>
                <w:szCs w:val="15"/>
              </w:rPr>
              <w:t>Gastuak</w:t>
            </w:r>
          </w:p>
        </w:tc>
        <w:tc>
          <w:tcPr>
            <w:tcW w:w="2061"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3F3B5C01" w14:textId="77777777" w:rsidR="0088085F" w:rsidRPr="00E03B06" w:rsidRDefault="00F00F8C" w:rsidP="00F829E8">
            <w:pPr>
              <w:pStyle w:val="cuadroCabe"/>
              <w:jc w:val="center"/>
              <w:rPr>
                <w:sz w:val="15"/>
                <w:szCs w:val="15"/>
              </w:rPr>
            </w:pPr>
            <w:r>
              <w:rPr>
                <w:sz w:val="15"/>
                <w:szCs w:val="15"/>
              </w:rPr>
              <w:t xml:space="preserve">            Nafarroa</w:t>
            </w:r>
          </w:p>
        </w:tc>
        <w:tc>
          <w:tcPr>
            <w:tcW w:w="1796"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14:paraId="63455E44" w14:textId="77777777" w:rsidR="0088085F" w:rsidRPr="00E03B06" w:rsidRDefault="00F00F8C" w:rsidP="00A72CB5">
            <w:pPr>
              <w:pStyle w:val="cuadroCabe"/>
              <w:ind w:right="-282"/>
              <w:jc w:val="center"/>
              <w:rPr>
                <w:sz w:val="15"/>
                <w:szCs w:val="15"/>
              </w:rPr>
            </w:pPr>
            <w:r>
              <w:rPr>
                <w:sz w:val="15"/>
                <w:szCs w:val="15"/>
              </w:rPr>
              <w:t xml:space="preserve">      EAE</w:t>
            </w:r>
          </w:p>
        </w:tc>
        <w:tc>
          <w:tcPr>
            <w:tcW w:w="1807" w:type="dxa"/>
            <w:gridSpan w:val="2"/>
            <w:tcBorders>
              <w:top w:val="single" w:sz="4" w:space="0" w:color="auto"/>
              <w:left w:val="nil"/>
              <w:bottom w:val="single" w:sz="2" w:space="0" w:color="auto"/>
              <w:right w:val="nil"/>
            </w:tcBorders>
            <w:shd w:val="clear" w:color="auto" w:fill="FABF8F" w:themeFill="accent6" w:themeFillTint="99"/>
            <w:vAlign w:val="center"/>
            <w:hideMark/>
          </w:tcPr>
          <w:p w14:paraId="773E309D" w14:textId="77777777" w:rsidR="0088085F" w:rsidRPr="00E03B06" w:rsidRDefault="00F00F8C" w:rsidP="00F829E8">
            <w:pPr>
              <w:pStyle w:val="cuadroCabe"/>
              <w:jc w:val="center"/>
              <w:rPr>
                <w:sz w:val="15"/>
                <w:szCs w:val="15"/>
              </w:rPr>
            </w:pPr>
            <w:r>
              <w:rPr>
                <w:sz w:val="15"/>
                <w:szCs w:val="15"/>
              </w:rPr>
              <w:t xml:space="preserve">        Estatuko gainerakoak</w:t>
            </w:r>
          </w:p>
        </w:tc>
      </w:tr>
      <w:tr w:rsidR="0088085F" w:rsidRPr="00E03B06" w14:paraId="054BF028" w14:textId="77777777" w:rsidTr="00723826">
        <w:trPr>
          <w:trHeight w:val="113"/>
          <w:jc w:val="center"/>
        </w:trPr>
        <w:tc>
          <w:tcPr>
            <w:tcW w:w="3164" w:type="dxa"/>
            <w:vMerge/>
            <w:tcBorders>
              <w:top w:val="single" w:sz="2" w:space="0" w:color="auto"/>
              <w:left w:val="nil"/>
              <w:bottom w:val="single" w:sz="4" w:space="0" w:color="000000"/>
              <w:right w:val="nil"/>
            </w:tcBorders>
            <w:shd w:val="clear" w:color="auto" w:fill="FABF8F" w:themeFill="accent6" w:themeFillTint="99"/>
            <w:vAlign w:val="center"/>
            <w:hideMark/>
          </w:tcPr>
          <w:p w14:paraId="3C7AB2FA" w14:textId="77777777" w:rsidR="0088085F" w:rsidRPr="00E03B06" w:rsidRDefault="0088085F" w:rsidP="00F829E8">
            <w:pPr>
              <w:pStyle w:val="cuadroCabe"/>
              <w:jc w:val="left"/>
              <w:rPr>
                <w:sz w:val="15"/>
                <w:szCs w:val="15"/>
                <w:lang w:val="es-ES" w:eastAsia="es-ES"/>
              </w:rPr>
            </w:pPr>
          </w:p>
        </w:tc>
        <w:tc>
          <w:tcPr>
            <w:tcW w:w="1066" w:type="dxa"/>
            <w:tcBorders>
              <w:top w:val="single" w:sz="2" w:space="0" w:color="auto"/>
              <w:left w:val="nil"/>
              <w:bottom w:val="single" w:sz="4" w:space="0" w:color="auto"/>
              <w:right w:val="nil"/>
            </w:tcBorders>
            <w:shd w:val="clear" w:color="auto" w:fill="FABF8F" w:themeFill="accent6" w:themeFillTint="99"/>
            <w:vAlign w:val="center"/>
            <w:hideMark/>
          </w:tcPr>
          <w:p w14:paraId="4A30F663" w14:textId="77777777" w:rsidR="003D58AB" w:rsidRDefault="0088085F" w:rsidP="00F829E8">
            <w:pPr>
              <w:pStyle w:val="cuadroCabe"/>
              <w:jc w:val="right"/>
              <w:rPr>
                <w:sz w:val="15"/>
                <w:szCs w:val="15"/>
              </w:rPr>
            </w:pPr>
            <w:r>
              <w:rPr>
                <w:sz w:val="15"/>
                <w:szCs w:val="15"/>
              </w:rPr>
              <w:t xml:space="preserve">Per </w:t>
            </w:r>
          </w:p>
          <w:p w14:paraId="53691E70" w14:textId="77777777" w:rsidR="0088085F" w:rsidRPr="00E03B06" w:rsidRDefault="0088085F" w:rsidP="00F829E8">
            <w:pPr>
              <w:pStyle w:val="cuadroCabe"/>
              <w:jc w:val="right"/>
              <w:rPr>
                <w:sz w:val="15"/>
                <w:szCs w:val="15"/>
              </w:rPr>
            </w:pPr>
            <w:r>
              <w:rPr>
                <w:sz w:val="15"/>
                <w:szCs w:val="15"/>
              </w:rPr>
              <w:t>capita</w:t>
            </w:r>
          </w:p>
        </w:tc>
        <w:tc>
          <w:tcPr>
            <w:tcW w:w="995" w:type="dxa"/>
            <w:tcBorders>
              <w:top w:val="single" w:sz="2" w:space="0" w:color="auto"/>
              <w:left w:val="nil"/>
              <w:bottom w:val="single" w:sz="4" w:space="0" w:color="auto"/>
              <w:right w:val="nil"/>
            </w:tcBorders>
            <w:shd w:val="clear" w:color="auto" w:fill="FABF8F" w:themeFill="accent6" w:themeFillTint="99"/>
            <w:noWrap/>
            <w:vAlign w:val="center"/>
            <w:hideMark/>
          </w:tcPr>
          <w:p w14:paraId="02C18CCD" w14:textId="77777777" w:rsidR="003D58AB" w:rsidRDefault="0088085F" w:rsidP="00F829E8">
            <w:pPr>
              <w:pStyle w:val="cuadroCabe"/>
              <w:jc w:val="right"/>
              <w:rPr>
                <w:sz w:val="15"/>
                <w:szCs w:val="15"/>
              </w:rPr>
            </w:pPr>
            <w:r>
              <w:rPr>
                <w:sz w:val="15"/>
                <w:szCs w:val="15"/>
              </w:rPr>
              <w:t xml:space="preserve">Ehunekoa, </w:t>
            </w:r>
          </w:p>
          <w:p w14:paraId="56434D58" w14:textId="77777777" w:rsidR="0088085F" w:rsidRPr="00E03B06" w:rsidRDefault="0088085F" w:rsidP="00F829E8">
            <w:pPr>
              <w:pStyle w:val="cuadroCabe"/>
              <w:jc w:val="right"/>
              <w:rPr>
                <w:sz w:val="15"/>
                <w:szCs w:val="15"/>
              </w:rPr>
            </w:pPr>
            <w:r>
              <w:rPr>
                <w:sz w:val="15"/>
                <w:szCs w:val="15"/>
              </w:rPr>
              <w:t>guztizkoaren gainean</w:t>
            </w:r>
          </w:p>
        </w:tc>
        <w:tc>
          <w:tcPr>
            <w:tcW w:w="882" w:type="dxa"/>
            <w:tcBorders>
              <w:top w:val="single" w:sz="2" w:space="0" w:color="auto"/>
              <w:left w:val="nil"/>
              <w:bottom w:val="single" w:sz="4" w:space="0" w:color="auto"/>
              <w:right w:val="nil"/>
            </w:tcBorders>
            <w:shd w:val="clear" w:color="auto" w:fill="FABF8F" w:themeFill="accent6" w:themeFillTint="99"/>
            <w:noWrap/>
            <w:vAlign w:val="center"/>
            <w:hideMark/>
          </w:tcPr>
          <w:p w14:paraId="6EFAFDA3" w14:textId="77777777" w:rsidR="003D58AB" w:rsidRDefault="0088085F" w:rsidP="00F829E8">
            <w:pPr>
              <w:pStyle w:val="cuadroCabe"/>
              <w:jc w:val="right"/>
              <w:rPr>
                <w:sz w:val="15"/>
                <w:szCs w:val="15"/>
              </w:rPr>
            </w:pPr>
            <w:r>
              <w:rPr>
                <w:sz w:val="15"/>
                <w:szCs w:val="15"/>
              </w:rPr>
              <w:t xml:space="preserve">Per </w:t>
            </w:r>
          </w:p>
          <w:p w14:paraId="2DE150CD" w14:textId="77777777" w:rsidR="0088085F" w:rsidRPr="00E03B06" w:rsidRDefault="0088085F" w:rsidP="00F829E8">
            <w:pPr>
              <w:pStyle w:val="cuadroCabe"/>
              <w:jc w:val="right"/>
              <w:rPr>
                <w:sz w:val="15"/>
                <w:szCs w:val="15"/>
              </w:rPr>
            </w:pPr>
            <w:r>
              <w:rPr>
                <w:sz w:val="15"/>
                <w:szCs w:val="15"/>
              </w:rPr>
              <w:t>capita</w:t>
            </w:r>
          </w:p>
        </w:tc>
        <w:tc>
          <w:tcPr>
            <w:tcW w:w="914" w:type="dxa"/>
            <w:tcBorders>
              <w:top w:val="single" w:sz="2" w:space="0" w:color="auto"/>
              <w:left w:val="nil"/>
              <w:bottom w:val="single" w:sz="4" w:space="0" w:color="auto"/>
              <w:right w:val="nil"/>
            </w:tcBorders>
            <w:shd w:val="clear" w:color="auto" w:fill="FABF8F" w:themeFill="accent6" w:themeFillTint="99"/>
            <w:noWrap/>
            <w:vAlign w:val="center"/>
            <w:hideMark/>
          </w:tcPr>
          <w:p w14:paraId="37E5823E" w14:textId="77777777" w:rsidR="003D58AB" w:rsidRDefault="0088085F" w:rsidP="00F829E8">
            <w:pPr>
              <w:pStyle w:val="cuadroCabe"/>
              <w:jc w:val="right"/>
              <w:rPr>
                <w:sz w:val="15"/>
                <w:szCs w:val="15"/>
              </w:rPr>
            </w:pPr>
            <w:r>
              <w:rPr>
                <w:sz w:val="15"/>
                <w:szCs w:val="15"/>
              </w:rPr>
              <w:t xml:space="preserve">Ehunekoa, </w:t>
            </w:r>
          </w:p>
          <w:p w14:paraId="7AC26015" w14:textId="77777777" w:rsidR="0088085F" w:rsidRPr="00E03B06" w:rsidRDefault="0088085F" w:rsidP="00F829E8">
            <w:pPr>
              <w:pStyle w:val="cuadroCabe"/>
              <w:jc w:val="right"/>
              <w:rPr>
                <w:sz w:val="15"/>
                <w:szCs w:val="15"/>
              </w:rPr>
            </w:pPr>
            <w:r>
              <w:rPr>
                <w:sz w:val="15"/>
                <w:szCs w:val="15"/>
              </w:rPr>
              <w:t>guztizkoaren gainean</w:t>
            </w:r>
          </w:p>
        </w:tc>
        <w:tc>
          <w:tcPr>
            <w:tcW w:w="929" w:type="dxa"/>
            <w:tcBorders>
              <w:top w:val="single" w:sz="2" w:space="0" w:color="auto"/>
              <w:left w:val="nil"/>
              <w:bottom w:val="single" w:sz="4" w:space="0" w:color="auto"/>
              <w:right w:val="nil"/>
            </w:tcBorders>
            <w:shd w:val="clear" w:color="auto" w:fill="FABF8F" w:themeFill="accent6" w:themeFillTint="99"/>
            <w:vAlign w:val="center"/>
            <w:hideMark/>
          </w:tcPr>
          <w:p w14:paraId="0DED047C" w14:textId="77777777" w:rsidR="003D58AB" w:rsidRDefault="0088085F" w:rsidP="00F829E8">
            <w:pPr>
              <w:pStyle w:val="cuadroCabe"/>
              <w:jc w:val="right"/>
              <w:rPr>
                <w:sz w:val="15"/>
                <w:szCs w:val="15"/>
              </w:rPr>
            </w:pPr>
            <w:r>
              <w:rPr>
                <w:sz w:val="15"/>
                <w:szCs w:val="15"/>
              </w:rPr>
              <w:t xml:space="preserve">Per </w:t>
            </w:r>
          </w:p>
          <w:p w14:paraId="58D1D074" w14:textId="77777777" w:rsidR="0088085F" w:rsidRPr="00E03B06" w:rsidRDefault="0088085F" w:rsidP="00F829E8">
            <w:pPr>
              <w:pStyle w:val="cuadroCabe"/>
              <w:jc w:val="right"/>
              <w:rPr>
                <w:sz w:val="15"/>
                <w:szCs w:val="15"/>
              </w:rPr>
            </w:pPr>
            <w:r>
              <w:rPr>
                <w:sz w:val="15"/>
                <w:szCs w:val="15"/>
              </w:rPr>
              <w:t>capita</w:t>
            </w:r>
          </w:p>
        </w:tc>
        <w:tc>
          <w:tcPr>
            <w:tcW w:w="878" w:type="dxa"/>
            <w:tcBorders>
              <w:top w:val="single" w:sz="2" w:space="0" w:color="auto"/>
              <w:left w:val="nil"/>
              <w:bottom w:val="single" w:sz="4" w:space="0" w:color="auto"/>
              <w:right w:val="nil"/>
            </w:tcBorders>
            <w:shd w:val="clear" w:color="auto" w:fill="FABF8F" w:themeFill="accent6" w:themeFillTint="99"/>
            <w:vAlign w:val="center"/>
            <w:hideMark/>
          </w:tcPr>
          <w:p w14:paraId="0436CFF4" w14:textId="77777777" w:rsidR="003D58AB" w:rsidRDefault="0088085F" w:rsidP="00F829E8">
            <w:pPr>
              <w:pStyle w:val="cuadroCabe"/>
              <w:jc w:val="right"/>
              <w:rPr>
                <w:sz w:val="15"/>
                <w:szCs w:val="15"/>
              </w:rPr>
            </w:pPr>
            <w:r>
              <w:rPr>
                <w:sz w:val="15"/>
                <w:szCs w:val="15"/>
              </w:rPr>
              <w:t xml:space="preserve">Ehunekoa, </w:t>
            </w:r>
          </w:p>
          <w:p w14:paraId="45D48700" w14:textId="77777777" w:rsidR="0088085F" w:rsidRPr="00E03B06" w:rsidRDefault="0088085F" w:rsidP="00F829E8">
            <w:pPr>
              <w:pStyle w:val="cuadroCabe"/>
              <w:jc w:val="right"/>
              <w:rPr>
                <w:sz w:val="15"/>
                <w:szCs w:val="15"/>
              </w:rPr>
            </w:pPr>
            <w:r>
              <w:rPr>
                <w:sz w:val="15"/>
                <w:szCs w:val="15"/>
              </w:rPr>
              <w:t>guztizkoaren gainean</w:t>
            </w:r>
          </w:p>
        </w:tc>
      </w:tr>
      <w:tr w:rsidR="0088085F" w:rsidRPr="003D58AB" w14:paraId="3B019223" w14:textId="77777777" w:rsidTr="005A7814">
        <w:trPr>
          <w:trHeight w:val="255"/>
          <w:jc w:val="center"/>
        </w:trPr>
        <w:tc>
          <w:tcPr>
            <w:tcW w:w="3164" w:type="dxa"/>
            <w:tcBorders>
              <w:top w:val="nil"/>
              <w:left w:val="nil"/>
              <w:bottom w:val="single" w:sz="2" w:space="0" w:color="auto"/>
              <w:right w:val="nil"/>
            </w:tcBorders>
            <w:shd w:val="clear" w:color="auto" w:fill="auto"/>
            <w:noWrap/>
            <w:vAlign w:val="center"/>
            <w:hideMark/>
          </w:tcPr>
          <w:p w14:paraId="4D48EA40" w14:textId="77777777" w:rsidR="0088085F" w:rsidRPr="003D58AB" w:rsidRDefault="0088085F" w:rsidP="00F829E8">
            <w:pPr>
              <w:pStyle w:val="cuatexto"/>
              <w:jc w:val="left"/>
              <w:rPr>
                <w:sz w:val="18"/>
                <w:szCs w:val="18"/>
              </w:rPr>
            </w:pPr>
            <w:r>
              <w:rPr>
                <w:sz w:val="18"/>
                <w:szCs w:val="18"/>
              </w:rPr>
              <w:t>Langile-gastuak</w:t>
            </w:r>
          </w:p>
        </w:tc>
        <w:tc>
          <w:tcPr>
            <w:tcW w:w="1066" w:type="dxa"/>
            <w:tcBorders>
              <w:top w:val="nil"/>
              <w:left w:val="nil"/>
              <w:bottom w:val="single" w:sz="2" w:space="0" w:color="auto"/>
              <w:right w:val="nil"/>
            </w:tcBorders>
            <w:shd w:val="clear" w:color="auto" w:fill="auto"/>
            <w:noWrap/>
            <w:vAlign w:val="center"/>
            <w:hideMark/>
          </w:tcPr>
          <w:p w14:paraId="014F6A2D" w14:textId="77777777" w:rsidR="0088085F" w:rsidRPr="003D58AB" w:rsidRDefault="0088085F" w:rsidP="00F829E8">
            <w:pPr>
              <w:pStyle w:val="cuatexto"/>
              <w:jc w:val="right"/>
              <w:rPr>
                <w:color w:val="000000"/>
                <w:sz w:val="18"/>
                <w:szCs w:val="18"/>
              </w:rPr>
            </w:pPr>
            <w:r>
              <w:rPr>
                <w:color w:val="000000"/>
                <w:sz w:val="18"/>
                <w:szCs w:val="18"/>
              </w:rPr>
              <w:t>386</w:t>
            </w:r>
          </w:p>
        </w:tc>
        <w:tc>
          <w:tcPr>
            <w:tcW w:w="995" w:type="dxa"/>
            <w:tcBorders>
              <w:top w:val="nil"/>
              <w:left w:val="nil"/>
              <w:bottom w:val="single" w:sz="2" w:space="0" w:color="auto"/>
              <w:right w:val="nil"/>
            </w:tcBorders>
            <w:shd w:val="clear" w:color="auto" w:fill="auto"/>
            <w:noWrap/>
            <w:vAlign w:val="center"/>
            <w:hideMark/>
          </w:tcPr>
          <w:p w14:paraId="5EA8FA6A" w14:textId="77777777" w:rsidR="0088085F" w:rsidRPr="003D58AB" w:rsidRDefault="0088085F" w:rsidP="00F829E8">
            <w:pPr>
              <w:pStyle w:val="cuatexto"/>
              <w:jc w:val="right"/>
              <w:rPr>
                <w:sz w:val="18"/>
                <w:szCs w:val="18"/>
              </w:rPr>
            </w:pPr>
            <w:r>
              <w:rPr>
                <w:sz w:val="18"/>
                <w:szCs w:val="18"/>
              </w:rPr>
              <w:t>32,7</w:t>
            </w:r>
          </w:p>
        </w:tc>
        <w:tc>
          <w:tcPr>
            <w:tcW w:w="882" w:type="dxa"/>
            <w:tcBorders>
              <w:top w:val="nil"/>
              <w:left w:val="nil"/>
              <w:bottom w:val="single" w:sz="2" w:space="0" w:color="auto"/>
              <w:right w:val="nil"/>
            </w:tcBorders>
            <w:shd w:val="clear" w:color="auto" w:fill="auto"/>
            <w:noWrap/>
            <w:vAlign w:val="center"/>
            <w:hideMark/>
          </w:tcPr>
          <w:p w14:paraId="139BABF3" w14:textId="77777777" w:rsidR="0088085F" w:rsidRPr="003D58AB" w:rsidRDefault="0088085F" w:rsidP="00F829E8">
            <w:pPr>
              <w:pStyle w:val="cuatexto"/>
              <w:jc w:val="right"/>
              <w:rPr>
                <w:color w:val="000000"/>
                <w:sz w:val="18"/>
                <w:szCs w:val="18"/>
              </w:rPr>
            </w:pPr>
            <w:r>
              <w:rPr>
                <w:color w:val="000000"/>
                <w:sz w:val="18"/>
                <w:szCs w:val="18"/>
              </w:rPr>
              <w:t>448</w:t>
            </w:r>
          </w:p>
        </w:tc>
        <w:tc>
          <w:tcPr>
            <w:tcW w:w="914" w:type="dxa"/>
            <w:tcBorders>
              <w:top w:val="nil"/>
              <w:left w:val="nil"/>
              <w:bottom w:val="single" w:sz="2" w:space="0" w:color="auto"/>
              <w:right w:val="nil"/>
            </w:tcBorders>
            <w:shd w:val="clear" w:color="auto" w:fill="auto"/>
            <w:noWrap/>
            <w:vAlign w:val="center"/>
            <w:hideMark/>
          </w:tcPr>
          <w:p w14:paraId="56203662" w14:textId="77777777" w:rsidR="0088085F" w:rsidRPr="003D58AB" w:rsidRDefault="0088085F" w:rsidP="00F829E8">
            <w:pPr>
              <w:pStyle w:val="cuatexto"/>
              <w:jc w:val="right"/>
              <w:rPr>
                <w:sz w:val="18"/>
                <w:szCs w:val="18"/>
              </w:rPr>
            </w:pPr>
            <w:r>
              <w:rPr>
                <w:sz w:val="18"/>
                <w:szCs w:val="18"/>
              </w:rPr>
              <w:t>32,0</w:t>
            </w:r>
          </w:p>
        </w:tc>
        <w:tc>
          <w:tcPr>
            <w:tcW w:w="929" w:type="dxa"/>
            <w:tcBorders>
              <w:top w:val="nil"/>
              <w:left w:val="nil"/>
              <w:bottom w:val="single" w:sz="2" w:space="0" w:color="auto"/>
              <w:right w:val="nil"/>
            </w:tcBorders>
            <w:shd w:val="clear" w:color="auto" w:fill="auto"/>
            <w:noWrap/>
            <w:vAlign w:val="center"/>
            <w:hideMark/>
          </w:tcPr>
          <w:p w14:paraId="2CD334C8" w14:textId="77777777" w:rsidR="0088085F" w:rsidRPr="003D58AB" w:rsidRDefault="0088085F" w:rsidP="00F829E8">
            <w:pPr>
              <w:pStyle w:val="cuatexto"/>
              <w:jc w:val="right"/>
              <w:rPr>
                <w:color w:val="000000"/>
                <w:sz w:val="18"/>
                <w:szCs w:val="18"/>
              </w:rPr>
            </w:pPr>
            <w:r>
              <w:rPr>
                <w:color w:val="000000"/>
                <w:sz w:val="18"/>
                <w:szCs w:val="18"/>
              </w:rPr>
              <w:t>406</w:t>
            </w:r>
          </w:p>
        </w:tc>
        <w:tc>
          <w:tcPr>
            <w:tcW w:w="878" w:type="dxa"/>
            <w:tcBorders>
              <w:top w:val="nil"/>
              <w:left w:val="nil"/>
              <w:bottom w:val="single" w:sz="2" w:space="0" w:color="auto"/>
              <w:right w:val="nil"/>
            </w:tcBorders>
            <w:shd w:val="clear" w:color="auto" w:fill="auto"/>
            <w:noWrap/>
            <w:vAlign w:val="center"/>
            <w:hideMark/>
          </w:tcPr>
          <w:p w14:paraId="3D9C94B4" w14:textId="77777777" w:rsidR="0088085F" w:rsidRPr="003D58AB" w:rsidRDefault="0088085F" w:rsidP="00F829E8">
            <w:pPr>
              <w:pStyle w:val="cuatexto"/>
              <w:jc w:val="right"/>
              <w:rPr>
                <w:sz w:val="18"/>
                <w:szCs w:val="18"/>
              </w:rPr>
            </w:pPr>
            <w:r>
              <w:rPr>
                <w:sz w:val="18"/>
                <w:szCs w:val="18"/>
              </w:rPr>
              <w:t>36,6</w:t>
            </w:r>
          </w:p>
        </w:tc>
      </w:tr>
      <w:tr w:rsidR="0088085F" w:rsidRPr="003D58AB" w14:paraId="217A9E48" w14:textId="77777777" w:rsidTr="005A7814">
        <w:trPr>
          <w:trHeight w:val="255"/>
          <w:jc w:val="center"/>
        </w:trPr>
        <w:tc>
          <w:tcPr>
            <w:tcW w:w="3164" w:type="dxa"/>
            <w:tcBorders>
              <w:top w:val="single" w:sz="2" w:space="0" w:color="auto"/>
              <w:left w:val="nil"/>
              <w:bottom w:val="single" w:sz="2" w:space="0" w:color="auto"/>
              <w:right w:val="nil"/>
            </w:tcBorders>
            <w:shd w:val="clear" w:color="auto" w:fill="auto"/>
            <w:noWrap/>
            <w:vAlign w:val="center"/>
            <w:hideMark/>
          </w:tcPr>
          <w:p w14:paraId="46500CE6" w14:textId="77777777" w:rsidR="0088085F" w:rsidRPr="003D58AB" w:rsidRDefault="0088085F" w:rsidP="00F829E8">
            <w:pPr>
              <w:pStyle w:val="cuatexto"/>
              <w:jc w:val="left"/>
              <w:rPr>
                <w:sz w:val="18"/>
                <w:szCs w:val="18"/>
              </w:rPr>
            </w:pPr>
            <w:r>
              <w:rPr>
                <w:sz w:val="18"/>
                <w:szCs w:val="18"/>
              </w:rPr>
              <w:t>Ondasun arruntetan eta zerbitzuetan egindako gastuak</w:t>
            </w:r>
          </w:p>
        </w:tc>
        <w:tc>
          <w:tcPr>
            <w:tcW w:w="1066" w:type="dxa"/>
            <w:tcBorders>
              <w:top w:val="single" w:sz="2" w:space="0" w:color="auto"/>
              <w:left w:val="nil"/>
              <w:bottom w:val="single" w:sz="2" w:space="0" w:color="auto"/>
              <w:right w:val="nil"/>
            </w:tcBorders>
            <w:shd w:val="clear" w:color="auto" w:fill="auto"/>
            <w:noWrap/>
            <w:vAlign w:val="center"/>
            <w:hideMark/>
          </w:tcPr>
          <w:p w14:paraId="080BB8A3" w14:textId="77777777" w:rsidR="0088085F" w:rsidRPr="003D58AB" w:rsidRDefault="0088085F" w:rsidP="00F829E8">
            <w:pPr>
              <w:pStyle w:val="cuatexto"/>
              <w:jc w:val="right"/>
              <w:rPr>
                <w:color w:val="000000"/>
                <w:sz w:val="18"/>
                <w:szCs w:val="18"/>
              </w:rPr>
            </w:pPr>
            <w:r>
              <w:rPr>
                <w:color w:val="000000"/>
                <w:sz w:val="18"/>
                <w:szCs w:val="18"/>
              </w:rPr>
              <w:t>358</w:t>
            </w:r>
          </w:p>
        </w:tc>
        <w:tc>
          <w:tcPr>
            <w:tcW w:w="995" w:type="dxa"/>
            <w:tcBorders>
              <w:top w:val="single" w:sz="2" w:space="0" w:color="auto"/>
              <w:left w:val="nil"/>
              <w:bottom w:val="single" w:sz="2" w:space="0" w:color="auto"/>
              <w:right w:val="nil"/>
            </w:tcBorders>
            <w:shd w:val="clear" w:color="auto" w:fill="auto"/>
            <w:noWrap/>
            <w:vAlign w:val="center"/>
            <w:hideMark/>
          </w:tcPr>
          <w:p w14:paraId="44B6F9F7" w14:textId="77777777" w:rsidR="0088085F" w:rsidRPr="003D58AB" w:rsidRDefault="0088085F" w:rsidP="00F829E8">
            <w:pPr>
              <w:pStyle w:val="cuatexto"/>
              <w:jc w:val="right"/>
              <w:rPr>
                <w:sz w:val="18"/>
                <w:szCs w:val="18"/>
              </w:rPr>
            </w:pPr>
            <w:r>
              <w:rPr>
                <w:sz w:val="18"/>
                <w:szCs w:val="18"/>
              </w:rPr>
              <w:t>30,2</w:t>
            </w:r>
          </w:p>
        </w:tc>
        <w:tc>
          <w:tcPr>
            <w:tcW w:w="882" w:type="dxa"/>
            <w:tcBorders>
              <w:top w:val="single" w:sz="2" w:space="0" w:color="auto"/>
              <w:left w:val="nil"/>
              <w:bottom w:val="single" w:sz="2" w:space="0" w:color="auto"/>
              <w:right w:val="nil"/>
            </w:tcBorders>
            <w:shd w:val="clear" w:color="auto" w:fill="auto"/>
            <w:noWrap/>
            <w:vAlign w:val="center"/>
            <w:hideMark/>
          </w:tcPr>
          <w:p w14:paraId="3AA04DC6" w14:textId="77777777" w:rsidR="0088085F" w:rsidRPr="003D58AB" w:rsidRDefault="0088085F" w:rsidP="00F829E8">
            <w:pPr>
              <w:pStyle w:val="cuatexto"/>
              <w:jc w:val="right"/>
              <w:rPr>
                <w:color w:val="000000"/>
                <w:sz w:val="18"/>
                <w:szCs w:val="18"/>
              </w:rPr>
            </w:pPr>
            <w:r>
              <w:rPr>
                <w:color w:val="000000"/>
                <w:sz w:val="18"/>
                <w:szCs w:val="18"/>
              </w:rPr>
              <w:t>531</w:t>
            </w:r>
          </w:p>
        </w:tc>
        <w:tc>
          <w:tcPr>
            <w:tcW w:w="914" w:type="dxa"/>
            <w:tcBorders>
              <w:top w:val="single" w:sz="2" w:space="0" w:color="auto"/>
              <w:left w:val="nil"/>
              <w:bottom w:val="single" w:sz="2" w:space="0" w:color="auto"/>
              <w:right w:val="nil"/>
            </w:tcBorders>
            <w:shd w:val="clear" w:color="auto" w:fill="auto"/>
            <w:noWrap/>
            <w:vAlign w:val="center"/>
            <w:hideMark/>
          </w:tcPr>
          <w:p w14:paraId="32D484FD" w14:textId="77777777" w:rsidR="0088085F" w:rsidRPr="003D58AB" w:rsidRDefault="0088085F" w:rsidP="00F829E8">
            <w:pPr>
              <w:pStyle w:val="cuatexto"/>
              <w:jc w:val="right"/>
              <w:rPr>
                <w:sz w:val="18"/>
                <w:szCs w:val="18"/>
              </w:rPr>
            </w:pPr>
            <w:r>
              <w:rPr>
                <w:sz w:val="18"/>
                <w:szCs w:val="18"/>
              </w:rPr>
              <w:t>37,9</w:t>
            </w:r>
          </w:p>
        </w:tc>
        <w:tc>
          <w:tcPr>
            <w:tcW w:w="929" w:type="dxa"/>
            <w:tcBorders>
              <w:top w:val="single" w:sz="2" w:space="0" w:color="auto"/>
              <w:left w:val="nil"/>
              <w:bottom w:val="single" w:sz="2" w:space="0" w:color="auto"/>
              <w:right w:val="nil"/>
            </w:tcBorders>
            <w:shd w:val="clear" w:color="auto" w:fill="auto"/>
            <w:noWrap/>
            <w:vAlign w:val="center"/>
            <w:hideMark/>
          </w:tcPr>
          <w:p w14:paraId="1DFEB282" w14:textId="77777777" w:rsidR="0088085F" w:rsidRPr="003D58AB" w:rsidRDefault="0088085F" w:rsidP="00F829E8">
            <w:pPr>
              <w:pStyle w:val="cuatexto"/>
              <w:jc w:val="right"/>
              <w:rPr>
                <w:color w:val="000000"/>
                <w:sz w:val="18"/>
                <w:szCs w:val="18"/>
              </w:rPr>
            </w:pPr>
            <w:r>
              <w:rPr>
                <w:color w:val="000000"/>
                <w:sz w:val="18"/>
                <w:szCs w:val="18"/>
              </w:rPr>
              <w:t>382</w:t>
            </w:r>
          </w:p>
        </w:tc>
        <w:tc>
          <w:tcPr>
            <w:tcW w:w="878" w:type="dxa"/>
            <w:tcBorders>
              <w:top w:val="single" w:sz="2" w:space="0" w:color="auto"/>
              <w:left w:val="nil"/>
              <w:bottom w:val="single" w:sz="2" w:space="0" w:color="auto"/>
              <w:right w:val="nil"/>
            </w:tcBorders>
            <w:shd w:val="clear" w:color="auto" w:fill="auto"/>
            <w:noWrap/>
            <w:vAlign w:val="center"/>
            <w:hideMark/>
          </w:tcPr>
          <w:p w14:paraId="4F12DB79" w14:textId="77777777" w:rsidR="0088085F" w:rsidRPr="003D58AB" w:rsidRDefault="0088085F" w:rsidP="00F829E8">
            <w:pPr>
              <w:pStyle w:val="cuatexto"/>
              <w:jc w:val="right"/>
              <w:rPr>
                <w:sz w:val="18"/>
                <w:szCs w:val="18"/>
              </w:rPr>
            </w:pPr>
            <w:r>
              <w:rPr>
                <w:sz w:val="18"/>
                <w:szCs w:val="18"/>
              </w:rPr>
              <w:t>34,4</w:t>
            </w:r>
          </w:p>
        </w:tc>
      </w:tr>
      <w:tr w:rsidR="0088085F" w:rsidRPr="003D58AB" w14:paraId="5CE994CE" w14:textId="77777777" w:rsidTr="005A7814">
        <w:trPr>
          <w:trHeight w:val="255"/>
          <w:jc w:val="center"/>
        </w:trPr>
        <w:tc>
          <w:tcPr>
            <w:tcW w:w="3164" w:type="dxa"/>
            <w:tcBorders>
              <w:top w:val="single" w:sz="2" w:space="0" w:color="auto"/>
              <w:left w:val="nil"/>
              <w:bottom w:val="single" w:sz="2" w:space="0" w:color="auto"/>
              <w:right w:val="nil"/>
            </w:tcBorders>
            <w:shd w:val="clear" w:color="auto" w:fill="auto"/>
            <w:noWrap/>
            <w:vAlign w:val="center"/>
            <w:hideMark/>
          </w:tcPr>
          <w:p w14:paraId="7816E427" w14:textId="77777777" w:rsidR="0088085F" w:rsidRPr="003D58AB" w:rsidRDefault="0088085F" w:rsidP="00F829E8">
            <w:pPr>
              <w:pStyle w:val="cuatexto"/>
              <w:jc w:val="left"/>
              <w:rPr>
                <w:sz w:val="18"/>
                <w:szCs w:val="18"/>
              </w:rPr>
            </w:pPr>
            <w:r>
              <w:rPr>
                <w:sz w:val="18"/>
                <w:szCs w:val="18"/>
              </w:rPr>
              <w:t>Finantza-gastuak</w:t>
            </w:r>
          </w:p>
        </w:tc>
        <w:tc>
          <w:tcPr>
            <w:tcW w:w="1066" w:type="dxa"/>
            <w:tcBorders>
              <w:top w:val="single" w:sz="2" w:space="0" w:color="auto"/>
              <w:left w:val="nil"/>
              <w:bottom w:val="single" w:sz="2" w:space="0" w:color="auto"/>
              <w:right w:val="nil"/>
            </w:tcBorders>
            <w:shd w:val="clear" w:color="auto" w:fill="auto"/>
            <w:noWrap/>
            <w:vAlign w:val="center"/>
            <w:hideMark/>
          </w:tcPr>
          <w:p w14:paraId="213BAE9F" w14:textId="77777777" w:rsidR="0088085F" w:rsidRPr="003D58AB" w:rsidRDefault="0088085F" w:rsidP="00F829E8">
            <w:pPr>
              <w:pStyle w:val="cuatexto"/>
              <w:jc w:val="right"/>
              <w:rPr>
                <w:color w:val="000000"/>
                <w:sz w:val="18"/>
                <w:szCs w:val="18"/>
              </w:rPr>
            </w:pPr>
            <w:r>
              <w:rPr>
                <w:color w:val="000000"/>
                <w:sz w:val="18"/>
                <w:szCs w:val="18"/>
              </w:rPr>
              <w:t>2</w:t>
            </w:r>
          </w:p>
        </w:tc>
        <w:tc>
          <w:tcPr>
            <w:tcW w:w="995" w:type="dxa"/>
            <w:tcBorders>
              <w:top w:val="single" w:sz="2" w:space="0" w:color="auto"/>
              <w:left w:val="nil"/>
              <w:bottom w:val="single" w:sz="2" w:space="0" w:color="auto"/>
              <w:right w:val="nil"/>
            </w:tcBorders>
            <w:shd w:val="clear" w:color="auto" w:fill="auto"/>
            <w:noWrap/>
            <w:vAlign w:val="center"/>
            <w:hideMark/>
          </w:tcPr>
          <w:p w14:paraId="09A6C662" w14:textId="77777777" w:rsidR="0088085F" w:rsidRPr="003D58AB" w:rsidRDefault="0088085F" w:rsidP="00F829E8">
            <w:pPr>
              <w:pStyle w:val="cuatexto"/>
              <w:jc w:val="right"/>
              <w:rPr>
                <w:sz w:val="18"/>
                <w:szCs w:val="18"/>
              </w:rPr>
            </w:pPr>
            <w:r>
              <w:rPr>
                <w:sz w:val="18"/>
                <w:szCs w:val="18"/>
              </w:rPr>
              <w:t>0,2</w:t>
            </w:r>
          </w:p>
        </w:tc>
        <w:tc>
          <w:tcPr>
            <w:tcW w:w="882" w:type="dxa"/>
            <w:tcBorders>
              <w:top w:val="single" w:sz="2" w:space="0" w:color="auto"/>
              <w:left w:val="nil"/>
              <w:bottom w:val="single" w:sz="2" w:space="0" w:color="auto"/>
              <w:right w:val="nil"/>
            </w:tcBorders>
            <w:shd w:val="clear" w:color="auto" w:fill="auto"/>
            <w:noWrap/>
            <w:vAlign w:val="center"/>
            <w:hideMark/>
          </w:tcPr>
          <w:p w14:paraId="5E154F0D" w14:textId="77777777" w:rsidR="0088085F" w:rsidRPr="003D58AB" w:rsidRDefault="0088085F" w:rsidP="00F829E8">
            <w:pPr>
              <w:pStyle w:val="cuatexto"/>
              <w:jc w:val="right"/>
              <w:rPr>
                <w:color w:val="000000"/>
                <w:sz w:val="18"/>
                <w:szCs w:val="18"/>
              </w:rPr>
            </w:pPr>
            <w:r>
              <w:rPr>
                <w:color w:val="000000"/>
                <w:sz w:val="18"/>
                <w:szCs w:val="18"/>
              </w:rPr>
              <w:t>1</w:t>
            </w:r>
          </w:p>
        </w:tc>
        <w:tc>
          <w:tcPr>
            <w:tcW w:w="914" w:type="dxa"/>
            <w:tcBorders>
              <w:top w:val="single" w:sz="2" w:space="0" w:color="auto"/>
              <w:left w:val="nil"/>
              <w:bottom w:val="single" w:sz="2" w:space="0" w:color="auto"/>
              <w:right w:val="nil"/>
            </w:tcBorders>
            <w:shd w:val="clear" w:color="auto" w:fill="auto"/>
            <w:noWrap/>
            <w:vAlign w:val="center"/>
            <w:hideMark/>
          </w:tcPr>
          <w:p w14:paraId="7286A16D" w14:textId="77777777" w:rsidR="0088085F" w:rsidRPr="003D58AB" w:rsidRDefault="0088085F" w:rsidP="00F829E8">
            <w:pPr>
              <w:pStyle w:val="cuatexto"/>
              <w:jc w:val="right"/>
              <w:rPr>
                <w:sz w:val="18"/>
                <w:szCs w:val="18"/>
              </w:rPr>
            </w:pPr>
            <w:r>
              <w:rPr>
                <w:sz w:val="18"/>
                <w:szCs w:val="18"/>
              </w:rPr>
              <w:t>0,1</w:t>
            </w:r>
          </w:p>
        </w:tc>
        <w:tc>
          <w:tcPr>
            <w:tcW w:w="929" w:type="dxa"/>
            <w:tcBorders>
              <w:top w:val="single" w:sz="2" w:space="0" w:color="auto"/>
              <w:left w:val="nil"/>
              <w:bottom w:val="single" w:sz="2" w:space="0" w:color="auto"/>
              <w:right w:val="nil"/>
            </w:tcBorders>
            <w:shd w:val="clear" w:color="auto" w:fill="auto"/>
            <w:noWrap/>
            <w:vAlign w:val="center"/>
            <w:hideMark/>
          </w:tcPr>
          <w:p w14:paraId="31EBCE88" w14:textId="77777777" w:rsidR="0088085F" w:rsidRPr="003D58AB" w:rsidRDefault="0088085F" w:rsidP="00F829E8">
            <w:pPr>
              <w:pStyle w:val="cuatexto"/>
              <w:jc w:val="right"/>
              <w:rPr>
                <w:color w:val="000000"/>
                <w:sz w:val="18"/>
                <w:szCs w:val="18"/>
              </w:rPr>
            </w:pPr>
            <w:r>
              <w:rPr>
                <w:color w:val="000000"/>
                <w:sz w:val="18"/>
                <w:szCs w:val="18"/>
              </w:rPr>
              <w:t>6</w:t>
            </w:r>
          </w:p>
        </w:tc>
        <w:tc>
          <w:tcPr>
            <w:tcW w:w="878" w:type="dxa"/>
            <w:tcBorders>
              <w:top w:val="single" w:sz="2" w:space="0" w:color="auto"/>
              <w:left w:val="nil"/>
              <w:bottom w:val="single" w:sz="2" w:space="0" w:color="auto"/>
              <w:right w:val="nil"/>
            </w:tcBorders>
            <w:shd w:val="clear" w:color="auto" w:fill="auto"/>
            <w:noWrap/>
            <w:vAlign w:val="center"/>
            <w:hideMark/>
          </w:tcPr>
          <w:p w14:paraId="3E5EFBAB" w14:textId="77777777" w:rsidR="0088085F" w:rsidRPr="003D58AB" w:rsidRDefault="0088085F" w:rsidP="00F829E8">
            <w:pPr>
              <w:pStyle w:val="cuatexto"/>
              <w:jc w:val="right"/>
              <w:rPr>
                <w:sz w:val="18"/>
                <w:szCs w:val="18"/>
              </w:rPr>
            </w:pPr>
            <w:r>
              <w:rPr>
                <w:sz w:val="18"/>
                <w:szCs w:val="18"/>
              </w:rPr>
              <w:t>0,5</w:t>
            </w:r>
          </w:p>
        </w:tc>
      </w:tr>
      <w:tr w:rsidR="0088085F" w:rsidRPr="003D58AB" w14:paraId="71761F84"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07FE79D5" w14:textId="77777777" w:rsidR="0088085F" w:rsidRPr="003D58AB" w:rsidRDefault="0088085F" w:rsidP="00F829E8">
            <w:pPr>
              <w:pStyle w:val="cuatexto"/>
              <w:jc w:val="left"/>
              <w:rPr>
                <w:sz w:val="18"/>
                <w:szCs w:val="18"/>
              </w:rPr>
            </w:pPr>
            <w:r>
              <w:rPr>
                <w:sz w:val="18"/>
                <w:szCs w:val="18"/>
              </w:rPr>
              <w:t>Transferentzia arruntak</w:t>
            </w:r>
          </w:p>
        </w:tc>
        <w:tc>
          <w:tcPr>
            <w:tcW w:w="1066" w:type="dxa"/>
            <w:tcBorders>
              <w:top w:val="single" w:sz="2" w:space="0" w:color="auto"/>
              <w:left w:val="nil"/>
              <w:bottom w:val="single" w:sz="4" w:space="0" w:color="auto"/>
              <w:right w:val="nil"/>
            </w:tcBorders>
            <w:shd w:val="clear" w:color="auto" w:fill="auto"/>
            <w:noWrap/>
            <w:vAlign w:val="center"/>
            <w:hideMark/>
          </w:tcPr>
          <w:p w14:paraId="48948F6F" w14:textId="77777777" w:rsidR="0088085F" w:rsidRPr="003D58AB" w:rsidRDefault="0088085F" w:rsidP="00F829E8">
            <w:pPr>
              <w:pStyle w:val="cuatexto"/>
              <w:jc w:val="right"/>
              <w:rPr>
                <w:color w:val="000000"/>
                <w:sz w:val="18"/>
                <w:szCs w:val="18"/>
              </w:rPr>
            </w:pPr>
            <w:r>
              <w:rPr>
                <w:color w:val="000000"/>
                <w:sz w:val="18"/>
                <w:szCs w:val="18"/>
              </w:rPr>
              <w:t>94</w:t>
            </w:r>
          </w:p>
        </w:tc>
        <w:tc>
          <w:tcPr>
            <w:tcW w:w="995" w:type="dxa"/>
            <w:tcBorders>
              <w:top w:val="single" w:sz="2" w:space="0" w:color="auto"/>
              <w:left w:val="nil"/>
              <w:bottom w:val="single" w:sz="4" w:space="0" w:color="auto"/>
              <w:right w:val="nil"/>
            </w:tcBorders>
            <w:shd w:val="clear" w:color="auto" w:fill="auto"/>
            <w:noWrap/>
            <w:vAlign w:val="center"/>
            <w:hideMark/>
          </w:tcPr>
          <w:p w14:paraId="064F71DD" w14:textId="77777777" w:rsidR="0088085F" w:rsidRPr="003D58AB" w:rsidRDefault="0088085F" w:rsidP="00F829E8">
            <w:pPr>
              <w:pStyle w:val="cuatexto"/>
              <w:jc w:val="right"/>
              <w:rPr>
                <w:sz w:val="18"/>
                <w:szCs w:val="18"/>
              </w:rPr>
            </w:pPr>
            <w:r>
              <w:rPr>
                <w:sz w:val="18"/>
                <w:szCs w:val="18"/>
              </w:rPr>
              <w:t>7,9</w:t>
            </w:r>
          </w:p>
        </w:tc>
        <w:tc>
          <w:tcPr>
            <w:tcW w:w="882" w:type="dxa"/>
            <w:tcBorders>
              <w:top w:val="single" w:sz="2" w:space="0" w:color="auto"/>
              <w:left w:val="nil"/>
              <w:bottom w:val="single" w:sz="4" w:space="0" w:color="auto"/>
              <w:right w:val="nil"/>
            </w:tcBorders>
            <w:shd w:val="clear" w:color="auto" w:fill="auto"/>
            <w:noWrap/>
            <w:vAlign w:val="center"/>
            <w:hideMark/>
          </w:tcPr>
          <w:p w14:paraId="30CFEB46" w14:textId="77777777" w:rsidR="0088085F" w:rsidRPr="003D58AB" w:rsidRDefault="0088085F" w:rsidP="00F829E8">
            <w:pPr>
              <w:pStyle w:val="cuatexto"/>
              <w:jc w:val="right"/>
              <w:rPr>
                <w:color w:val="000000"/>
                <w:sz w:val="18"/>
                <w:szCs w:val="18"/>
              </w:rPr>
            </w:pPr>
            <w:r>
              <w:rPr>
                <w:color w:val="000000"/>
                <w:sz w:val="18"/>
                <w:szCs w:val="18"/>
              </w:rPr>
              <w:t>152</w:t>
            </w:r>
          </w:p>
        </w:tc>
        <w:tc>
          <w:tcPr>
            <w:tcW w:w="914" w:type="dxa"/>
            <w:tcBorders>
              <w:top w:val="single" w:sz="2" w:space="0" w:color="auto"/>
              <w:left w:val="nil"/>
              <w:bottom w:val="single" w:sz="4" w:space="0" w:color="auto"/>
              <w:right w:val="nil"/>
            </w:tcBorders>
            <w:shd w:val="clear" w:color="auto" w:fill="auto"/>
            <w:noWrap/>
            <w:vAlign w:val="center"/>
            <w:hideMark/>
          </w:tcPr>
          <w:p w14:paraId="3381BAEA" w14:textId="77777777" w:rsidR="0088085F" w:rsidRPr="003D58AB" w:rsidRDefault="0088085F" w:rsidP="00F829E8">
            <w:pPr>
              <w:pStyle w:val="cuatexto"/>
              <w:jc w:val="right"/>
              <w:rPr>
                <w:sz w:val="18"/>
                <w:szCs w:val="18"/>
              </w:rPr>
            </w:pPr>
            <w:r>
              <w:rPr>
                <w:sz w:val="18"/>
                <w:szCs w:val="18"/>
              </w:rPr>
              <w:t>10,8</w:t>
            </w:r>
          </w:p>
        </w:tc>
        <w:tc>
          <w:tcPr>
            <w:tcW w:w="929" w:type="dxa"/>
            <w:tcBorders>
              <w:top w:val="single" w:sz="2" w:space="0" w:color="auto"/>
              <w:left w:val="nil"/>
              <w:bottom w:val="single" w:sz="4" w:space="0" w:color="auto"/>
              <w:right w:val="nil"/>
            </w:tcBorders>
            <w:shd w:val="clear" w:color="auto" w:fill="auto"/>
            <w:noWrap/>
            <w:vAlign w:val="center"/>
            <w:hideMark/>
          </w:tcPr>
          <w:p w14:paraId="12EC7EB9" w14:textId="77777777" w:rsidR="0088085F" w:rsidRPr="003D58AB" w:rsidRDefault="0088085F" w:rsidP="00F829E8">
            <w:pPr>
              <w:pStyle w:val="cuatexto"/>
              <w:jc w:val="right"/>
              <w:rPr>
                <w:color w:val="000000"/>
                <w:sz w:val="18"/>
                <w:szCs w:val="18"/>
              </w:rPr>
            </w:pPr>
            <w:r>
              <w:rPr>
                <w:color w:val="000000"/>
                <w:sz w:val="18"/>
                <w:szCs w:val="18"/>
              </w:rPr>
              <w:t>60</w:t>
            </w:r>
          </w:p>
        </w:tc>
        <w:tc>
          <w:tcPr>
            <w:tcW w:w="878" w:type="dxa"/>
            <w:tcBorders>
              <w:top w:val="single" w:sz="2" w:space="0" w:color="auto"/>
              <w:left w:val="nil"/>
              <w:bottom w:val="single" w:sz="4" w:space="0" w:color="auto"/>
              <w:right w:val="nil"/>
            </w:tcBorders>
            <w:shd w:val="clear" w:color="auto" w:fill="auto"/>
            <w:noWrap/>
            <w:vAlign w:val="center"/>
            <w:hideMark/>
          </w:tcPr>
          <w:p w14:paraId="15C63F46" w14:textId="77777777" w:rsidR="0088085F" w:rsidRPr="003D58AB" w:rsidRDefault="0088085F" w:rsidP="00F829E8">
            <w:pPr>
              <w:pStyle w:val="cuatexto"/>
              <w:jc w:val="right"/>
              <w:rPr>
                <w:sz w:val="18"/>
                <w:szCs w:val="18"/>
              </w:rPr>
            </w:pPr>
            <w:r>
              <w:rPr>
                <w:sz w:val="18"/>
                <w:szCs w:val="18"/>
              </w:rPr>
              <w:t>5,4</w:t>
            </w:r>
          </w:p>
        </w:tc>
      </w:tr>
      <w:tr w:rsidR="0088085F" w:rsidRPr="00723826" w14:paraId="2914EC26"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5BA408E8" w14:textId="77777777" w:rsidR="0088085F" w:rsidRPr="00723826" w:rsidRDefault="00723826" w:rsidP="00F829E8">
            <w:pPr>
              <w:pStyle w:val="cuatexto"/>
              <w:jc w:val="left"/>
              <w:rPr>
                <w:b/>
                <w:bCs/>
                <w:iCs/>
                <w:sz w:val="18"/>
                <w:szCs w:val="18"/>
              </w:rPr>
            </w:pPr>
            <w:r>
              <w:rPr>
                <w:b/>
                <w:bCs/>
                <w:iCs/>
                <w:sz w:val="18"/>
                <w:szCs w:val="18"/>
              </w:rPr>
              <w:t>Eragiketa arruntak</w:t>
            </w:r>
          </w:p>
        </w:tc>
        <w:tc>
          <w:tcPr>
            <w:tcW w:w="1066" w:type="dxa"/>
            <w:tcBorders>
              <w:top w:val="single" w:sz="4" w:space="0" w:color="auto"/>
              <w:left w:val="nil"/>
              <w:bottom w:val="single" w:sz="4" w:space="0" w:color="auto"/>
              <w:right w:val="nil"/>
            </w:tcBorders>
            <w:shd w:val="clear" w:color="auto" w:fill="auto"/>
            <w:noWrap/>
            <w:vAlign w:val="center"/>
            <w:hideMark/>
          </w:tcPr>
          <w:p w14:paraId="3EF69328" w14:textId="77777777" w:rsidR="0088085F" w:rsidRPr="00723826" w:rsidRDefault="0088085F" w:rsidP="00F829E8">
            <w:pPr>
              <w:pStyle w:val="cuatexto"/>
              <w:jc w:val="right"/>
              <w:rPr>
                <w:b/>
                <w:bCs/>
                <w:iCs/>
                <w:color w:val="000000"/>
                <w:sz w:val="18"/>
                <w:szCs w:val="18"/>
              </w:rPr>
            </w:pPr>
            <w:r>
              <w:rPr>
                <w:b/>
                <w:bCs/>
                <w:iCs/>
                <w:color w:val="000000"/>
                <w:sz w:val="18"/>
                <w:szCs w:val="18"/>
              </w:rPr>
              <w:t>840</w:t>
            </w:r>
          </w:p>
        </w:tc>
        <w:tc>
          <w:tcPr>
            <w:tcW w:w="995" w:type="dxa"/>
            <w:tcBorders>
              <w:top w:val="single" w:sz="4" w:space="0" w:color="auto"/>
              <w:left w:val="nil"/>
              <w:bottom w:val="single" w:sz="4" w:space="0" w:color="auto"/>
              <w:right w:val="nil"/>
            </w:tcBorders>
            <w:shd w:val="clear" w:color="auto" w:fill="auto"/>
            <w:noWrap/>
            <w:vAlign w:val="center"/>
            <w:hideMark/>
          </w:tcPr>
          <w:p w14:paraId="14784E6F" w14:textId="77777777" w:rsidR="0088085F" w:rsidRPr="00723826" w:rsidRDefault="0088085F" w:rsidP="00F829E8">
            <w:pPr>
              <w:pStyle w:val="cuatexto"/>
              <w:jc w:val="right"/>
              <w:rPr>
                <w:b/>
                <w:bCs/>
                <w:iCs/>
                <w:sz w:val="18"/>
                <w:szCs w:val="18"/>
              </w:rPr>
            </w:pPr>
            <w:r>
              <w:rPr>
                <w:b/>
                <w:bCs/>
                <w:iCs/>
                <w:sz w:val="18"/>
                <w:szCs w:val="18"/>
              </w:rPr>
              <w:t>71,0</w:t>
            </w:r>
          </w:p>
        </w:tc>
        <w:tc>
          <w:tcPr>
            <w:tcW w:w="882" w:type="dxa"/>
            <w:tcBorders>
              <w:top w:val="single" w:sz="4" w:space="0" w:color="auto"/>
              <w:left w:val="nil"/>
              <w:bottom w:val="single" w:sz="4" w:space="0" w:color="auto"/>
              <w:right w:val="nil"/>
            </w:tcBorders>
            <w:shd w:val="clear" w:color="auto" w:fill="auto"/>
            <w:noWrap/>
            <w:vAlign w:val="center"/>
            <w:hideMark/>
          </w:tcPr>
          <w:p w14:paraId="6665B730" w14:textId="77777777" w:rsidR="0088085F" w:rsidRPr="00723826" w:rsidRDefault="0088085F" w:rsidP="00F829E8">
            <w:pPr>
              <w:pStyle w:val="cuatexto"/>
              <w:jc w:val="right"/>
              <w:rPr>
                <w:b/>
                <w:bCs/>
                <w:iCs/>
                <w:color w:val="000000"/>
                <w:sz w:val="18"/>
                <w:szCs w:val="18"/>
              </w:rPr>
            </w:pPr>
            <w:r>
              <w:rPr>
                <w:b/>
                <w:bCs/>
                <w:iCs/>
                <w:color w:val="000000"/>
                <w:sz w:val="18"/>
                <w:szCs w:val="18"/>
              </w:rPr>
              <w:t>1.132</w:t>
            </w:r>
          </w:p>
        </w:tc>
        <w:tc>
          <w:tcPr>
            <w:tcW w:w="914" w:type="dxa"/>
            <w:tcBorders>
              <w:top w:val="single" w:sz="4" w:space="0" w:color="auto"/>
              <w:left w:val="nil"/>
              <w:bottom w:val="single" w:sz="4" w:space="0" w:color="auto"/>
              <w:right w:val="nil"/>
            </w:tcBorders>
            <w:shd w:val="clear" w:color="auto" w:fill="auto"/>
            <w:noWrap/>
            <w:vAlign w:val="center"/>
            <w:hideMark/>
          </w:tcPr>
          <w:p w14:paraId="6731957C" w14:textId="77777777" w:rsidR="0088085F" w:rsidRPr="00723826" w:rsidRDefault="0088085F" w:rsidP="00F829E8">
            <w:pPr>
              <w:pStyle w:val="cuatexto"/>
              <w:jc w:val="right"/>
              <w:rPr>
                <w:b/>
                <w:bCs/>
                <w:iCs/>
                <w:sz w:val="18"/>
                <w:szCs w:val="18"/>
              </w:rPr>
            </w:pPr>
            <w:r>
              <w:rPr>
                <w:b/>
                <w:bCs/>
                <w:iCs/>
                <w:sz w:val="18"/>
                <w:szCs w:val="18"/>
              </w:rPr>
              <w:t>80,8</w:t>
            </w:r>
          </w:p>
        </w:tc>
        <w:tc>
          <w:tcPr>
            <w:tcW w:w="929" w:type="dxa"/>
            <w:tcBorders>
              <w:top w:val="single" w:sz="4" w:space="0" w:color="auto"/>
              <w:left w:val="nil"/>
              <w:bottom w:val="single" w:sz="4" w:space="0" w:color="auto"/>
              <w:right w:val="nil"/>
            </w:tcBorders>
            <w:shd w:val="clear" w:color="auto" w:fill="auto"/>
            <w:noWrap/>
            <w:vAlign w:val="center"/>
            <w:hideMark/>
          </w:tcPr>
          <w:p w14:paraId="7440A935" w14:textId="77777777" w:rsidR="0088085F" w:rsidRPr="00723826" w:rsidRDefault="0088085F" w:rsidP="00F829E8">
            <w:pPr>
              <w:pStyle w:val="cuatexto"/>
              <w:jc w:val="right"/>
              <w:rPr>
                <w:b/>
                <w:bCs/>
                <w:iCs/>
                <w:color w:val="000000"/>
                <w:sz w:val="18"/>
                <w:szCs w:val="18"/>
              </w:rPr>
            </w:pPr>
            <w:r>
              <w:rPr>
                <w:b/>
                <w:bCs/>
                <w:iCs/>
                <w:color w:val="000000"/>
                <w:sz w:val="18"/>
                <w:szCs w:val="18"/>
              </w:rPr>
              <w:t>854</w:t>
            </w:r>
          </w:p>
        </w:tc>
        <w:tc>
          <w:tcPr>
            <w:tcW w:w="878" w:type="dxa"/>
            <w:tcBorders>
              <w:top w:val="single" w:sz="4" w:space="0" w:color="auto"/>
              <w:left w:val="nil"/>
              <w:bottom w:val="single" w:sz="4" w:space="0" w:color="auto"/>
              <w:right w:val="nil"/>
            </w:tcBorders>
            <w:shd w:val="clear" w:color="auto" w:fill="auto"/>
            <w:noWrap/>
            <w:vAlign w:val="center"/>
            <w:hideMark/>
          </w:tcPr>
          <w:p w14:paraId="6FA85D6C" w14:textId="77777777" w:rsidR="0088085F" w:rsidRPr="00723826" w:rsidRDefault="0088085F" w:rsidP="00F829E8">
            <w:pPr>
              <w:pStyle w:val="cuatexto"/>
              <w:jc w:val="right"/>
              <w:rPr>
                <w:b/>
                <w:bCs/>
                <w:iCs/>
                <w:sz w:val="18"/>
                <w:szCs w:val="18"/>
              </w:rPr>
            </w:pPr>
            <w:r>
              <w:rPr>
                <w:b/>
                <w:bCs/>
                <w:iCs/>
                <w:sz w:val="18"/>
                <w:szCs w:val="18"/>
              </w:rPr>
              <w:t>76,9</w:t>
            </w:r>
          </w:p>
        </w:tc>
      </w:tr>
      <w:tr w:rsidR="0088085F" w:rsidRPr="00723826" w14:paraId="1AF6D050" w14:textId="77777777" w:rsidTr="005A7814">
        <w:trPr>
          <w:trHeight w:val="255"/>
          <w:jc w:val="center"/>
        </w:trPr>
        <w:tc>
          <w:tcPr>
            <w:tcW w:w="3164" w:type="dxa"/>
            <w:tcBorders>
              <w:top w:val="single" w:sz="4" w:space="0" w:color="auto"/>
              <w:left w:val="nil"/>
              <w:bottom w:val="single" w:sz="2" w:space="0" w:color="auto"/>
              <w:right w:val="nil"/>
            </w:tcBorders>
            <w:shd w:val="clear" w:color="auto" w:fill="auto"/>
            <w:noWrap/>
            <w:vAlign w:val="center"/>
            <w:hideMark/>
          </w:tcPr>
          <w:p w14:paraId="22B447A5" w14:textId="77777777" w:rsidR="0088085F" w:rsidRPr="00723826" w:rsidRDefault="0088085F" w:rsidP="00F829E8">
            <w:pPr>
              <w:pStyle w:val="cuatexto"/>
              <w:jc w:val="left"/>
              <w:rPr>
                <w:sz w:val="18"/>
                <w:szCs w:val="18"/>
              </w:rPr>
            </w:pPr>
            <w:r>
              <w:rPr>
                <w:sz w:val="18"/>
                <w:szCs w:val="18"/>
              </w:rPr>
              <w:t>Inbertsio errealak</w:t>
            </w:r>
          </w:p>
        </w:tc>
        <w:tc>
          <w:tcPr>
            <w:tcW w:w="1066" w:type="dxa"/>
            <w:tcBorders>
              <w:top w:val="single" w:sz="4" w:space="0" w:color="auto"/>
              <w:left w:val="nil"/>
              <w:bottom w:val="single" w:sz="2" w:space="0" w:color="auto"/>
              <w:right w:val="nil"/>
            </w:tcBorders>
            <w:shd w:val="clear" w:color="auto" w:fill="auto"/>
            <w:noWrap/>
            <w:vAlign w:val="center"/>
            <w:hideMark/>
          </w:tcPr>
          <w:p w14:paraId="792D569C" w14:textId="77777777" w:rsidR="0088085F" w:rsidRPr="00723826" w:rsidRDefault="0088085F" w:rsidP="00F829E8">
            <w:pPr>
              <w:pStyle w:val="cuatexto"/>
              <w:jc w:val="right"/>
              <w:rPr>
                <w:color w:val="000000"/>
                <w:sz w:val="18"/>
                <w:szCs w:val="18"/>
              </w:rPr>
            </w:pPr>
            <w:r>
              <w:rPr>
                <w:color w:val="000000"/>
                <w:sz w:val="18"/>
                <w:szCs w:val="18"/>
              </w:rPr>
              <w:t>293</w:t>
            </w:r>
          </w:p>
        </w:tc>
        <w:tc>
          <w:tcPr>
            <w:tcW w:w="995" w:type="dxa"/>
            <w:tcBorders>
              <w:top w:val="single" w:sz="4" w:space="0" w:color="auto"/>
              <w:left w:val="nil"/>
              <w:bottom w:val="single" w:sz="2" w:space="0" w:color="auto"/>
              <w:right w:val="nil"/>
            </w:tcBorders>
            <w:shd w:val="clear" w:color="auto" w:fill="auto"/>
            <w:noWrap/>
            <w:vAlign w:val="center"/>
            <w:hideMark/>
          </w:tcPr>
          <w:p w14:paraId="5B609E6C" w14:textId="77777777" w:rsidR="0088085F" w:rsidRPr="00723826" w:rsidRDefault="0088085F" w:rsidP="00F829E8">
            <w:pPr>
              <w:pStyle w:val="cuatexto"/>
              <w:jc w:val="right"/>
              <w:rPr>
                <w:sz w:val="18"/>
                <w:szCs w:val="18"/>
              </w:rPr>
            </w:pPr>
            <w:r>
              <w:rPr>
                <w:sz w:val="18"/>
                <w:szCs w:val="18"/>
              </w:rPr>
              <w:t>24,8</w:t>
            </w:r>
          </w:p>
        </w:tc>
        <w:tc>
          <w:tcPr>
            <w:tcW w:w="882" w:type="dxa"/>
            <w:tcBorders>
              <w:top w:val="single" w:sz="4" w:space="0" w:color="auto"/>
              <w:left w:val="nil"/>
              <w:bottom w:val="single" w:sz="2" w:space="0" w:color="auto"/>
              <w:right w:val="nil"/>
            </w:tcBorders>
            <w:shd w:val="clear" w:color="auto" w:fill="auto"/>
            <w:noWrap/>
            <w:vAlign w:val="center"/>
            <w:hideMark/>
          </w:tcPr>
          <w:p w14:paraId="24AA89E6" w14:textId="77777777" w:rsidR="0088085F" w:rsidRPr="00723826" w:rsidRDefault="0088085F" w:rsidP="00F829E8">
            <w:pPr>
              <w:pStyle w:val="cuatexto"/>
              <w:jc w:val="right"/>
              <w:rPr>
                <w:color w:val="000000"/>
                <w:sz w:val="18"/>
                <w:szCs w:val="18"/>
              </w:rPr>
            </w:pPr>
            <w:r>
              <w:rPr>
                <w:color w:val="000000"/>
                <w:sz w:val="18"/>
                <w:szCs w:val="18"/>
              </w:rPr>
              <w:t>235</w:t>
            </w:r>
          </w:p>
        </w:tc>
        <w:tc>
          <w:tcPr>
            <w:tcW w:w="914" w:type="dxa"/>
            <w:tcBorders>
              <w:top w:val="single" w:sz="4" w:space="0" w:color="auto"/>
              <w:left w:val="nil"/>
              <w:bottom w:val="single" w:sz="2" w:space="0" w:color="auto"/>
              <w:right w:val="nil"/>
            </w:tcBorders>
            <w:shd w:val="clear" w:color="auto" w:fill="auto"/>
            <w:noWrap/>
            <w:vAlign w:val="center"/>
            <w:hideMark/>
          </w:tcPr>
          <w:p w14:paraId="3D790F47" w14:textId="77777777" w:rsidR="0088085F" w:rsidRPr="00723826" w:rsidRDefault="0088085F" w:rsidP="00F829E8">
            <w:pPr>
              <w:pStyle w:val="cuatexto"/>
              <w:jc w:val="right"/>
              <w:rPr>
                <w:sz w:val="18"/>
                <w:szCs w:val="18"/>
              </w:rPr>
            </w:pPr>
            <w:r>
              <w:rPr>
                <w:sz w:val="18"/>
                <w:szCs w:val="18"/>
              </w:rPr>
              <w:t>16,8</w:t>
            </w:r>
          </w:p>
        </w:tc>
        <w:tc>
          <w:tcPr>
            <w:tcW w:w="929" w:type="dxa"/>
            <w:tcBorders>
              <w:top w:val="single" w:sz="4" w:space="0" w:color="auto"/>
              <w:left w:val="nil"/>
              <w:bottom w:val="single" w:sz="2" w:space="0" w:color="auto"/>
              <w:right w:val="nil"/>
            </w:tcBorders>
            <w:shd w:val="clear" w:color="auto" w:fill="auto"/>
            <w:noWrap/>
            <w:vAlign w:val="center"/>
            <w:hideMark/>
          </w:tcPr>
          <w:p w14:paraId="684BDEA6" w14:textId="77777777" w:rsidR="0088085F" w:rsidRPr="00723826" w:rsidRDefault="0088085F" w:rsidP="00F829E8">
            <w:pPr>
              <w:pStyle w:val="cuatexto"/>
              <w:jc w:val="right"/>
              <w:rPr>
                <w:color w:val="000000"/>
                <w:sz w:val="18"/>
                <w:szCs w:val="18"/>
              </w:rPr>
            </w:pPr>
            <w:r>
              <w:rPr>
                <w:color w:val="000000"/>
                <w:sz w:val="18"/>
                <w:szCs w:val="18"/>
              </w:rPr>
              <w:t>176</w:t>
            </w:r>
          </w:p>
        </w:tc>
        <w:tc>
          <w:tcPr>
            <w:tcW w:w="878" w:type="dxa"/>
            <w:tcBorders>
              <w:top w:val="single" w:sz="4" w:space="0" w:color="auto"/>
              <w:left w:val="nil"/>
              <w:bottom w:val="single" w:sz="2" w:space="0" w:color="auto"/>
              <w:right w:val="nil"/>
            </w:tcBorders>
            <w:shd w:val="clear" w:color="auto" w:fill="auto"/>
            <w:noWrap/>
            <w:vAlign w:val="center"/>
            <w:hideMark/>
          </w:tcPr>
          <w:p w14:paraId="41A96790" w14:textId="77777777" w:rsidR="0088085F" w:rsidRPr="00723826" w:rsidRDefault="0088085F" w:rsidP="00F829E8">
            <w:pPr>
              <w:pStyle w:val="cuatexto"/>
              <w:jc w:val="right"/>
              <w:rPr>
                <w:sz w:val="18"/>
                <w:szCs w:val="18"/>
              </w:rPr>
            </w:pPr>
            <w:r>
              <w:rPr>
                <w:sz w:val="18"/>
                <w:szCs w:val="18"/>
              </w:rPr>
              <w:t>15,8</w:t>
            </w:r>
          </w:p>
        </w:tc>
      </w:tr>
      <w:tr w:rsidR="0088085F" w:rsidRPr="00723826" w14:paraId="0F549B15"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09A24E1B" w14:textId="77777777" w:rsidR="0088085F" w:rsidRPr="00723826" w:rsidRDefault="0088085F" w:rsidP="00F829E8">
            <w:pPr>
              <w:pStyle w:val="cuatexto"/>
              <w:jc w:val="left"/>
              <w:rPr>
                <w:sz w:val="18"/>
                <w:szCs w:val="18"/>
              </w:rPr>
            </w:pPr>
            <w:r>
              <w:rPr>
                <w:sz w:val="18"/>
                <w:szCs w:val="18"/>
              </w:rPr>
              <w:t>Kapital-transferentziak</w:t>
            </w:r>
          </w:p>
        </w:tc>
        <w:tc>
          <w:tcPr>
            <w:tcW w:w="1066" w:type="dxa"/>
            <w:tcBorders>
              <w:top w:val="single" w:sz="2" w:space="0" w:color="auto"/>
              <w:left w:val="nil"/>
              <w:bottom w:val="single" w:sz="4" w:space="0" w:color="auto"/>
              <w:right w:val="nil"/>
            </w:tcBorders>
            <w:shd w:val="clear" w:color="auto" w:fill="auto"/>
            <w:noWrap/>
            <w:vAlign w:val="center"/>
            <w:hideMark/>
          </w:tcPr>
          <w:p w14:paraId="329B0866" w14:textId="77777777" w:rsidR="0088085F" w:rsidRPr="00723826" w:rsidRDefault="0088085F" w:rsidP="00F829E8">
            <w:pPr>
              <w:pStyle w:val="cuatexto"/>
              <w:jc w:val="right"/>
              <w:rPr>
                <w:color w:val="000000"/>
                <w:sz w:val="18"/>
                <w:szCs w:val="18"/>
              </w:rPr>
            </w:pPr>
            <w:r>
              <w:rPr>
                <w:color w:val="000000"/>
                <w:sz w:val="18"/>
                <w:szCs w:val="18"/>
              </w:rPr>
              <w:t>10</w:t>
            </w:r>
          </w:p>
        </w:tc>
        <w:tc>
          <w:tcPr>
            <w:tcW w:w="995" w:type="dxa"/>
            <w:tcBorders>
              <w:top w:val="single" w:sz="2" w:space="0" w:color="auto"/>
              <w:left w:val="nil"/>
              <w:bottom w:val="single" w:sz="4" w:space="0" w:color="auto"/>
              <w:right w:val="nil"/>
            </w:tcBorders>
            <w:shd w:val="clear" w:color="auto" w:fill="auto"/>
            <w:noWrap/>
            <w:vAlign w:val="center"/>
            <w:hideMark/>
          </w:tcPr>
          <w:p w14:paraId="009DF971" w14:textId="77777777" w:rsidR="0088085F" w:rsidRPr="00723826" w:rsidRDefault="0088085F" w:rsidP="00F829E8">
            <w:pPr>
              <w:pStyle w:val="cuatexto"/>
              <w:jc w:val="right"/>
              <w:rPr>
                <w:sz w:val="18"/>
                <w:szCs w:val="18"/>
              </w:rPr>
            </w:pPr>
            <w:r>
              <w:rPr>
                <w:sz w:val="18"/>
                <w:szCs w:val="18"/>
              </w:rPr>
              <w:t>0,9</w:t>
            </w:r>
          </w:p>
        </w:tc>
        <w:tc>
          <w:tcPr>
            <w:tcW w:w="882" w:type="dxa"/>
            <w:tcBorders>
              <w:top w:val="single" w:sz="2" w:space="0" w:color="auto"/>
              <w:left w:val="nil"/>
              <w:bottom w:val="single" w:sz="4" w:space="0" w:color="auto"/>
              <w:right w:val="nil"/>
            </w:tcBorders>
            <w:shd w:val="clear" w:color="auto" w:fill="auto"/>
            <w:noWrap/>
            <w:vAlign w:val="center"/>
            <w:hideMark/>
          </w:tcPr>
          <w:p w14:paraId="477702FF" w14:textId="77777777" w:rsidR="0088085F" w:rsidRPr="00723826" w:rsidRDefault="0088085F" w:rsidP="00F829E8">
            <w:pPr>
              <w:pStyle w:val="cuatexto"/>
              <w:jc w:val="right"/>
              <w:rPr>
                <w:color w:val="000000"/>
                <w:sz w:val="18"/>
                <w:szCs w:val="18"/>
              </w:rPr>
            </w:pPr>
            <w:r>
              <w:rPr>
                <w:color w:val="000000"/>
                <w:sz w:val="18"/>
                <w:szCs w:val="18"/>
              </w:rPr>
              <w:t>7</w:t>
            </w:r>
          </w:p>
        </w:tc>
        <w:tc>
          <w:tcPr>
            <w:tcW w:w="914" w:type="dxa"/>
            <w:tcBorders>
              <w:top w:val="single" w:sz="2" w:space="0" w:color="auto"/>
              <w:left w:val="nil"/>
              <w:bottom w:val="single" w:sz="4" w:space="0" w:color="auto"/>
              <w:right w:val="nil"/>
            </w:tcBorders>
            <w:shd w:val="clear" w:color="auto" w:fill="auto"/>
            <w:noWrap/>
            <w:vAlign w:val="center"/>
            <w:hideMark/>
          </w:tcPr>
          <w:p w14:paraId="3BBACB27" w14:textId="77777777" w:rsidR="0088085F" w:rsidRPr="00723826" w:rsidRDefault="0088085F" w:rsidP="00F829E8">
            <w:pPr>
              <w:pStyle w:val="cuatexto"/>
              <w:jc w:val="right"/>
              <w:rPr>
                <w:sz w:val="18"/>
                <w:szCs w:val="18"/>
              </w:rPr>
            </w:pPr>
            <w:r>
              <w:rPr>
                <w:sz w:val="18"/>
                <w:szCs w:val="18"/>
              </w:rPr>
              <w:t>0,5</w:t>
            </w:r>
          </w:p>
        </w:tc>
        <w:tc>
          <w:tcPr>
            <w:tcW w:w="929" w:type="dxa"/>
            <w:tcBorders>
              <w:top w:val="single" w:sz="2" w:space="0" w:color="auto"/>
              <w:left w:val="nil"/>
              <w:bottom w:val="single" w:sz="4" w:space="0" w:color="auto"/>
              <w:right w:val="nil"/>
            </w:tcBorders>
            <w:shd w:val="clear" w:color="auto" w:fill="auto"/>
            <w:noWrap/>
            <w:vAlign w:val="center"/>
            <w:hideMark/>
          </w:tcPr>
          <w:p w14:paraId="0810664C" w14:textId="77777777" w:rsidR="0088085F" w:rsidRPr="00723826" w:rsidRDefault="0088085F" w:rsidP="00F829E8">
            <w:pPr>
              <w:pStyle w:val="cuatexto"/>
              <w:jc w:val="right"/>
              <w:rPr>
                <w:color w:val="000000"/>
                <w:sz w:val="18"/>
                <w:szCs w:val="18"/>
              </w:rPr>
            </w:pPr>
            <w:r>
              <w:rPr>
                <w:color w:val="000000"/>
                <w:sz w:val="18"/>
                <w:szCs w:val="18"/>
              </w:rPr>
              <w:t>5</w:t>
            </w:r>
          </w:p>
        </w:tc>
        <w:tc>
          <w:tcPr>
            <w:tcW w:w="878" w:type="dxa"/>
            <w:tcBorders>
              <w:top w:val="single" w:sz="2" w:space="0" w:color="auto"/>
              <w:left w:val="nil"/>
              <w:bottom w:val="single" w:sz="4" w:space="0" w:color="auto"/>
              <w:right w:val="nil"/>
            </w:tcBorders>
            <w:shd w:val="clear" w:color="auto" w:fill="auto"/>
            <w:noWrap/>
            <w:vAlign w:val="center"/>
            <w:hideMark/>
          </w:tcPr>
          <w:p w14:paraId="78311DE4" w14:textId="77777777" w:rsidR="0088085F" w:rsidRPr="00723826" w:rsidRDefault="0088085F" w:rsidP="00F829E8">
            <w:pPr>
              <w:pStyle w:val="cuatexto"/>
              <w:jc w:val="right"/>
              <w:rPr>
                <w:sz w:val="18"/>
                <w:szCs w:val="18"/>
              </w:rPr>
            </w:pPr>
            <w:r>
              <w:rPr>
                <w:sz w:val="18"/>
                <w:szCs w:val="18"/>
              </w:rPr>
              <w:t>0,5</w:t>
            </w:r>
          </w:p>
        </w:tc>
      </w:tr>
      <w:tr w:rsidR="0088085F" w:rsidRPr="00723826" w14:paraId="04E803FF"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3BCE33CB" w14:textId="77777777" w:rsidR="0088085F" w:rsidRPr="00723826" w:rsidRDefault="00723826" w:rsidP="00F829E8">
            <w:pPr>
              <w:pStyle w:val="cuatexto"/>
              <w:jc w:val="left"/>
              <w:rPr>
                <w:b/>
                <w:bCs/>
                <w:iCs/>
                <w:sz w:val="18"/>
                <w:szCs w:val="18"/>
              </w:rPr>
            </w:pPr>
            <w:r>
              <w:rPr>
                <w:b/>
                <w:bCs/>
                <w:iCs/>
                <w:sz w:val="18"/>
                <w:szCs w:val="18"/>
              </w:rPr>
              <w:t>Kapital-eragiketak</w:t>
            </w:r>
          </w:p>
        </w:tc>
        <w:tc>
          <w:tcPr>
            <w:tcW w:w="1066" w:type="dxa"/>
            <w:tcBorders>
              <w:top w:val="single" w:sz="4" w:space="0" w:color="auto"/>
              <w:left w:val="nil"/>
              <w:bottom w:val="single" w:sz="4" w:space="0" w:color="auto"/>
              <w:right w:val="nil"/>
            </w:tcBorders>
            <w:shd w:val="clear" w:color="auto" w:fill="auto"/>
            <w:noWrap/>
            <w:vAlign w:val="center"/>
            <w:hideMark/>
          </w:tcPr>
          <w:p w14:paraId="70A5D14E" w14:textId="77777777" w:rsidR="0088085F" w:rsidRPr="00723826" w:rsidRDefault="0088085F" w:rsidP="00F829E8">
            <w:pPr>
              <w:pStyle w:val="cuatexto"/>
              <w:jc w:val="right"/>
              <w:rPr>
                <w:b/>
                <w:bCs/>
                <w:iCs/>
                <w:color w:val="000000"/>
                <w:sz w:val="18"/>
                <w:szCs w:val="18"/>
              </w:rPr>
            </w:pPr>
            <w:r>
              <w:rPr>
                <w:b/>
                <w:bCs/>
                <w:iCs/>
                <w:color w:val="000000"/>
                <w:sz w:val="18"/>
                <w:szCs w:val="18"/>
              </w:rPr>
              <w:t>303</w:t>
            </w:r>
          </w:p>
        </w:tc>
        <w:tc>
          <w:tcPr>
            <w:tcW w:w="995" w:type="dxa"/>
            <w:tcBorders>
              <w:top w:val="single" w:sz="4" w:space="0" w:color="auto"/>
              <w:left w:val="nil"/>
              <w:bottom w:val="single" w:sz="4" w:space="0" w:color="auto"/>
              <w:right w:val="nil"/>
            </w:tcBorders>
            <w:shd w:val="clear" w:color="auto" w:fill="auto"/>
            <w:noWrap/>
            <w:vAlign w:val="center"/>
            <w:hideMark/>
          </w:tcPr>
          <w:p w14:paraId="245B8005" w14:textId="77777777" w:rsidR="0088085F" w:rsidRPr="00723826" w:rsidRDefault="0088085F" w:rsidP="00F829E8">
            <w:pPr>
              <w:pStyle w:val="cuatexto"/>
              <w:jc w:val="right"/>
              <w:rPr>
                <w:b/>
                <w:bCs/>
                <w:iCs/>
                <w:sz w:val="18"/>
                <w:szCs w:val="18"/>
              </w:rPr>
            </w:pPr>
            <w:r>
              <w:rPr>
                <w:b/>
                <w:bCs/>
                <w:iCs/>
                <w:sz w:val="18"/>
                <w:szCs w:val="18"/>
              </w:rPr>
              <w:t>25,6</w:t>
            </w:r>
          </w:p>
        </w:tc>
        <w:tc>
          <w:tcPr>
            <w:tcW w:w="882" w:type="dxa"/>
            <w:tcBorders>
              <w:top w:val="single" w:sz="4" w:space="0" w:color="auto"/>
              <w:left w:val="nil"/>
              <w:bottom w:val="single" w:sz="4" w:space="0" w:color="auto"/>
              <w:right w:val="nil"/>
            </w:tcBorders>
            <w:shd w:val="clear" w:color="auto" w:fill="auto"/>
            <w:noWrap/>
            <w:vAlign w:val="center"/>
            <w:hideMark/>
          </w:tcPr>
          <w:p w14:paraId="654AFBD5" w14:textId="77777777" w:rsidR="0088085F" w:rsidRPr="00723826" w:rsidRDefault="0088085F" w:rsidP="00F829E8">
            <w:pPr>
              <w:pStyle w:val="cuatexto"/>
              <w:jc w:val="right"/>
              <w:rPr>
                <w:b/>
                <w:bCs/>
                <w:iCs/>
                <w:color w:val="000000"/>
                <w:sz w:val="18"/>
                <w:szCs w:val="18"/>
              </w:rPr>
            </w:pPr>
            <w:r>
              <w:rPr>
                <w:b/>
                <w:bCs/>
                <w:iCs/>
                <w:color w:val="000000"/>
                <w:sz w:val="18"/>
                <w:szCs w:val="18"/>
              </w:rPr>
              <w:t>242</w:t>
            </w:r>
          </w:p>
        </w:tc>
        <w:tc>
          <w:tcPr>
            <w:tcW w:w="914" w:type="dxa"/>
            <w:tcBorders>
              <w:top w:val="single" w:sz="4" w:space="0" w:color="auto"/>
              <w:left w:val="nil"/>
              <w:bottom w:val="single" w:sz="4" w:space="0" w:color="auto"/>
              <w:right w:val="nil"/>
            </w:tcBorders>
            <w:shd w:val="clear" w:color="auto" w:fill="auto"/>
            <w:noWrap/>
            <w:vAlign w:val="center"/>
            <w:hideMark/>
          </w:tcPr>
          <w:p w14:paraId="08AC072E" w14:textId="77777777" w:rsidR="0088085F" w:rsidRPr="00723826" w:rsidRDefault="0088085F" w:rsidP="00F829E8">
            <w:pPr>
              <w:pStyle w:val="cuatexto"/>
              <w:jc w:val="right"/>
              <w:rPr>
                <w:b/>
                <w:bCs/>
                <w:iCs/>
                <w:sz w:val="18"/>
                <w:szCs w:val="18"/>
              </w:rPr>
            </w:pPr>
            <w:r>
              <w:rPr>
                <w:b/>
                <w:bCs/>
                <w:iCs/>
                <w:sz w:val="18"/>
                <w:szCs w:val="18"/>
              </w:rPr>
              <w:t>17,3</w:t>
            </w:r>
          </w:p>
        </w:tc>
        <w:tc>
          <w:tcPr>
            <w:tcW w:w="929" w:type="dxa"/>
            <w:tcBorders>
              <w:top w:val="single" w:sz="4" w:space="0" w:color="auto"/>
              <w:left w:val="nil"/>
              <w:bottom w:val="single" w:sz="4" w:space="0" w:color="auto"/>
              <w:right w:val="nil"/>
            </w:tcBorders>
            <w:shd w:val="clear" w:color="auto" w:fill="auto"/>
            <w:noWrap/>
            <w:vAlign w:val="center"/>
            <w:hideMark/>
          </w:tcPr>
          <w:p w14:paraId="4A9C194C" w14:textId="77777777" w:rsidR="0088085F" w:rsidRPr="00723826" w:rsidRDefault="0088085F" w:rsidP="00F829E8">
            <w:pPr>
              <w:pStyle w:val="cuatexto"/>
              <w:jc w:val="right"/>
              <w:rPr>
                <w:b/>
                <w:bCs/>
                <w:iCs/>
                <w:color w:val="000000"/>
                <w:sz w:val="18"/>
                <w:szCs w:val="18"/>
              </w:rPr>
            </w:pPr>
            <w:r>
              <w:rPr>
                <w:b/>
                <w:bCs/>
                <w:iCs/>
                <w:color w:val="000000"/>
                <w:sz w:val="18"/>
                <w:szCs w:val="18"/>
              </w:rPr>
              <w:t>181</w:t>
            </w:r>
          </w:p>
        </w:tc>
        <w:tc>
          <w:tcPr>
            <w:tcW w:w="878" w:type="dxa"/>
            <w:tcBorders>
              <w:top w:val="single" w:sz="4" w:space="0" w:color="auto"/>
              <w:left w:val="nil"/>
              <w:bottom w:val="single" w:sz="4" w:space="0" w:color="auto"/>
              <w:right w:val="nil"/>
            </w:tcBorders>
            <w:shd w:val="clear" w:color="auto" w:fill="auto"/>
            <w:noWrap/>
            <w:vAlign w:val="center"/>
            <w:hideMark/>
          </w:tcPr>
          <w:p w14:paraId="61834B2E" w14:textId="77777777" w:rsidR="0088085F" w:rsidRPr="00723826" w:rsidRDefault="0088085F" w:rsidP="00F829E8">
            <w:pPr>
              <w:pStyle w:val="cuatexto"/>
              <w:jc w:val="right"/>
              <w:rPr>
                <w:b/>
                <w:bCs/>
                <w:iCs/>
                <w:sz w:val="18"/>
                <w:szCs w:val="18"/>
              </w:rPr>
            </w:pPr>
            <w:r>
              <w:rPr>
                <w:b/>
                <w:bCs/>
                <w:iCs/>
                <w:sz w:val="18"/>
                <w:szCs w:val="18"/>
              </w:rPr>
              <w:t>16,3</w:t>
            </w:r>
          </w:p>
        </w:tc>
      </w:tr>
      <w:tr w:rsidR="0088085F" w:rsidRPr="00723826" w14:paraId="375C1374" w14:textId="77777777" w:rsidTr="005A7814">
        <w:trPr>
          <w:trHeight w:val="255"/>
          <w:jc w:val="center"/>
        </w:trPr>
        <w:tc>
          <w:tcPr>
            <w:tcW w:w="3164" w:type="dxa"/>
            <w:tcBorders>
              <w:top w:val="single" w:sz="4" w:space="0" w:color="auto"/>
              <w:left w:val="nil"/>
              <w:bottom w:val="single" w:sz="2" w:space="0" w:color="auto"/>
              <w:right w:val="nil"/>
            </w:tcBorders>
            <w:shd w:val="clear" w:color="auto" w:fill="auto"/>
            <w:noWrap/>
            <w:vAlign w:val="center"/>
            <w:hideMark/>
          </w:tcPr>
          <w:p w14:paraId="53EE10C6" w14:textId="77777777" w:rsidR="0088085F" w:rsidRPr="00723826" w:rsidRDefault="0088085F" w:rsidP="00F829E8">
            <w:pPr>
              <w:pStyle w:val="cuatexto"/>
              <w:jc w:val="left"/>
              <w:rPr>
                <w:sz w:val="18"/>
                <w:szCs w:val="18"/>
              </w:rPr>
            </w:pPr>
            <w:r>
              <w:rPr>
                <w:sz w:val="18"/>
                <w:szCs w:val="18"/>
              </w:rPr>
              <w:t>Aktibo finantzarioak</w:t>
            </w:r>
          </w:p>
        </w:tc>
        <w:tc>
          <w:tcPr>
            <w:tcW w:w="1066" w:type="dxa"/>
            <w:tcBorders>
              <w:top w:val="single" w:sz="4" w:space="0" w:color="auto"/>
              <w:left w:val="nil"/>
              <w:bottom w:val="single" w:sz="2" w:space="0" w:color="auto"/>
              <w:right w:val="nil"/>
            </w:tcBorders>
            <w:shd w:val="clear" w:color="auto" w:fill="auto"/>
            <w:noWrap/>
            <w:vAlign w:val="center"/>
            <w:hideMark/>
          </w:tcPr>
          <w:p w14:paraId="6F064C2D" w14:textId="77777777" w:rsidR="0088085F" w:rsidRPr="00723826" w:rsidRDefault="0088085F" w:rsidP="00F829E8">
            <w:pPr>
              <w:pStyle w:val="cuatexto"/>
              <w:jc w:val="right"/>
              <w:rPr>
                <w:color w:val="000000"/>
                <w:sz w:val="18"/>
                <w:szCs w:val="18"/>
              </w:rPr>
            </w:pPr>
            <w:r>
              <w:rPr>
                <w:color w:val="000000"/>
                <w:sz w:val="18"/>
                <w:szCs w:val="18"/>
              </w:rPr>
              <w:t>1</w:t>
            </w:r>
          </w:p>
        </w:tc>
        <w:tc>
          <w:tcPr>
            <w:tcW w:w="995" w:type="dxa"/>
            <w:tcBorders>
              <w:top w:val="single" w:sz="4" w:space="0" w:color="auto"/>
              <w:left w:val="nil"/>
              <w:bottom w:val="single" w:sz="2" w:space="0" w:color="auto"/>
              <w:right w:val="nil"/>
            </w:tcBorders>
            <w:shd w:val="clear" w:color="auto" w:fill="auto"/>
            <w:noWrap/>
            <w:vAlign w:val="center"/>
            <w:hideMark/>
          </w:tcPr>
          <w:p w14:paraId="5FA548CA" w14:textId="77777777" w:rsidR="0088085F" w:rsidRPr="00723826" w:rsidRDefault="0088085F" w:rsidP="00F829E8">
            <w:pPr>
              <w:pStyle w:val="cuatexto"/>
              <w:jc w:val="right"/>
              <w:rPr>
                <w:sz w:val="18"/>
                <w:szCs w:val="18"/>
              </w:rPr>
            </w:pPr>
            <w:r>
              <w:rPr>
                <w:sz w:val="18"/>
                <w:szCs w:val="18"/>
              </w:rPr>
              <w:t>0,1</w:t>
            </w:r>
          </w:p>
        </w:tc>
        <w:tc>
          <w:tcPr>
            <w:tcW w:w="882" w:type="dxa"/>
            <w:tcBorders>
              <w:top w:val="single" w:sz="4" w:space="0" w:color="auto"/>
              <w:left w:val="nil"/>
              <w:bottom w:val="single" w:sz="2" w:space="0" w:color="auto"/>
              <w:right w:val="nil"/>
            </w:tcBorders>
            <w:shd w:val="clear" w:color="auto" w:fill="auto"/>
            <w:noWrap/>
            <w:vAlign w:val="center"/>
            <w:hideMark/>
          </w:tcPr>
          <w:p w14:paraId="62E663B1" w14:textId="77777777" w:rsidR="0088085F" w:rsidRPr="00723826" w:rsidRDefault="0088085F" w:rsidP="00F829E8">
            <w:pPr>
              <w:pStyle w:val="cuatexto"/>
              <w:jc w:val="right"/>
              <w:rPr>
                <w:color w:val="000000"/>
                <w:sz w:val="18"/>
                <w:szCs w:val="18"/>
              </w:rPr>
            </w:pPr>
            <w:r>
              <w:rPr>
                <w:color w:val="000000"/>
                <w:sz w:val="18"/>
                <w:szCs w:val="18"/>
              </w:rPr>
              <w:t>1</w:t>
            </w:r>
          </w:p>
        </w:tc>
        <w:tc>
          <w:tcPr>
            <w:tcW w:w="914" w:type="dxa"/>
            <w:tcBorders>
              <w:top w:val="single" w:sz="4" w:space="0" w:color="auto"/>
              <w:left w:val="nil"/>
              <w:bottom w:val="single" w:sz="2" w:space="0" w:color="auto"/>
              <w:right w:val="nil"/>
            </w:tcBorders>
            <w:shd w:val="clear" w:color="auto" w:fill="auto"/>
            <w:noWrap/>
            <w:vAlign w:val="center"/>
            <w:hideMark/>
          </w:tcPr>
          <w:p w14:paraId="3B8B763C" w14:textId="77777777" w:rsidR="0088085F" w:rsidRPr="00723826" w:rsidRDefault="0088085F" w:rsidP="00F829E8">
            <w:pPr>
              <w:pStyle w:val="cuatexto"/>
              <w:jc w:val="right"/>
              <w:rPr>
                <w:sz w:val="18"/>
                <w:szCs w:val="18"/>
              </w:rPr>
            </w:pPr>
            <w:r>
              <w:rPr>
                <w:sz w:val="18"/>
                <w:szCs w:val="18"/>
              </w:rPr>
              <w:t>0,1</w:t>
            </w:r>
          </w:p>
        </w:tc>
        <w:tc>
          <w:tcPr>
            <w:tcW w:w="929" w:type="dxa"/>
            <w:tcBorders>
              <w:top w:val="single" w:sz="4" w:space="0" w:color="auto"/>
              <w:left w:val="nil"/>
              <w:bottom w:val="single" w:sz="2" w:space="0" w:color="auto"/>
              <w:right w:val="nil"/>
            </w:tcBorders>
            <w:shd w:val="clear" w:color="auto" w:fill="auto"/>
            <w:noWrap/>
            <w:vAlign w:val="center"/>
            <w:hideMark/>
          </w:tcPr>
          <w:p w14:paraId="7043BC14" w14:textId="77777777" w:rsidR="0088085F" w:rsidRPr="00723826" w:rsidRDefault="0088085F" w:rsidP="00F829E8">
            <w:pPr>
              <w:pStyle w:val="cuatexto"/>
              <w:jc w:val="right"/>
              <w:rPr>
                <w:color w:val="000000"/>
                <w:sz w:val="18"/>
                <w:szCs w:val="18"/>
              </w:rPr>
            </w:pPr>
            <w:r>
              <w:rPr>
                <w:color w:val="000000"/>
                <w:sz w:val="18"/>
                <w:szCs w:val="18"/>
              </w:rPr>
              <w:t>2</w:t>
            </w:r>
          </w:p>
        </w:tc>
        <w:tc>
          <w:tcPr>
            <w:tcW w:w="878" w:type="dxa"/>
            <w:tcBorders>
              <w:top w:val="single" w:sz="4" w:space="0" w:color="auto"/>
              <w:left w:val="nil"/>
              <w:bottom w:val="single" w:sz="2" w:space="0" w:color="auto"/>
              <w:right w:val="nil"/>
            </w:tcBorders>
            <w:shd w:val="clear" w:color="auto" w:fill="auto"/>
            <w:noWrap/>
            <w:vAlign w:val="center"/>
            <w:hideMark/>
          </w:tcPr>
          <w:p w14:paraId="719334C3" w14:textId="77777777" w:rsidR="0088085F" w:rsidRPr="00723826" w:rsidRDefault="0088085F" w:rsidP="00F829E8">
            <w:pPr>
              <w:pStyle w:val="cuatexto"/>
              <w:jc w:val="right"/>
              <w:rPr>
                <w:sz w:val="18"/>
                <w:szCs w:val="18"/>
              </w:rPr>
            </w:pPr>
            <w:r>
              <w:rPr>
                <w:sz w:val="18"/>
                <w:szCs w:val="18"/>
              </w:rPr>
              <w:t>0,1</w:t>
            </w:r>
          </w:p>
        </w:tc>
      </w:tr>
      <w:tr w:rsidR="0088085F" w:rsidRPr="00723826" w14:paraId="01EA1726" w14:textId="77777777" w:rsidTr="005A7814">
        <w:trPr>
          <w:trHeight w:val="255"/>
          <w:jc w:val="center"/>
        </w:trPr>
        <w:tc>
          <w:tcPr>
            <w:tcW w:w="3164" w:type="dxa"/>
            <w:tcBorders>
              <w:top w:val="single" w:sz="2" w:space="0" w:color="auto"/>
              <w:left w:val="nil"/>
              <w:bottom w:val="single" w:sz="4" w:space="0" w:color="auto"/>
              <w:right w:val="nil"/>
            </w:tcBorders>
            <w:shd w:val="clear" w:color="auto" w:fill="auto"/>
            <w:noWrap/>
            <w:vAlign w:val="center"/>
            <w:hideMark/>
          </w:tcPr>
          <w:p w14:paraId="6263114B" w14:textId="77777777" w:rsidR="0088085F" w:rsidRPr="00723826" w:rsidRDefault="0088085F" w:rsidP="00F829E8">
            <w:pPr>
              <w:pStyle w:val="cuatexto"/>
              <w:jc w:val="left"/>
              <w:rPr>
                <w:sz w:val="18"/>
                <w:szCs w:val="18"/>
              </w:rPr>
            </w:pPr>
            <w:r>
              <w:rPr>
                <w:sz w:val="18"/>
                <w:szCs w:val="18"/>
              </w:rPr>
              <w:t>Pasibo finantzarioak</w:t>
            </w:r>
          </w:p>
        </w:tc>
        <w:tc>
          <w:tcPr>
            <w:tcW w:w="1066" w:type="dxa"/>
            <w:tcBorders>
              <w:top w:val="single" w:sz="2" w:space="0" w:color="auto"/>
              <w:left w:val="nil"/>
              <w:bottom w:val="single" w:sz="4" w:space="0" w:color="auto"/>
              <w:right w:val="nil"/>
            </w:tcBorders>
            <w:shd w:val="clear" w:color="auto" w:fill="auto"/>
            <w:noWrap/>
            <w:vAlign w:val="center"/>
            <w:hideMark/>
          </w:tcPr>
          <w:p w14:paraId="0D9B6761" w14:textId="77777777" w:rsidR="0088085F" w:rsidRPr="00723826" w:rsidRDefault="0088085F" w:rsidP="00F829E8">
            <w:pPr>
              <w:pStyle w:val="cuatexto"/>
              <w:jc w:val="right"/>
              <w:rPr>
                <w:color w:val="000000"/>
                <w:sz w:val="18"/>
                <w:szCs w:val="18"/>
              </w:rPr>
            </w:pPr>
            <w:r>
              <w:rPr>
                <w:color w:val="000000"/>
                <w:sz w:val="18"/>
                <w:szCs w:val="18"/>
              </w:rPr>
              <w:t>39</w:t>
            </w:r>
          </w:p>
        </w:tc>
        <w:tc>
          <w:tcPr>
            <w:tcW w:w="995" w:type="dxa"/>
            <w:tcBorders>
              <w:top w:val="single" w:sz="2" w:space="0" w:color="auto"/>
              <w:left w:val="nil"/>
              <w:bottom w:val="single" w:sz="4" w:space="0" w:color="auto"/>
              <w:right w:val="nil"/>
            </w:tcBorders>
            <w:shd w:val="clear" w:color="auto" w:fill="auto"/>
            <w:noWrap/>
            <w:vAlign w:val="center"/>
            <w:hideMark/>
          </w:tcPr>
          <w:p w14:paraId="1DD9B4C1" w14:textId="77777777" w:rsidR="0088085F" w:rsidRPr="00723826" w:rsidRDefault="0088085F" w:rsidP="00F829E8">
            <w:pPr>
              <w:pStyle w:val="cuatexto"/>
              <w:jc w:val="right"/>
              <w:rPr>
                <w:sz w:val="18"/>
                <w:szCs w:val="18"/>
              </w:rPr>
            </w:pPr>
            <w:r>
              <w:rPr>
                <w:sz w:val="18"/>
                <w:szCs w:val="18"/>
              </w:rPr>
              <w:t>3,3</w:t>
            </w:r>
          </w:p>
        </w:tc>
        <w:tc>
          <w:tcPr>
            <w:tcW w:w="882" w:type="dxa"/>
            <w:tcBorders>
              <w:top w:val="single" w:sz="2" w:space="0" w:color="auto"/>
              <w:left w:val="nil"/>
              <w:bottom w:val="single" w:sz="4" w:space="0" w:color="auto"/>
              <w:right w:val="nil"/>
            </w:tcBorders>
            <w:shd w:val="clear" w:color="auto" w:fill="auto"/>
            <w:noWrap/>
            <w:vAlign w:val="center"/>
            <w:hideMark/>
          </w:tcPr>
          <w:p w14:paraId="43F812A6" w14:textId="77777777" w:rsidR="0088085F" w:rsidRPr="00723826" w:rsidRDefault="0088085F" w:rsidP="00F829E8">
            <w:pPr>
              <w:pStyle w:val="cuatexto"/>
              <w:jc w:val="right"/>
              <w:rPr>
                <w:color w:val="000000"/>
                <w:sz w:val="18"/>
                <w:szCs w:val="18"/>
              </w:rPr>
            </w:pPr>
            <w:r>
              <w:rPr>
                <w:color w:val="000000"/>
                <w:sz w:val="18"/>
                <w:szCs w:val="18"/>
              </w:rPr>
              <w:t>26</w:t>
            </w:r>
          </w:p>
        </w:tc>
        <w:tc>
          <w:tcPr>
            <w:tcW w:w="914" w:type="dxa"/>
            <w:tcBorders>
              <w:top w:val="single" w:sz="2" w:space="0" w:color="auto"/>
              <w:left w:val="nil"/>
              <w:bottom w:val="single" w:sz="4" w:space="0" w:color="auto"/>
              <w:right w:val="nil"/>
            </w:tcBorders>
            <w:shd w:val="clear" w:color="auto" w:fill="auto"/>
            <w:noWrap/>
            <w:vAlign w:val="center"/>
            <w:hideMark/>
          </w:tcPr>
          <w:p w14:paraId="1EF04F89" w14:textId="77777777" w:rsidR="0088085F" w:rsidRPr="00723826" w:rsidRDefault="0088085F" w:rsidP="00F829E8">
            <w:pPr>
              <w:pStyle w:val="cuatexto"/>
              <w:jc w:val="right"/>
              <w:rPr>
                <w:sz w:val="18"/>
                <w:szCs w:val="18"/>
              </w:rPr>
            </w:pPr>
            <w:r>
              <w:rPr>
                <w:sz w:val="18"/>
                <w:szCs w:val="18"/>
              </w:rPr>
              <w:t>1,9</w:t>
            </w:r>
          </w:p>
        </w:tc>
        <w:tc>
          <w:tcPr>
            <w:tcW w:w="929" w:type="dxa"/>
            <w:tcBorders>
              <w:top w:val="single" w:sz="2" w:space="0" w:color="auto"/>
              <w:left w:val="nil"/>
              <w:bottom w:val="single" w:sz="4" w:space="0" w:color="auto"/>
              <w:right w:val="nil"/>
            </w:tcBorders>
            <w:shd w:val="clear" w:color="auto" w:fill="auto"/>
            <w:noWrap/>
            <w:vAlign w:val="center"/>
            <w:hideMark/>
          </w:tcPr>
          <w:p w14:paraId="0427FD76" w14:textId="77777777" w:rsidR="0088085F" w:rsidRPr="00723826" w:rsidRDefault="0088085F" w:rsidP="00F829E8">
            <w:pPr>
              <w:pStyle w:val="cuatexto"/>
              <w:jc w:val="right"/>
              <w:rPr>
                <w:color w:val="000000"/>
                <w:sz w:val="18"/>
                <w:szCs w:val="18"/>
              </w:rPr>
            </w:pPr>
            <w:r>
              <w:rPr>
                <w:color w:val="000000"/>
                <w:sz w:val="18"/>
                <w:szCs w:val="18"/>
              </w:rPr>
              <w:t>75</w:t>
            </w:r>
          </w:p>
        </w:tc>
        <w:tc>
          <w:tcPr>
            <w:tcW w:w="878" w:type="dxa"/>
            <w:tcBorders>
              <w:top w:val="single" w:sz="2" w:space="0" w:color="auto"/>
              <w:left w:val="nil"/>
              <w:bottom w:val="single" w:sz="4" w:space="0" w:color="auto"/>
              <w:right w:val="nil"/>
            </w:tcBorders>
            <w:shd w:val="clear" w:color="auto" w:fill="auto"/>
            <w:noWrap/>
            <w:vAlign w:val="center"/>
            <w:hideMark/>
          </w:tcPr>
          <w:p w14:paraId="0D333E4F" w14:textId="77777777" w:rsidR="0088085F" w:rsidRPr="00723826" w:rsidRDefault="0088085F" w:rsidP="00F829E8">
            <w:pPr>
              <w:pStyle w:val="cuatexto"/>
              <w:jc w:val="right"/>
              <w:rPr>
                <w:sz w:val="18"/>
                <w:szCs w:val="18"/>
              </w:rPr>
            </w:pPr>
            <w:r>
              <w:rPr>
                <w:sz w:val="18"/>
                <w:szCs w:val="18"/>
              </w:rPr>
              <w:t>6,7</w:t>
            </w:r>
          </w:p>
        </w:tc>
      </w:tr>
      <w:tr w:rsidR="0088085F" w:rsidRPr="00723826" w14:paraId="550FAA87" w14:textId="77777777" w:rsidTr="005A7814">
        <w:trPr>
          <w:trHeight w:val="255"/>
          <w:jc w:val="center"/>
        </w:trPr>
        <w:tc>
          <w:tcPr>
            <w:tcW w:w="3164" w:type="dxa"/>
            <w:tcBorders>
              <w:top w:val="single" w:sz="4" w:space="0" w:color="auto"/>
              <w:left w:val="nil"/>
              <w:bottom w:val="single" w:sz="4" w:space="0" w:color="auto"/>
              <w:right w:val="nil"/>
            </w:tcBorders>
            <w:shd w:val="clear" w:color="auto" w:fill="auto"/>
            <w:noWrap/>
            <w:vAlign w:val="center"/>
            <w:hideMark/>
          </w:tcPr>
          <w:p w14:paraId="0C86B3FF" w14:textId="77777777" w:rsidR="0088085F" w:rsidRPr="00723826" w:rsidRDefault="00723826" w:rsidP="00F829E8">
            <w:pPr>
              <w:pStyle w:val="cuatexto"/>
              <w:jc w:val="left"/>
              <w:rPr>
                <w:b/>
                <w:bCs/>
                <w:iCs/>
                <w:sz w:val="18"/>
                <w:szCs w:val="18"/>
              </w:rPr>
            </w:pPr>
            <w:r>
              <w:rPr>
                <w:b/>
                <w:bCs/>
                <w:iCs/>
                <w:sz w:val="18"/>
                <w:szCs w:val="18"/>
              </w:rPr>
              <w:t>Finantza-eragiketak</w:t>
            </w:r>
          </w:p>
        </w:tc>
        <w:tc>
          <w:tcPr>
            <w:tcW w:w="1066" w:type="dxa"/>
            <w:tcBorders>
              <w:top w:val="single" w:sz="4" w:space="0" w:color="auto"/>
              <w:left w:val="nil"/>
              <w:bottom w:val="single" w:sz="4" w:space="0" w:color="auto"/>
              <w:right w:val="nil"/>
            </w:tcBorders>
            <w:shd w:val="clear" w:color="auto" w:fill="auto"/>
            <w:noWrap/>
            <w:vAlign w:val="center"/>
            <w:hideMark/>
          </w:tcPr>
          <w:p w14:paraId="26B3F10B" w14:textId="77777777" w:rsidR="0088085F" w:rsidRPr="00723826" w:rsidRDefault="0088085F" w:rsidP="00F829E8">
            <w:pPr>
              <w:pStyle w:val="cuatexto"/>
              <w:jc w:val="right"/>
              <w:rPr>
                <w:b/>
                <w:bCs/>
                <w:iCs/>
                <w:color w:val="000000"/>
                <w:sz w:val="18"/>
                <w:szCs w:val="18"/>
              </w:rPr>
            </w:pPr>
            <w:r>
              <w:rPr>
                <w:b/>
                <w:bCs/>
                <w:iCs/>
                <w:color w:val="000000"/>
                <w:sz w:val="18"/>
                <w:szCs w:val="18"/>
              </w:rPr>
              <w:t>40</w:t>
            </w:r>
          </w:p>
        </w:tc>
        <w:tc>
          <w:tcPr>
            <w:tcW w:w="995" w:type="dxa"/>
            <w:tcBorders>
              <w:top w:val="single" w:sz="4" w:space="0" w:color="auto"/>
              <w:left w:val="nil"/>
              <w:bottom w:val="single" w:sz="4" w:space="0" w:color="auto"/>
              <w:right w:val="nil"/>
            </w:tcBorders>
            <w:shd w:val="clear" w:color="auto" w:fill="auto"/>
            <w:noWrap/>
            <w:vAlign w:val="center"/>
            <w:hideMark/>
          </w:tcPr>
          <w:p w14:paraId="6032EE54" w14:textId="77777777" w:rsidR="0088085F" w:rsidRPr="00723826" w:rsidRDefault="0088085F" w:rsidP="00F829E8">
            <w:pPr>
              <w:pStyle w:val="cuatexto"/>
              <w:jc w:val="right"/>
              <w:rPr>
                <w:b/>
                <w:bCs/>
                <w:iCs/>
                <w:sz w:val="18"/>
                <w:szCs w:val="18"/>
              </w:rPr>
            </w:pPr>
            <w:r>
              <w:rPr>
                <w:b/>
                <w:bCs/>
                <w:iCs/>
                <w:sz w:val="18"/>
                <w:szCs w:val="18"/>
              </w:rPr>
              <w:t>3,4</w:t>
            </w:r>
          </w:p>
        </w:tc>
        <w:tc>
          <w:tcPr>
            <w:tcW w:w="882" w:type="dxa"/>
            <w:tcBorders>
              <w:top w:val="single" w:sz="4" w:space="0" w:color="auto"/>
              <w:left w:val="nil"/>
              <w:bottom w:val="single" w:sz="4" w:space="0" w:color="auto"/>
              <w:right w:val="nil"/>
            </w:tcBorders>
            <w:shd w:val="clear" w:color="auto" w:fill="auto"/>
            <w:noWrap/>
            <w:vAlign w:val="center"/>
            <w:hideMark/>
          </w:tcPr>
          <w:p w14:paraId="1CEDF814" w14:textId="77777777" w:rsidR="0088085F" w:rsidRPr="00723826" w:rsidRDefault="0088085F" w:rsidP="00F829E8">
            <w:pPr>
              <w:pStyle w:val="cuatexto"/>
              <w:jc w:val="right"/>
              <w:rPr>
                <w:b/>
                <w:bCs/>
                <w:iCs/>
                <w:color w:val="000000"/>
                <w:sz w:val="18"/>
                <w:szCs w:val="18"/>
              </w:rPr>
            </w:pPr>
            <w:r>
              <w:rPr>
                <w:b/>
                <w:bCs/>
                <w:iCs/>
                <w:color w:val="000000"/>
                <w:sz w:val="18"/>
                <w:szCs w:val="18"/>
              </w:rPr>
              <w:t>27</w:t>
            </w:r>
          </w:p>
        </w:tc>
        <w:tc>
          <w:tcPr>
            <w:tcW w:w="914" w:type="dxa"/>
            <w:tcBorders>
              <w:top w:val="single" w:sz="4" w:space="0" w:color="auto"/>
              <w:left w:val="nil"/>
              <w:bottom w:val="single" w:sz="4" w:space="0" w:color="auto"/>
              <w:right w:val="nil"/>
            </w:tcBorders>
            <w:shd w:val="clear" w:color="auto" w:fill="auto"/>
            <w:noWrap/>
            <w:vAlign w:val="center"/>
            <w:hideMark/>
          </w:tcPr>
          <w:p w14:paraId="7052D41B" w14:textId="77777777" w:rsidR="0088085F" w:rsidRPr="00723826" w:rsidRDefault="0088085F" w:rsidP="00F829E8">
            <w:pPr>
              <w:pStyle w:val="cuatexto"/>
              <w:jc w:val="right"/>
              <w:rPr>
                <w:b/>
                <w:bCs/>
                <w:iCs/>
                <w:sz w:val="18"/>
                <w:szCs w:val="18"/>
              </w:rPr>
            </w:pPr>
            <w:r>
              <w:rPr>
                <w:b/>
                <w:bCs/>
                <w:iCs/>
                <w:sz w:val="18"/>
                <w:szCs w:val="18"/>
              </w:rPr>
              <w:t>1,9</w:t>
            </w:r>
          </w:p>
        </w:tc>
        <w:tc>
          <w:tcPr>
            <w:tcW w:w="929" w:type="dxa"/>
            <w:tcBorders>
              <w:top w:val="single" w:sz="4" w:space="0" w:color="auto"/>
              <w:left w:val="nil"/>
              <w:bottom w:val="single" w:sz="4" w:space="0" w:color="auto"/>
              <w:right w:val="nil"/>
            </w:tcBorders>
            <w:shd w:val="clear" w:color="auto" w:fill="auto"/>
            <w:noWrap/>
            <w:vAlign w:val="center"/>
            <w:hideMark/>
          </w:tcPr>
          <w:p w14:paraId="349FFC88" w14:textId="77777777" w:rsidR="0088085F" w:rsidRPr="00723826" w:rsidRDefault="0088085F" w:rsidP="00F829E8">
            <w:pPr>
              <w:pStyle w:val="cuatexto"/>
              <w:jc w:val="right"/>
              <w:rPr>
                <w:b/>
                <w:bCs/>
                <w:iCs/>
                <w:color w:val="000000"/>
                <w:sz w:val="18"/>
                <w:szCs w:val="18"/>
              </w:rPr>
            </w:pPr>
            <w:r>
              <w:rPr>
                <w:b/>
                <w:bCs/>
                <w:iCs/>
                <w:color w:val="000000"/>
                <w:sz w:val="18"/>
                <w:szCs w:val="18"/>
              </w:rPr>
              <w:t>76</w:t>
            </w:r>
          </w:p>
        </w:tc>
        <w:tc>
          <w:tcPr>
            <w:tcW w:w="878" w:type="dxa"/>
            <w:tcBorders>
              <w:top w:val="single" w:sz="4" w:space="0" w:color="auto"/>
              <w:left w:val="nil"/>
              <w:bottom w:val="single" w:sz="4" w:space="0" w:color="auto"/>
              <w:right w:val="nil"/>
            </w:tcBorders>
            <w:shd w:val="clear" w:color="auto" w:fill="auto"/>
            <w:noWrap/>
            <w:vAlign w:val="center"/>
            <w:hideMark/>
          </w:tcPr>
          <w:p w14:paraId="78A7B675" w14:textId="77777777" w:rsidR="0088085F" w:rsidRPr="00723826" w:rsidRDefault="0088085F" w:rsidP="00F829E8">
            <w:pPr>
              <w:pStyle w:val="cuatexto"/>
              <w:jc w:val="right"/>
              <w:rPr>
                <w:b/>
                <w:bCs/>
                <w:iCs/>
                <w:sz w:val="18"/>
                <w:szCs w:val="18"/>
              </w:rPr>
            </w:pPr>
            <w:r>
              <w:rPr>
                <w:b/>
                <w:bCs/>
                <w:iCs/>
                <w:sz w:val="18"/>
                <w:szCs w:val="18"/>
              </w:rPr>
              <w:t>6,9</w:t>
            </w:r>
          </w:p>
        </w:tc>
      </w:tr>
      <w:tr w:rsidR="0088085F" w:rsidRPr="009E6957" w14:paraId="721975CA" w14:textId="77777777" w:rsidTr="00F829E8">
        <w:trPr>
          <w:trHeight w:val="312"/>
          <w:jc w:val="center"/>
        </w:trPr>
        <w:tc>
          <w:tcPr>
            <w:tcW w:w="3164" w:type="dxa"/>
            <w:tcBorders>
              <w:top w:val="nil"/>
              <w:left w:val="nil"/>
              <w:bottom w:val="single" w:sz="4" w:space="0" w:color="auto"/>
              <w:right w:val="nil"/>
            </w:tcBorders>
            <w:shd w:val="clear" w:color="auto" w:fill="FABF8F" w:themeFill="accent6" w:themeFillTint="99"/>
            <w:noWrap/>
            <w:vAlign w:val="center"/>
            <w:hideMark/>
          </w:tcPr>
          <w:p w14:paraId="550DD8FB" w14:textId="77777777" w:rsidR="0088085F" w:rsidRPr="009E6957" w:rsidRDefault="00723826" w:rsidP="00F829E8">
            <w:pPr>
              <w:pStyle w:val="cuadroCabe"/>
              <w:jc w:val="left"/>
            </w:pPr>
            <w:r>
              <w:t>Guztira</w:t>
            </w:r>
          </w:p>
        </w:tc>
        <w:tc>
          <w:tcPr>
            <w:tcW w:w="1066" w:type="dxa"/>
            <w:tcBorders>
              <w:top w:val="nil"/>
              <w:left w:val="nil"/>
              <w:bottom w:val="single" w:sz="4" w:space="0" w:color="auto"/>
              <w:right w:val="nil"/>
            </w:tcBorders>
            <w:shd w:val="clear" w:color="auto" w:fill="FABF8F" w:themeFill="accent6" w:themeFillTint="99"/>
            <w:noWrap/>
            <w:vAlign w:val="center"/>
            <w:hideMark/>
          </w:tcPr>
          <w:p w14:paraId="0F49EA28" w14:textId="77777777" w:rsidR="0088085F" w:rsidRPr="009E6957" w:rsidRDefault="0088085F" w:rsidP="00F829E8">
            <w:pPr>
              <w:pStyle w:val="cuadroCabe"/>
              <w:jc w:val="right"/>
              <w:rPr>
                <w:b/>
                <w:bCs/>
              </w:rPr>
            </w:pPr>
            <w:r>
              <w:rPr>
                <w:b/>
                <w:bCs/>
              </w:rPr>
              <w:t>1.182</w:t>
            </w:r>
          </w:p>
        </w:tc>
        <w:tc>
          <w:tcPr>
            <w:tcW w:w="995" w:type="dxa"/>
            <w:tcBorders>
              <w:top w:val="nil"/>
              <w:left w:val="nil"/>
              <w:bottom w:val="single" w:sz="4" w:space="0" w:color="auto"/>
              <w:right w:val="nil"/>
            </w:tcBorders>
            <w:shd w:val="clear" w:color="auto" w:fill="FABF8F" w:themeFill="accent6" w:themeFillTint="99"/>
            <w:noWrap/>
            <w:vAlign w:val="center"/>
            <w:hideMark/>
          </w:tcPr>
          <w:p w14:paraId="21A8B343" w14:textId="77777777" w:rsidR="0088085F" w:rsidRPr="009E6957" w:rsidRDefault="0088085F" w:rsidP="00F829E8">
            <w:pPr>
              <w:pStyle w:val="cuadroCabe"/>
              <w:jc w:val="right"/>
              <w:rPr>
                <w:b/>
                <w:bCs/>
              </w:rPr>
            </w:pPr>
            <w:r>
              <w:rPr>
                <w:b/>
                <w:bCs/>
              </w:rPr>
              <w:t>100</w:t>
            </w:r>
          </w:p>
        </w:tc>
        <w:tc>
          <w:tcPr>
            <w:tcW w:w="882" w:type="dxa"/>
            <w:tcBorders>
              <w:top w:val="nil"/>
              <w:left w:val="nil"/>
              <w:bottom w:val="single" w:sz="4" w:space="0" w:color="auto"/>
              <w:right w:val="nil"/>
            </w:tcBorders>
            <w:shd w:val="clear" w:color="auto" w:fill="FABF8F" w:themeFill="accent6" w:themeFillTint="99"/>
            <w:noWrap/>
            <w:vAlign w:val="center"/>
            <w:hideMark/>
          </w:tcPr>
          <w:p w14:paraId="5FF1C3B1" w14:textId="77777777" w:rsidR="0088085F" w:rsidRPr="009E6957" w:rsidRDefault="0088085F" w:rsidP="00F829E8">
            <w:pPr>
              <w:pStyle w:val="cuadroCabe"/>
              <w:jc w:val="right"/>
              <w:rPr>
                <w:b/>
                <w:bCs/>
              </w:rPr>
            </w:pPr>
            <w:r>
              <w:rPr>
                <w:b/>
                <w:bCs/>
              </w:rPr>
              <w:t>1.401</w:t>
            </w:r>
          </w:p>
        </w:tc>
        <w:tc>
          <w:tcPr>
            <w:tcW w:w="914" w:type="dxa"/>
            <w:tcBorders>
              <w:top w:val="nil"/>
              <w:left w:val="nil"/>
              <w:bottom w:val="single" w:sz="4" w:space="0" w:color="auto"/>
              <w:right w:val="nil"/>
            </w:tcBorders>
            <w:shd w:val="clear" w:color="auto" w:fill="FABF8F" w:themeFill="accent6" w:themeFillTint="99"/>
            <w:noWrap/>
            <w:vAlign w:val="center"/>
            <w:hideMark/>
          </w:tcPr>
          <w:p w14:paraId="58ED3989" w14:textId="77777777" w:rsidR="0088085F" w:rsidRPr="009E6957" w:rsidRDefault="0088085F" w:rsidP="00F829E8">
            <w:pPr>
              <w:pStyle w:val="cuadroCabe"/>
              <w:jc w:val="right"/>
              <w:rPr>
                <w:b/>
                <w:bCs/>
              </w:rPr>
            </w:pPr>
            <w:r>
              <w:rPr>
                <w:b/>
                <w:bCs/>
              </w:rPr>
              <w:t xml:space="preserve">100 </w:t>
            </w:r>
          </w:p>
        </w:tc>
        <w:tc>
          <w:tcPr>
            <w:tcW w:w="929" w:type="dxa"/>
            <w:tcBorders>
              <w:top w:val="nil"/>
              <w:left w:val="nil"/>
              <w:bottom w:val="single" w:sz="4" w:space="0" w:color="auto"/>
              <w:right w:val="nil"/>
            </w:tcBorders>
            <w:shd w:val="clear" w:color="auto" w:fill="FABF8F" w:themeFill="accent6" w:themeFillTint="99"/>
            <w:noWrap/>
            <w:vAlign w:val="center"/>
            <w:hideMark/>
          </w:tcPr>
          <w:p w14:paraId="1FC52D9D" w14:textId="77777777" w:rsidR="0088085F" w:rsidRPr="009E6957" w:rsidRDefault="0088085F" w:rsidP="00F829E8">
            <w:pPr>
              <w:pStyle w:val="cuadroCabe"/>
              <w:jc w:val="right"/>
              <w:rPr>
                <w:b/>
                <w:bCs/>
              </w:rPr>
            </w:pPr>
            <w:r>
              <w:rPr>
                <w:b/>
                <w:bCs/>
              </w:rPr>
              <w:t>1.110</w:t>
            </w:r>
          </w:p>
        </w:tc>
        <w:tc>
          <w:tcPr>
            <w:tcW w:w="878" w:type="dxa"/>
            <w:tcBorders>
              <w:top w:val="nil"/>
              <w:left w:val="nil"/>
              <w:bottom w:val="single" w:sz="4" w:space="0" w:color="auto"/>
              <w:right w:val="nil"/>
            </w:tcBorders>
            <w:shd w:val="clear" w:color="auto" w:fill="FABF8F" w:themeFill="accent6" w:themeFillTint="99"/>
            <w:noWrap/>
            <w:vAlign w:val="center"/>
            <w:hideMark/>
          </w:tcPr>
          <w:p w14:paraId="6A73A8A3" w14:textId="77777777" w:rsidR="0088085F" w:rsidRPr="009E6957" w:rsidRDefault="0088085F" w:rsidP="00F829E8">
            <w:pPr>
              <w:pStyle w:val="cuadroCabe"/>
              <w:jc w:val="right"/>
              <w:rPr>
                <w:b/>
                <w:bCs/>
              </w:rPr>
            </w:pPr>
            <w:r>
              <w:rPr>
                <w:b/>
                <w:bCs/>
              </w:rPr>
              <w:t xml:space="preserve">100 </w:t>
            </w:r>
          </w:p>
        </w:tc>
      </w:tr>
    </w:tbl>
    <w:p w14:paraId="55C8BAE5" w14:textId="77777777" w:rsidR="0088085F" w:rsidRPr="00262228" w:rsidRDefault="0088085F" w:rsidP="00C24098">
      <w:pPr>
        <w:pStyle w:val="texto"/>
        <w:spacing w:before="220" w:after="180"/>
      </w:pPr>
      <w:r>
        <w:t xml:space="preserve">Diru-sarreren likidazioan ikus dezakegu bai Nafarroan zein Estatuan diru-sarrera arruntek guztizko diru-sarreren ehuneko 88 inguru egiten dutela, eta Euskal Autonomia Erkidegoko udaletan, berriz, ehuneko 95 inguru. EAEko udalekiko alde handiena transferentzia arruntetan dago, eta, gehienbat, autonomia-erkidegoko tributuetan parte hartzeko funtsak eragiten du. Estatuko gainerako udalei dagokienez, alde handiena zuzeneko zergetan dago, Nafarroak arlo horretan 114 euro gutxiago jasotzen baititu biztanleko. </w:t>
      </w:r>
    </w:p>
    <w:p w14:paraId="10B6CE6B" w14:textId="77777777" w:rsidR="0088085F" w:rsidRPr="00262228" w:rsidRDefault="0088085F" w:rsidP="00C24098">
      <w:pPr>
        <w:pStyle w:val="texto"/>
        <w:spacing w:after="180"/>
      </w:pPr>
      <w:r>
        <w:t xml:space="preserve">Kapital-transferentzien kapituluan, aldiz, Nafarroak 89 euro eta 44 euro gehiago jasotzen ditu biztanleko, hurrenez hurren, EAEko udalek eta Estatuko gainerakoek baino. Hona EAEko udalekiko aldearen arrazoia: Nafarroako Komunitatearen tributuetako partaidetza neurri batean baldintzatua da inbertsioen finantzaketarako, eta Euskal Autonomia Erkidegoan, aldiz, baldintzatu gabeko funtsa da ia osorik, alegia, transferentzia arrunta da. </w:t>
      </w:r>
    </w:p>
    <w:p w14:paraId="50198F93" w14:textId="77777777" w:rsidR="0088085F" w:rsidRPr="00262228" w:rsidRDefault="0088085F" w:rsidP="00C24098">
      <w:pPr>
        <w:pStyle w:val="texto"/>
        <w:spacing w:after="180"/>
      </w:pPr>
      <w:r>
        <w:t xml:space="preserve">Biztanleko gastu arruntei dagokienez, Nafarroak biztanleko 292 euro gutxiago eta 14 euro gutxiago xedatzen ditu EAEko udalek eta Estatuko gainerakoek baino, hurrenez hurren. Kapital-eragiketetan, ordea (ia eragiketa guztiak inbertsioak dira), Nafarroako udalek 61 eta 122 euro gehiago gastatzen dituzte EAEkoek eta Estatuko gainerakoek baino, hurrenez hurren. </w:t>
      </w:r>
    </w:p>
    <w:p w14:paraId="7FA5D6C9" w14:textId="77777777" w:rsidR="0088085F" w:rsidRDefault="0088085F" w:rsidP="0088085F">
      <w:pPr>
        <w:ind w:firstLine="284"/>
        <w:rPr>
          <w:rStyle w:val="textoCar"/>
          <w:szCs w:val="26"/>
        </w:rPr>
      </w:pPr>
    </w:p>
    <w:p w14:paraId="182DDBCD" w14:textId="77777777" w:rsidR="0088085F" w:rsidRDefault="0088085F" w:rsidP="0088085F">
      <w:pPr>
        <w:ind w:firstLine="284"/>
        <w:rPr>
          <w:rStyle w:val="textoCar"/>
          <w:szCs w:val="26"/>
        </w:rPr>
      </w:pPr>
    </w:p>
    <w:p w14:paraId="325607D6" w14:textId="77777777" w:rsidR="0088085F" w:rsidRDefault="0088085F" w:rsidP="0088085F">
      <w:pPr>
        <w:ind w:firstLine="284"/>
        <w:rPr>
          <w:rStyle w:val="textoCar"/>
          <w:szCs w:val="26"/>
        </w:rPr>
      </w:pPr>
    </w:p>
    <w:p w14:paraId="297777B5" w14:textId="77777777" w:rsidR="00A7090C" w:rsidRDefault="00A7090C">
      <w:pPr>
        <w:spacing w:after="0"/>
        <w:ind w:firstLine="0"/>
        <w:jc w:val="left"/>
        <w:rPr>
          <w:rStyle w:val="textoCar"/>
          <w:szCs w:val="26"/>
        </w:rPr>
      </w:pPr>
      <w:r>
        <w:br w:type="page"/>
      </w:r>
    </w:p>
    <w:p w14:paraId="673821DC" w14:textId="77777777" w:rsidR="0088085F" w:rsidRPr="00262228" w:rsidRDefault="0088085F" w:rsidP="00C24098">
      <w:pPr>
        <w:pStyle w:val="texto"/>
        <w:spacing w:after="240"/>
      </w:pPr>
      <w:r>
        <w:lastRenderedPageBreak/>
        <w:t xml:space="preserve">Hona hemen zenbait adierazle, hiru eremuetarako: </w:t>
      </w:r>
    </w:p>
    <w:tbl>
      <w:tblPr>
        <w:tblW w:w="5391" w:type="pct"/>
        <w:jc w:val="center"/>
        <w:tblCellMar>
          <w:left w:w="70" w:type="dxa"/>
          <w:right w:w="70" w:type="dxa"/>
        </w:tblCellMar>
        <w:tblLook w:val="04A0" w:firstRow="1" w:lastRow="0" w:firstColumn="1" w:lastColumn="0" w:noHBand="0" w:noVBand="1"/>
      </w:tblPr>
      <w:tblGrid>
        <w:gridCol w:w="4300"/>
        <w:gridCol w:w="784"/>
        <w:gridCol w:w="1002"/>
        <w:gridCol w:w="899"/>
        <w:gridCol w:w="1274"/>
        <w:gridCol w:w="1217"/>
      </w:tblGrid>
      <w:tr w:rsidR="0088085F" w:rsidRPr="00C24098" w14:paraId="7349F177" w14:textId="77777777" w:rsidTr="00EA1A84">
        <w:trPr>
          <w:trHeight w:val="284"/>
          <w:jc w:val="center"/>
        </w:trPr>
        <w:tc>
          <w:tcPr>
            <w:tcW w:w="4300" w:type="dxa"/>
            <w:tcBorders>
              <w:top w:val="single" w:sz="4" w:space="0" w:color="auto"/>
              <w:left w:val="nil"/>
              <w:bottom w:val="single" w:sz="4" w:space="0" w:color="auto"/>
              <w:right w:val="nil"/>
            </w:tcBorders>
            <w:shd w:val="clear" w:color="auto" w:fill="FABF8F" w:themeFill="accent6" w:themeFillTint="99"/>
            <w:noWrap/>
            <w:vAlign w:val="center"/>
            <w:hideMark/>
          </w:tcPr>
          <w:p w14:paraId="6F77DD38" w14:textId="77777777" w:rsidR="0088085F" w:rsidRPr="00C24098" w:rsidRDefault="0088085F" w:rsidP="00C24098">
            <w:pPr>
              <w:pStyle w:val="cuadroCabe"/>
              <w:jc w:val="left"/>
              <w:rPr>
                <w:sz w:val="16"/>
                <w:szCs w:val="16"/>
              </w:rPr>
            </w:pPr>
            <w:r>
              <w:rPr>
                <w:sz w:val="16"/>
                <w:szCs w:val="16"/>
              </w:rPr>
              <w:t>Adierazlea</w:t>
            </w:r>
          </w:p>
        </w:tc>
        <w:tc>
          <w:tcPr>
            <w:tcW w:w="784" w:type="dxa"/>
            <w:tcBorders>
              <w:top w:val="single" w:sz="4" w:space="0" w:color="auto"/>
              <w:left w:val="nil"/>
              <w:bottom w:val="single" w:sz="4" w:space="0" w:color="auto"/>
              <w:right w:val="nil"/>
            </w:tcBorders>
            <w:shd w:val="clear" w:color="auto" w:fill="FABF8F" w:themeFill="accent6" w:themeFillTint="99"/>
            <w:vAlign w:val="center"/>
          </w:tcPr>
          <w:p w14:paraId="646EA78D" w14:textId="77777777" w:rsidR="0088085F" w:rsidRPr="00C24098" w:rsidRDefault="0088085F" w:rsidP="00633BB6">
            <w:pPr>
              <w:pStyle w:val="cuadroCabe"/>
              <w:jc w:val="right"/>
              <w:rPr>
                <w:sz w:val="16"/>
                <w:szCs w:val="16"/>
              </w:rPr>
            </w:pPr>
            <w:r>
              <w:rPr>
                <w:sz w:val="16"/>
                <w:szCs w:val="16"/>
              </w:rPr>
              <w:t>Nafarroa</w:t>
            </w:r>
          </w:p>
        </w:tc>
        <w:tc>
          <w:tcPr>
            <w:tcW w:w="1002" w:type="dxa"/>
            <w:tcBorders>
              <w:top w:val="single" w:sz="4" w:space="0" w:color="auto"/>
              <w:left w:val="nil"/>
              <w:bottom w:val="single" w:sz="4" w:space="0" w:color="auto"/>
              <w:right w:val="nil"/>
            </w:tcBorders>
            <w:shd w:val="clear" w:color="auto" w:fill="FABF8F" w:themeFill="accent6" w:themeFillTint="99"/>
            <w:noWrap/>
            <w:vAlign w:val="center"/>
            <w:hideMark/>
          </w:tcPr>
          <w:p w14:paraId="041EAFF5" w14:textId="77777777" w:rsidR="0088085F" w:rsidRPr="00C24098" w:rsidRDefault="0088085F" w:rsidP="00633BB6">
            <w:pPr>
              <w:pStyle w:val="cuadroCabe"/>
              <w:jc w:val="right"/>
              <w:rPr>
                <w:sz w:val="16"/>
                <w:szCs w:val="16"/>
              </w:rPr>
            </w:pPr>
            <w:r>
              <w:rPr>
                <w:sz w:val="16"/>
                <w:szCs w:val="16"/>
              </w:rPr>
              <w:t>EAE</w:t>
            </w:r>
          </w:p>
        </w:tc>
        <w:tc>
          <w:tcPr>
            <w:tcW w:w="899" w:type="dxa"/>
            <w:tcBorders>
              <w:top w:val="single" w:sz="4" w:space="0" w:color="auto"/>
              <w:left w:val="nil"/>
              <w:bottom w:val="single" w:sz="4" w:space="0" w:color="auto"/>
              <w:right w:val="nil"/>
            </w:tcBorders>
            <w:shd w:val="clear" w:color="auto" w:fill="FABF8F" w:themeFill="accent6" w:themeFillTint="99"/>
            <w:noWrap/>
            <w:vAlign w:val="center"/>
            <w:hideMark/>
          </w:tcPr>
          <w:p w14:paraId="2850F46A" w14:textId="77777777" w:rsidR="00C24098" w:rsidRDefault="0088085F" w:rsidP="00633BB6">
            <w:pPr>
              <w:pStyle w:val="cuadroCabe"/>
              <w:jc w:val="right"/>
              <w:rPr>
                <w:sz w:val="16"/>
                <w:szCs w:val="16"/>
              </w:rPr>
            </w:pPr>
            <w:r>
              <w:rPr>
                <w:sz w:val="16"/>
                <w:szCs w:val="16"/>
              </w:rPr>
              <w:t xml:space="preserve">Estatuko </w:t>
            </w:r>
          </w:p>
          <w:p w14:paraId="44BD5901" w14:textId="77777777" w:rsidR="0088085F" w:rsidRPr="00C24098" w:rsidRDefault="0088085F" w:rsidP="00633BB6">
            <w:pPr>
              <w:pStyle w:val="cuadroCabe"/>
              <w:jc w:val="right"/>
              <w:rPr>
                <w:sz w:val="16"/>
                <w:szCs w:val="16"/>
              </w:rPr>
            </w:pPr>
            <w:proofErr w:type="spellStart"/>
            <w:r>
              <w:rPr>
                <w:sz w:val="16"/>
                <w:szCs w:val="16"/>
              </w:rPr>
              <w:t>gainerak</w:t>
            </w:r>
            <w:proofErr w:type="spellEnd"/>
            <w:r>
              <w:rPr>
                <w:sz w:val="16"/>
                <w:szCs w:val="16"/>
              </w:rPr>
              <w:t>.</w:t>
            </w:r>
          </w:p>
        </w:tc>
        <w:tc>
          <w:tcPr>
            <w:tcW w:w="1274" w:type="dxa"/>
            <w:tcBorders>
              <w:top w:val="single" w:sz="4" w:space="0" w:color="auto"/>
              <w:left w:val="nil"/>
              <w:bottom w:val="single" w:sz="4" w:space="0" w:color="auto"/>
              <w:right w:val="nil"/>
            </w:tcBorders>
            <w:shd w:val="clear" w:color="auto" w:fill="FABF8F" w:themeFill="accent6" w:themeFillTint="99"/>
            <w:vAlign w:val="center"/>
            <w:hideMark/>
          </w:tcPr>
          <w:p w14:paraId="2F0C54AE" w14:textId="77777777" w:rsidR="0088085F" w:rsidRPr="00C24098" w:rsidRDefault="0088085F" w:rsidP="00633BB6">
            <w:pPr>
              <w:pStyle w:val="cuadroCabe"/>
              <w:jc w:val="right"/>
              <w:rPr>
                <w:sz w:val="16"/>
                <w:szCs w:val="16"/>
              </w:rPr>
            </w:pPr>
            <w:r>
              <w:rPr>
                <w:sz w:val="16"/>
                <w:szCs w:val="16"/>
              </w:rPr>
              <w:t>Aldea Nafarroa-EAE</w:t>
            </w:r>
          </w:p>
        </w:tc>
        <w:tc>
          <w:tcPr>
            <w:tcW w:w="1217" w:type="dxa"/>
            <w:tcBorders>
              <w:top w:val="single" w:sz="4" w:space="0" w:color="auto"/>
              <w:left w:val="nil"/>
              <w:bottom w:val="single" w:sz="4" w:space="0" w:color="auto"/>
              <w:right w:val="nil"/>
            </w:tcBorders>
            <w:shd w:val="clear" w:color="auto" w:fill="FABF8F" w:themeFill="accent6" w:themeFillTint="99"/>
            <w:vAlign w:val="center"/>
            <w:hideMark/>
          </w:tcPr>
          <w:p w14:paraId="07195E79" w14:textId="77777777" w:rsidR="0088085F" w:rsidRPr="00C24098" w:rsidRDefault="0088085F" w:rsidP="00633BB6">
            <w:pPr>
              <w:pStyle w:val="cuadroCabe"/>
              <w:jc w:val="right"/>
              <w:rPr>
                <w:sz w:val="16"/>
                <w:szCs w:val="16"/>
              </w:rPr>
            </w:pPr>
            <w:r>
              <w:rPr>
                <w:sz w:val="16"/>
                <w:szCs w:val="16"/>
              </w:rPr>
              <w:t>Aldea Nafarroa-Estatua</w:t>
            </w:r>
          </w:p>
        </w:tc>
      </w:tr>
      <w:tr w:rsidR="0088085F" w:rsidRPr="00633BB6" w14:paraId="7547A237" w14:textId="77777777" w:rsidTr="00633BB6">
        <w:trPr>
          <w:trHeight w:hRule="exact" w:val="238"/>
          <w:jc w:val="center"/>
        </w:trPr>
        <w:tc>
          <w:tcPr>
            <w:tcW w:w="4300" w:type="dxa"/>
            <w:tcBorders>
              <w:top w:val="single" w:sz="4" w:space="0" w:color="auto"/>
              <w:left w:val="nil"/>
              <w:bottom w:val="single" w:sz="2" w:space="0" w:color="auto"/>
              <w:right w:val="nil"/>
            </w:tcBorders>
            <w:shd w:val="clear" w:color="auto" w:fill="auto"/>
            <w:vAlign w:val="center"/>
            <w:hideMark/>
          </w:tcPr>
          <w:p w14:paraId="76C15432" w14:textId="77777777" w:rsidR="0088085F" w:rsidRPr="00633BB6" w:rsidRDefault="0088085F" w:rsidP="00C24098">
            <w:pPr>
              <w:pStyle w:val="cuatexto"/>
              <w:jc w:val="left"/>
              <w:rPr>
                <w:sz w:val="18"/>
                <w:szCs w:val="18"/>
              </w:rPr>
            </w:pPr>
            <w:r>
              <w:rPr>
                <w:sz w:val="18"/>
                <w:szCs w:val="18"/>
              </w:rPr>
              <w:t>Diru-sarrera arruntak (biztanleko)</w:t>
            </w:r>
          </w:p>
        </w:tc>
        <w:tc>
          <w:tcPr>
            <w:tcW w:w="784" w:type="dxa"/>
            <w:tcBorders>
              <w:top w:val="single" w:sz="4" w:space="0" w:color="auto"/>
              <w:left w:val="nil"/>
              <w:bottom w:val="single" w:sz="2" w:space="0" w:color="auto"/>
              <w:right w:val="nil"/>
            </w:tcBorders>
            <w:vAlign w:val="center"/>
          </w:tcPr>
          <w:p w14:paraId="71C7E6A4" w14:textId="77777777" w:rsidR="0088085F" w:rsidRPr="00633BB6" w:rsidRDefault="0088085F" w:rsidP="00633BB6">
            <w:pPr>
              <w:pStyle w:val="cuatexto"/>
              <w:jc w:val="right"/>
              <w:rPr>
                <w:sz w:val="18"/>
                <w:szCs w:val="18"/>
              </w:rPr>
            </w:pPr>
            <w:r>
              <w:rPr>
                <w:sz w:val="18"/>
                <w:szCs w:val="18"/>
              </w:rPr>
              <w:t>1.032</w:t>
            </w:r>
          </w:p>
        </w:tc>
        <w:tc>
          <w:tcPr>
            <w:tcW w:w="1002" w:type="dxa"/>
            <w:tcBorders>
              <w:top w:val="single" w:sz="4" w:space="0" w:color="auto"/>
              <w:left w:val="nil"/>
              <w:bottom w:val="single" w:sz="2" w:space="0" w:color="auto"/>
              <w:right w:val="nil"/>
            </w:tcBorders>
            <w:shd w:val="clear" w:color="auto" w:fill="auto"/>
            <w:noWrap/>
            <w:vAlign w:val="center"/>
            <w:hideMark/>
          </w:tcPr>
          <w:p w14:paraId="1CE811C0" w14:textId="77777777" w:rsidR="0088085F" w:rsidRPr="00633BB6" w:rsidRDefault="0088085F" w:rsidP="00633BB6">
            <w:pPr>
              <w:pStyle w:val="cuatexto"/>
              <w:jc w:val="right"/>
              <w:rPr>
                <w:sz w:val="18"/>
                <w:szCs w:val="18"/>
              </w:rPr>
            </w:pPr>
            <w:r>
              <w:rPr>
                <w:sz w:val="18"/>
                <w:szCs w:val="18"/>
              </w:rPr>
              <w:t>1.398</w:t>
            </w:r>
          </w:p>
        </w:tc>
        <w:tc>
          <w:tcPr>
            <w:tcW w:w="899" w:type="dxa"/>
            <w:tcBorders>
              <w:top w:val="single" w:sz="4" w:space="0" w:color="auto"/>
              <w:left w:val="nil"/>
              <w:bottom w:val="single" w:sz="2" w:space="0" w:color="auto"/>
              <w:right w:val="nil"/>
            </w:tcBorders>
            <w:shd w:val="clear" w:color="auto" w:fill="auto"/>
            <w:noWrap/>
            <w:vAlign w:val="center"/>
            <w:hideMark/>
          </w:tcPr>
          <w:p w14:paraId="0DFDA315" w14:textId="77777777" w:rsidR="0088085F" w:rsidRPr="00633BB6" w:rsidRDefault="0088085F" w:rsidP="00633BB6">
            <w:pPr>
              <w:pStyle w:val="cuatexto"/>
              <w:jc w:val="right"/>
              <w:rPr>
                <w:sz w:val="18"/>
                <w:szCs w:val="18"/>
              </w:rPr>
            </w:pPr>
            <w:r>
              <w:rPr>
                <w:sz w:val="18"/>
                <w:szCs w:val="18"/>
              </w:rPr>
              <w:t>1.032</w:t>
            </w:r>
          </w:p>
        </w:tc>
        <w:tc>
          <w:tcPr>
            <w:tcW w:w="1274" w:type="dxa"/>
            <w:tcBorders>
              <w:top w:val="single" w:sz="4" w:space="0" w:color="auto"/>
              <w:left w:val="nil"/>
              <w:bottom w:val="single" w:sz="2" w:space="0" w:color="auto"/>
              <w:right w:val="nil"/>
            </w:tcBorders>
            <w:shd w:val="clear" w:color="auto" w:fill="auto"/>
            <w:noWrap/>
            <w:vAlign w:val="center"/>
            <w:hideMark/>
          </w:tcPr>
          <w:p w14:paraId="5666162C" w14:textId="77777777" w:rsidR="0088085F" w:rsidRPr="00633BB6" w:rsidRDefault="0088085F" w:rsidP="00633BB6">
            <w:pPr>
              <w:pStyle w:val="cuatexto"/>
              <w:jc w:val="right"/>
              <w:rPr>
                <w:sz w:val="18"/>
                <w:szCs w:val="18"/>
              </w:rPr>
            </w:pPr>
            <w:r>
              <w:rPr>
                <w:sz w:val="18"/>
                <w:szCs w:val="18"/>
              </w:rPr>
              <w:t>-366</w:t>
            </w:r>
          </w:p>
        </w:tc>
        <w:tc>
          <w:tcPr>
            <w:tcW w:w="1217" w:type="dxa"/>
            <w:tcBorders>
              <w:top w:val="single" w:sz="4" w:space="0" w:color="auto"/>
              <w:left w:val="nil"/>
              <w:bottom w:val="single" w:sz="2" w:space="0" w:color="auto"/>
              <w:right w:val="nil"/>
            </w:tcBorders>
            <w:shd w:val="clear" w:color="auto" w:fill="auto"/>
            <w:noWrap/>
            <w:vAlign w:val="center"/>
            <w:hideMark/>
          </w:tcPr>
          <w:p w14:paraId="256D8302" w14:textId="77777777" w:rsidR="0088085F" w:rsidRPr="00633BB6" w:rsidRDefault="0088085F" w:rsidP="00633BB6">
            <w:pPr>
              <w:pStyle w:val="cuatexto"/>
              <w:jc w:val="right"/>
              <w:rPr>
                <w:sz w:val="18"/>
                <w:szCs w:val="18"/>
              </w:rPr>
            </w:pPr>
            <w:r>
              <w:rPr>
                <w:sz w:val="18"/>
                <w:szCs w:val="18"/>
              </w:rPr>
              <w:t>1</w:t>
            </w:r>
          </w:p>
        </w:tc>
      </w:tr>
      <w:tr w:rsidR="0088085F" w:rsidRPr="00633BB6" w14:paraId="60DF2F46"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vAlign w:val="center"/>
            <w:hideMark/>
          </w:tcPr>
          <w:p w14:paraId="5827048D" w14:textId="77777777" w:rsidR="0088085F" w:rsidRPr="00633BB6" w:rsidRDefault="0088085F" w:rsidP="00C24098">
            <w:pPr>
              <w:pStyle w:val="cuatexto"/>
              <w:jc w:val="left"/>
              <w:rPr>
                <w:sz w:val="18"/>
                <w:szCs w:val="18"/>
              </w:rPr>
            </w:pPr>
            <w:r>
              <w:rPr>
                <w:sz w:val="18"/>
                <w:szCs w:val="18"/>
              </w:rPr>
              <w:t>Funtzionamendu gastuak (biztanleko)</w:t>
            </w:r>
          </w:p>
        </w:tc>
        <w:tc>
          <w:tcPr>
            <w:tcW w:w="784" w:type="dxa"/>
            <w:tcBorders>
              <w:top w:val="single" w:sz="2" w:space="0" w:color="auto"/>
              <w:left w:val="nil"/>
              <w:bottom w:val="single" w:sz="2" w:space="0" w:color="auto"/>
              <w:right w:val="nil"/>
            </w:tcBorders>
            <w:vAlign w:val="center"/>
          </w:tcPr>
          <w:p w14:paraId="6BE676B4" w14:textId="77777777" w:rsidR="0088085F" w:rsidRPr="00633BB6" w:rsidRDefault="0088085F" w:rsidP="00633BB6">
            <w:pPr>
              <w:pStyle w:val="cuatexto"/>
              <w:jc w:val="right"/>
              <w:rPr>
                <w:sz w:val="18"/>
                <w:szCs w:val="18"/>
              </w:rPr>
            </w:pPr>
            <w:r>
              <w:rPr>
                <w:sz w:val="18"/>
                <w:szCs w:val="18"/>
              </w:rPr>
              <w:t>838</w:t>
            </w:r>
          </w:p>
        </w:tc>
        <w:tc>
          <w:tcPr>
            <w:tcW w:w="1002" w:type="dxa"/>
            <w:tcBorders>
              <w:top w:val="single" w:sz="2" w:space="0" w:color="auto"/>
              <w:left w:val="nil"/>
              <w:bottom w:val="single" w:sz="2" w:space="0" w:color="auto"/>
              <w:right w:val="nil"/>
            </w:tcBorders>
            <w:shd w:val="clear" w:color="auto" w:fill="auto"/>
            <w:noWrap/>
            <w:vAlign w:val="center"/>
            <w:hideMark/>
          </w:tcPr>
          <w:p w14:paraId="0364BD4C" w14:textId="77777777" w:rsidR="0088085F" w:rsidRPr="00633BB6" w:rsidRDefault="0088085F" w:rsidP="00633BB6">
            <w:pPr>
              <w:pStyle w:val="cuatexto"/>
              <w:jc w:val="right"/>
              <w:rPr>
                <w:sz w:val="18"/>
                <w:szCs w:val="18"/>
              </w:rPr>
            </w:pPr>
            <w:r>
              <w:rPr>
                <w:sz w:val="18"/>
                <w:szCs w:val="18"/>
              </w:rPr>
              <w:t>1.131</w:t>
            </w:r>
          </w:p>
        </w:tc>
        <w:tc>
          <w:tcPr>
            <w:tcW w:w="899" w:type="dxa"/>
            <w:tcBorders>
              <w:top w:val="single" w:sz="2" w:space="0" w:color="auto"/>
              <w:left w:val="nil"/>
              <w:bottom w:val="single" w:sz="2" w:space="0" w:color="auto"/>
              <w:right w:val="nil"/>
            </w:tcBorders>
            <w:shd w:val="clear" w:color="auto" w:fill="auto"/>
            <w:noWrap/>
            <w:vAlign w:val="center"/>
            <w:hideMark/>
          </w:tcPr>
          <w:p w14:paraId="4ABEC149" w14:textId="77777777" w:rsidR="0088085F" w:rsidRPr="00633BB6" w:rsidRDefault="0088085F" w:rsidP="00633BB6">
            <w:pPr>
              <w:pStyle w:val="cuatexto"/>
              <w:jc w:val="right"/>
              <w:rPr>
                <w:sz w:val="18"/>
                <w:szCs w:val="18"/>
              </w:rPr>
            </w:pPr>
            <w:r>
              <w:rPr>
                <w:sz w:val="18"/>
                <w:szCs w:val="18"/>
              </w:rPr>
              <w:t>848</w:t>
            </w:r>
          </w:p>
        </w:tc>
        <w:tc>
          <w:tcPr>
            <w:tcW w:w="1274" w:type="dxa"/>
            <w:tcBorders>
              <w:top w:val="single" w:sz="2" w:space="0" w:color="auto"/>
              <w:left w:val="nil"/>
              <w:bottom w:val="single" w:sz="2" w:space="0" w:color="auto"/>
              <w:right w:val="nil"/>
            </w:tcBorders>
            <w:shd w:val="clear" w:color="auto" w:fill="auto"/>
            <w:noWrap/>
            <w:vAlign w:val="center"/>
            <w:hideMark/>
          </w:tcPr>
          <w:p w14:paraId="1309DB99" w14:textId="77777777" w:rsidR="0088085F" w:rsidRPr="00633BB6" w:rsidRDefault="0088085F" w:rsidP="00633BB6">
            <w:pPr>
              <w:pStyle w:val="cuatexto"/>
              <w:jc w:val="right"/>
              <w:rPr>
                <w:sz w:val="18"/>
                <w:szCs w:val="18"/>
              </w:rPr>
            </w:pPr>
            <w:r>
              <w:rPr>
                <w:sz w:val="18"/>
                <w:szCs w:val="18"/>
              </w:rPr>
              <w:t>-293</w:t>
            </w:r>
          </w:p>
        </w:tc>
        <w:tc>
          <w:tcPr>
            <w:tcW w:w="1217" w:type="dxa"/>
            <w:tcBorders>
              <w:top w:val="single" w:sz="2" w:space="0" w:color="auto"/>
              <w:left w:val="nil"/>
              <w:bottom w:val="single" w:sz="2" w:space="0" w:color="auto"/>
              <w:right w:val="nil"/>
            </w:tcBorders>
            <w:shd w:val="clear" w:color="auto" w:fill="auto"/>
            <w:noWrap/>
            <w:vAlign w:val="center"/>
            <w:hideMark/>
          </w:tcPr>
          <w:p w14:paraId="7C3A3A65" w14:textId="77777777" w:rsidR="0088085F" w:rsidRPr="00633BB6" w:rsidRDefault="0088085F" w:rsidP="00633BB6">
            <w:pPr>
              <w:pStyle w:val="cuatexto"/>
              <w:jc w:val="right"/>
              <w:rPr>
                <w:sz w:val="18"/>
                <w:szCs w:val="18"/>
              </w:rPr>
            </w:pPr>
            <w:r>
              <w:rPr>
                <w:sz w:val="18"/>
                <w:szCs w:val="18"/>
              </w:rPr>
              <w:t>-10</w:t>
            </w:r>
          </w:p>
        </w:tc>
      </w:tr>
      <w:tr w:rsidR="0088085F" w:rsidRPr="00633BB6" w14:paraId="3949087A"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vAlign w:val="center"/>
            <w:hideMark/>
          </w:tcPr>
          <w:p w14:paraId="6D25708F" w14:textId="77777777" w:rsidR="0088085F" w:rsidRPr="00633BB6" w:rsidRDefault="0088085F" w:rsidP="00C24098">
            <w:pPr>
              <w:pStyle w:val="cuatexto"/>
              <w:jc w:val="left"/>
              <w:rPr>
                <w:sz w:val="18"/>
                <w:szCs w:val="18"/>
              </w:rPr>
            </w:pPr>
            <w:r>
              <w:rPr>
                <w:sz w:val="18"/>
                <w:szCs w:val="18"/>
              </w:rPr>
              <w:t>Finantza-zama (biztanleko)</w:t>
            </w:r>
          </w:p>
        </w:tc>
        <w:tc>
          <w:tcPr>
            <w:tcW w:w="784" w:type="dxa"/>
            <w:tcBorders>
              <w:top w:val="single" w:sz="2" w:space="0" w:color="auto"/>
              <w:left w:val="nil"/>
              <w:bottom w:val="single" w:sz="2" w:space="0" w:color="auto"/>
              <w:right w:val="nil"/>
            </w:tcBorders>
            <w:vAlign w:val="center"/>
          </w:tcPr>
          <w:p w14:paraId="505C1FE0" w14:textId="77777777" w:rsidR="0088085F" w:rsidRPr="00633BB6" w:rsidRDefault="0088085F" w:rsidP="00633BB6">
            <w:pPr>
              <w:pStyle w:val="cuatexto"/>
              <w:jc w:val="right"/>
              <w:rPr>
                <w:sz w:val="18"/>
                <w:szCs w:val="18"/>
              </w:rPr>
            </w:pPr>
            <w:r>
              <w:rPr>
                <w:sz w:val="18"/>
                <w:szCs w:val="18"/>
              </w:rPr>
              <w:t>41</w:t>
            </w:r>
          </w:p>
        </w:tc>
        <w:tc>
          <w:tcPr>
            <w:tcW w:w="1002" w:type="dxa"/>
            <w:tcBorders>
              <w:top w:val="single" w:sz="2" w:space="0" w:color="auto"/>
              <w:left w:val="nil"/>
              <w:bottom w:val="single" w:sz="2" w:space="0" w:color="auto"/>
              <w:right w:val="nil"/>
            </w:tcBorders>
            <w:shd w:val="clear" w:color="auto" w:fill="auto"/>
            <w:noWrap/>
            <w:vAlign w:val="center"/>
            <w:hideMark/>
          </w:tcPr>
          <w:p w14:paraId="793FAD03" w14:textId="77777777" w:rsidR="0088085F" w:rsidRPr="00633BB6" w:rsidRDefault="0088085F" w:rsidP="00633BB6">
            <w:pPr>
              <w:pStyle w:val="cuatexto"/>
              <w:jc w:val="right"/>
              <w:rPr>
                <w:sz w:val="18"/>
                <w:szCs w:val="18"/>
              </w:rPr>
            </w:pPr>
            <w:r>
              <w:rPr>
                <w:sz w:val="18"/>
                <w:szCs w:val="18"/>
              </w:rPr>
              <w:t>27</w:t>
            </w:r>
          </w:p>
        </w:tc>
        <w:tc>
          <w:tcPr>
            <w:tcW w:w="899" w:type="dxa"/>
            <w:tcBorders>
              <w:top w:val="single" w:sz="2" w:space="0" w:color="auto"/>
              <w:left w:val="nil"/>
              <w:bottom w:val="single" w:sz="2" w:space="0" w:color="auto"/>
              <w:right w:val="nil"/>
            </w:tcBorders>
            <w:shd w:val="clear" w:color="auto" w:fill="auto"/>
            <w:noWrap/>
            <w:vAlign w:val="center"/>
            <w:hideMark/>
          </w:tcPr>
          <w:p w14:paraId="1ADD47B9" w14:textId="77777777" w:rsidR="0088085F" w:rsidRPr="00633BB6" w:rsidRDefault="0088085F" w:rsidP="00633BB6">
            <w:pPr>
              <w:pStyle w:val="cuatexto"/>
              <w:jc w:val="right"/>
              <w:rPr>
                <w:sz w:val="18"/>
                <w:szCs w:val="18"/>
              </w:rPr>
            </w:pPr>
            <w:r>
              <w:rPr>
                <w:sz w:val="18"/>
                <w:szCs w:val="18"/>
              </w:rPr>
              <w:t>81</w:t>
            </w:r>
          </w:p>
        </w:tc>
        <w:tc>
          <w:tcPr>
            <w:tcW w:w="1274" w:type="dxa"/>
            <w:tcBorders>
              <w:top w:val="single" w:sz="2" w:space="0" w:color="auto"/>
              <w:left w:val="nil"/>
              <w:bottom w:val="single" w:sz="2" w:space="0" w:color="auto"/>
              <w:right w:val="nil"/>
            </w:tcBorders>
            <w:shd w:val="clear" w:color="auto" w:fill="auto"/>
            <w:noWrap/>
            <w:vAlign w:val="center"/>
            <w:hideMark/>
          </w:tcPr>
          <w:p w14:paraId="361552F5" w14:textId="77777777" w:rsidR="0088085F" w:rsidRPr="00633BB6" w:rsidRDefault="0088085F" w:rsidP="00633BB6">
            <w:pPr>
              <w:pStyle w:val="cuatexto"/>
              <w:jc w:val="right"/>
              <w:rPr>
                <w:sz w:val="18"/>
                <w:szCs w:val="18"/>
              </w:rPr>
            </w:pPr>
            <w:r>
              <w:rPr>
                <w:sz w:val="18"/>
                <w:szCs w:val="18"/>
              </w:rPr>
              <w:t>14</w:t>
            </w:r>
          </w:p>
        </w:tc>
        <w:tc>
          <w:tcPr>
            <w:tcW w:w="1217" w:type="dxa"/>
            <w:tcBorders>
              <w:top w:val="single" w:sz="2" w:space="0" w:color="auto"/>
              <w:left w:val="nil"/>
              <w:bottom w:val="single" w:sz="2" w:space="0" w:color="auto"/>
              <w:right w:val="nil"/>
            </w:tcBorders>
            <w:shd w:val="clear" w:color="auto" w:fill="auto"/>
            <w:noWrap/>
            <w:vAlign w:val="center"/>
            <w:hideMark/>
          </w:tcPr>
          <w:p w14:paraId="6B1C572B" w14:textId="77777777" w:rsidR="0088085F" w:rsidRPr="00633BB6" w:rsidRDefault="0088085F" w:rsidP="00633BB6">
            <w:pPr>
              <w:pStyle w:val="cuatexto"/>
              <w:jc w:val="right"/>
              <w:rPr>
                <w:sz w:val="18"/>
                <w:szCs w:val="18"/>
              </w:rPr>
            </w:pPr>
            <w:r>
              <w:rPr>
                <w:sz w:val="18"/>
                <w:szCs w:val="18"/>
              </w:rPr>
              <w:t>-40</w:t>
            </w:r>
          </w:p>
        </w:tc>
      </w:tr>
      <w:tr w:rsidR="0088085F" w:rsidRPr="00633BB6" w14:paraId="49373A9B"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41D713E6" w14:textId="77777777" w:rsidR="0088085F" w:rsidRPr="00633BB6" w:rsidRDefault="0088085F" w:rsidP="00C24098">
            <w:pPr>
              <w:pStyle w:val="cuatexto"/>
              <w:jc w:val="left"/>
              <w:rPr>
                <w:sz w:val="18"/>
                <w:szCs w:val="18"/>
              </w:rPr>
            </w:pPr>
            <w:r>
              <w:rPr>
                <w:sz w:val="18"/>
                <w:szCs w:val="18"/>
              </w:rPr>
              <w:t>Aurrezki gordina (biztanleko)</w:t>
            </w:r>
          </w:p>
        </w:tc>
        <w:tc>
          <w:tcPr>
            <w:tcW w:w="784" w:type="dxa"/>
            <w:tcBorders>
              <w:top w:val="single" w:sz="2" w:space="0" w:color="auto"/>
              <w:left w:val="nil"/>
              <w:bottom w:val="single" w:sz="2" w:space="0" w:color="auto"/>
              <w:right w:val="nil"/>
            </w:tcBorders>
            <w:vAlign w:val="center"/>
          </w:tcPr>
          <w:p w14:paraId="732347C0" w14:textId="77777777" w:rsidR="0088085F" w:rsidRPr="00633BB6" w:rsidRDefault="0088085F" w:rsidP="00633BB6">
            <w:pPr>
              <w:pStyle w:val="cuatexto"/>
              <w:jc w:val="right"/>
              <w:rPr>
                <w:sz w:val="18"/>
                <w:szCs w:val="18"/>
              </w:rPr>
            </w:pPr>
            <w:r>
              <w:rPr>
                <w:sz w:val="18"/>
                <w:szCs w:val="18"/>
              </w:rPr>
              <w:t>195</w:t>
            </w:r>
          </w:p>
        </w:tc>
        <w:tc>
          <w:tcPr>
            <w:tcW w:w="1002" w:type="dxa"/>
            <w:tcBorders>
              <w:top w:val="single" w:sz="2" w:space="0" w:color="auto"/>
              <w:left w:val="nil"/>
              <w:bottom w:val="single" w:sz="2" w:space="0" w:color="auto"/>
              <w:right w:val="nil"/>
            </w:tcBorders>
            <w:shd w:val="clear" w:color="auto" w:fill="auto"/>
            <w:noWrap/>
            <w:vAlign w:val="center"/>
            <w:hideMark/>
          </w:tcPr>
          <w:p w14:paraId="2B8491DA" w14:textId="77777777" w:rsidR="0088085F" w:rsidRPr="00633BB6" w:rsidRDefault="0088085F" w:rsidP="00633BB6">
            <w:pPr>
              <w:pStyle w:val="cuatexto"/>
              <w:jc w:val="right"/>
              <w:rPr>
                <w:sz w:val="18"/>
                <w:szCs w:val="18"/>
              </w:rPr>
            </w:pPr>
            <w:r>
              <w:rPr>
                <w:sz w:val="18"/>
                <w:szCs w:val="18"/>
              </w:rPr>
              <w:t>267</w:t>
            </w:r>
          </w:p>
        </w:tc>
        <w:tc>
          <w:tcPr>
            <w:tcW w:w="899" w:type="dxa"/>
            <w:tcBorders>
              <w:top w:val="single" w:sz="2" w:space="0" w:color="auto"/>
              <w:left w:val="nil"/>
              <w:bottom w:val="single" w:sz="2" w:space="0" w:color="auto"/>
              <w:right w:val="nil"/>
            </w:tcBorders>
            <w:shd w:val="clear" w:color="auto" w:fill="auto"/>
            <w:noWrap/>
            <w:vAlign w:val="center"/>
            <w:hideMark/>
          </w:tcPr>
          <w:p w14:paraId="17DC30D7" w14:textId="77777777" w:rsidR="0088085F" w:rsidRPr="00633BB6" w:rsidRDefault="0088085F" w:rsidP="00633BB6">
            <w:pPr>
              <w:pStyle w:val="cuatexto"/>
              <w:jc w:val="right"/>
              <w:rPr>
                <w:sz w:val="18"/>
                <w:szCs w:val="18"/>
              </w:rPr>
            </w:pPr>
            <w:r>
              <w:rPr>
                <w:sz w:val="18"/>
                <w:szCs w:val="18"/>
              </w:rPr>
              <w:t>184</w:t>
            </w:r>
          </w:p>
        </w:tc>
        <w:tc>
          <w:tcPr>
            <w:tcW w:w="1274" w:type="dxa"/>
            <w:tcBorders>
              <w:top w:val="single" w:sz="2" w:space="0" w:color="auto"/>
              <w:left w:val="nil"/>
              <w:bottom w:val="single" w:sz="2" w:space="0" w:color="auto"/>
              <w:right w:val="nil"/>
            </w:tcBorders>
            <w:shd w:val="clear" w:color="auto" w:fill="auto"/>
            <w:noWrap/>
            <w:vAlign w:val="center"/>
            <w:hideMark/>
          </w:tcPr>
          <w:p w14:paraId="754A5702" w14:textId="77777777" w:rsidR="0088085F" w:rsidRPr="00633BB6" w:rsidRDefault="0088085F" w:rsidP="00633BB6">
            <w:pPr>
              <w:pStyle w:val="cuatexto"/>
              <w:jc w:val="right"/>
              <w:rPr>
                <w:sz w:val="18"/>
                <w:szCs w:val="18"/>
              </w:rPr>
            </w:pPr>
            <w:r>
              <w:rPr>
                <w:sz w:val="18"/>
                <w:szCs w:val="18"/>
              </w:rPr>
              <w:t>-73</w:t>
            </w:r>
          </w:p>
        </w:tc>
        <w:tc>
          <w:tcPr>
            <w:tcW w:w="1217" w:type="dxa"/>
            <w:tcBorders>
              <w:top w:val="single" w:sz="2" w:space="0" w:color="auto"/>
              <w:left w:val="nil"/>
              <w:bottom w:val="single" w:sz="2" w:space="0" w:color="auto"/>
              <w:right w:val="nil"/>
            </w:tcBorders>
            <w:shd w:val="clear" w:color="auto" w:fill="auto"/>
            <w:noWrap/>
            <w:vAlign w:val="center"/>
            <w:hideMark/>
          </w:tcPr>
          <w:p w14:paraId="3FF8DCB1" w14:textId="77777777" w:rsidR="0088085F" w:rsidRPr="00633BB6" w:rsidRDefault="0088085F" w:rsidP="00633BB6">
            <w:pPr>
              <w:pStyle w:val="cuatexto"/>
              <w:jc w:val="right"/>
              <w:rPr>
                <w:sz w:val="18"/>
                <w:szCs w:val="18"/>
              </w:rPr>
            </w:pPr>
            <w:r>
              <w:rPr>
                <w:sz w:val="18"/>
                <w:szCs w:val="18"/>
              </w:rPr>
              <w:t>11</w:t>
            </w:r>
          </w:p>
        </w:tc>
      </w:tr>
      <w:tr w:rsidR="0088085F" w:rsidRPr="00633BB6" w14:paraId="25A4786E" w14:textId="77777777" w:rsidTr="00633BB6">
        <w:trPr>
          <w:trHeight w:hRule="exact" w:val="290"/>
          <w:jc w:val="center"/>
        </w:trPr>
        <w:tc>
          <w:tcPr>
            <w:tcW w:w="4300" w:type="dxa"/>
            <w:tcBorders>
              <w:top w:val="single" w:sz="2" w:space="0" w:color="auto"/>
              <w:left w:val="nil"/>
              <w:bottom w:val="single" w:sz="2" w:space="0" w:color="auto"/>
              <w:right w:val="nil"/>
            </w:tcBorders>
            <w:shd w:val="clear" w:color="auto" w:fill="auto"/>
            <w:noWrap/>
            <w:vAlign w:val="center"/>
            <w:hideMark/>
          </w:tcPr>
          <w:p w14:paraId="66D03103" w14:textId="77777777" w:rsidR="0088085F" w:rsidRPr="00633BB6" w:rsidRDefault="0088085F" w:rsidP="00C24098">
            <w:pPr>
              <w:pStyle w:val="cuatexto"/>
              <w:jc w:val="left"/>
              <w:rPr>
                <w:sz w:val="18"/>
                <w:szCs w:val="18"/>
              </w:rPr>
            </w:pPr>
            <w:r>
              <w:rPr>
                <w:sz w:val="18"/>
                <w:szCs w:val="18"/>
              </w:rPr>
              <w:t>Aurrezki garbia (biztanleko)</w:t>
            </w:r>
          </w:p>
        </w:tc>
        <w:tc>
          <w:tcPr>
            <w:tcW w:w="784" w:type="dxa"/>
            <w:tcBorders>
              <w:top w:val="single" w:sz="2" w:space="0" w:color="auto"/>
              <w:left w:val="nil"/>
              <w:bottom w:val="single" w:sz="2" w:space="0" w:color="auto"/>
              <w:right w:val="nil"/>
            </w:tcBorders>
            <w:vAlign w:val="center"/>
          </w:tcPr>
          <w:p w14:paraId="5BF51EB9" w14:textId="77777777" w:rsidR="0088085F" w:rsidRPr="00633BB6" w:rsidRDefault="0088085F" w:rsidP="00633BB6">
            <w:pPr>
              <w:pStyle w:val="cuatexto"/>
              <w:jc w:val="right"/>
              <w:rPr>
                <w:sz w:val="18"/>
                <w:szCs w:val="18"/>
              </w:rPr>
            </w:pPr>
            <w:r>
              <w:rPr>
                <w:sz w:val="18"/>
                <w:szCs w:val="18"/>
              </w:rPr>
              <w:t>154</w:t>
            </w:r>
          </w:p>
        </w:tc>
        <w:tc>
          <w:tcPr>
            <w:tcW w:w="1002" w:type="dxa"/>
            <w:tcBorders>
              <w:top w:val="single" w:sz="2" w:space="0" w:color="auto"/>
              <w:left w:val="nil"/>
              <w:bottom w:val="single" w:sz="2" w:space="0" w:color="auto"/>
              <w:right w:val="nil"/>
            </w:tcBorders>
            <w:shd w:val="clear" w:color="auto" w:fill="auto"/>
            <w:noWrap/>
            <w:vAlign w:val="center"/>
            <w:hideMark/>
          </w:tcPr>
          <w:p w14:paraId="65A888DB" w14:textId="77777777" w:rsidR="0088085F" w:rsidRPr="00633BB6" w:rsidRDefault="0088085F" w:rsidP="00633BB6">
            <w:pPr>
              <w:pStyle w:val="cuatexto"/>
              <w:jc w:val="right"/>
              <w:rPr>
                <w:sz w:val="18"/>
                <w:szCs w:val="18"/>
              </w:rPr>
            </w:pPr>
            <w:r>
              <w:rPr>
                <w:sz w:val="18"/>
                <w:szCs w:val="18"/>
              </w:rPr>
              <w:t>240</w:t>
            </w:r>
          </w:p>
        </w:tc>
        <w:tc>
          <w:tcPr>
            <w:tcW w:w="899" w:type="dxa"/>
            <w:tcBorders>
              <w:top w:val="single" w:sz="2" w:space="0" w:color="auto"/>
              <w:left w:val="nil"/>
              <w:bottom w:val="single" w:sz="2" w:space="0" w:color="auto"/>
              <w:right w:val="nil"/>
            </w:tcBorders>
            <w:shd w:val="clear" w:color="auto" w:fill="auto"/>
            <w:noWrap/>
            <w:vAlign w:val="center"/>
            <w:hideMark/>
          </w:tcPr>
          <w:p w14:paraId="0D9717BF" w14:textId="77777777" w:rsidR="0088085F" w:rsidRPr="00633BB6" w:rsidRDefault="0088085F" w:rsidP="00633BB6">
            <w:pPr>
              <w:pStyle w:val="cuatexto"/>
              <w:jc w:val="right"/>
              <w:rPr>
                <w:sz w:val="18"/>
                <w:szCs w:val="18"/>
              </w:rPr>
            </w:pPr>
            <w:r>
              <w:rPr>
                <w:sz w:val="18"/>
                <w:szCs w:val="18"/>
              </w:rPr>
              <w:t>103</w:t>
            </w:r>
          </w:p>
        </w:tc>
        <w:tc>
          <w:tcPr>
            <w:tcW w:w="1274" w:type="dxa"/>
            <w:tcBorders>
              <w:top w:val="single" w:sz="2" w:space="0" w:color="auto"/>
              <w:left w:val="nil"/>
              <w:bottom w:val="single" w:sz="2" w:space="0" w:color="auto"/>
              <w:right w:val="nil"/>
            </w:tcBorders>
            <w:shd w:val="clear" w:color="auto" w:fill="auto"/>
            <w:noWrap/>
            <w:vAlign w:val="center"/>
            <w:hideMark/>
          </w:tcPr>
          <w:p w14:paraId="7876BA39" w14:textId="77777777" w:rsidR="0088085F" w:rsidRPr="00633BB6" w:rsidRDefault="0088085F" w:rsidP="00633BB6">
            <w:pPr>
              <w:pStyle w:val="cuatexto"/>
              <w:jc w:val="right"/>
              <w:rPr>
                <w:sz w:val="18"/>
                <w:szCs w:val="18"/>
              </w:rPr>
            </w:pPr>
            <w:r>
              <w:rPr>
                <w:sz w:val="18"/>
                <w:szCs w:val="18"/>
              </w:rPr>
              <w:t>-87</w:t>
            </w:r>
          </w:p>
        </w:tc>
        <w:tc>
          <w:tcPr>
            <w:tcW w:w="1217" w:type="dxa"/>
            <w:tcBorders>
              <w:top w:val="single" w:sz="2" w:space="0" w:color="auto"/>
              <w:left w:val="nil"/>
              <w:bottom w:val="single" w:sz="2" w:space="0" w:color="auto"/>
              <w:right w:val="nil"/>
            </w:tcBorders>
            <w:shd w:val="clear" w:color="auto" w:fill="auto"/>
            <w:noWrap/>
            <w:vAlign w:val="center"/>
            <w:hideMark/>
          </w:tcPr>
          <w:p w14:paraId="7DD3139D" w14:textId="77777777" w:rsidR="0088085F" w:rsidRPr="00633BB6" w:rsidRDefault="0088085F" w:rsidP="00633BB6">
            <w:pPr>
              <w:pStyle w:val="cuatexto"/>
              <w:jc w:val="right"/>
              <w:rPr>
                <w:sz w:val="18"/>
                <w:szCs w:val="18"/>
              </w:rPr>
            </w:pPr>
            <w:r>
              <w:rPr>
                <w:sz w:val="18"/>
                <w:szCs w:val="18"/>
              </w:rPr>
              <w:t>50</w:t>
            </w:r>
          </w:p>
        </w:tc>
      </w:tr>
      <w:tr w:rsidR="0088085F" w:rsidRPr="00633BB6" w14:paraId="6D5AA91B"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31ACDA52" w14:textId="77777777" w:rsidR="0088085F" w:rsidRPr="00633BB6" w:rsidRDefault="0088085F" w:rsidP="00C24098">
            <w:pPr>
              <w:pStyle w:val="cuatexto"/>
              <w:jc w:val="left"/>
              <w:rPr>
                <w:sz w:val="18"/>
                <w:szCs w:val="18"/>
              </w:rPr>
            </w:pPr>
            <w:r>
              <w:rPr>
                <w:sz w:val="18"/>
                <w:szCs w:val="18"/>
              </w:rPr>
              <w:t>Zor bizia (biztanleko)</w:t>
            </w:r>
          </w:p>
        </w:tc>
        <w:tc>
          <w:tcPr>
            <w:tcW w:w="784" w:type="dxa"/>
            <w:tcBorders>
              <w:top w:val="single" w:sz="2" w:space="0" w:color="auto"/>
              <w:left w:val="nil"/>
              <w:bottom w:val="single" w:sz="2" w:space="0" w:color="auto"/>
              <w:right w:val="nil"/>
            </w:tcBorders>
            <w:vAlign w:val="center"/>
          </w:tcPr>
          <w:p w14:paraId="4F4044C5" w14:textId="77777777" w:rsidR="0088085F" w:rsidRPr="007F0D71" w:rsidRDefault="00AC3578" w:rsidP="00633BB6">
            <w:pPr>
              <w:pStyle w:val="cuatexto"/>
              <w:jc w:val="right"/>
              <w:rPr>
                <w:sz w:val="18"/>
                <w:szCs w:val="18"/>
              </w:rPr>
            </w:pPr>
            <w:r>
              <w:rPr>
                <w:sz w:val="18"/>
                <w:szCs w:val="18"/>
              </w:rPr>
              <w:t>191</w:t>
            </w:r>
          </w:p>
        </w:tc>
        <w:tc>
          <w:tcPr>
            <w:tcW w:w="1002" w:type="dxa"/>
            <w:tcBorders>
              <w:top w:val="single" w:sz="2" w:space="0" w:color="auto"/>
              <w:left w:val="nil"/>
              <w:bottom w:val="single" w:sz="2" w:space="0" w:color="auto"/>
              <w:right w:val="nil"/>
            </w:tcBorders>
            <w:shd w:val="clear" w:color="auto" w:fill="auto"/>
            <w:noWrap/>
            <w:vAlign w:val="center"/>
            <w:hideMark/>
          </w:tcPr>
          <w:p w14:paraId="6F9B1042" w14:textId="77777777" w:rsidR="0088085F" w:rsidRPr="007F0D71" w:rsidRDefault="0088085F" w:rsidP="00633BB6">
            <w:pPr>
              <w:pStyle w:val="cuatexto"/>
              <w:jc w:val="right"/>
              <w:rPr>
                <w:sz w:val="18"/>
                <w:szCs w:val="18"/>
              </w:rPr>
            </w:pPr>
            <w:r>
              <w:rPr>
                <w:sz w:val="18"/>
                <w:szCs w:val="18"/>
              </w:rPr>
              <w:t>127</w:t>
            </w:r>
          </w:p>
        </w:tc>
        <w:tc>
          <w:tcPr>
            <w:tcW w:w="899" w:type="dxa"/>
            <w:tcBorders>
              <w:top w:val="single" w:sz="2" w:space="0" w:color="auto"/>
              <w:left w:val="nil"/>
              <w:bottom w:val="single" w:sz="2" w:space="0" w:color="auto"/>
              <w:right w:val="nil"/>
            </w:tcBorders>
            <w:shd w:val="clear" w:color="auto" w:fill="auto"/>
            <w:noWrap/>
            <w:vAlign w:val="center"/>
            <w:hideMark/>
          </w:tcPr>
          <w:p w14:paraId="2ACB93E3" w14:textId="77777777" w:rsidR="0088085F" w:rsidRPr="007F0D71" w:rsidRDefault="0088085F" w:rsidP="00633BB6">
            <w:pPr>
              <w:pStyle w:val="cuatexto"/>
              <w:jc w:val="right"/>
              <w:rPr>
                <w:sz w:val="18"/>
                <w:szCs w:val="18"/>
              </w:rPr>
            </w:pPr>
            <w:r>
              <w:rPr>
                <w:sz w:val="18"/>
                <w:szCs w:val="18"/>
              </w:rPr>
              <w:t>256</w:t>
            </w:r>
          </w:p>
        </w:tc>
        <w:tc>
          <w:tcPr>
            <w:tcW w:w="1274" w:type="dxa"/>
            <w:tcBorders>
              <w:top w:val="single" w:sz="2" w:space="0" w:color="auto"/>
              <w:left w:val="nil"/>
              <w:bottom w:val="single" w:sz="2" w:space="0" w:color="auto"/>
              <w:right w:val="nil"/>
            </w:tcBorders>
            <w:shd w:val="clear" w:color="auto" w:fill="auto"/>
            <w:noWrap/>
            <w:vAlign w:val="center"/>
            <w:hideMark/>
          </w:tcPr>
          <w:p w14:paraId="5EF5321F" w14:textId="77777777" w:rsidR="0088085F" w:rsidRPr="007F0D71" w:rsidRDefault="00AC3578" w:rsidP="00633BB6">
            <w:pPr>
              <w:pStyle w:val="cuatexto"/>
              <w:jc w:val="right"/>
              <w:rPr>
                <w:sz w:val="18"/>
                <w:szCs w:val="18"/>
              </w:rPr>
            </w:pPr>
            <w:r>
              <w:rPr>
                <w:sz w:val="18"/>
                <w:szCs w:val="18"/>
              </w:rPr>
              <w:t>64</w:t>
            </w:r>
          </w:p>
        </w:tc>
        <w:tc>
          <w:tcPr>
            <w:tcW w:w="1217" w:type="dxa"/>
            <w:tcBorders>
              <w:top w:val="single" w:sz="2" w:space="0" w:color="auto"/>
              <w:left w:val="nil"/>
              <w:bottom w:val="single" w:sz="2" w:space="0" w:color="auto"/>
              <w:right w:val="nil"/>
            </w:tcBorders>
            <w:shd w:val="clear" w:color="auto" w:fill="auto"/>
            <w:noWrap/>
            <w:vAlign w:val="center"/>
            <w:hideMark/>
          </w:tcPr>
          <w:p w14:paraId="7F90B41D" w14:textId="77777777" w:rsidR="0088085F" w:rsidRPr="007F0D71" w:rsidRDefault="0088085F" w:rsidP="00633BB6">
            <w:pPr>
              <w:pStyle w:val="cuatexto"/>
              <w:jc w:val="right"/>
              <w:rPr>
                <w:sz w:val="18"/>
                <w:szCs w:val="18"/>
              </w:rPr>
            </w:pPr>
            <w:r>
              <w:rPr>
                <w:sz w:val="18"/>
                <w:szCs w:val="18"/>
              </w:rPr>
              <w:t>-65</w:t>
            </w:r>
          </w:p>
        </w:tc>
      </w:tr>
      <w:tr w:rsidR="0088085F" w:rsidRPr="00633BB6" w14:paraId="67900531"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4A16524A" w14:textId="77777777" w:rsidR="0088085F" w:rsidRPr="00633BB6" w:rsidRDefault="0088085F" w:rsidP="00C24098">
            <w:pPr>
              <w:pStyle w:val="cuatexto"/>
              <w:jc w:val="left"/>
              <w:rPr>
                <w:sz w:val="18"/>
                <w:szCs w:val="18"/>
              </w:rPr>
            </w:pPr>
            <w:r>
              <w:rPr>
                <w:sz w:val="18"/>
                <w:szCs w:val="18"/>
              </w:rPr>
              <w:t>Zorpetze-maila (% zor bizia/diru-sarrera arruntak)</w:t>
            </w:r>
          </w:p>
        </w:tc>
        <w:tc>
          <w:tcPr>
            <w:tcW w:w="784" w:type="dxa"/>
            <w:tcBorders>
              <w:top w:val="single" w:sz="2" w:space="0" w:color="auto"/>
              <w:left w:val="nil"/>
              <w:bottom w:val="single" w:sz="2" w:space="0" w:color="auto"/>
              <w:right w:val="nil"/>
            </w:tcBorders>
            <w:vAlign w:val="center"/>
          </w:tcPr>
          <w:p w14:paraId="555FC6DC" w14:textId="77777777" w:rsidR="0088085F" w:rsidRPr="00633BB6" w:rsidRDefault="0088085F" w:rsidP="00633BB6">
            <w:pPr>
              <w:pStyle w:val="cuatexto"/>
              <w:jc w:val="right"/>
              <w:rPr>
                <w:sz w:val="18"/>
                <w:szCs w:val="18"/>
              </w:rPr>
            </w:pPr>
            <w:r>
              <w:rPr>
                <w:sz w:val="18"/>
                <w:szCs w:val="18"/>
              </w:rPr>
              <w:t>% 18</w:t>
            </w:r>
          </w:p>
        </w:tc>
        <w:tc>
          <w:tcPr>
            <w:tcW w:w="1002" w:type="dxa"/>
            <w:tcBorders>
              <w:top w:val="single" w:sz="2" w:space="0" w:color="auto"/>
              <w:left w:val="nil"/>
              <w:bottom w:val="single" w:sz="2" w:space="0" w:color="auto"/>
              <w:right w:val="nil"/>
            </w:tcBorders>
            <w:shd w:val="clear" w:color="auto" w:fill="auto"/>
            <w:noWrap/>
            <w:vAlign w:val="center"/>
            <w:hideMark/>
          </w:tcPr>
          <w:p w14:paraId="565CC7ED" w14:textId="77777777" w:rsidR="0088085F" w:rsidRPr="00633BB6" w:rsidRDefault="0088085F" w:rsidP="00633BB6">
            <w:pPr>
              <w:pStyle w:val="cuatexto"/>
              <w:jc w:val="right"/>
              <w:rPr>
                <w:sz w:val="18"/>
                <w:szCs w:val="18"/>
              </w:rPr>
            </w:pPr>
            <w:r>
              <w:rPr>
                <w:sz w:val="18"/>
                <w:szCs w:val="18"/>
              </w:rPr>
              <w:t>% 9</w:t>
            </w:r>
          </w:p>
        </w:tc>
        <w:tc>
          <w:tcPr>
            <w:tcW w:w="899" w:type="dxa"/>
            <w:tcBorders>
              <w:top w:val="single" w:sz="2" w:space="0" w:color="auto"/>
              <w:left w:val="nil"/>
              <w:bottom w:val="single" w:sz="2" w:space="0" w:color="auto"/>
              <w:right w:val="nil"/>
            </w:tcBorders>
            <w:shd w:val="clear" w:color="auto" w:fill="auto"/>
            <w:noWrap/>
            <w:vAlign w:val="center"/>
            <w:hideMark/>
          </w:tcPr>
          <w:p w14:paraId="406EBF6A" w14:textId="77777777" w:rsidR="0088085F" w:rsidRPr="00633BB6" w:rsidRDefault="0088085F" w:rsidP="00633BB6">
            <w:pPr>
              <w:pStyle w:val="cuatexto"/>
              <w:jc w:val="right"/>
              <w:rPr>
                <w:sz w:val="18"/>
                <w:szCs w:val="18"/>
              </w:rPr>
            </w:pPr>
            <w:r>
              <w:rPr>
                <w:sz w:val="18"/>
                <w:szCs w:val="18"/>
              </w:rPr>
              <w:t>% 25</w:t>
            </w:r>
          </w:p>
        </w:tc>
        <w:tc>
          <w:tcPr>
            <w:tcW w:w="1274" w:type="dxa"/>
            <w:tcBorders>
              <w:top w:val="single" w:sz="2" w:space="0" w:color="auto"/>
              <w:left w:val="nil"/>
              <w:bottom w:val="single" w:sz="2" w:space="0" w:color="auto"/>
              <w:right w:val="nil"/>
            </w:tcBorders>
            <w:shd w:val="clear" w:color="auto" w:fill="auto"/>
            <w:noWrap/>
            <w:vAlign w:val="center"/>
            <w:hideMark/>
          </w:tcPr>
          <w:p w14:paraId="73B22A0F" w14:textId="77777777" w:rsidR="0088085F" w:rsidRPr="00633BB6" w:rsidRDefault="00FE4FE4" w:rsidP="00633BB6">
            <w:pPr>
              <w:pStyle w:val="cuatexto"/>
              <w:jc w:val="right"/>
              <w:rPr>
                <w:sz w:val="18"/>
                <w:szCs w:val="18"/>
              </w:rPr>
            </w:pPr>
            <w:r>
              <w:rPr>
                <w:sz w:val="18"/>
                <w:szCs w:val="18"/>
              </w:rPr>
              <w:t>% 9</w:t>
            </w:r>
          </w:p>
        </w:tc>
        <w:tc>
          <w:tcPr>
            <w:tcW w:w="1217" w:type="dxa"/>
            <w:tcBorders>
              <w:top w:val="single" w:sz="2" w:space="0" w:color="auto"/>
              <w:left w:val="nil"/>
              <w:bottom w:val="single" w:sz="2" w:space="0" w:color="auto"/>
              <w:right w:val="nil"/>
            </w:tcBorders>
            <w:shd w:val="clear" w:color="auto" w:fill="auto"/>
            <w:noWrap/>
            <w:vAlign w:val="center"/>
            <w:hideMark/>
          </w:tcPr>
          <w:p w14:paraId="15047883" w14:textId="77777777" w:rsidR="0088085F" w:rsidRPr="00633BB6" w:rsidRDefault="00FE4FE4" w:rsidP="00633BB6">
            <w:pPr>
              <w:pStyle w:val="cuatexto"/>
              <w:jc w:val="right"/>
              <w:rPr>
                <w:sz w:val="18"/>
                <w:szCs w:val="18"/>
              </w:rPr>
            </w:pPr>
            <w:r>
              <w:rPr>
                <w:sz w:val="18"/>
                <w:szCs w:val="18"/>
              </w:rPr>
              <w:t>-% 7</w:t>
            </w:r>
          </w:p>
        </w:tc>
      </w:tr>
      <w:tr w:rsidR="0088085F" w:rsidRPr="00633BB6" w14:paraId="6E1E601D"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1B240D35" w14:textId="77777777" w:rsidR="0088085F" w:rsidRPr="00633BB6" w:rsidRDefault="0088085F" w:rsidP="00C24098">
            <w:pPr>
              <w:pStyle w:val="cuatexto"/>
              <w:jc w:val="left"/>
              <w:rPr>
                <w:color w:val="000000" w:themeColor="text1"/>
                <w:sz w:val="18"/>
                <w:szCs w:val="18"/>
              </w:rPr>
            </w:pPr>
            <w:r>
              <w:rPr>
                <w:color w:val="000000" w:themeColor="text1"/>
                <w:sz w:val="18"/>
                <w:szCs w:val="18"/>
              </w:rPr>
              <w:t>Finantza-zamaren indizea (3. eta 9. kap./diru-sar. arruntak)</w:t>
            </w:r>
          </w:p>
        </w:tc>
        <w:tc>
          <w:tcPr>
            <w:tcW w:w="784" w:type="dxa"/>
            <w:tcBorders>
              <w:top w:val="single" w:sz="2" w:space="0" w:color="auto"/>
              <w:left w:val="nil"/>
              <w:bottom w:val="single" w:sz="2" w:space="0" w:color="auto"/>
              <w:right w:val="nil"/>
            </w:tcBorders>
            <w:vAlign w:val="center"/>
          </w:tcPr>
          <w:p w14:paraId="511B6D04" w14:textId="77777777" w:rsidR="0088085F" w:rsidRPr="00633BB6" w:rsidRDefault="0088085F" w:rsidP="00633BB6">
            <w:pPr>
              <w:pStyle w:val="cuatexto"/>
              <w:jc w:val="right"/>
              <w:rPr>
                <w:color w:val="000000" w:themeColor="text1"/>
                <w:sz w:val="18"/>
                <w:szCs w:val="18"/>
              </w:rPr>
            </w:pPr>
            <w:r>
              <w:rPr>
                <w:color w:val="000000" w:themeColor="text1"/>
                <w:sz w:val="18"/>
                <w:szCs w:val="18"/>
              </w:rPr>
              <w:t>% 4</w:t>
            </w:r>
          </w:p>
        </w:tc>
        <w:tc>
          <w:tcPr>
            <w:tcW w:w="1002" w:type="dxa"/>
            <w:tcBorders>
              <w:top w:val="single" w:sz="2" w:space="0" w:color="auto"/>
              <w:left w:val="nil"/>
              <w:bottom w:val="single" w:sz="2" w:space="0" w:color="auto"/>
              <w:right w:val="nil"/>
            </w:tcBorders>
            <w:shd w:val="clear" w:color="auto" w:fill="auto"/>
            <w:noWrap/>
            <w:vAlign w:val="center"/>
            <w:hideMark/>
          </w:tcPr>
          <w:p w14:paraId="2432063A" w14:textId="77777777" w:rsidR="0088085F" w:rsidRPr="00633BB6" w:rsidRDefault="0088085F" w:rsidP="00633BB6">
            <w:pPr>
              <w:pStyle w:val="cuatexto"/>
              <w:jc w:val="right"/>
              <w:rPr>
                <w:color w:val="000000" w:themeColor="text1"/>
                <w:sz w:val="18"/>
                <w:szCs w:val="18"/>
              </w:rPr>
            </w:pPr>
            <w:r>
              <w:rPr>
                <w:color w:val="000000" w:themeColor="text1"/>
                <w:sz w:val="18"/>
                <w:szCs w:val="18"/>
              </w:rPr>
              <w:t>% 2</w:t>
            </w:r>
          </w:p>
        </w:tc>
        <w:tc>
          <w:tcPr>
            <w:tcW w:w="899" w:type="dxa"/>
            <w:tcBorders>
              <w:top w:val="single" w:sz="2" w:space="0" w:color="auto"/>
              <w:left w:val="nil"/>
              <w:bottom w:val="single" w:sz="2" w:space="0" w:color="auto"/>
              <w:right w:val="nil"/>
            </w:tcBorders>
            <w:shd w:val="clear" w:color="auto" w:fill="auto"/>
            <w:noWrap/>
            <w:vAlign w:val="center"/>
            <w:hideMark/>
          </w:tcPr>
          <w:p w14:paraId="2E259565" w14:textId="77777777" w:rsidR="0088085F" w:rsidRPr="00633BB6" w:rsidRDefault="0088085F" w:rsidP="00633BB6">
            <w:pPr>
              <w:pStyle w:val="cuatexto"/>
              <w:jc w:val="right"/>
              <w:rPr>
                <w:color w:val="000000" w:themeColor="text1"/>
                <w:sz w:val="18"/>
                <w:szCs w:val="18"/>
              </w:rPr>
            </w:pPr>
            <w:r>
              <w:rPr>
                <w:color w:val="000000" w:themeColor="text1"/>
                <w:sz w:val="18"/>
                <w:szCs w:val="18"/>
              </w:rPr>
              <w:t>% 8</w:t>
            </w:r>
          </w:p>
        </w:tc>
        <w:tc>
          <w:tcPr>
            <w:tcW w:w="1274" w:type="dxa"/>
            <w:tcBorders>
              <w:top w:val="single" w:sz="2" w:space="0" w:color="auto"/>
              <w:left w:val="nil"/>
              <w:bottom w:val="single" w:sz="2" w:space="0" w:color="auto"/>
              <w:right w:val="nil"/>
            </w:tcBorders>
            <w:shd w:val="clear" w:color="auto" w:fill="auto"/>
            <w:noWrap/>
            <w:vAlign w:val="center"/>
            <w:hideMark/>
          </w:tcPr>
          <w:p w14:paraId="72E1119D" w14:textId="77777777" w:rsidR="0088085F" w:rsidRPr="00633BB6" w:rsidRDefault="0088085F" w:rsidP="00633BB6">
            <w:pPr>
              <w:pStyle w:val="cuatexto"/>
              <w:jc w:val="right"/>
              <w:rPr>
                <w:color w:val="000000" w:themeColor="text1"/>
                <w:sz w:val="18"/>
                <w:szCs w:val="18"/>
              </w:rPr>
            </w:pPr>
            <w:r>
              <w:rPr>
                <w:color w:val="000000" w:themeColor="text1"/>
                <w:sz w:val="18"/>
                <w:szCs w:val="18"/>
              </w:rPr>
              <w:t>% 2</w:t>
            </w:r>
          </w:p>
        </w:tc>
        <w:tc>
          <w:tcPr>
            <w:tcW w:w="1217" w:type="dxa"/>
            <w:tcBorders>
              <w:top w:val="single" w:sz="2" w:space="0" w:color="auto"/>
              <w:left w:val="nil"/>
              <w:bottom w:val="single" w:sz="2" w:space="0" w:color="auto"/>
              <w:right w:val="nil"/>
            </w:tcBorders>
            <w:shd w:val="clear" w:color="auto" w:fill="auto"/>
            <w:noWrap/>
            <w:vAlign w:val="center"/>
            <w:hideMark/>
          </w:tcPr>
          <w:p w14:paraId="3F6DB0A4" w14:textId="77777777" w:rsidR="0088085F" w:rsidRPr="00633BB6" w:rsidRDefault="0088085F" w:rsidP="00633BB6">
            <w:pPr>
              <w:pStyle w:val="cuatexto"/>
              <w:jc w:val="right"/>
              <w:rPr>
                <w:color w:val="000000" w:themeColor="text1"/>
                <w:sz w:val="18"/>
                <w:szCs w:val="18"/>
              </w:rPr>
            </w:pPr>
            <w:r>
              <w:rPr>
                <w:color w:val="000000" w:themeColor="text1"/>
                <w:sz w:val="18"/>
                <w:szCs w:val="18"/>
              </w:rPr>
              <w:t>-% 4</w:t>
            </w:r>
          </w:p>
        </w:tc>
      </w:tr>
      <w:tr w:rsidR="00E96821" w:rsidRPr="00633BB6" w14:paraId="77368F9B" w14:textId="77777777" w:rsidTr="00633BB6">
        <w:trPr>
          <w:trHeight w:hRule="exact" w:val="454"/>
          <w:jc w:val="center"/>
        </w:trPr>
        <w:tc>
          <w:tcPr>
            <w:tcW w:w="4300" w:type="dxa"/>
            <w:tcBorders>
              <w:top w:val="single" w:sz="2" w:space="0" w:color="auto"/>
              <w:left w:val="nil"/>
              <w:bottom w:val="single" w:sz="2" w:space="0" w:color="auto"/>
              <w:right w:val="nil"/>
            </w:tcBorders>
            <w:shd w:val="clear" w:color="auto" w:fill="auto"/>
            <w:noWrap/>
            <w:vAlign w:val="center"/>
            <w:hideMark/>
          </w:tcPr>
          <w:p w14:paraId="1E5A1EE4" w14:textId="77777777" w:rsidR="0088085F" w:rsidRPr="00633BB6" w:rsidRDefault="00E96821" w:rsidP="00C24098">
            <w:pPr>
              <w:pStyle w:val="cuatexto"/>
              <w:jc w:val="left"/>
              <w:rPr>
                <w:color w:val="000000" w:themeColor="text1"/>
                <w:sz w:val="18"/>
                <w:szCs w:val="18"/>
              </w:rPr>
            </w:pPr>
            <w:r>
              <w:rPr>
                <w:color w:val="000000" w:themeColor="text1"/>
                <w:sz w:val="18"/>
                <w:szCs w:val="18"/>
              </w:rPr>
              <w:t>Aurrezki gordina diru-sarrera arrunten gainean (</w:t>
            </w:r>
            <w:proofErr w:type="spellStart"/>
            <w:r>
              <w:rPr>
                <w:color w:val="000000" w:themeColor="text1"/>
                <w:sz w:val="18"/>
                <w:szCs w:val="18"/>
              </w:rPr>
              <w:t>d.s</w:t>
            </w:r>
            <w:proofErr w:type="spellEnd"/>
            <w:r>
              <w:rPr>
                <w:color w:val="000000" w:themeColor="text1"/>
                <w:sz w:val="18"/>
                <w:szCs w:val="18"/>
              </w:rPr>
              <w:t xml:space="preserve">. arr. - </w:t>
            </w:r>
            <w:proofErr w:type="spellStart"/>
            <w:r>
              <w:rPr>
                <w:color w:val="000000" w:themeColor="text1"/>
                <w:sz w:val="18"/>
                <w:szCs w:val="18"/>
              </w:rPr>
              <w:t>funtz</w:t>
            </w:r>
            <w:proofErr w:type="spellEnd"/>
            <w:r>
              <w:rPr>
                <w:color w:val="000000" w:themeColor="text1"/>
                <w:sz w:val="18"/>
                <w:szCs w:val="18"/>
              </w:rPr>
              <w:t xml:space="preserve">. </w:t>
            </w:r>
            <w:proofErr w:type="spellStart"/>
            <w:r>
              <w:rPr>
                <w:color w:val="000000" w:themeColor="text1"/>
                <w:sz w:val="18"/>
                <w:szCs w:val="18"/>
              </w:rPr>
              <w:t>gast</w:t>
            </w:r>
            <w:proofErr w:type="spellEnd"/>
            <w:r>
              <w:rPr>
                <w:color w:val="000000" w:themeColor="text1"/>
                <w:sz w:val="18"/>
                <w:szCs w:val="18"/>
              </w:rPr>
              <w:t xml:space="preserve">. / </w:t>
            </w:r>
            <w:proofErr w:type="spellStart"/>
            <w:r>
              <w:rPr>
                <w:color w:val="000000" w:themeColor="text1"/>
                <w:sz w:val="18"/>
                <w:szCs w:val="18"/>
              </w:rPr>
              <w:t>d.s</w:t>
            </w:r>
            <w:proofErr w:type="spellEnd"/>
            <w:r>
              <w:rPr>
                <w:color w:val="000000" w:themeColor="text1"/>
                <w:sz w:val="18"/>
                <w:szCs w:val="18"/>
              </w:rPr>
              <w:t>. arr.)</w:t>
            </w:r>
          </w:p>
        </w:tc>
        <w:tc>
          <w:tcPr>
            <w:tcW w:w="784" w:type="dxa"/>
            <w:tcBorders>
              <w:top w:val="single" w:sz="2" w:space="0" w:color="auto"/>
              <w:left w:val="nil"/>
              <w:bottom w:val="single" w:sz="2" w:space="0" w:color="auto"/>
              <w:right w:val="nil"/>
            </w:tcBorders>
            <w:vAlign w:val="center"/>
          </w:tcPr>
          <w:p w14:paraId="025FC91A" w14:textId="77777777" w:rsidR="0088085F" w:rsidRPr="00633BB6" w:rsidRDefault="00E96821" w:rsidP="00633BB6">
            <w:pPr>
              <w:pStyle w:val="cuatexto"/>
              <w:jc w:val="right"/>
              <w:rPr>
                <w:color w:val="000000" w:themeColor="text1"/>
                <w:sz w:val="18"/>
                <w:szCs w:val="18"/>
              </w:rPr>
            </w:pPr>
            <w:r>
              <w:rPr>
                <w:color w:val="000000" w:themeColor="text1"/>
                <w:sz w:val="18"/>
                <w:szCs w:val="18"/>
              </w:rPr>
              <w:t xml:space="preserve">% 19 </w:t>
            </w:r>
          </w:p>
        </w:tc>
        <w:tc>
          <w:tcPr>
            <w:tcW w:w="1002" w:type="dxa"/>
            <w:tcBorders>
              <w:top w:val="single" w:sz="2" w:space="0" w:color="auto"/>
              <w:left w:val="nil"/>
              <w:bottom w:val="single" w:sz="2" w:space="0" w:color="auto"/>
              <w:right w:val="nil"/>
            </w:tcBorders>
            <w:shd w:val="clear" w:color="auto" w:fill="auto"/>
            <w:noWrap/>
            <w:vAlign w:val="center"/>
            <w:hideMark/>
          </w:tcPr>
          <w:p w14:paraId="2FB2ADBB" w14:textId="77777777" w:rsidR="0088085F" w:rsidRPr="00633BB6" w:rsidRDefault="0088085F" w:rsidP="00633BB6">
            <w:pPr>
              <w:pStyle w:val="cuatexto"/>
              <w:jc w:val="right"/>
              <w:rPr>
                <w:color w:val="000000" w:themeColor="text1"/>
                <w:sz w:val="18"/>
                <w:szCs w:val="18"/>
              </w:rPr>
            </w:pPr>
            <w:r>
              <w:rPr>
                <w:color w:val="000000" w:themeColor="text1"/>
                <w:sz w:val="18"/>
                <w:szCs w:val="18"/>
              </w:rPr>
              <w:t xml:space="preserve">         % 19 </w:t>
            </w:r>
          </w:p>
        </w:tc>
        <w:tc>
          <w:tcPr>
            <w:tcW w:w="899" w:type="dxa"/>
            <w:tcBorders>
              <w:top w:val="single" w:sz="2" w:space="0" w:color="auto"/>
              <w:left w:val="nil"/>
              <w:bottom w:val="single" w:sz="2" w:space="0" w:color="auto"/>
              <w:right w:val="nil"/>
            </w:tcBorders>
            <w:shd w:val="clear" w:color="auto" w:fill="auto"/>
            <w:noWrap/>
            <w:vAlign w:val="center"/>
            <w:hideMark/>
          </w:tcPr>
          <w:p w14:paraId="74BFBD1E" w14:textId="77777777" w:rsidR="0088085F" w:rsidRPr="00633BB6" w:rsidRDefault="0088085F" w:rsidP="00633BB6">
            <w:pPr>
              <w:pStyle w:val="cuatexto"/>
              <w:jc w:val="right"/>
              <w:rPr>
                <w:color w:val="000000" w:themeColor="text1"/>
                <w:sz w:val="18"/>
                <w:szCs w:val="18"/>
              </w:rPr>
            </w:pPr>
            <w:r>
              <w:rPr>
                <w:color w:val="000000" w:themeColor="text1"/>
                <w:sz w:val="18"/>
                <w:szCs w:val="18"/>
              </w:rPr>
              <w:t xml:space="preserve">         % 18 </w:t>
            </w:r>
          </w:p>
        </w:tc>
        <w:tc>
          <w:tcPr>
            <w:tcW w:w="1274" w:type="dxa"/>
            <w:tcBorders>
              <w:top w:val="single" w:sz="2" w:space="0" w:color="auto"/>
              <w:left w:val="nil"/>
              <w:bottom w:val="single" w:sz="2" w:space="0" w:color="auto"/>
              <w:right w:val="nil"/>
            </w:tcBorders>
            <w:shd w:val="clear" w:color="auto" w:fill="auto"/>
            <w:noWrap/>
            <w:vAlign w:val="center"/>
            <w:hideMark/>
          </w:tcPr>
          <w:p w14:paraId="7AC7251A" w14:textId="77777777" w:rsidR="0088085F" w:rsidRPr="00633BB6" w:rsidRDefault="0088085F" w:rsidP="00633BB6">
            <w:pPr>
              <w:pStyle w:val="cuatexto"/>
              <w:jc w:val="right"/>
              <w:rPr>
                <w:color w:val="000000" w:themeColor="text1"/>
                <w:sz w:val="18"/>
                <w:szCs w:val="18"/>
              </w:rPr>
            </w:pPr>
            <w:r>
              <w:rPr>
                <w:color w:val="000000" w:themeColor="text1"/>
                <w:sz w:val="18"/>
                <w:szCs w:val="18"/>
              </w:rPr>
              <w:t>% 0</w:t>
            </w:r>
          </w:p>
        </w:tc>
        <w:tc>
          <w:tcPr>
            <w:tcW w:w="1217" w:type="dxa"/>
            <w:tcBorders>
              <w:top w:val="single" w:sz="2" w:space="0" w:color="auto"/>
              <w:left w:val="nil"/>
              <w:bottom w:val="single" w:sz="2" w:space="0" w:color="auto"/>
              <w:right w:val="nil"/>
            </w:tcBorders>
            <w:shd w:val="clear" w:color="auto" w:fill="auto"/>
            <w:noWrap/>
            <w:vAlign w:val="center"/>
            <w:hideMark/>
          </w:tcPr>
          <w:p w14:paraId="44E7445D" w14:textId="77777777" w:rsidR="0088085F" w:rsidRPr="00633BB6" w:rsidRDefault="0088085F" w:rsidP="00633BB6">
            <w:pPr>
              <w:pStyle w:val="cuatexto"/>
              <w:jc w:val="right"/>
              <w:rPr>
                <w:color w:val="000000" w:themeColor="text1"/>
                <w:sz w:val="18"/>
                <w:szCs w:val="18"/>
              </w:rPr>
            </w:pPr>
            <w:r>
              <w:rPr>
                <w:color w:val="000000" w:themeColor="text1"/>
                <w:sz w:val="18"/>
                <w:szCs w:val="18"/>
              </w:rPr>
              <w:t>% 1</w:t>
            </w:r>
          </w:p>
        </w:tc>
      </w:tr>
      <w:tr w:rsidR="0088085F" w:rsidRPr="00633BB6" w14:paraId="46328D02"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033015C3" w14:textId="77777777" w:rsidR="0088085F" w:rsidRPr="00633BB6" w:rsidRDefault="0088085F" w:rsidP="00C24098">
            <w:pPr>
              <w:pStyle w:val="cuatexto"/>
              <w:jc w:val="left"/>
              <w:rPr>
                <w:sz w:val="18"/>
                <w:szCs w:val="18"/>
              </w:rPr>
            </w:pPr>
            <w:r>
              <w:rPr>
                <w:sz w:val="18"/>
                <w:szCs w:val="18"/>
              </w:rPr>
              <w:t>Jasotako transferentziak (biztanleko)</w:t>
            </w:r>
          </w:p>
        </w:tc>
        <w:tc>
          <w:tcPr>
            <w:tcW w:w="784" w:type="dxa"/>
            <w:tcBorders>
              <w:top w:val="single" w:sz="2" w:space="0" w:color="auto"/>
              <w:left w:val="nil"/>
              <w:bottom w:val="single" w:sz="2" w:space="0" w:color="auto"/>
              <w:right w:val="nil"/>
            </w:tcBorders>
            <w:vAlign w:val="center"/>
          </w:tcPr>
          <w:p w14:paraId="66BF9568" w14:textId="77777777" w:rsidR="0088085F" w:rsidRPr="00633BB6" w:rsidRDefault="0088085F" w:rsidP="00633BB6">
            <w:pPr>
              <w:pStyle w:val="cuatexto"/>
              <w:jc w:val="right"/>
              <w:rPr>
                <w:sz w:val="18"/>
                <w:szCs w:val="18"/>
              </w:rPr>
            </w:pPr>
            <w:r>
              <w:rPr>
                <w:sz w:val="18"/>
                <w:szCs w:val="18"/>
              </w:rPr>
              <w:t xml:space="preserve">541 </w:t>
            </w:r>
          </w:p>
        </w:tc>
        <w:tc>
          <w:tcPr>
            <w:tcW w:w="1002" w:type="dxa"/>
            <w:tcBorders>
              <w:top w:val="single" w:sz="2" w:space="0" w:color="auto"/>
              <w:left w:val="nil"/>
              <w:bottom w:val="single" w:sz="2" w:space="0" w:color="auto"/>
              <w:right w:val="nil"/>
            </w:tcBorders>
            <w:shd w:val="clear" w:color="auto" w:fill="auto"/>
            <w:noWrap/>
            <w:vAlign w:val="center"/>
            <w:hideMark/>
          </w:tcPr>
          <w:p w14:paraId="5ED3A022" w14:textId="77777777" w:rsidR="0088085F" w:rsidRPr="00633BB6" w:rsidRDefault="0088085F" w:rsidP="00633BB6">
            <w:pPr>
              <w:pStyle w:val="cuatexto"/>
              <w:jc w:val="right"/>
              <w:rPr>
                <w:sz w:val="18"/>
                <w:szCs w:val="18"/>
              </w:rPr>
            </w:pPr>
            <w:r>
              <w:rPr>
                <w:sz w:val="18"/>
                <w:szCs w:val="18"/>
              </w:rPr>
              <w:t xml:space="preserve">          843 </w:t>
            </w:r>
          </w:p>
        </w:tc>
        <w:tc>
          <w:tcPr>
            <w:tcW w:w="899" w:type="dxa"/>
            <w:tcBorders>
              <w:top w:val="single" w:sz="2" w:space="0" w:color="auto"/>
              <w:left w:val="nil"/>
              <w:bottom w:val="single" w:sz="2" w:space="0" w:color="auto"/>
              <w:right w:val="nil"/>
            </w:tcBorders>
            <w:shd w:val="clear" w:color="auto" w:fill="auto"/>
            <w:noWrap/>
            <w:vAlign w:val="center"/>
            <w:hideMark/>
          </w:tcPr>
          <w:p w14:paraId="77B311AA" w14:textId="77777777" w:rsidR="0088085F" w:rsidRPr="00633BB6" w:rsidRDefault="007F0D71" w:rsidP="00633BB6">
            <w:pPr>
              <w:pStyle w:val="cuatexto"/>
              <w:jc w:val="right"/>
              <w:rPr>
                <w:sz w:val="18"/>
                <w:szCs w:val="18"/>
              </w:rPr>
            </w:pPr>
            <w:r>
              <w:rPr>
                <w:sz w:val="18"/>
                <w:szCs w:val="18"/>
              </w:rPr>
              <w:t xml:space="preserve">441              441 </w:t>
            </w:r>
          </w:p>
        </w:tc>
        <w:tc>
          <w:tcPr>
            <w:tcW w:w="1274" w:type="dxa"/>
            <w:tcBorders>
              <w:top w:val="single" w:sz="2" w:space="0" w:color="auto"/>
              <w:left w:val="nil"/>
              <w:bottom w:val="single" w:sz="2" w:space="0" w:color="auto"/>
              <w:right w:val="nil"/>
            </w:tcBorders>
            <w:shd w:val="clear" w:color="auto" w:fill="auto"/>
            <w:noWrap/>
            <w:vAlign w:val="center"/>
            <w:hideMark/>
          </w:tcPr>
          <w:p w14:paraId="2BB99461" w14:textId="77777777" w:rsidR="0088085F" w:rsidRPr="00633BB6" w:rsidRDefault="0088085F" w:rsidP="00633BB6">
            <w:pPr>
              <w:pStyle w:val="cuatexto"/>
              <w:jc w:val="right"/>
              <w:rPr>
                <w:sz w:val="18"/>
                <w:szCs w:val="18"/>
              </w:rPr>
            </w:pPr>
            <w:r>
              <w:rPr>
                <w:sz w:val="18"/>
                <w:szCs w:val="18"/>
              </w:rPr>
              <w:t>-302</w:t>
            </w:r>
          </w:p>
        </w:tc>
        <w:tc>
          <w:tcPr>
            <w:tcW w:w="1217" w:type="dxa"/>
            <w:tcBorders>
              <w:top w:val="single" w:sz="2" w:space="0" w:color="auto"/>
              <w:left w:val="nil"/>
              <w:bottom w:val="single" w:sz="2" w:space="0" w:color="auto"/>
              <w:right w:val="nil"/>
            </w:tcBorders>
            <w:shd w:val="clear" w:color="auto" w:fill="auto"/>
            <w:noWrap/>
            <w:vAlign w:val="center"/>
            <w:hideMark/>
          </w:tcPr>
          <w:p w14:paraId="097E1D31" w14:textId="77777777" w:rsidR="0088085F" w:rsidRPr="00633BB6" w:rsidRDefault="0088085F" w:rsidP="00633BB6">
            <w:pPr>
              <w:pStyle w:val="cuatexto"/>
              <w:jc w:val="right"/>
              <w:rPr>
                <w:sz w:val="18"/>
                <w:szCs w:val="18"/>
              </w:rPr>
            </w:pPr>
            <w:r>
              <w:rPr>
                <w:sz w:val="18"/>
                <w:szCs w:val="18"/>
              </w:rPr>
              <w:t>100</w:t>
            </w:r>
          </w:p>
        </w:tc>
      </w:tr>
      <w:tr w:rsidR="0088085F" w:rsidRPr="00633BB6" w14:paraId="4967BAB0" w14:textId="77777777" w:rsidTr="00633BB6">
        <w:trPr>
          <w:trHeight w:hRule="exact" w:val="238"/>
          <w:jc w:val="center"/>
        </w:trPr>
        <w:tc>
          <w:tcPr>
            <w:tcW w:w="4300" w:type="dxa"/>
            <w:tcBorders>
              <w:top w:val="single" w:sz="2" w:space="0" w:color="auto"/>
              <w:left w:val="nil"/>
              <w:bottom w:val="single" w:sz="2" w:space="0" w:color="auto"/>
              <w:right w:val="nil"/>
            </w:tcBorders>
            <w:shd w:val="clear" w:color="auto" w:fill="auto"/>
            <w:noWrap/>
            <w:vAlign w:val="center"/>
            <w:hideMark/>
          </w:tcPr>
          <w:p w14:paraId="1C586603" w14:textId="77777777" w:rsidR="0088085F" w:rsidRPr="00633BB6" w:rsidRDefault="0088085F" w:rsidP="00C24098">
            <w:pPr>
              <w:pStyle w:val="cuatexto"/>
              <w:jc w:val="left"/>
              <w:rPr>
                <w:sz w:val="18"/>
                <w:szCs w:val="18"/>
              </w:rPr>
            </w:pPr>
            <w:r>
              <w:rPr>
                <w:sz w:val="18"/>
                <w:szCs w:val="18"/>
              </w:rPr>
              <w:t>Transf. arruntez finantzatutako gastu arruntak (%)</w:t>
            </w:r>
          </w:p>
        </w:tc>
        <w:tc>
          <w:tcPr>
            <w:tcW w:w="784" w:type="dxa"/>
            <w:tcBorders>
              <w:top w:val="single" w:sz="2" w:space="0" w:color="auto"/>
              <w:left w:val="nil"/>
              <w:bottom w:val="single" w:sz="2" w:space="0" w:color="auto"/>
              <w:right w:val="nil"/>
            </w:tcBorders>
            <w:vAlign w:val="center"/>
          </w:tcPr>
          <w:p w14:paraId="064E443B" w14:textId="77777777" w:rsidR="0088085F" w:rsidRPr="00633BB6" w:rsidRDefault="0088085F" w:rsidP="00633BB6">
            <w:pPr>
              <w:pStyle w:val="cuatexto"/>
              <w:jc w:val="right"/>
              <w:rPr>
                <w:sz w:val="18"/>
                <w:szCs w:val="18"/>
              </w:rPr>
            </w:pPr>
            <w:r>
              <w:rPr>
                <w:sz w:val="18"/>
                <w:szCs w:val="18"/>
              </w:rPr>
              <w:t xml:space="preserve">50 </w:t>
            </w:r>
          </w:p>
        </w:tc>
        <w:tc>
          <w:tcPr>
            <w:tcW w:w="1002" w:type="dxa"/>
            <w:tcBorders>
              <w:top w:val="single" w:sz="2" w:space="0" w:color="auto"/>
              <w:left w:val="nil"/>
              <w:bottom w:val="single" w:sz="2" w:space="0" w:color="auto"/>
              <w:right w:val="nil"/>
            </w:tcBorders>
            <w:shd w:val="clear" w:color="auto" w:fill="auto"/>
            <w:noWrap/>
            <w:vAlign w:val="center"/>
            <w:hideMark/>
          </w:tcPr>
          <w:p w14:paraId="039C3553" w14:textId="77777777" w:rsidR="0088085F" w:rsidRPr="00633BB6" w:rsidRDefault="0088085F" w:rsidP="00633BB6">
            <w:pPr>
              <w:pStyle w:val="cuatexto"/>
              <w:jc w:val="right"/>
              <w:rPr>
                <w:sz w:val="18"/>
                <w:szCs w:val="18"/>
              </w:rPr>
            </w:pPr>
            <w:r>
              <w:rPr>
                <w:sz w:val="18"/>
                <w:szCs w:val="18"/>
              </w:rPr>
              <w:t xml:space="preserve">             71 </w:t>
            </w:r>
          </w:p>
        </w:tc>
        <w:tc>
          <w:tcPr>
            <w:tcW w:w="899" w:type="dxa"/>
            <w:tcBorders>
              <w:top w:val="single" w:sz="2" w:space="0" w:color="auto"/>
              <w:left w:val="nil"/>
              <w:bottom w:val="single" w:sz="2" w:space="0" w:color="auto"/>
              <w:right w:val="nil"/>
            </w:tcBorders>
            <w:shd w:val="clear" w:color="auto" w:fill="auto"/>
            <w:noWrap/>
            <w:vAlign w:val="center"/>
            <w:hideMark/>
          </w:tcPr>
          <w:p w14:paraId="1AB652DF" w14:textId="77777777" w:rsidR="0088085F" w:rsidRPr="00633BB6" w:rsidRDefault="007F0D71" w:rsidP="00633BB6">
            <w:pPr>
              <w:pStyle w:val="cuatexto"/>
              <w:jc w:val="right"/>
              <w:rPr>
                <w:sz w:val="18"/>
                <w:szCs w:val="18"/>
              </w:rPr>
            </w:pPr>
            <w:r>
              <w:rPr>
                <w:sz w:val="18"/>
                <w:szCs w:val="18"/>
              </w:rPr>
              <w:t xml:space="preserve">42                 42 </w:t>
            </w:r>
          </w:p>
        </w:tc>
        <w:tc>
          <w:tcPr>
            <w:tcW w:w="1274" w:type="dxa"/>
            <w:tcBorders>
              <w:top w:val="single" w:sz="2" w:space="0" w:color="auto"/>
              <w:left w:val="nil"/>
              <w:bottom w:val="single" w:sz="2" w:space="0" w:color="auto"/>
              <w:right w:val="nil"/>
            </w:tcBorders>
            <w:shd w:val="clear" w:color="auto" w:fill="auto"/>
            <w:noWrap/>
            <w:vAlign w:val="center"/>
            <w:hideMark/>
          </w:tcPr>
          <w:p w14:paraId="5F9604CF" w14:textId="77777777" w:rsidR="0088085F" w:rsidRPr="00633BB6" w:rsidRDefault="0088085F" w:rsidP="00633BB6">
            <w:pPr>
              <w:pStyle w:val="cuatexto"/>
              <w:jc w:val="right"/>
              <w:rPr>
                <w:sz w:val="18"/>
                <w:szCs w:val="18"/>
              </w:rPr>
            </w:pPr>
            <w:r>
              <w:rPr>
                <w:sz w:val="18"/>
                <w:szCs w:val="18"/>
              </w:rPr>
              <w:t>-22</w:t>
            </w:r>
          </w:p>
        </w:tc>
        <w:tc>
          <w:tcPr>
            <w:tcW w:w="1217" w:type="dxa"/>
            <w:tcBorders>
              <w:top w:val="single" w:sz="2" w:space="0" w:color="auto"/>
              <w:left w:val="nil"/>
              <w:bottom w:val="single" w:sz="2" w:space="0" w:color="auto"/>
              <w:right w:val="nil"/>
            </w:tcBorders>
            <w:shd w:val="clear" w:color="auto" w:fill="auto"/>
            <w:noWrap/>
            <w:vAlign w:val="center"/>
            <w:hideMark/>
          </w:tcPr>
          <w:p w14:paraId="19436433" w14:textId="77777777" w:rsidR="0088085F" w:rsidRPr="00633BB6" w:rsidRDefault="0088085F" w:rsidP="00633BB6">
            <w:pPr>
              <w:pStyle w:val="cuatexto"/>
              <w:jc w:val="right"/>
              <w:rPr>
                <w:sz w:val="18"/>
                <w:szCs w:val="18"/>
              </w:rPr>
            </w:pPr>
            <w:r>
              <w:rPr>
                <w:sz w:val="18"/>
                <w:szCs w:val="18"/>
              </w:rPr>
              <w:t>7</w:t>
            </w:r>
          </w:p>
        </w:tc>
      </w:tr>
      <w:tr w:rsidR="0088085F" w:rsidRPr="00633BB6" w14:paraId="7F0BBD27" w14:textId="77777777" w:rsidTr="00633BB6">
        <w:trPr>
          <w:trHeight w:hRule="exact" w:val="238"/>
          <w:jc w:val="center"/>
        </w:trPr>
        <w:tc>
          <w:tcPr>
            <w:tcW w:w="4300" w:type="dxa"/>
            <w:tcBorders>
              <w:top w:val="single" w:sz="2" w:space="0" w:color="auto"/>
              <w:left w:val="nil"/>
              <w:bottom w:val="single" w:sz="4" w:space="0" w:color="auto"/>
              <w:right w:val="nil"/>
            </w:tcBorders>
            <w:shd w:val="clear" w:color="auto" w:fill="auto"/>
            <w:noWrap/>
            <w:vAlign w:val="center"/>
            <w:hideMark/>
          </w:tcPr>
          <w:p w14:paraId="2B71DAB0" w14:textId="77777777" w:rsidR="0088085F" w:rsidRPr="00633BB6" w:rsidRDefault="0088085F" w:rsidP="00C24098">
            <w:pPr>
              <w:pStyle w:val="cuatexto"/>
              <w:jc w:val="left"/>
              <w:rPr>
                <w:sz w:val="18"/>
                <w:szCs w:val="18"/>
              </w:rPr>
            </w:pPr>
            <w:r>
              <w:rPr>
                <w:sz w:val="18"/>
                <w:szCs w:val="18"/>
              </w:rPr>
              <w:t>Kapital-transf. bidez finantzatu ez diren inbertsioak (%)</w:t>
            </w:r>
          </w:p>
        </w:tc>
        <w:tc>
          <w:tcPr>
            <w:tcW w:w="784" w:type="dxa"/>
            <w:tcBorders>
              <w:top w:val="single" w:sz="2" w:space="0" w:color="auto"/>
              <w:left w:val="nil"/>
              <w:bottom w:val="single" w:sz="4" w:space="0" w:color="auto"/>
              <w:right w:val="nil"/>
            </w:tcBorders>
            <w:vAlign w:val="center"/>
          </w:tcPr>
          <w:p w14:paraId="49DF693B" w14:textId="77777777" w:rsidR="0088085F" w:rsidRPr="00633BB6" w:rsidRDefault="0088085F" w:rsidP="00633BB6">
            <w:pPr>
              <w:pStyle w:val="cuatexto"/>
              <w:jc w:val="right"/>
              <w:rPr>
                <w:sz w:val="18"/>
                <w:szCs w:val="18"/>
              </w:rPr>
            </w:pPr>
            <w:r>
              <w:rPr>
                <w:sz w:val="18"/>
                <w:szCs w:val="18"/>
              </w:rPr>
              <w:t xml:space="preserve">     57 </w:t>
            </w:r>
          </w:p>
        </w:tc>
        <w:tc>
          <w:tcPr>
            <w:tcW w:w="1002" w:type="dxa"/>
            <w:tcBorders>
              <w:top w:val="single" w:sz="2" w:space="0" w:color="auto"/>
              <w:left w:val="nil"/>
              <w:bottom w:val="single" w:sz="4" w:space="0" w:color="auto"/>
              <w:right w:val="nil"/>
            </w:tcBorders>
            <w:shd w:val="clear" w:color="auto" w:fill="auto"/>
            <w:noWrap/>
            <w:vAlign w:val="center"/>
            <w:hideMark/>
          </w:tcPr>
          <w:p w14:paraId="1AD4C75D" w14:textId="77777777" w:rsidR="0088085F" w:rsidRPr="00633BB6" w:rsidRDefault="0088085F" w:rsidP="00633BB6">
            <w:pPr>
              <w:pStyle w:val="cuatexto"/>
              <w:jc w:val="right"/>
              <w:rPr>
                <w:sz w:val="18"/>
                <w:szCs w:val="18"/>
              </w:rPr>
            </w:pPr>
            <w:r>
              <w:rPr>
                <w:sz w:val="18"/>
                <w:szCs w:val="18"/>
              </w:rPr>
              <w:t xml:space="preserve">             84 </w:t>
            </w:r>
          </w:p>
        </w:tc>
        <w:tc>
          <w:tcPr>
            <w:tcW w:w="899" w:type="dxa"/>
            <w:tcBorders>
              <w:top w:val="single" w:sz="2" w:space="0" w:color="auto"/>
              <w:left w:val="nil"/>
              <w:bottom w:val="single" w:sz="4" w:space="0" w:color="auto"/>
              <w:right w:val="nil"/>
            </w:tcBorders>
            <w:shd w:val="clear" w:color="auto" w:fill="auto"/>
            <w:noWrap/>
            <w:vAlign w:val="center"/>
            <w:hideMark/>
          </w:tcPr>
          <w:p w14:paraId="6FF106D6" w14:textId="77777777" w:rsidR="0088085F" w:rsidRPr="00633BB6" w:rsidRDefault="007F0D71" w:rsidP="00633BB6">
            <w:pPr>
              <w:pStyle w:val="cuatexto"/>
              <w:jc w:val="right"/>
              <w:rPr>
                <w:sz w:val="18"/>
                <w:szCs w:val="18"/>
              </w:rPr>
            </w:pPr>
            <w:r>
              <w:rPr>
                <w:sz w:val="18"/>
                <w:szCs w:val="18"/>
              </w:rPr>
              <w:t xml:space="preserve">54                 54 </w:t>
            </w:r>
          </w:p>
        </w:tc>
        <w:tc>
          <w:tcPr>
            <w:tcW w:w="1274" w:type="dxa"/>
            <w:tcBorders>
              <w:top w:val="single" w:sz="2" w:space="0" w:color="auto"/>
              <w:left w:val="nil"/>
              <w:bottom w:val="single" w:sz="4" w:space="0" w:color="auto"/>
              <w:right w:val="nil"/>
            </w:tcBorders>
            <w:shd w:val="clear" w:color="auto" w:fill="auto"/>
            <w:noWrap/>
            <w:vAlign w:val="center"/>
            <w:hideMark/>
          </w:tcPr>
          <w:p w14:paraId="0CA02799" w14:textId="77777777" w:rsidR="0088085F" w:rsidRPr="00633BB6" w:rsidRDefault="0088085F" w:rsidP="00633BB6">
            <w:pPr>
              <w:pStyle w:val="cuatexto"/>
              <w:jc w:val="right"/>
              <w:rPr>
                <w:sz w:val="18"/>
                <w:szCs w:val="18"/>
              </w:rPr>
            </w:pPr>
            <w:r>
              <w:rPr>
                <w:sz w:val="18"/>
                <w:szCs w:val="18"/>
              </w:rPr>
              <w:t>-27</w:t>
            </w:r>
          </w:p>
        </w:tc>
        <w:tc>
          <w:tcPr>
            <w:tcW w:w="1217" w:type="dxa"/>
            <w:tcBorders>
              <w:top w:val="single" w:sz="2" w:space="0" w:color="auto"/>
              <w:left w:val="nil"/>
              <w:bottom w:val="single" w:sz="4" w:space="0" w:color="auto"/>
              <w:right w:val="nil"/>
            </w:tcBorders>
            <w:shd w:val="clear" w:color="auto" w:fill="auto"/>
            <w:noWrap/>
            <w:vAlign w:val="center"/>
            <w:hideMark/>
          </w:tcPr>
          <w:p w14:paraId="771BC2C3" w14:textId="77777777" w:rsidR="0088085F" w:rsidRPr="00633BB6" w:rsidRDefault="0088085F" w:rsidP="00633BB6">
            <w:pPr>
              <w:pStyle w:val="cuatexto"/>
              <w:jc w:val="right"/>
              <w:rPr>
                <w:sz w:val="18"/>
                <w:szCs w:val="18"/>
              </w:rPr>
            </w:pPr>
            <w:r>
              <w:rPr>
                <w:sz w:val="18"/>
                <w:szCs w:val="18"/>
              </w:rPr>
              <w:t>3</w:t>
            </w:r>
          </w:p>
        </w:tc>
      </w:tr>
    </w:tbl>
    <w:p w14:paraId="00648D5D" w14:textId="77777777" w:rsidR="0088085F" w:rsidRPr="00262228" w:rsidRDefault="0088085F" w:rsidP="00C24098">
      <w:pPr>
        <w:pStyle w:val="texto"/>
        <w:spacing w:before="220"/>
      </w:pPr>
      <w:r>
        <w:t>Konparazio taula horretatik, honako hau nabarmendu behar dugu:</w:t>
      </w:r>
      <w:bookmarkEnd w:id="94"/>
    </w:p>
    <w:p w14:paraId="2C8FD691" w14:textId="77777777" w:rsidR="0088085F" w:rsidRPr="008A2F96" w:rsidRDefault="0088085F" w:rsidP="008A2F96">
      <w:pPr>
        <w:numPr>
          <w:ilvl w:val="0"/>
          <w:numId w:val="2"/>
        </w:numPr>
        <w:tabs>
          <w:tab w:val="clear" w:pos="502"/>
          <w:tab w:val="left" w:pos="480"/>
          <w:tab w:val="num" w:pos="720"/>
          <w:tab w:val="num" w:pos="6597"/>
        </w:tabs>
        <w:ind w:left="0" w:firstLine="289"/>
        <w:rPr>
          <w:spacing w:val="6"/>
          <w:sz w:val="26"/>
          <w:szCs w:val="26"/>
        </w:rPr>
      </w:pPr>
      <w:r>
        <w:rPr>
          <w:sz w:val="26"/>
          <w:szCs w:val="26"/>
        </w:rPr>
        <w:t>Nafarroan bai funtzionamendu gastuak bai diru-sarrera arruntak, biztanle bakoitzeko, EAEn baino askoz txikiagoak eta Estatuko gainerakoen parekoak dira.</w:t>
      </w:r>
    </w:p>
    <w:p w14:paraId="252751D8" w14:textId="77777777" w:rsidR="0088085F" w:rsidRPr="007F0D71" w:rsidRDefault="0088085F" w:rsidP="007F0D71">
      <w:pPr>
        <w:numPr>
          <w:ilvl w:val="0"/>
          <w:numId w:val="2"/>
        </w:numPr>
        <w:tabs>
          <w:tab w:val="clear" w:pos="502"/>
          <w:tab w:val="left" w:pos="480"/>
          <w:tab w:val="num" w:pos="720"/>
          <w:tab w:val="num" w:pos="6597"/>
        </w:tabs>
        <w:ind w:left="0" w:firstLine="289"/>
        <w:rPr>
          <w:spacing w:val="6"/>
          <w:sz w:val="26"/>
          <w:szCs w:val="26"/>
        </w:rPr>
      </w:pPr>
      <w:r>
        <w:rPr>
          <w:sz w:val="26"/>
          <w:szCs w:val="26"/>
        </w:rPr>
        <w:t>Biztanleko aurrezki gordina eta garbia handiagoak dira Nafarroan Estatuko gainerako udaletan baino, eta txikiagoak EAEn baino. Era berean, Nafarroan biztanleko zor bizia EAEkoa baino handiagoa eta Estatukoa baino txikiagoa da.</w:t>
      </w:r>
    </w:p>
    <w:p w14:paraId="707B932C" w14:textId="77777777" w:rsidR="0088085F" w:rsidRPr="008A2F96" w:rsidRDefault="0088085F" w:rsidP="008A2F96">
      <w:pPr>
        <w:numPr>
          <w:ilvl w:val="0"/>
          <w:numId w:val="2"/>
        </w:numPr>
        <w:tabs>
          <w:tab w:val="clear" w:pos="502"/>
          <w:tab w:val="left" w:pos="480"/>
          <w:tab w:val="num" w:pos="720"/>
          <w:tab w:val="num" w:pos="6597"/>
        </w:tabs>
        <w:ind w:left="0" w:firstLine="289"/>
        <w:rPr>
          <w:spacing w:val="6"/>
          <w:sz w:val="26"/>
          <w:szCs w:val="26"/>
        </w:rPr>
      </w:pPr>
      <w:r>
        <w:rPr>
          <w:sz w:val="26"/>
          <w:szCs w:val="26"/>
        </w:rPr>
        <w:t>Azkenik, biztanleko jasotako transferentzien adierazlea nabarmentzen da, Nafarroan EAEko udaletan baino askoz txikiagoa eta Estatuko gainerakoetan baino handiagoa baita.</w:t>
      </w:r>
    </w:p>
    <w:p w14:paraId="4FC9F8AB" w14:textId="77777777" w:rsidR="0088085F" w:rsidRPr="00B81E61" w:rsidRDefault="0088085F" w:rsidP="0088085F">
      <w:pPr>
        <w:spacing w:after="0"/>
        <w:ind w:firstLine="0"/>
        <w:jc w:val="left"/>
        <w:rPr>
          <w:color w:val="000000" w:themeColor="text1"/>
        </w:rPr>
      </w:pPr>
      <w:r>
        <w:br w:type="page"/>
      </w:r>
    </w:p>
    <w:p w14:paraId="1255915D" w14:textId="77777777" w:rsidR="0088085F" w:rsidRPr="00B81E61" w:rsidRDefault="0088085F" w:rsidP="0088085F">
      <w:pPr>
        <w:pStyle w:val="atitulo1"/>
        <w:rPr>
          <w:color w:val="000000" w:themeColor="text1"/>
        </w:rPr>
      </w:pPr>
      <w:bookmarkStart w:id="95" w:name="_Toc24100149"/>
      <w:bookmarkStart w:id="96" w:name="_Toc52348327"/>
      <w:bookmarkStart w:id="97" w:name="_Toc89161274"/>
      <w:bookmarkStart w:id="98" w:name="_Toc94871729"/>
      <w:r>
        <w:rPr>
          <w:color w:val="000000" w:themeColor="text1"/>
        </w:rPr>
        <w:lastRenderedPageBreak/>
        <w:t>VIII. Konklusioak eta gomendioak</w:t>
      </w:r>
      <w:bookmarkEnd w:id="95"/>
      <w:bookmarkEnd w:id="96"/>
      <w:bookmarkEnd w:id="97"/>
      <w:bookmarkEnd w:id="98"/>
    </w:p>
    <w:p w14:paraId="77B65D12" w14:textId="77777777" w:rsidR="0088085F" w:rsidRPr="00262228" w:rsidRDefault="0088085F" w:rsidP="00262228">
      <w:pPr>
        <w:pStyle w:val="texto"/>
      </w:pPr>
      <w:r>
        <w:t>Honako hauek dira 2019an toki sektore publikoak izan duen antolamenduari, fiskalizazioari eta egoera finantzarioari buruzko konklusio nagusiak:</w:t>
      </w:r>
    </w:p>
    <w:p w14:paraId="2A1D75E6"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Toki sektore publikoak 702 toki entitate biltzen ditu: 272 udal, 346 kontzeju, 62 mankomunitate eta udalen 22 batasun. Toki entitate horiek 122 menpeko entitate sortu dituzte zerbitzuak emateko, eta 17 partzuergotan parte hartzen dute.</w:t>
      </w:r>
    </w:p>
    <w:p w14:paraId="4740C3DC" w14:textId="77777777" w:rsidR="0088085F" w:rsidRPr="0038773E" w:rsidRDefault="0088085F" w:rsidP="00262228">
      <w:pPr>
        <w:pStyle w:val="texto"/>
        <w:rPr>
          <w:color w:val="000000" w:themeColor="text1"/>
        </w:rPr>
      </w:pPr>
      <w:r>
        <w:t xml:space="preserve">Bere horretan dirau </w:t>
      </w:r>
      <w:r>
        <w:rPr>
          <w:color w:val="000000" w:themeColor="text1"/>
        </w:rPr>
        <w:t>Nafarroako udalen egungo plantaren arrazionalizazio faltaren arazoak</w:t>
      </w:r>
      <w:r>
        <w:t>, Ganbera honek behin eta berriz nabarmenduak.</w:t>
      </w:r>
      <w:r>
        <w:rPr>
          <w:color w:val="000000" w:themeColor="text1"/>
        </w:rPr>
        <w:t xml:space="preserve"> Nafarroako udalek biztanle gutxi dituzte, eta falta zaizkie beren eskumenak kudeatzeko baliabideak eta administrazio-egitura egoki eta nahikoa. Horrek zaildu egiten die zerbitzu publiko efizienteak eta kalitatezkoak ematea.</w:t>
      </w:r>
    </w:p>
    <w:p w14:paraId="1AA69774" w14:textId="77777777" w:rsidR="0088085F" w:rsidRDefault="0088085F" w:rsidP="0088085F">
      <w:pPr>
        <w:pStyle w:val="texto"/>
        <w:spacing w:before="120" w:after="120"/>
        <w:rPr>
          <w:color w:val="000000" w:themeColor="text1"/>
        </w:rPr>
      </w:pPr>
      <w:r>
        <w:rPr>
          <w:color w:val="000000" w:themeColor="text1"/>
        </w:rPr>
        <w:t>Horri dagokionez, gaur egun, Nafarroako Toki Administrazioaren Erreformarako Foru Legea onetsita dago, baina eskatzen du arau-aldaketak egin eta onestea, planteatutako erreforma behin betiko zehazten joateko. Aurreikusita dago II.2 atalean aipatutako finantzaketa-proposamena jasotzen duen espedientea Nafarroako Parlamentura bidaltzea 2022aren hasieran, onets dadin eta urtarrilaren batetik aurrera izan ditzan ondorioak.</w:t>
      </w:r>
    </w:p>
    <w:p w14:paraId="040D1064" w14:textId="77777777" w:rsidR="0088085F" w:rsidRPr="00262228" w:rsidRDefault="0088085F" w:rsidP="00C24098">
      <w:pPr>
        <w:pStyle w:val="texto"/>
        <w:spacing w:after="240"/>
      </w:pPr>
      <w:r>
        <w:t>Jarraian xehetasunez azaltzen ditugu 2019ko ekitaldiko kontuak onesteko eta kontuak emateko epeak:</w:t>
      </w:r>
    </w:p>
    <w:tbl>
      <w:tblPr>
        <w:tblW w:w="5017" w:type="pct"/>
        <w:jc w:val="center"/>
        <w:tblCellMar>
          <w:left w:w="70" w:type="dxa"/>
          <w:right w:w="70" w:type="dxa"/>
        </w:tblCellMar>
        <w:tblLook w:val="04A0" w:firstRow="1" w:lastRow="0" w:firstColumn="1" w:lastColumn="0" w:noHBand="0" w:noVBand="1"/>
      </w:tblPr>
      <w:tblGrid>
        <w:gridCol w:w="3513"/>
        <w:gridCol w:w="1318"/>
        <w:gridCol w:w="1321"/>
        <w:gridCol w:w="1318"/>
        <w:gridCol w:w="1349"/>
      </w:tblGrid>
      <w:tr w:rsidR="004C5C5D" w:rsidRPr="00C24098" w14:paraId="50D90625" w14:textId="77777777" w:rsidTr="00234ED3">
        <w:trPr>
          <w:trHeight w:val="198"/>
          <w:jc w:val="center"/>
        </w:trPr>
        <w:tc>
          <w:tcPr>
            <w:tcW w:w="1992" w:type="pct"/>
            <w:vMerge w:val="restart"/>
            <w:tcBorders>
              <w:top w:val="single" w:sz="4" w:space="0" w:color="auto"/>
              <w:left w:val="nil"/>
              <w:bottom w:val="single" w:sz="2" w:space="0" w:color="auto"/>
              <w:right w:val="nil"/>
            </w:tcBorders>
            <w:shd w:val="clear" w:color="000000" w:fill="F4B084"/>
            <w:noWrap/>
            <w:vAlign w:val="center"/>
            <w:hideMark/>
          </w:tcPr>
          <w:p w14:paraId="043A783D" w14:textId="77777777" w:rsidR="004C5C5D" w:rsidRPr="00C24098" w:rsidRDefault="00AB5C2A" w:rsidP="00C24098">
            <w:pPr>
              <w:pStyle w:val="cuadroCabe"/>
              <w:jc w:val="left"/>
              <w:rPr>
                <w:sz w:val="16"/>
                <w:szCs w:val="16"/>
              </w:rPr>
            </w:pPr>
            <w:r>
              <w:rPr>
                <w:sz w:val="16"/>
                <w:szCs w:val="16"/>
              </w:rPr>
              <w:t>Entitate mota</w:t>
            </w:r>
          </w:p>
        </w:tc>
        <w:tc>
          <w:tcPr>
            <w:tcW w:w="1496" w:type="pct"/>
            <w:gridSpan w:val="2"/>
            <w:tcBorders>
              <w:top w:val="single" w:sz="4" w:space="0" w:color="auto"/>
              <w:left w:val="nil"/>
              <w:bottom w:val="single" w:sz="2" w:space="0" w:color="auto"/>
              <w:right w:val="nil"/>
            </w:tcBorders>
            <w:shd w:val="clear" w:color="000000" w:fill="F4B084"/>
            <w:vAlign w:val="center"/>
            <w:hideMark/>
          </w:tcPr>
          <w:p w14:paraId="52238092" w14:textId="77777777" w:rsidR="004C5C5D" w:rsidRPr="00C24098" w:rsidRDefault="00763524" w:rsidP="00763524">
            <w:pPr>
              <w:pStyle w:val="cuadroCabe"/>
              <w:ind w:right="-344"/>
              <w:rPr>
                <w:sz w:val="16"/>
                <w:szCs w:val="16"/>
              </w:rPr>
            </w:pPr>
            <w:r>
              <w:rPr>
                <w:sz w:val="16"/>
                <w:szCs w:val="16"/>
              </w:rPr>
              <w:t xml:space="preserve">     Epean </w:t>
            </w:r>
            <w:proofErr w:type="spellStart"/>
            <w:r>
              <w:rPr>
                <w:sz w:val="16"/>
                <w:szCs w:val="16"/>
              </w:rPr>
              <w:t>onetsia</w:t>
            </w:r>
            <w:proofErr w:type="spellEnd"/>
            <w:r>
              <w:rPr>
                <w:sz w:val="16"/>
                <w:szCs w:val="16"/>
              </w:rPr>
              <w:t xml:space="preserve">  (1.9.x+1)</w:t>
            </w:r>
          </w:p>
        </w:tc>
        <w:tc>
          <w:tcPr>
            <w:tcW w:w="1512" w:type="pct"/>
            <w:gridSpan w:val="2"/>
            <w:tcBorders>
              <w:top w:val="single" w:sz="4" w:space="0" w:color="auto"/>
              <w:left w:val="nil"/>
              <w:bottom w:val="single" w:sz="2" w:space="0" w:color="auto"/>
              <w:right w:val="nil"/>
            </w:tcBorders>
            <w:shd w:val="clear" w:color="000000" w:fill="F4B084"/>
            <w:vAlign w:val="center"/>
            <w:hideMark/>
          </w:tcPr>
          <w:p w14:paraId="370834A9" w14:textId="77777777" w:rsidR="004C5C5D" w:rsidRPr="00C24098" w:rsidRDefault="00AB5C2A" w:rsidP="00234ED3">
            <w:pPr>
              <w:pStyle w:val="cuadroCabe"/>
              <w:ind w:right="-534"/>
              <w:jc w:val="center"/>
              <w:rPr>
                <w:sz w:val="16"/>
                <w:szCs w:val="16"/>
              </w:rPr>
            </w:pPr>
            <w:r>
              <w:rPr>
                <w:sz w:val="16"/>
                <w:szCs w:val="16"/>
              </w:rPr>
              <w:t>Epean igorria  (16.09.x+1)</w:t>
            </w:r>
          </w:p>
        </w:tc>
      </w:tr>
      <w:tr w:rsidR="004C5C5D" w:rsidRPr="00C24098" w14:paraId="0B336040" w14:textId="77777777" w:rsidTr="00234ED3">
        <w:trPr>
          <w:trHeight w:val="198"/>
          <w:jc w:val="center"/>
        </w:trPr>
        <w:tc>
          <w:tcPr>
            <w:tcW w:w="1992" w:type="pct"/>
            <w:vMerge/>
            <w:tcBorders>
              <w:top w:val="single" w:sz="2" w:space="0" w:color="auto"/>
              <w:left w:val="nil"/>
              <w:bottom w:val="single" w:sz="4" w:space="0" w:color="auto"/>
              <w:right w:val="nil"/>
            </w:tcBorders>
            <w:shd w:val="clear" w:color="000000" w:fill="F4B084"/>
            <w:noWrap/>
            <w:vAlign w:val="center"/>
            <w:hideMark/>
          </w:tcPr>
          <w:p w14:paraId="30CD8F9C" w14:textId="77777777" w:rsidR="004C5C5D" w:rsidRPr="00C24098" w:rsidRDefault="004C5C5D" w:rsidP="00C24098">
            <w:pPr>
              <w:pStyle w:val="cuadroCabe"/>
              <w:jc w:val="left"/>
              <w:rPr>
                <w:sz w:val="16"/>
                <w:szCs w:val="16"/>
                <w:lang w:val="es-ES" w:eastAsia="es-ES"/>
              </w:rPr>
            </w:pPr>
          </w:p>
        </w:tc>
        <w:tc>
          <w:tcPr>
            <w:tcW w:w="747" w:type="pct"/>
            <w:tcBorders>
              <w:top w:val="single" w:sz="2" w:space="0" w:color="auto"/>
              <w:left w:val="nil"/>
              <w:bottom w:val="single" w:sz="4" w:space="0" w:color="auto"/>
              <w:right w:val="nil"/>
            </w:tcBorders>
            <w:shd w:val="clear" w:color="000000" w:fill="F4B084"/>
            <w:vAlign w:val="center"/>
            <w:hideMark/>
          </w:tcPr>
          <w:p w14:paraId="590B292A" w14:textId="77777777" w:rsidR="004C5C5D" w:rsidRPr="00C24098" w:rsidRDefault="004C5C5D" w:rsidP="00EF12C2">
            <w:pPr>
              <w:pStyle w:val="cuadroCabe"/>
              <w:jc w:val="right"/>
              <w:rPr>
                <w:sz w:val="16"/>
                <w:szCs w:val="16"/>
              </w:rPr>
            </w:pPr>
            <w:r>
              <w:rPr>
                <w:sz w:val="16"/>
                <w:szCs w:val="16"/>
              </w:rPr>
              <w:t>2018</w:t>
            </w:r>
          </w:p>
        </w:tc>
        <w:tc>
          <w:tcPr>
            <w:tcW w:w="749" w:type="pct"/>
            <w:tcBorders>
              <w:top w:val="single" w:sz="2" w:space="0" w:color="auto"/>
              <w:left w:val="nil"/>
              <w:bottom w:val="single" w:sz="4" w:space="0" w:color="auto"/>
              <w:right w:val="nil"/>
            </w:tcBorders>
            <w:shd w:val="clear" w:color="000000" w:fill="F4B084"/>
            <w:vAlign w:val="center"/>
            <w:hideMark/>
          </w:tcPr>
          <w:p w14:paraId="1C3713C4" w14:textId="77777777" w:rsidR="004C5C5D" w:rsidRPr="00C24098" w:rsidRDefault="004C5C5D" w:rsidP="00EF12C2">
            <w:pPr>
              <w:pStyle w:val="cuadroCabe"/>
              <w:jc w:val="right"/>
              <w:rPr>
                <w:sz w:val="16"/>
                <w:szCs w:val="16"/>
              </w:rPr>
            </w:pPr>
            <w:r>
              <w:rPr>
                <w:sz w:val="16"/>
                <w:szCs w:val="16"/>
              </w:rPr>
              <w:t>2019 (*)</w:t>
            </w:r>
          </w:p>
        </w:tc>
        <w:tc>
          <w:tcPr>
            <w:tcW w:w="747" w:type="pct"/>
            <w:tcBorders>
              <w:top w:val="single" w:sz="2" w:space="0" w:color="auto"/>
              <w:left w:val="nil"/>
              <w:bottom w:val="single" w:sz="4" w:space="0" w:color="auto"/>
              <w:right w:val="nil"/>
            </w:tcBorders>
            <w:shd w:val="clear" w:color="000000" w:fill="F4B084"/>
            <w:vAlign w:val="center"/>
            <w:hideMark/>
          </w:tcPr>
          <w:p w14:paraId="07FE0213" w14:textId="77777777" w:rsidR="004C5C5D" w:rsidRPr="00C24098" w:rsidRDefault="004C5C5D" w:rsidP="00EF12C2">
            <w:pPr>
              <w:pStyle w:val="cuadroCabe"/>
              <w:jc w:val="right"/>
              <w:rPr>
                <w:sz w:val="16"/>
                <w:szCs w:val="16"/>
              </w:rPr>
            </w:pPr>
            <w:r>
              <w:rPr>
                <w:sz w:val="16"/>
                <w:szCs w:val="16"/>
              </w:rPr>
              <w:t>2018</w:t>
            </w:r>
          </w:p>
        </w:tc>
        <w:tc>
          <w:tcPr>
            <w:tcW w:w="765" w:type="pct"/>
            <w:tcBorders>
              <w:top w:val="single" w:sz="2" w:space="0" w:color="auto"/>
              <w:left w:val="nil"/>
              <w:bottom w:val="single" w:sz="4" w:space="0" w:color="auto"/>
              <w:right w:val="nil"/>
            </w:tcBorders>
            <w:shd w:val="clear" w:color="000000" w:fill="F4B084"/>
            <w:vAlign w:val="center"/>
            <w:hideMark/>
          </w:tcPr>
          <w:p w14:paraId="36A24B66" w14:textId="77777777" w:rsidR="004C5C5D" w:rsidRPr="00C24098" w:rsidRDefault="004C5C5D" w:rsidP="00EF12C2">
            <w:pPr>
              <w:pStyle w:val="cuadroCabe"/>
              <w:jc w:val="right"/>
              <w:rPr>
                <w:sz w:val="16"/>
                <w:szCs w:val="16"/>
              </w:rPr>
            </w:pPr>
            <w:r>
              <w:rPr>
                <w:sz w:val="16"/>
                <w:szCs w:val="16"/>
              </w:rPr>
              <w:t>2019 (*)</w:t>
            </w:r>
          </w:p>
        </w:tc>
      </w:tr>
      <w:tr w:rsidR="004C5C5D" w:rsidRPr="00C24098" w14:paraId="47922436" w14:textId="77777777" w:rsidTr="00234ED3">
        <w:trPr>
          <w:trHeight w:val="238"/>
          <w:jc w:val="center"/>
        </w:trPr>
        <w:tc>
          <w:tcPr>
            <w:tcW w:w="1992" w:type="pct"/>
            <w:tcBorders>
              <w:top w:val="single" w:sz="4" w:space="0" w:color="auto"/>
              <w:left w:val="nil"/>
              <w:bottom w:val="single" w:sz="2" w:space="0" w:color="auto"/>
              <w:right w:val="nil"/>
            </w:tcBorders>
            <w:shd w:val="clear" w:color="auto" w:fill="auto"/>
            <w:noWrap/>
            <w:vAlign w:val="bottom"/>
            <w:hideMark/>
          </w:tcPr>
          <w:p w14:paraId="4D0022B5" w14:textId="77777777" w:rsidR="004C5C5D" w:rsidRPr="00C24098" w:rsidRDefault="004C5C5D" w:rsidP="00C24098">
            <w:pPr>
              <w:pStyle w:val="cuatexto"/>
              <w:rPr>
                <w:sz w:val="19"/>
                <w:szCs w:val="19"/>
              </w:rPr>
            </w:pPr>
            <w:r>
              <w:rPr>
                <w:sz w:val="19"/>
                <w:szCs w:val="19"/>
              </w:rPr>
              <w:t>Udalak</w:t>
            </w:r>
          </w:p>
        </w:tc>
        <w:tc>
          <w:tcPr>
            <w:tcW w:w="747" w:type="pct"/>
            <w:tcBorders>
              <w:top w:val="single" w:sz="4" w:space="0" w:color="auto"/>
              <w:left w:val="nil"/>
              <w:bottom w:val="single" w:sz="2" w:space="0" w:color="auto"/>
              <w:right w:val="nil"/>
            </w:tcBorders>
            <w:shd w:val="clear" w:color="auto" w:fill="auto"/>
            <w:noWrap/>
            <w:vAlign w:val="center"/>
            <w:hideMark/>
          </w:tcPr>
          <w:p w14:paraId="19406115" w14:textId="77777777" w:rsidR="004C5C5D" w:rsidRPr="00C24098" w:rsidRDefault="004C5C5D" w:rsidP="00EF12C2">
            <w:pPr>
              <w:pStyle w:val="cuatexto"/>
              <w:jc w:val="right"/>
              <w:rPr>
                <w:sz w:val="19"/>
                <w:szCs w:val="19"/>
              </w:rPr>
            </w:pPr>
            <w:r>
              <w:rPr>
                <w:sz w:val="19"/>
                <w:szCs w:val="19"/>
              </w:rPr>
              <w:t>% 82</w:t>
            </w:r>
          </w:p>
        </w:tc>
        <w:tc>
          <w:tcPr>
            <w:tcW w:w="749" w:type="pct"/>
            <w:tcBorders>
              <w:top w:val="single" w:sz="4" w:space="0" w:color="auto"/>
              <w:left w:val="nil"/>
              <w:bottom w:val="single" w:sz="2" w:space="0" w:color="auto"/>
              <w:right w:val="nil"/>
            </w:tcBorders>
            <w:shd w:val="clear" w:color="auto" w:fill="auto"/>
            <w:noWrap/>
            <w:vAlign w:val="center"/>
            <w:hideMark/>
          </w:tcPr>
          <w:p w14:paraId="55D9289C" w14:textId="77777777" w:rsidR="004C5C5D" w:rsidRPr="00C24098" w:rsidRDefault="004C5C5D" w:rsidP="00EF12C2">
            <w:pPr>
              <w:pStyle w:val="cuatexto"/>
              <w:jc w:val="right"/>
              <w:rPr>
                <w:sz w:val="19"/>
                <w:szCs w:val="19"/>
              </w:rPr>
            </w:pPr>
            <w:r>
              <w:rPr>
                <w:sz w:val="19"/>
                <w:szCs w:val="19"/>
              </w:rPr>
              <w:t>% 85</w:t>
            </w:r>
          </w:p>
        </w:tc>
        <w:tc>
          <w:tcPr>
            <w:tcW w:w="747" w:type="pct"/>
            <w:tcBorders>
              <w:top w:val="single" w:sz="4" w:space="0" w:color="auto"/>
              <w:left w:val="nil"/>
              <w:bottom w:val="single" w:sz="2" w:space="0" w:color="auto"/>
              <w:right w:val="nil"/>
            </w:tcBorders>
            <w:shd w:val="clear" w:color="auto" w:fill="auto"/>
            <w:noWrap/>
            <w:vAlign w:val="center"/>
            <w:hideMark/>
          </w:tcPr>
          <w:p w14:paraId="06F7DB8A" w14:textId="77777777" w:rsidR="004C5C5D" w:rsidRPr="00C24098" w:rsidRDefault="004C5C5D" w:rsidP="00EF12C2">
            <w:pPr>
              <w:pStyle w:val="cuatexto"/>
              <w:jc w:val="right"/>
              <w:rPr>
                <w:sz w:val="19"/>
                <w:szCs w:val="19"/>
              </w:rPr>
            </w:pPr>
            <w:r>
              <w:rPr>
                <w:sz w:val="19"/>
                <w:szCs w:val="19"/>
              </w:rPr>
              <w:t>% 66</w:t>
            </w:r>
          </w:p>
        </w:tc>
        <w:tc>
          <w:tcPr>
            <w:tcW w:w="765" w:type="pct"/>
            <w:tcBorders>
              <w:top w:val="single" w:sz="4" w:space="0" w:color="auto"/>
              <w:left w:val="nil"/>
              <w:bottom w:val="single" w:sz="2" w:space="0" w:color="auto"/>
              <w:right w:val="nil"/>
            </w:tcBorders>
            <w:shd w:val="clear" w:color="auto" w:fill="auto"/>
            <w:noWrap/>
            <w:vAlign w:val="center"/>
            <w:hideMark/>
          </w:tcPr>
          <w:p w14:paraId="6DAE0210" w14:textId="77777777" w:rsidR="004C5C5D" w:rsidRPr="00C24098" w:rsidRDefault="004C5C5D" w:rsidP="004C5C5D">
            <w:pPr>
              <w:pStyle w:val="cuatexto"/>
              <w:jc w:val="right"/>
              <w:rPr>
                <w:sz w:val="19"/>
                <w:szCs w:val="19"/>
              </w:rPr>
            </w:pPr>
            <w:r>
              <w:rPr>
                <w:sz w:val="19"/>
                <w:szCs w:val="19"/>
              </w:rPr>
              <w:t>% 71</w:t>
            </w:r>
          </w:p>
        </w:tc>
      </w:tr>
      <w:tr w:rsidR="004C5C5D" w:rsidRPr="00C24098" w14:paraId="58661E15" w14:textId="77777777" w:rsidTr="00234ED3">
        <w:trPr>
          <w:trHeight w:val="238"/>
          <w:jc w:val="center"/>
        </w:trPr>
        <w:tc>
          <w:tcPr>
            <w:tcW w:w="1992" w:type="pct"/>
            <w:tcBorders>
              <w:top w:val="single" w:sz="2" w:space="0" w:color="auto"/>
              <w:left w:val="nil"/>
              <w:bottom w:val="single" w:sz="2" w:space="0" w:color="auto"/>
              <w:right w:val="nil"/>
            </w:tcBorders>
            <w:shd w:val="clear" w:color="auto" w:fill="auto"/>
            <w:noWrap/>
            <w:vAlign w:val="bottom"/>
            <w:hideMark/>
          </w:tcPr>
          <w:p w14:paraId="4C8403F5" w14:textId="77777777" w:rsidR="004C5C5D" w:rsidRPr="00C24098" w:rsidRDefault="004C5C5D" w:rsidP="00C24098">
            <w:pPr>
              <w:pStyle w:val="cuatexto"/>
              <w:rPr>
                <w:sz w:val="19"/>
                <w:szCs w:val="19"/>
              </w:rPr>
            </w:pPr>
            <w:r>
              <w:rPr>
                <w:sz w:val="19"/>
                <w:szCs w:val="19"/>
              </w:rPr>
              <w:t>Kontzejuak</w:t>
            </w:r>
          </w:p>
        </w:tc>
        <w:tc>
          <w:tcPr>
            <w:tcW w:w="747" w:type="pct"/>
            <w:tcBorders>
              <w:top w:val="single" w:sz="2" w:space="0" w:color="auto"/>
              <w:left w:val="nil"/>
              <w:bottom w:val="single" w:sz="2" w:space="0" w:color="auto"/>
              <w:right w:val="nil"/>
            </w:tcBorders>
            <w:shd w:val="clear" w:color="auto" w:fill="auto"/>
            <w:noWrap/>
            <w:vAlign w:val="center"/>
            <w:hideMark/>
          </w:tcPr>
          <w:p w14:paraId="7F98ADC2" w14:textId="77777777" w:rsidR="004C5C5D" w:rsidRPr="00C24098" w:rsidRDefault="004C5C5D" w:rsidP="00EF12C2">
            <w:pPr>
              <w:pStyle w:val="cuatexto"/>
              <w:jc w:val="right"/>
              <w:rPr>
                <w:sz w:val="19"/>
                <w:szCs w:val="19"/>
              </w:rPr>
            </w:pPr>
            <w:r>
              <w:rPr>
                <w:sz w:val="19"/>
                <w:szCs w:val="19"/>
              </w:rPr>
              <w:t>% 73</w:t>
            </w:r>
          </w:p>
        </w:tc>
        <w:tc>
          <w:tcPr>
            <w:tcW w:w="749" w:type="pct"/>
            <w:tcBorders>
              <w:top w:val="single" w:sz="2" w:space="0" w:color="auto"/>
              <w:left w:val="nil"/>
              <w:bottom w:val="single" w:sz="2" w:space="0" w:color="auto"/>
              <w:right w:val="nil"/>
            </w:tcBorders>
            <w:shd w:val="clear" w:color="auto" w:fill="auto"/>
            <w:noWrap/>
            <w:vAlign w:val="center"/>
            <w:hideMark/>
          </w:tcPr>
          <w:p w14:paraId="1F4EF0ED" w14:textId="77777777" w:rsidR="004C5C5D" w:rsidRPr="00C24098" w:rsidRDefault="004C5C5D" w:rsidP="00EF12C2">
            <w:pPr>
              <w:pStyle w:val="cuatexto"/>
              <w:jc w:val="right"/>
              <w:rPr>
                <w:sz w:val="19"/>
                <w:szCs w:val="19"/>
              </w:rPr>
            </w:pPr>
            <w:r>
              <w:rPr>
                <w:sz w:val="19"/>
                <w:szCs w:val="19"/>
              </w:rPr>
              <w:t>% 74</w:t>
            </w:r>
          </w:p>
        </w:tc>
        <w:tc>
          <w:tcPr>
            <w:tcW w:w="747" w:type="pct"/>
            <w:tcBorders>
              <w:top w:val="single" w:sz="2" w:space="0" w:color="auto"/>
              <w:left w:val="nil"/>
              <w:bottom w:val="single" w:sz="2" w:space="0" w:color="auto"/>
              <w:right w:val="nil"/>
            </w:tcBorders>
            <w:shd w:val="clear" w:color="auto" w:fill="auto"/>
            <w:noWrap/>
            <w:vAlign w:val="center"/>
            <w:hideMark/>
          </w:tcPr>
          <w:p w14:paraId="327D7AE8" w14:textId="77777777" w:rsidR="004C5C5D" w:rsidRPr="00C24098" w:rsidRDefault="004C5C5D" w:rsidP="00EF12C2">
            <w:pPr>
              <w:pStyle w:val="cuatexto"/>
              <w:jc w:val="right"/>
              <w:rPr>
                <w:sz w:val="19"/>
                <w:szCs w:val="19"/>
              </w:rPr>
            </w:pPr>
            <w:r>
              <w:rPr>
                <w:sz w:val="19"/>
                <w:szCs w:val="19"/>
              </w:rPr>
              <w:t>% 60</w:t>
            </w:r>
          </w:p>
        </w:tc>
        <w:tc>
          <w:tcPr>
            <w:tcW w:w="765" w:type="pct"/>
            <w:tcBorders>
              <w:top w:val="single" w:sz="2" w:space="0" w:color="auto"/>
              <w:left w:val="nil"/>
              <w:bottom w:val="single" w:sz="2" w:space="0" w:color="auto"/>
              <w:right w:val="nil"/>
            </w:tcBorders>
            <w:shd w:val="clear" w:color="auto" w:fill="auto"/>
            <w:noWrap/>
            <w:vAlign w:val="center"/>
            <w:hideMark/>
          </w:tcPr>
          <w:p w14:paraId="12E0E2B6" w14:textId="77777777" w:rsidR="004C5C5D" w:rsidRPr="00C24098" w:rsidRDefault="004C5C5D" w:rsidP="00EF12C2">
            <w:pPr>
              <w:pStyle w:val="cuatexto"/>
              <w:jc w:val="right"/>
              <w:rPr>
                <w:sz w:val="19"/>
                <w:szCs w:val="19"/>
              </w:rPr>
            </w:pPr>
            <w:r>
              <w:rPr>
                <w:sz w:val="19"/>
                <w:szCs w:val="19"/>
              </w:rPr>
              <w:t>% 55</w:t>
            </w:r>
          </w:p>
        </w:tc>
      </w:tr>
      <w:tr w:rsidR="004C5C5D" w:rsidRPr="00C24098" w14:paraId="5B0787DD" w14:textId="77777777" w:rsidTr="00234ED3">
        <w:trPr>
          <w:trHeight w:val="238"/>
          <w:jc w:val="center"/>
        </w:trPr>
        <w:tc>
          <w:tcPr>
            <w:tcW w:w="1992" w:type="pct"/>
            <w:tcBorders>
              <w:top w:val="single" w:sz="2" w:space="0" w:color="auto"/>
              <w:left w:val="nil"/>
              <w:bottom w:val="single" w:sz="2" w:space="0" w:color="auto"/>
              <w:right w:val="nil"/>
            </w:tcBorders>
            <w:shd w:val="clear" w:color="auto" w:fill="auto"/>
            <w:noWrap/>
            <w:vAlign w:val="bottom"/>
            <w:hideMark/>
          </w:tcPr>
          <w:p w14:paraId="609CEDC9" w14:textId="77777777" w:rsidR="004C5C5D" w:rsidRPr="00C24098" w:rsidRDefault="004C5C5D" w:rsidP="00C24098">
            <w:pPr>
              <w:pStyle w:val="cuatexto"/>
              <w:rPr>
                <w:sz w:val="19"/>
                <w:szCs w:val="19"/>
              </w:rPr>
            </w:pPr>
            <w:r>
              <w:rPr>
                <w:sz w:val="19"/>
                <w:szCs w:val="19"/>
              </w:rPr>
              <w:t>Mankomunitateak</w:t>
            </w:r>
          </w:p>
        </w:tc>
        <w:tc>
          <w:tcPr>
            <w:tcW w:w="747" w:type="pct"/>
            <w:tcBorders>
              <w:top w:val="single" w:sz="2" w:space="0" w:color="auto"/>
              <w:left w:val="nil"/>
              <w:bottom w:val="single" w:sz="2" w:space="0" w:color="auto"/>
              <w:right w:val="nil"/>
            </w:tcBorders>
            <w:shd w:val="clear" w:color="auto" w:fill="auto"/>
            <w:noWrap/>
            <w:vAlign w:val="center"/>
            <w:hideMark/>
          </w:tcPr>
          <w:p w14:paraId="7F5B0FE8" w14:textId="77777777" w:rsidR="004C5C5D" w:rsidRPr="00C24098" w:rsidRDefault="004C5C5D" w:rsidP="00EF12C2">
            <w:pPr>
              <w:pStyle w:val="cuatexto"/>
              <w:jc w:val="right"/>
              <w:rPr>
                <w:sz w:val="19"/>
                <w:szCs w:val="19"/>
              </w:rPr>
            </w:pPr>
            <w:r>
              <w:rPr>
                <w:sz w:val="19"/>
                <w:szCs w:val="19"/>
              </w:rPr>
              <w:t>% 74</w:t>
            </w:r>
          </w:p>
        </w:tc>
        <w:tc>
          <w:tcPr>
            <w:tcW w:w="749" w:type="pct"/>
            <w:tcBorders>
              <w:top w:val="single" w:sz="2" w:space="0" w:color="auto"/>
              <w:left w:val="nil"/>
              <w:bottom w:val="single" w:sz="2" w:space="0" w:color="auto"/>
              <w:right w:val="nil"/>
            </w:tcBorders>
            <w:shd w:val="clear" w:color="auto" w:fill="auto"/>
            <w:noWrap/>
            <w:vAlign w:val="center"/>
            <w:hideMark/>
          </w:tcPr>
          <w:p w14:paraId="637E39F4" w14:textId="77777777" w:rsidR="004C5C5D" w:rsidRPr="00C24098" w:rsidRDefault="004C5C5D" w:rsidP="00EF12C2">
            <w:pPr>
              <w:pStyle w:val="cuatexto"/>
              <w:jc w:val="right"/>
              <w:rPr>
                <w:sz w:val="19"/>
                <w:szCs w:val="19"/>
              </w:rPr>
            </w:pPr>
            <w:r>
              <w:rPr>
                <w:sz w:val="19"/>
                <w:szCs w:val="19"/>
              </w:rPr>
              <w:t>% 66</w:t>
            </w:r>
          </w:p>
        </w:tc>
        <w:tc>
          <w:tcPr>
            <w:tcW w:w="747" w:type="pct"/>
            <w:tcBorders>
              <w:top w:val="single" w:sz="2" w:space="0" w:color="auto"/>
              <w:left w:val="nil"/>
              <w:bottom w:val="single" w:sz="2" w:space="0" w:color="auto"/>
              <w:right w:val="nil"/>
            </w:tcBorders>
            <w:shd w:val="clear" w:color="auto" w:fill="auto"/>
            <w:noWrap/>
            <w:vAlign w:val="center"/>
            <w:hideMark/>
          </w:tcPr>
          <w:p w14:paraId="7C823D73" w14:textId="77777777" w:rsidR="004C5C5D" w:rsidRPr="00C24098" w:rsidRDefault="004C5C5D" w:rsidP="00EF12C2">
            <w:pPr>
              <w:pStyle w:val="cuatexto"/>
              <w:jc w:val="right"/>
              <w:rPr>
                <w:sz w:val="19"/>
                <w:szCs w:val="19"/>
              </w:rPr>
            </w:pPr>
            <w:r>
              <w:rPr>
                <w:sz w:val="19"/>
                <w:szCs w:val="19"/>
              </w:rPr>
              <w:t>% 63</w:t>
            </w:r>
          </w:p>
        </w:tc>
        <w:tc>
          <w:tcPr>
            <w:tcW w:w="765" w:type="pct"/>
            <w:tcBorders>
              <w:top w:val="single" w:sz="2" w:space="0" w:color="auto"/>
              <w:left w:val="nil"/>
              <w:bottom w:val="single" w:sz="2" w:space="0" w:color="auto"/>
              <w:right w:val="nil"/>
            </w:tcBorders>
            <w:shd w:val="clear" w:color="auto" w:fill="auto"/>
            <w:noWrap/>
            <w:vAlign w:val="center"/>
            <w:hideMark/>
          </w:tcPr>
          <w:p w14:paraId="2B7C4FA0" w14:textId="77777777" w:rsidR="004C5C5D" w:rsidRPr="00C24098" w:rsidRDefault="004C5C5D" w:rsidP="00EF12C2">
            <w:pPr>
              <w:pStyle w:val="cuatexto"/>
              <w:jc w:val="right"/>
              <w:rPr>
                <w:sz w:val="19"/>
                <w:szCs w:val="19"/>
              </w:rPr>
            </w:pPr>
            <w:r>
              <w:rPr>
                <w:sz w:val="19"/>
                <w:szCs w:val="19"/>
              </w:rPr>
              <w:t>% 53</w:t>
            </w:r>
          </w:p>
        </w:tc>
      </w:tr>
      <w:tr w:rsidR="004C5C5D" w:rsidRPr="00C24098" w14:paraId="6486C817" w14:textId="77777777" w:rsidTr="00234ED3">
        <w:trPr>
          <w:trHeight w:val="238"/>
          <w:jc w:val="center"/>
        </w:trPr>
        <w:tc>
          <w:tcPr>
            <w:tcW w:w="1992" w:type="pct"/>
            <w:tcBorders>
              <w:top w:val="single" w:sz="2" w:space="0" w:color="auto"/>
              <w:left w:val="nil"/>
              <w:bottom w:val="single" w:sz="4" w:space="0" w:color="auto"/>
              <w:right w:val="nil"/>
            </w:tcBorders>
            <w:shd w:val="clear" w:color="auto" w:fill="auto"/>
            <w:noWrap/>
            <w:vAlign w:val="bottom"/>
            <w:hideMark/>
          </w:tcPr>
          <w:p w14:paraId="4AF401DA" w14:textId="77777777" w:rsidR="004C5C5D" w:rsidRPr="00C24098" w:rsidRDefault="004C5C5D" w:rsidP="00C24098">
            <w:pPr>
              <w:pStyle w:val="cuatexto"/>
              <w:rPr>
                <w:sz w:val="19"/>
                <w:szCs w:val="19"/>
              </w:rPr>
            </w:pPr>
            <w:r>
              <w:rPr>
                <w:sz w:val="19"/>
                <w:szCs w:val="19"/>
              </w:rPr>
              <w:t>Udal batasunak</w:t>
            </w:r>
          </w:p>
        </w:tc>
        <w:tc>
          <w:tcPr>
            <w:tcW w:w="747" w:type="pct"/>
            <w:tcBorders>
              <w:top w:val="single" w:sz="2" w:space="0" w:color="auto"/>
              <w:left w:val="nil"/>
              <w:bottom w:val="single" w:sz="4" w:space="0" w:color="auto"/>
              <w:right w:val="nil"/>
            </w:tcBorders>
            <w:shd w:val="clear" w:color="auto" w:fill="auto"/>
            <w:noWrap/>
            <w:vAlign w:val="center"/>
            <w:hideMark/>
          </w:tcPr>
          <w:p w14:paraId="0DF7D680" w14:textId="77777777" w:rsidR="004C5C5D" w:rsidRPr="00C24098" w:rsidRDefault="004C5C5D" w:rsidP="00EF12C2">
            <w:pPr>
              <w:pStyle w:val="cuatexto"/>
              <w:jc w:val="right"/>
              <w:rPr>
                <w:sz w:val="19"/>
                <w:szCs w:val="19"/>
              </w:rPr>
            </w:pPr>
            <w:r>
              <w:rPr>
                <w:sz w:val="19"/>
                <w:szCs w:val="19"/>
              </w:rPr>
              <w:t>% 73</w:t>
            </w:r>
          </w:p>
        </w:tc>
        <w:tc>
          <w:tcPr>
            <w:tcW w:w="749" w:type="pct"/>
            <w:tcBorders>
              <w:top w:val="single" w:sz="2" w:space="0" w:color="auto"/>
              <w:left w:val="nil"/>
              <w:bottom w:val="single" w:sz="4" w:space="0" w:color="auto"/>
              <w:right w:val="nil"/>
            </w:tcBorders>
            <w:shd w:val="clear" w:color="auto" w:fill="auto"/>
            <w:noWrap/>
            <w:vAlign w:val="center"/>
            <w:hideMark/>
          </w:tcPr>
          <w:p w14:paraId="77EC98DB" w14:textId="77777777" w:rsidR="004C5C5D" w:rsidRPr="00C24098" w:rsidRDefault="004C5C5D" w:rsidP="00EF12C2">
            <w:pPr>
              <w:pStyle w:val="cuatexto"/>
              <w:jc w:val="right"/>
              <w:rPr>
                <w:sz w:val="19"/>
                <w:szCs w:val="19"/>
              </w:rPr>
            </w:pPr>
            <w:r>
              <w:rPr>
                <w:sz w:val="19"/>
                <w:szCs w:val="19"/>
              </w:rPr>
              <w:t>% 59</w:t>
            </w:r>
          </w:p>
        </w:tc>
        <w:tc>
          <w:tcPr>
            <w:tcW w:w="747" w:type="pct"/>
            <w:tcBorders>
              <w:top w:val="single" w:sz="2" w:space="0" w:color="auto"/>
              <w:left w:val="nil"/>
              <w:bottom w:val="single" w:sz="4" w:space="0" w:color="auto"/>
              <w:right w:val="nil"/>
            </w:tcBorders>
            <w:shd w:val="clear" w:color="auto" w:fill="auto"/>
            <w:noWrap/>
            <w:vAlign w:val="center"/>
            <w:hideMark/>
          </w:tcPr>
          <w:p w14:paraId="4AB0F7C7" w14:textId="77777777" w:rsidR="004C5C5D" w:rsidRPr="00C24098" w:rsidRDefault="004C5C5D" w:rsidP="00EF12C2">
            <w:pPr>
              <w:pStyle w:val="cuatexto"/>
              <w:jc w:val="right"/>
              <w:rPr>
                <w:sz w:val="19"/>
                <w:szCs w:val="19"/>
              </w:rPr>
            </w:pPr>
            <w:r>
              <w:rPr>
                <w:sz w:val="19"/>
                <w:szCs w:val="19"/>
              </w:rPr>
              <w:t>% 55</w:t>
            </w:r>
          </w:p>
        </w:tc>
        <w:tc>
          <w:tcPr>
            <w:tcW w:w="765" w:type="pct"/>
            <w:tcBorders>
              <w:top w:val="single" w:sz="2" w:space="0" w:color="auto"/>
              <w:left w:val="nil"/>
              <w:bottom w:val="single" w:sz="4" w:space="0" w:color="auto"/>
              <w:right w:val="nil"/>
            </w:tcBorders>
            <w:shd w:val="clear" w:color="auto" w:fill="auto"/>
            <w:noWrap/>
            <w:vAlign w:val="center"/>
            <w:hideMark/>
          </w:tcPr>
          <w:p w14:paraId="021E6EA1" w14:textId="77777777" w:rsidR="004C5C5D" w:rsidRPr="00C24098" w:rsidRDefault="004C5C5D" w:rsidP="00EF12C2">
            <w:pPr>
              <w:pStyle w:val="cuatexto"/>
              <w:jc w:val="right"/>
              <w:rPr>
                <w:sz w:val="19"/>
                <w:szCs w:val="19"/>
              </w:rPr>
            </w:pPr>
            <w:r>
              <w:rPr>
                <w:sz w:val="19"/>
                <w:szCs w:val="19"/>
              </w:rPr>
              <w:t>% 41</w:t>
            </w:r>
          </w:p>
        </w:tc>
      </w:tr>
    </w:tbl>
    <w:p w14:paraId="21B6FDA4" w14:textId="77777777" w:rsidR="004C5C5D" w:rsidRPr="00865FA4" w:rsidRDefault="004C5C5D" w:rsidP="00C7553E">
      <w:pPr>
        <w:pStyle w:val="texto"/>
        <w:spacing w:before="80"/>
        <w:ind w:left="56" w:firstLine="0"/>
        <w:rPr>
          <w:rFonts w:ascii="Arial" w:hAnsi="Arial" w:cs="Arial"/>
          <w:sz w:val="16"/>
          <w:szCs w:val="16"/>
        </w:rPr>
      </w:pPr>
      <w:r>
        <w:rPr>
          <w:rFonts w:ascii="Arial" w:hAnsi="Arial"/>
          <w:sz w:val="16"/>
          <w:szCs w:val="16"/>
        </w:rPr>
        <w:t>(*) 2019rako, kontuak emateko eta igortzeko epeak beste 99 egunez luzatu dira. 11/2020 Errege Lege Dekretuaren 48. artikulua.</w:t>
      </w:r>
    </w:p>
    <w:p w14:paraId="042D3A8C" w14:textId="77777777" w:rsidR="0088085F" w:rsidRPr="00262228" w:rsidRDefault="0088085F" w:rsidP="00C24098">
      <w:pPr>
        <w:pStyle w:val="texto"/>
        <w:spacing w:before="220"/>
      </w:pPr>
      <w:r>
        <w:t>Nabarmentzekoa da kontu gehienak, ehuneko 50etik gora, araudian ezarritako epearen barruan onesten direla, baina kontuak ematea atzeratu egiten dela eta kontuak epe barruan ematen dituztenen ehunekoak txikiagoak direla. Egiaztatu dugunez, udalen kontu-ematearen eta igorpenaren ehunekoak aurreko ekitaldikoak baino handiagoak dira, eta gainerako entitateen ehunekoek lehengoan diraute edo behera egin dute.</w:t>
      </w:r>
    </w:p>
    <w:p w14:paraId="562BC8A7" w14:textId="77777777" w:rsidR="0088085F" w:rsidRPr="00262228" w:rsidRDefault="0088085F" w:rsidP="00262228">
      <w:pPr>
        <w:pStyle w:val="texto"/>
      </w:pPr>
      <w:r>
        <w:t>Kontu orokorrik aurkeztu ez duten toki entitateetatik, likidazio espedientea aurkeztu dute udalen ehuneko bostek, kontzejuen ehuneko batek, mankomunitateen ehuneko 11k eta batasunen ehuneko 18k. Hala ere, udal batek baino ez du hura onetsi ezarritako epean.</w:t>
      </w:r>
    </w:p>
    <w:p w14:paraId="68BD868F" w14:textId="77777777" w:rsidR="0088085F" w:rsidRPr="00262228" w:rsidRDefault="0088085F" w:rsidP="00EF12C2">
      <w:pPr>
        <w:pStyle w:val="texto"/>
        <w:spacing w:after="240"/>
      </w:pPr>
      <w:r>
        <w:t xml:space="preserve"> Era berean, hona hemen xehetasunez azalduta 2019ko ekitaldiko aurrekontuen espedientea onesteko eta Toki Administrazioaren eta Despopulazioaren Zuzendaritza Nagusira bidaltzeko epeak:</w:t>
      </w:r>
    </w:p>
    <w:tbl>
      <w:tblPr>
        <w:tblW w:w="5000" w:type="pct"/>
        <w:jc w:val="center"/>
        <w:tblCellMar>
          <w:left w:w="70" w:type="dxa"/>
          <w:right w:w="70" w:type="dxa"/>
        </w:tblCellMar>
        <w:tblLook w:val="04A0" w:firstRow="1" w:lastRow="0" w:firstColumn="1" w:lastColumn="0" w:noHBand="0" w:noVBand="1"/>
      </w:tblPr>
      <w:tblGrid>
        <w:gridCol w:w="3577"/>
        <w:gridCol w:w="1800"/>
        <w:gridCol w:w="1800"/>
        <w:gridCol w:w="1612"/>
      </w:tblGrid>
      <w:tr w:rsidR="0088085F" w:rsidRPr="00EF12C2" w14:paraId="750C01C9" w14:textId="77777777" w:rsidTr="00C1366A">
        <w:trPr>
          <w:trHeight w:val="284"/>
          <w:jc w:val="center"/>
        </w:trPr>
        <w:tc>
          <w:tcPr>
            <w:tcW w:w="2035" w:type="pct"/>
            <w:tcBorders>
              <w:top w:val="single" w:sz="4" w:space="0" w:color="auto"/>
              <w:left w:val="nil"/>
              <w:bottom w:val="single" w:sz="4" w:space="0" w:color="auto"/>
              <w:right w:val="nil"/>
            </w:tcBorders>
            <w:shd w:val="clear" w:color="auto" w:fill="FABF8F" w:themeFill="accent6" w:themeFillTint="99"/>
            <w:noWrap/>
            <w:vAlign w:val="center"/>
            <w:hideMark/>
          </w:tcPr>
          <w:p w14:paraId="49DFF843" w14:textId="77777777" w:rsidR="0088085F" w:rsidRPr="00EF12C2" w:rsidRDefault="009544C7" w:rsidP="00EF12C2">
            <w:pPr>
              <w:pStyle w:val="cuadroCabe"/>
              <w:jc w:val="left"/>
              <w:rPr>
                <w:sz w:val="16"/>
                <w:szCs w:val="16"/>
              </w:rPr>
            </w:pPr>
            <w:r>
              <w:rPr>
                <w:sz w:val="16"/>
                <w:szCs w:val="16"/>
              </w:rPr>
              <w:lastRenderedPageBreak/>
              <w:t>Entitate mota</w:t>
            </w:r>
          </w:p>
        </w:tc>
        <w:tc>
          <w:tcPr>
            <w:tcW w:w="1024" w:type="pct"/>
            <w:tcBorders>
              <w:top w:val="single" w:sz="4" w:space="0" w:color="auto"/>
              <w:left w:val="nil"/>
              <w:bottom w:val="single" w:sz="4" w:space="0" w:color="auto"/>
              <w:right w:val="nil"/>
            </w:tcBorders>
            <w:shd w:val="clear" w:color="auto" w:fill="FABF8F" w:themeFill="accent6" w:themeFillTint="99"/>
            <w:vAlign w:val="center"/>
            <w:hideMark/>
          </w:tcPr>
          <w:p w14:paraId="3043F3CA" w14:textId="77777777" w:rsidR="0088085F" w:rsidRPr="00EF12C2" w:rsidRDefault="009544C7" w:rsidP="00C1366A">
            <w:pPr>
              <w:pStyle w:val="cuadroCabe"/>
              <w:jc w:val="right"/>
              <w:rPr>
                <w:sz w:val="16"/>
                <w:szCs w:val="16"/>
              </w:rPr>
            </w:pPr>
            <w:r>
              <w:rPr>
                <w:sz w:val="16"/>
                <w:szCs w:val="16"/>
              </w:rPr>
              <w:t xml:space="preserve">Epean </w:t>
            </w:r>
            <w:proofErr w:type="spellStart"/>
            <w:r>
              <w:rPr>
                <w:sz w:val="16"/>
                <w:szCs w:val="16"/>
              </w:rPr>
              <w:t>onetsia</w:t>
            </w:r>
            <w:proofErr w:type="spellEnd"/>
            <w:r>
              <w:rPr>
                <w:sz w:val="16"/>
                <w:szCs w:val="16"/>
              </w:rPr>
              <w:t xml:space="preserve"> (2018-12-31)</w:t>
            </w:r>
          </w:p>
        </w:tc>
        <w:tc>
          <w:tcPr>
            <w:tcW w:w="1024" w:type="pct"/>
            <w:tcBorders>
              <w:top w:val="single" w:sz="4" w:space="0" w:color="auto"/>
              <w:left w:val="nil"/>
              <w:bottom w:val="single" w:sz="4" w:space="0" w:color="auto"/>
              <w:right w:val="nil"/>
            </w:tcBorders>
            <w:shd w:val="clear" w:color="auto" w:fill="FABF8F" w:themeFill="accent6" w:themeFillTint="99"/>
            <w:vAlign w:val="center"/>
            <w:hideMark/>
          </w:tcPr>
          <w:p w14:paraId="39EC50DE" w14:textId="77777777" w:rsidR="0088085F" w:rsidRPr="00EF12C2" w:rsidRDefault="009544C7" w:rsidP="00C1366A">
            <w:pPr>
              <w:pStyle w:val="cuadroCabe"/>
              <w:jc w:val="right"/>
              <w:rPr>
                <w:sz w:val="16"/>
                <w:szCs w:val="16"/>
              </w:rPr>
            </w:pPr>
            <w:r>
              <w:rPr>
                <w:sz w:val="16"/>
                <w:szCs w:val="16"/>
              </w:rPr>
              <w:t>Epean igorria (2019-01-16)</w:t>
            </w:r>
          </w:p>
        </w:tc>
        <w:tc>
          <w:tcPr>
            <w:tcW w:w="917" w:type="pct"/>
            <w:tcBorders>
              <w:top w:val="single" w:sz="4" w:space="0" w:color="auto"/>
              <w:left w:val="nil"/>
              <w:bottom w:val="single" w:sz="4" w:space="0" w:color="auto"/>
              <w:right w:val="nil"/>
            </w:tcBorders>
            <w:shd w:val="clear" w:color="auto" w:fill="FABF8F" w:themeFill="accent6" w:themeFillTint="99"/>
            <w:vAlign w:val="center"/>
            <w:hideMark/>
          </w:tcPr>
          <w:p w14:paraId="39E72F3D" w14:textId="77777777" w:rsidR="0088085F" w:rsidRPr="00EF12C2" w:rsidRDefault="009544C7" w:rsidP="00C1366A">
            <w:pPr>
              <w:pStyle w:val="cuadroCabe"/>
              <w:jc w:val="right"/>
              <w:rPr>
                <w:sz w:val="16"/>
                <w:szCs w:val="16"/>
              </w:rPr>
            </w:pPr>
            <w:r>
              <w:rPr>
                <w:sz w:val="16"/>
                <w:szCs w:val="16"/>
              </w:rPr>
              <w:t>2019-04-01erako igorria</w:t>
            </w:r>
          </w:p>
        </w:tc>
      </w:tr>
      <w:tr w:rsidR="0088085F" w:rsidRPr="00EF12C2" w14:paraId="3E38F446" w14:textId="77777777" w:rsidTr="00C1366A">
        <w:trPr>
          <w:trHeight w:val="238"/>
          <w:jc w:val="center"/>
        </w:trPr>
        <w:tc>
          <w:tcPr>
            <w:tcW w:w="2035" w:type="pct"/>
            <w:tcBorders>
              <w:top w:val="single" w:sz="4" w:space="0" w:color="auto"/>
              <w:left w:val="nil"/>
              <w:bottom w:val="single" w:sz="2" w:space="0" w:color="auto"/>
              <w:right w:val="nil"/>
            </w:tcBorders>
            <w:shd w:val="clear" w:color="auto" w:fill="auto"/>
            <w:noWrap/>
            <w:vAlign w:val="center"/>
            <w:hideMark/>
          </w:tcPr>
          <w:p w14:paraId="68AD78EC" w14:textId="77777777" w:rsidR="0088085F" w:rsidRPr="00EF12C2" w:rsidRDefault="0088085F" w:rsidP="00EF12C2">
            <w:pPr>
              <w:pStyle w:val="cuatexto"/>
              <w:jc w:val="left"/>
              <w:rPr>
                <w:sz w:val="19"/>
                <w:szCs w:val="19"/>
              </w:rPr>
            </w:pPr>
            <w:r>
              <w:rPr>
                <w:sz w:val="19"/>
                <w:szCs w:val="19"/>
              </w:rPr>
              <w:t>Udalak</w:t>
            </w:r>
          </w:p>
        </w:tc>
        <w:tc>
          <w:tcPr>
            <w:tcW w:w="1024" w:type="pct"/>
            <w:tcBorders>
              <w:top w:val="single" w:sz="4" w:space="0" w:color="auto"/>
              <w:left w:val="nil"/>
              <w:bottom w:val="single" w:sz="2" w:space="0" w:color="auto"/>
              <w:right w:val="nil"/>
            </w:tcBorders>
            <w:shd w:val="clear" w:color="auto" w:fill="auto"/>
            <w:noWrap/>
            <w:vAlign w:val="center"/>
            <w:hideMark/>
          </w:tcPr>
          <w:p w14:paraId="6204EE24" w14:textId="77777777" w:rsidR="0088085F" w:rsidRPr="00EF12C2" w:rsidRDefault="0088085F" w:rsidP="00C1366A">
            <w:pPr>
              <w:pStyle w:val="cuatexto"/>
              <w:jc w:val="right"/>
              <w:rPr>
                <w:sz w:val="19"/>
                <w:szCs w:val="19"/>
              </w:rPr>
            </w:pPr>
            <w:r>
              <w:rPr>
                <w:sz w:val="19"/>
                <w:szCs w:val="19"/>
              </w:rPr>
              <w:t>% 43</w:t>
            </w:r>
          </w:p>
        </w:tc>
        <w:tc>
          <w:tcPr>
            <w:tcW w:w="1024" w:type="pct"/>
            <w:tcBorders>
              <w:top w:val="single" w:sz="4" w:space="0" w:color="auto"/>
              <w:left w:val="nil"/>
              <w:bottom w:val="single" w:sz="2" w:space="0" w:color="auto"/>
              <w:right w:val="nil"/>
            </w:tcBorders>
            <w:shd w:val="clear" w:color="auto" w:fill="auto"/>
            <w:noWrap/>
            <w:vAlign w:val="center"/>
            <w:hideMark/>
          </w:tcPr>
          <w:p w14:paraId="7230D74E" w14:textId="77777777" w:rsidR="0088085F" w:rsidRPr="00EF12C2" w:rsidRDefault="0088085F" w:rsidP="00C1366A">
            <w:pPr>
              <w:pStyle w:val="cuatexto"/>
              <w:jc w:val="right"/>
              <w:rPr>
                <w:sz w:val="19"/>
                <w:szCs w:val="19"/>
              </w:rPr>
            </w:pPr>
            <w:r>
              <w:rPr>
                <w:sz w:val="19"/>
                <w:szCs w:val="19"/>
              </w:rPr>
              <w:t>% 4</w:t>
            </w:r>
          </w:p>
        </w:tc>
        <w:tc>
          <w:tcPr>
            <w:tcW w:w="917" w:type="pct"/>
            <w:tcBorders>
              <w:top w:val="single" w:sz="4" w:space="0" w:color="auto"/>
              <w:left w:val="nil"/>
              <w:bottom w:val="single" w:sz="2" w:space="0" w:color="auto"/>
              <w:right w:val="nil"/>
            </w:tcBorders>
            <w:shd w:val="clear" w:color="auto" w:fill="auto"/>
            <w:noWrap/>
            <w:vAlign w:val="center"/>
            <w:hideMark/>
          </w:tcPr>
          <w:p w14:paraId="56C0D1AE" w14:textId="77777777" w:rsidR="0088085F" w:rsidRPr="00EF12C2" w:rsidRDefault="0088085F" w:rsidP="00C1366A">
            <w:pPr>
              <w:pStyle w:val="cuatexto"/>
              <w:jc w:val="right"/>
              <w:rPr>
                <w:sz w:val="19"/>
                <w:szCs w:val="19"/>
              </w:rPr>
            </w:pPr>
            <w:r>
              <w:rPr>
                <w:sz w:val="19"/>
                <w:szCs w:val="19"/>
              </w:rPr>
              <w:t>% 42</w:t>
            </w:r>
          </w:p>
        </w:tc>
      </w:tr>
      <w:tr w:rsidR="0088085F" w:rsidRPr="00EF12C2" w14:paraId="35C4D84C" w14:textId="77777777" w:rsidTr="00C1366A">
        <w:trPr>
          <w:trHeight w:val="238"/>
          <w:jc w:val="center"/>
        </w:trPr>
        <w:tc>
          <w:tcPr>
            <w:tcW w:w="2035" w:type="pct"/>
            <w:tcBorders>
              <w:top w:val="single" w:sz="2" w:space="0" w:color="auto"/>
              <w:left w:val="nil"/>
              <w:bottom w:val="single" w:sz="2" w:space="0" w:color="auto"/>
              <w:right w:val="nil"/>
            </w:tcBorders>
            <w:shd w:val="clear" w:color="auto" w:fill="auto"/>
            <w:noWrap/>
            <w:vAlign w:val="center"/>
            <w:hideMark/>
          </w:tcPr>
          <w:p w14:paraId="2A000922" w14:textId="77777777" w:rsidR="0088085F" w:rsidRPr="00EF12C2" w:rsidRDefault="0088085F" w:rsidP="00EF12C2">
            <w:pPr>
              <w:pStyle w:val="cuatexto"/>
              <w:jc w:val="left"/>
              <w:rPr>
                <w:sz w:val="19"/>
                <w:szCs w:val="19"/>
              </w:rPr>
            </w:pPr>
            <w:r>
              <w:rPr>
                <w:sz w:val="19"/>
                <w:szCs w:val="19"/>
              </w:rPr>
              <w:t>Kontzejuak</w:t>
            </w:r>
          </w:p>
        </w:tc>
        <w:tc>
          <w:tcPr>
            <w:tcW w:w="1024" w:type="pct"/>
            <w:tcBorders>
              <w:top w:val="single" w:sz="2" w:space="0" w:color="auto"/>
              <w:left w:val="nil"/>
              <w:bottom w:val="single" w:sz="2" w:space="0" w:color="auto"/>
              <w:right w:val="nil"/>
            </w:tcBorders>
            <w:shd w:val="clear" w:color="auto" w:fill="auto"/>
            <w:noWrap/>
            <w:vAlign w:val="center"/>
            <w:hideMark/>
          </w:tcPr>
          <w:p w14:paraId="5E6B1FD0" w14:textId="77777777" w:rsidR="0088085F" w:rsidRPr="00EF12C2" w:rsidRDefault="0088085F" w:rsidP="00C1366A">
            <w:pPr>
              <w:pStyle w:val="cuatexto"/>
              <w:jc w:val="right"/>
              <w:rPr>
                <w:sz w:val="19"/>
                <w:szCs w:val="19"/>
              </w:rPr>
            </w:pPr>
            <w:r>
              <w:rPr>
                <w:sz w:val="19"/>
                <w:szCs w:val="19"/>
              </w:rPr>
              <w:t>% 17</w:t>
            </w:r>
          </w:p>
        </w:tc>
        <w:tc>
          <w:tcPr>
            <w:tcW w:w="1024" w:type="pct"/>
            <w:tcBorders>
              <w:top w:val="single" w:sz="2" w:space="0" w:color="auto"/>
              <w:left w:val="nil"/>
              <w:bottom w:val="single" w:sz="2" w:space="0" w:color="auto"/>
              <w:right w:val="nil"/>
            </w:tcBorders>
            <w:shd w:val="clear" w:color="auto" w:fill="auto"/>
            <w:noWrap/>
            <w:vAlign w:val="center"/>
            <w:hideMark/>
          </w:tcPr>
          <w:p w14:paraId="4EB04CD2" w14:textId="77777777" w:rsidR="0088085F" w:rsidRPr="00EF12C2" w:rsidRDefault="0088085F" w:rsidP="00C1366A">
            <w:pPr>
              <w:pStyle w:val="cuatexto"/>
              <w:jc w:val="right"/>
              <w:rPr>
                <w:sz w:val="19"/>
                <w:szCs w:val="19"/>
              </w:rPr>
            </w:pPr>
            <w:r>
              <w:rPr>
                <w:sz w:val="19"/>
                <w:szCs w:val="19"/>
              </w:rPr>
              <w:t>% 1</w:t>
            </w:r>
          </w:p>
        </w:tc>
        <w:tc>
          <w:tcPr>
            <w:tcW w:w="917" w:type="pct"/>
            <w:tcBorders>
              <w:top w:val="single" w:sz="2" w:space="0" w:color="auto"/>
              <w:left w:val="nil"/>
              <w:bottom w:val="single" w:sz="2" w:space="0" w:color="auto"/>
              <w:right w:val="nil"/>
            </w:tcBorders>
            <w:shd w:val="clear" w:color="auto" w:fill="auto"/>
            <w:noWrap/>
            <w:vAlign w:val="center"/>
            <w:hideMark/>
          </w:tcPr>
          <w:p w14:paraId="5C800175" w14:textId="77777777" w:rsidR="0088085F" w:rsidRPr="00EF12C2" w:rsidRDefault="0088085F" w:rsidP="00C1366A">
            <w:pPr>
              <w:pStyle w:val="cuatexto"/>
              <w:jc w:val="right"/>
              <w:rPr>
                <w:sz w:val="19"/>
                <w:szCs w:val="19"/>
              </w:rPr>
            </w:pPr>
            <w:r>
              <w:rPr>
                <w:sz w:val="19"/>
                <w:szCs w:val="19"/>
              </w:rPr>
              <w:t>% 18</w:t>
            </w:r>
          </w:p>
        </w:tc>
      </w:tr>
      <w:tr w:rsidR="0088085F" w:rsidRPr="00EF12C2" w14:paraId="33DAC152" w14:textId="77777777" w:rsidTr="009861B8">
        <w:trPr>
          <w:trHeight w:val="238"/>
          <w:jc w:val="center"/>
        </w:trPr>
        <w:tc>
          <w:tcPr>
            <w:tcW w:w="2035" w:type="pct"/>
            <w:tcBorders>
              <w:top w:val="single" w:sz="2" w:space="0" w:color="auto"/>
              <w:left w:val="nil"/>
              <w:bottom w:val="single" w:sz="2" w:space="0" w:color="auto"/>
              <w:right w:val="nil"/>
            </w:tcBorders>
            <w:shd w:val="clear" w:color="auto" w:fill="auto"/>
            <w:noWrap/>
            <w:vAlign w:val="center"/>
            <w:hideMark/>
          </w:tcPr>
          <w:p w14:paraId="5BAA9993" w14:textId="77777777" w:rsidR="0088085F" w:rsidRPr="00EF12C2" w:rsidRDefault="0088085F" w:rsidP="00EF12C2">
            <w:pPr>
              <w:pStyle w:val="cuatexto"/>
              <w:jc w:val="left"/>
              <w:rPr>
                <w:sz w:val="19"/>
                <w:szCs w:val="19"/>
              </w:rPr>
            </w:pPr>
            <w:r>
              <w:rPr>
                <w:sz w:val="19"/>
                <w:szCs w:val="19"/>
              </w:rPr>
              <w:t>Mankomunitateak</w:t>
            </w:r>
          </w:p>
        </w:tc>
        <w:tc>
          <w:tcPr>
            <w:tcW w:w="1024" w:type="pct"/>
            <w:tcBorders>
              <w:top w:val="single" w:sz="2" w:space="0" w:color="auto"/>
              <w:left w:val="nil"/>
              <w:bottom w:val="single" w:sz="2" w:space="0" w:color="auto"/>
              <w:right w:val="nil"/>
            </w:tcBorders>
            <w:shd w:val="clear" w:color="auto" w:fill="auto"/>
            <w:noWrap/>
            <w:vAlign w:val="center"/>
            <w:hideMark/>
          </w:tcPr>
          <w:p w14:paraId="3AD27E8F" w14:textId="77777777" w:rsidR="0088085F" w:rsidRPr="00EF12C2" w:rsidRDefault="0088085F" w:rsidP="00C1366A">
            <w:pPr>
              <w:pStyle w:val="cuatexto"/>
              <w:jc w:val="right"/>
              <w:rPr>
                <w:sz w:val="19"/>
                <w:szCs w:val="19"/>
              </w:rPr>
            </w:pPr>
            <w:r>
              <w:rPr>
                <w:sz w:val="19"/>
                <w:szCs w:val="19"/>
              </w:rPr>
              <w:t>% 37</w:t>
            </w:r>
          </w:p>
        </w:tc>
        <w:tc>
          <w:tcPr>
            <w:tcW w:w="1024" w:type="pct"/>
            <w:tcBorders>
              <w:top w:val="single" w:sz="2" w:space="0" w:color="auto"/>
              <w:left w:val="nil"/>
              <w:bottom w:val="single" w:sz="2" w:space="0" w:color="auto"/>
              <w:right w:val="nil"/>
            </w:tcBorders>
            <w:shd w:val="clear" w:color="auto" w:fill="auto"/>
            <w:noWrap/>
            <w:vAlign w:val="center"/>
            <w:hideMark/>
          </w:tcPr>
          <w:p w14:paraId="384E0BD7" w14:textId="77777777" w:rsidR="0088085F" w:rsidRPr="00EF12C2" w:rsidRDefault="0088085F" w:rsidP="00C1366A">
            <w:pPr>
              <w:pStyle w:val="cuatexto"/>
              <w:jc w:val="right"/>
              <w:rPr>
                <w:sz w:val="19"/>
                <w:szCs w:val="19"/>
              </w:rPr>
            </w:pPr>
            <w:r>
              <w:rPr>
                <w:sz w:val="19"/>
                <w:szCs w:val="19"/>
              </w:rPr>
              <w:t>% 2</w:t>
            </w:r>
          </w:p>
        </w:tc>
        <w:tc>
          <w:tcPr>
            <w:tcW w:w="917" w:type="pct"/>
            <w:tcBorders>
              <w:top w:val="single" w:sz="2" w:space="0" w:color="auto"/>
              <w:left w:val="nil"/>
              <w:bottom w:val="single" w:sz="2" w:space="0" w:color="auto"/>
              <w:right w:val="nil"/>
            </w:tcBorders>
            <w:shd w:val="clear" w:color="auto" w:fill="auto"/>
            <w:noWrap/>
            <w:vAlign w:val="center"/>
            <w:hideMark/>
          </w:tcPr>
          <w:p w14:paraId="2529136B" w14:textId="77777777" w:rsidR="0088085F" w:rsidRPr="00EF12C2" w:rsidRDefault="0088085F" w:rsidP="00C1366A">
            <w:pPr>
              <w:pStyle w:val="cuatexto"/>
              <w:jc w:val="right"/>
              <w:rPr>
                <w:sz w:val="19"/>
                <w:szCs w:val="19"/>
              </w:rPr>
            </w:pPr>
            <w:r>
              <w:rPr>
                <w:sz w:val="19"/>
                <w:szCs w:val="19"/>
              </w:rPr>
              <w:t>% 23</w:t>
            </w:r>
          </w:p>
        </w:tc>
      </w:tr>
      <w:tr w:rsidR="0088085F" w:rsidRPr="00EF12C2" w14:paraId="2E0114FA" w14:textId="77777777" w:rsidTr="00C1366A">
        <w:trPr>
          <w:trHeight w:val="238"/>
          <w:jc w:val="center"/>
        </w:trPr>
        <w:tc>
          <w:tcPr>
            <w:tcW w:w="2035" w:type="pct"/>
            <w:tcBorders>
              <w:top w:val="single" w:sz="2" w:space="0" w:color="auto"/>
              <w:left w:val="nil"/>
              <w:bottom w:val="single" w:sz="4" w:space="0" w:color="auto"/>
              <w:right w:val="nil"/>
            </w:tcBorders>
            <w:shd w:val="clear" w:color="auto" w:fill="auto"/>
            <w:noWrap/>
            <w:vAlign w:val="center"/>
            <w:hideMark/>
          </w:tcPr>
          <w:p w14:paraId="6A372B45" w14:textId="77777777" w:rsidR="0088085F" w:rsidRPr="00EF12C2" w:rsidRDefault="0088085F" w:rsidP="00EF12C2">
            <w:pPr>
              <w:pStyle w:val="cuatexto"/>
              <w:jc w:val="left"/>
              <w:rPr>
                <w:sz w:val="19"/>
                <w:szCs w:val="19"/>
              </w:rPr>
            </w:pPr>
            <w:r>
              <w:rPr>
                <w:sz w:val="19"/>
                <w:szCs w:val="19"/>
              </w:rPr>
              <w:t>Udalen batasunak</w:t>
            </w:r>
          </w:p>
        </w:tc>
        <w:tc>
          <w:tcPr>
            <w:tcW w:w="1024" w:type="pct"/>
            <w:tcBorders>
              <w:top w:val="single" w:sz="2" w:space="0" w:color="auto"/>
              <w:left w:val="nil"/>
              <w:bottom w:val="single" w:sz="4" w:space="0" w:color="auto"/>
              <w:right w:val="nil"/>
            </w:tcBorders>
            <w:shd w:val="clear" w:color="auto" w:fill="auto"/>
            <w:noWrap/>
            <w:vAlign w:val="center"/>
            <w:hideMark/>
          </w:tcPr>
          <w:p w14:paraId="6183F704" w14:textId="77777777" w:rsidR="0088085F" w:rsidRPr="00EF12C2" w:rsidRDefault="0088085F" w:rsidP="00C1366A">
            <w:pPr>
              <w:pStyle w:val="cuatexto"/>
              <w:jc w:val="right"/>
              <w:rPr>
                <w:sz w:val="19"/>
                <w:szCs w:val="19"/>
              </w:rPr>
            </w:pPr>
            <w:r>
              <w:rPr>
                <w:sz w:val="19"/>
                <w:szCs w:val="19"/>
              </w:rPr>
              <w:t>% 23</w:t>
            </w:r>
          </w:p>
        </w:tc>
        <w:tc>
          <w:tcPr>
            <w:tcW w:w="1024" w:type="pct"/>
            <w:tcBorders>
              <w:top w:val="single" w:sz="2" w:space="0" w:color="auto"/>
              <w:left w:val="nil"/>
              <w:bottom w:val="single" w:sz="4" w:space="0" w:color="auto"/>
              <w:right w:val="nil"/>
            </w:tcBorders>
            <w:shd w:val="clear" w:color="auto" w:fill="auto"/>
            <w:noWrap/>
            <w:vAlign w:val="center"/>
            <w:hideMark/>
          </w:tcPr>
          <w:p w14:paraId="1EA84573" w14:textId="77777777" w:rsidR="0088085F" w:rsidRPr="00EF12C2" w:rsidRDefault="0088085F" w:rsidP="00C1366A">
            <w:pPr>
              <w:pStyle w:val="cuatexto"/>
              <w:jc w:val="right"/>
              <w:rPr>
                <w:sz w:val="19"/>
                <w:szCs w:val="19"/>
              </w:rPr>
            </w:pPr>
            <w:r>
              <w:rPr>
                <w:sz w:val="19"/>
                <w:szCs w:val="19"/>
              </w:rPr>
              <w:t>% 0</w:t>
            </w:r>
          </w:p>
        </w:tc>
        <w:tc>
          <w:tcPr>
            <w:tcW w:w="917" w:type="pct"/>
            <w:tcBorders>
              <w:top w:val="single" w:sz="2" w:space="0" w:color="auto"/>
              <w:left w:val="nil"/>
              <w:bottom w:val="single" w:sz="4" w:space="0" w:color="auto"/>
              <w:right w:val="nil"/>
            </w:tcBorders>
            <w:shd w:val="clear" w:color="auto" w:fill="auto"/>
            <w:noWrap/>
            <w:vAlign w:val="center"/>
            <w:hideMark/>
          </w:tcPr>
          <w:p w14:paraId="387CFCF5" w14:textId="77777777" w:rsidR="0088085F" w:rsidRPr="00EF12C2" w:rsidRDefault="0088085F" w:rsidP="00C1366A">
            <w:pPr>
              <w:pStyle w:val="cuatexto"/>
              <w:jc w:val="right"/>
              <w:rPr>
                <w:sz w:val="19"/>
                <w:szCs w:val="19"/>
              </w:rPr>
            </w:pPr>
            <w:r>
              <w:rPr>
                <w:sz w:val="19"/>
                <w:szCs w:val="19"/>
              </w:rPr>
              <w:t>% 9</w:t>
            </w:r>
          </w:p>
        </w:tc>
      </w:tr>
    </w:tbl>
    <w:p w14:paraId="7A8E89B7" w14:textId="77777777" w:rsidR="0088085F" w:rsidRPr="00262228" w:rsidRDefault="0088085F" w:rsidP="00EF12C2">
      <w:pPr>
        <w:pStyle w:val="texto"/>
        <w:spacing w:before="220"/>
      </w:pPr>
      <w:r>
        <w:t>Nabarmentzekoa da ezarritako epean onetsitako aurrekontuen indizeak baxuak direla. Gainera, kasu honetan, espedientearen onespenaren eta hura epe barruan bidaltzearen artean dagoen aldea handiagoa da kontu orokorrean ageri dena baino. Udal eta kontzejuetan indizeek hobera egin dute eta mankomunitate eta batasunetan okerrera egin dute aurreko ekitaldiko aldean.</w:t>
      </w:r>
    </w:p>
    <w:p w14:paraId="49463BF3"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2019an Iruñeko eta Eguesibarko udalak fiskalizatu ziren. Gainera, langileen kontratazioari buruzko fiskalizazio horizontala egin zen </w:t>
      </w:r>
      <w:proofErr w:type="spellStart"/>
      <w:r>
        <w:rPr>
          <w:sz w:val="26"/>
          <w:szCs w:val="26"/>
        </w:rPr>
        <w:t>Jurramendiko</w:t>
      </w:r>
      <w:proofErr w:type="spellEnd"/>
      <w:r>
        <w:rPr>
          <w:sz w:val="26"/>
          <w:szCs w:val="26"/>
        </w:rPr>
        <w:t xml:space="preserve"> Mankomunitatean eta Lekunberri, Lodosa, Ribaforada eta Zangozako udaletan. </w:t>
      </w:r>
    </w:p>
    <w:p w14:paraId="2676A688" w14:textId="77777777" w:rsidR="0088085F" w:rsidRPr="00262228" w:rsidRDefault="0088085F" w:rsidP="00262228">
      <w:pPr>
        <w:pStyle w:val="texto"/>
      </w:pPr>
      <w:r>
        <w:t>Fiskalizazioetan atzemandako akats nagusiak honako hauek dira: gastuak ordaintzea kontratazio espedienterik izapidetu gabe, edo kontratuaren indarraldia amaiturik dagoela; langileen kontratazioetan ez betetzea berdintasun, merezimendu eta gaitasun printzipioak; eta egiturazko lanpostu iraunkor batzuk plantillan ez sartu, aldi baterako kontratuen bidez bete, eta araudiak onartzen dituen gehieneko epeak gainditzea kontratu horietan.</w:t>
      </w:r>
    </w:p>
    <w:p w14:paraId="30DF6D4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Finantzen egoera bateratuari dagokionez (sozietate publikorik gabe), 2019an diru-sarrerak 891,40 milioi eurokoak izan ziren, eta ehuneko sei egin zuten gora 2018koekiko; gastuak, berriz, 885,37 milioi eurokoak izan ziren, eta ehuneko 12 egin zuten gora. 2015. urtearekiko bilakaerak zeinu bera du, baina diru-sarrerak ehuneko 19 igo ziren eta gastuak ehuneko 21.</w:t>
      </w:r>
    </w:p>
    <w:p w14:paraId="0670D7CD" w14:textId="77777777" w:rsidR="0088085F" w:rsidRPr="00262228" w:rsidRDefault="0088085F" w:rsidP="00262228">
      <w:pPr>
        <w:pStyle w:val="texto"/>
      </w:pPr>
      <w:r>
        <w:t>Aurrekontuko gastu eta diru-sarrera garrantzitsuenen osaerari dagokionez, funtzionamendu-gastuak 653,91 milioi eurora iritsi ziren; hau da, 2015ean baino ehuneko 11 eta 2018an baino ehuneko lau handiagoak dira. Bestalde, tributu bidezko diru-sarrerak 402,08 milioikoak izan ziren, eta 2019an ehuneko lau hazi ziren aurreko urteko aldean eta ehuneko 12 igo ziren 2015eko aldean. Aurrekontuko emaitza ez-finantzarioak behera egin du bai aurreko urtearekiko bai 2015arekiko. Hurrenez hurren, jaitsiera ehuneko 62koa eta 48koa izan da.</w:t>
      </w:r>
    </w:p>
    <w:p w14:paraId="3213891F" w14:textId="77777777" w:rsidR="0088085F" w:rsidRPr="00262228" w:rsidRDefault="0088085F" w:rsidP="00262228">
      <w:pPr>
        <w:pStyle w:val="texto"/>
      </w:pPr>
      <w:r>
        <w:t>Toki sektore publikoak 31,16 milioiko emaitza ez-finantzarioa lortu zuen, 107,14 milioiko aurrezki garbia izan zuen, eta gastu orokorretarako diruzaintza soberakina 275,17 milioikoa izan zuen. Azken adierazle horrek azken urteetako goranzko bideari eusten dio, eta ehuneko 43 hazi da 2015eko aldean.</w:t>
      </w:r>
    </w:p>
    <w:p w14:paraId="32804633" w14:textId="77777777" w:rsidR="0088085F" w:rsidRPr="00262228" w:rsidRDefault="0088085F" w:rsidP="00262228">
      <w:pPr>
        <w:pStyle w:val="texto"/>
      </w:pPr>
      <w:r>
        <w:t>2019an, zor bizia 179,61 milioikoa zen, hau da, ehuneko 40 murriztu zen 2015eko datuekiko eta ehuneko 13 murriztu zen 2018ko datuekiko; toki entitateek ehuneko 13,5eko zorpetze ahalmena zuten.</w:t>
      </w:r>
    </w:p>
    <w:p w14:paraId="7E11E77E" w14:textId="77777777" w:rsidR="0088085F" w:rsidRPr="00262228" w:rsidRDefault="0088085F" w:rsidP="00262228">
      <w:pPr>
        <w:pStyle w:val="texto"/>
      </w:pPr>
      <w:r>
        <w:lastRenderedPageBreak/>
        <w:t>Gainera, 37,78 milioi euroko finantza-ahalmena lortu zuen eta zor bizia diru-sarrera arrunten ehuneko 23 egiten zuen, legez ezarritako ehuneko 110eko mugaren oso behera.</w:t>
      </w:r>
    </w:p>
    <w:p w14:paraId="0FEACC3B" w14:textId="77777777" w:rsidR="0088085F" w:rsidRPr="00262228" w:rsidRDefault="0088085F" w:rsidP="00262228">
      <w:pPr>
        <w:pStyle w:val="texto"/>
      </w:pPr>
      <w:r>
        <w:t>Azken batean, toki sektore publikoaren egoera ekonomikoa saneatua da, eta adierazle ekonomiko-finantzarioek aldeko bilakaera erakusten dute; halere, gastu ez finantzarioak egiteko eta zorpetzeko muga batzuk badaude, finantza-egonkortasuneko eta -iraunkortasuneko helburuek ezarritakoak. Toki sektore publikoa, bere osotasunean, helburu horiek bete egin zituen 2019ko ekitaldian.</w:t>
      </w:r>
    </w:p>
    <w:p w14:paraId="3DA9A5DC"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 xml:space="preserve">Toki entitateek eta haien menpeko entitateek 2019an, guztira, 102,34 milioi euro egiten duten 504 kontratu adjudikatu zituzten; horietatik, ehuneko 53 obra-kontratuei dagozkie (aipatutako zenbateko osoaren ehuneko 66), ehuneko 30 zerbitzu-kontratuak dira (guztizko zenbatekoaren ehuneko 19), ehuneko 15 horniduretara bideratu ziren (guztizko zenbatekoaren ehuneko 14) eta gainerakoak, ehuneko hiru, zerbitzu-emakidak dira. </w:t>
      </w:r>
    </w:p>
    <w:p w14:paraId="304CCC21"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Nafarroako udalen, EAEkoen eta Estatuko gainerako udalen adierazleak alderatu eta aztertuz gero, alde nabarmenak antzeman daitezke haietako batzuetan; biztanleko gastuak eta diru-sarrerak handiagoak dira Nafarroako udaletan Estatuko gainerako udaletan baino, eta txikiagoak EAEko udaletan baino. Jasotako transferentziak EAEko udalenak baino askoz apalagoak dira, baina Estatuko gainerakoak baino handiagoak. Biztanleko aurrezki gordina eta garbia Estatukoen gainetik daude eta EAEko udaletakoen azpitik. Azkenik, biztanleko zor bizia txikiagoa da Nafarroan Estatuko gainerako udaletan baino, baina handiagoa EAEn baino.</w:t>
      </w:r>
    </w:p>
    <w:p w14:paraId="0D3FD459" w14:textId="77777777" w:rsidR="0088085F" w:rsidRPr="00CE5750" w:rsidRDefault="0088085F" w:rsidP="00CE5750">
      <w:pPr>
        <w:numPr>
          <w:ilvl w:val="0"/>
          <w:numId w:val="2"/>
        </w:numPr>
        <w:tabs>
          <w:tab w:val="clear" w:pos="502"/>
          <w:tab w:val="left" w:pos="480"/>
          <w:tab w:val="num" w:pos="720"/>
          <w:tab w:val="num" w:pos="6597"/>
        </w:tabs>
        <w:ind w:left="0" w:firstLine="289"/>
        <w:rPr>
          <w:spacing w:val="6"/>
          <w:sz w:val="26"/>
          <w:szCs w:val="26"/>
        </w:rPr>
      </w:pPr>
      <w:r>
        <w:rPr>
          <w:sz w:val="26"/>
          <w:szCs w:val="26"/>
        </w:rPr>
        <w:t>2020an onetsi da abenduaren 29ko 22/2020 Foru Legea, Nafarroako Toki Ogasunei buruzko 2/1995 Foru Legea aldatzen duena. Zenbait berrikuntza ekarri ditu toki tributuen arloan eta toki entitateen kudeaketa ekonomiko eta aurrekontukoaren arloan. Gainera, legea egokitu egin da, toki entitateek beharrezkoak diren arauzko tresnak eduki ditzaten aurrekontu-egonkortasuneko eta finantza-iraunkortasuneko helburuak bete ahal izateko. Horrela, Gobernuak bete egin ditu Ganbera honek behin eta berriz errepikatutako bi gomendio.</w:t>
      </w:r>
    </w:p>
    <w:p w14:paraId="64C2234F" w14:textId="2EDFC8D5" w:rsidR="0088085F" w:rsidRPr="00BD79ED" w:rsidRDefault="0088085F" w:rsidP="0088085F">
      <w:pPr>
        <w:pStyle w:val="texto"/>
        <w:numPr>
          <w:ilvl w:val="0"/>
          <w:numId w:val="2"/>
        </w:numPr>
        <w:tabs>
          <w:tab w:val="clear" w:pos="502"/>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i/>
          <w:color w:val="000000" w:themeColor="text1"/>
          <w:sz w:val="24"/>
        </w:rPr>
      </w:pPr>
      <w:r>
        <w:rPr>
          <w:color w:val="000000" w:themeColor="text1"/>
        </w:rPr>
        <w:t xml:space="preserve">Halaber, egiaztatu dugu bete egin dela toki entitateek kontuak emateari buruzko informazioa </w:t>
      </w:r>
      <w:proofErr w:type="spellStart"/>
      <w:r>
        <w:rPr>
          <w:color w:val="000000" w:themeColor="text1"/>
        </w:rPr>
        <w:t>NFKAren</w:t>
      </w:r>
      <w:proofErr w:type="spellEnd"/>
      <w:r>
        <w:rPr>
          <w:color w:val="000000" w:themeColor="text1"/>
        </w:rPr>
        <w:t xml:space="preserve"> webgunean argitaratzeari buruzko gomendioa</w:t>
      </w:r>
      <w:r>
        <w:rPr>
          <w:i/>
          <w:color w:val="000000" w:themeColor="text1"/>
          <w:sz w:val="24"/>
        </w:rPr>
        <w:t xml:space="preserve">. </w:t>
      </w:r>
      <w:hyperlink r:id="rId13" w:history="1">
        <w:r>
          <w:rPr>
            <w:rStyle w:val="Hipervnculo"/>
            <w:i/>
            <w:sz w:val="24"/>
          </w:rPr>
          <w:t>Toki entitateak.</w:t>
        </w:r>
      </w:hyperlink>
      <w:hyperlink r:id="rId14" w:history="1">
        <w:r>
          <w:rPr>
            <w:rStyle w:val="Hipervnculo"/>
            <w:i/>
            <w:sz w:val="24"/>
          </w:rPr>
          <w:t xml:space="preserve"> Aurrekontua eta kontuak.</w:t>
        </w:r>
      </w:hyperlink>
      <w:hyperlink r:id="rId15" w:history="1">
        <w:r>
          <w:rPr>
            <w:rStyle w:val="Hipervnculo"/>
            <w:i/>
            <w:sz w:val="24"/>
          </w:rPr>
          <w:t xml:space="preserve"> | Nafarroako Gobernu Irekia</w:t>
        </w:r>
      </w:hyperlink>
      <w:r>
        <w:rPr>
          <w:i/>
          <w:sz w:val="24"/>
        </w:rPr>
        <w:t>.</w:t>
      </w:r>
    </w:p>
    <w:p w14:paraId="06D18AC2" w14:textId="77777777" w:rsidR="00BD79ED" w:rsidRPr="00C26AD7" w:rsidRDefault="00BD79ED" w:rsidP="0088085F">
      <w:pPr>
        <w:pStyle w:val="texto"/>
        <w:numPr>
          <w:ilvl w:val="0"/>
          <w:numId w:val="2"/>
        </w:numPr>
        <w:tabs>
          <w:tab w:val="clear" w:pos="502"/>
          <w:tab w:val="clear" w:pos="2835"/>
          <w:tab w:val="clear" w:pos="3969"/>
          <w:tab w:val="clear" w:pos="5103"/>
          <w:tab w:val="clear" w:pos="6237"/>
          <w:tab w:val="clear" w:pos="7371"/>
          <w:tab w:val="num" w:pos="360"/>
          <w:tab w:val="left" w:pos="480"/>
          <w:tab w:val="num" w:pos="600"/>
          <w:tab w:val="num" w:pos="644"/>
          <w:tab w:val="num" w:pos="720"/>
          <w:tab w:val="num" w:pos="1320"/>
        </w:tabs>
        <w:spacing w:before="120" w:after="120"/>
        <w:ind w:left="0" w:firstLine="289"/>
        <w:rPr>
          <w:rFonts w:cs="Arial"/>
          <w:i/>
          <w:color w:val="000000" w:themeColor="text1"/>
          <w:sz w:val="24"/>
        </w:rPr>
      </w:pPr>
      <w:r>
        <w:rPr>
          <w:color w:val="000000" w:themeColor="text1"/>
        </w:rPr>
        <w:t>Bestalde, Nafarroako toki kontabilitatea Kontabilitate Publikoko Plan Orokorra oinarri hartuz araututa dago</w:t>
      </w:r>
      <w:r>
        <w:t>, 1990eko uztailaren 17ko Ministerio Aginduaren bidez Toki Administrazioarentzat egindako egokitzapenaren arabera.</w:t>
      </w:r>
    </w:p>
    <w:p w14:paraId="2FC4EE06" w14:textId="77777777" w:rsidR="0088085F" w:rsidRPr="00262228" w:rsidRDefault="0088085F" w:rsidP="00262228">
      <w:pPr>
        <w:pStyle w:val="texto"/>
      </w:pPr>
      <w:r>
        <w:t>Arlo hau dela-eta egin den azken eguneratzea 2015ekoa da, toki entitateen aurrekontu-egitura berria onetsi zenekoa. Egitura berri hori araubide erkideko toki entitateek aplikatzen dutenari egokituta dago.</w:t>
      </w:r>
    </w:p>
    <w:p w14:paraId="30EC22D7" w14:textId="77777777" w:rsidR="0088085F" w:rsidRPr="00262228" w:rsidRDefault="0088085F" w:rsidP="00262228">
      <w:pPr>
        <w:pStyle w:val="texto"/>
      </w:pPr>
      <w:r>
        <w:t xml:space="preserve">Ez da araurik eman toki entitatearen eta haren menpeko erakundeen kontabilitatearen egoera-orriak bateratzeari buruz. </w:t>
      </w:r>
    </w:p>
    <w:p w14:paraId="6E015098" w14:textId="77777777" w:rsidR="0088085F" w:rsidRPr="00262228" w:rsidRDefault="0088085F" w:rsidP="007C37EE">
      <w:pPr>
        <w:pStyle w:val="texto"/>
        <w:spacing w:after="360"/>
      </w:pPr>
      <w:r>
        <w:lastRenderedPageBreak/>
        <w:t xml:space="preserve">Kontuan hartuta konklusio horiek guztiak, Ganberak honako gomendio hauek egiten ditu: </w:t>
      </w:r>
    </w:p>
    <w:p w14:paraId="437DC3CA" w14:textId="77777777" w:rsidR="0088085F" w:rsidRPr="00B81E61" w:rsidRDefault="0088085F" w:rsidP="007C37EE">
      <w:pPr>
        <w:pStyle w:val="texto"/>
        <w:spacing w:after="240"/>
        <w:ind w:firstLine="0"/>
        <w:rPr>
          <w:b/>
          <w:i/>
          <w:color w:val="000000" w:themeColor="text1"/>
          <w:w w:val="103"/>
          <w:szCs w:val="26"/>
        </w:rPr>
      </w:pPr>
      <w:r>
        <w:rPr>
          <w:b/>
          <w:i/>
          <w:color w:val="000000" w:themeColor="text1"/>
          <w:szCs w:val="26"/>
        </w:rPr>
        <w:t>Nafarroako Foru Komunitateko Administrazioari eta Parlamentuari</w:t>
      </w:r>
    </w:p>
    <w:p w14:paraId="4ACCFDDD" w14:textId="77777777" w:rsidR="0088085F" w:rsidRPr="00CE5750" w:rsidRDefault="00A22908" w:rsidP="00CE5750">
      <w:pPr>
        <w:numPr>
          <w:ilvl w:val="0"/>
          <w:numId w:val="2"/>
        </w:numPr>
        <w:tabs>
          <w:tab w:val="clear" w:pos="502"/>
          <w:tab w:val="left" w:pos="480"/>
          <w:tab w:val="num" w:pos="720"/>
          <w:tab w:val="num" w:pos="6597"/>
        </w:tabs>
        <w:ind w:left="0" w:firstLine="289"/>
        <w:rPr>
          <w:i/>
          <w:spacing w:val="6"/>
          <w:sz w:val="26"/>
          <w:szCs w:val="26"/>
        </w:rPr>
      </w:pPr>
      <w:r>
        <w:rPr>
          <w:i/>
          <w:color w:val="000000" w:themeColor="text1"/>
          <w:sz w:val="26"/>
          <w:szCs w:val="26"/>
        </w:rPr>
        <w:t xml:space="preserve">Behar diren lege eta administrazio neurriak ezartzea erabat burutu dadin </w:t>
      </w:r>
      <w:r>
        <w:rPr>
          <w:i/>
          <w:sz w:val="26"/>
          <w:szCs w:val="26"/>
        </w:rPr>
        <w:t>Nafarroako Toki Administrazioaren berregituraketa, Nafarroako Toki Administrazioaren Erreformarako otsailaren 4ko 4/2019 Foru Legean ezarritakoa, kudeaketa publiko efiziente eta eraginkorra lortzeko.</w:t>
      </w:r>
    </w:p>
    <w:p w14:paraId="3533ED3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 xml:space="preserve"> Toki kontabilitatearen erreformari ekitea ahalik eta azkarren, eta 2010eko Kontabilitate Publikoko Plan Orokor indardunera egokitzea.</w:t>
      </w:r>
    </w:p>
    <w:p w14:paraId="241F257A" w14:textId="77777777" w:rsidR="0088085F"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Toki entitateen eta horien menpeko entitateen kontabilitateko egoera-orriak bateratzeko metodologiari buruzko arauak taxutzea, toki sektore publiko osoak egindako jardueraren erabateko ikuspegia emateko helburuarekin.</w:t>
      </w:r>
    </w:p>
    <w:p w14:paraId="59ED8765" w14:textId="77777777" w:rsidR="003208AF" w:rsidRPr="00CE5750" w:rsidRDefault="003208A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Toki zerbitzuen kostuak kalkulatzeko sistema bat taxutzea eta hura ezar dadin sustatzea, bai eta kudeaketaren adierazleak ere, horrela beteko baita Toki Administrazioaren Arrazionalizazioari eta Iraunkortasunari buruzko Legean eta Nafarroako Toki Administrazioaren Erreformarako Foru Legean xedatutakoa.</w:t>
      </w:r>
    </w:p>
    <w:p w14:paraId="087011E0" w14:textId="77777777" w:rsidR="0088085F"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Pr>
          <w:i/>
          <w:sz w:val="26"/>
          <w:szCs w:val="26"/>
        </w:rPr>
        <w:t xml:space="preserve">Toki entitateen barne-kontrolaren araubide juridikoari buruzko araudia prestatzea, beste helburu batzuen artean, ekonomia- eta aurrekontu-kontrol zorrotzagoa lortzeko eta kontu-hartzailetzak toki erakundeetan duen eginkizuna </w:t>
      </w:r>
      <w:r>
        <w:rPr>
          <w:i/>
          <w:color w:val="000000" w:themeColor="text1"/>
          <w:sz w:val="26"/>
          <w:szCs w:val="26"/>
        </w:rPr>
        <w:t>indartzeko.</w:t>
      </w:r>
    </w:p>
    <w:p w14:paraId="4E6A6C3B" w14:textId="77777777" w:rsidR="003208AF" w:rsidRPr="003208AF" w:rsidRDefault="003208A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Prozesuak informatizatzen jarraitzea, lan hori beharrezkoa baita toki entitateetako organo kontu-hartzaileek errazago bidali ahal izateko txostenak, Aurrekontu Egonkortasunari eta Finantza Iraunkortasunari buruzko Lege Organikoa betez.</w:t>
      </w:r>
    </w:p>
    <w:p w14:paraId="63C6F391" w14:textId="77777777" w:rsidR="0088085F" w:rsidRPr="0038773E"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Pr>
          <w:i/>
          <w:color w:val="000000" w:themeColor="text1"/>
          <w:sz w:val="26"/>
          <w:szCs w:val="26"/>
        </w:rPr>
        <w:t>Toki entitateen erregistroaren eguneratzea amaitzea toki fundazioei eta sozietate publikoei buruzko informazioarekin, eta lehendik dagoen informazioa berrikustea, zuzentze aldera.</w:t>
      </w:r>
    </w:p>
    <w:p w14:paraId="627ADD3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Toki sektore publikoaren finantza egoerari buruz Nafarroako Gobernuak egindako txostena osatzea, sozietate publikoei, fundazioei eta partzuergo publikoei buruzko informazio osoa gehituz.</w:t>
      </w:r>
    </w:p>
    <w:p w14:paraId="1E8645A7" w14:textId="77777777" w:rsidR="0088085F" w:rsidRPr="00CE5750" w:rsidRDefault="0088085F" w:rsidP="007C37EE">
      <w:pPr>
        <w:numPr>
          <w:ilvl w:val="0"/>
          <w:numId w:val="2"/>
        </w:numPr>
        <w:tabs>
          <w:tab w:val="clear" w:pos="502"/>
          <w:tab w:val="left" w:pos="480"/>
          <w:tab w:val="num" w:pos="720"/>
          <w:tab w:val="num" w:pos="6597"/>
        </w:tabs>
        <w:spacing w:after="360"/>
        <w:ind w:left="0" w:firstLine="289"/>
        <w:rPr>
          <w:i/>
          <w:spacing w:val="6"/>
          <w:sz w:val="26"/>
          <w:szCs w:val="26"/>
        </w:rPr>
      </w:pPr>
      <w:r>
        <w:rPr>
          <w:i/>
          <w:sz w:val="26"/>
          <w:szCs w:val="26"/>
        </w:rPr>
        <w:t>Langileen plantilla organikoaren eredu bat egitea, zeinak argitasunez eta zehaztasunez jasoko baititu dokumentu horrek bete behar dituen baldintzak eta eduki behar duen informazioa; eredu horrek, halaber, aukera emanen du toki entitateek informazio-betekizunak bete ditzaten.</w:t>
      </w:r>
    </w:p>
    <w:p w14:paraId="202ADF01" w14:textId="77777777" w:rsidR="0088085F" w:rsidRPr="00B81E61" w:rsidRDefault="0088085F" w:rsidP="007C37EE">
      <w:pPr>
        <w:pStyle w:val="texto"/>
        <w:spacing w:after="240"/>
        <w:ind w:firstLine="0"/>
        <w:rPr>
          <w:b/>
          <w:i/>
          <w:color w:val="000000" w:themeColor="text1"/>
          <w:szCs w:val="26"/>
        </w:rPr>
      </w:pPr>
      <w:r>
        <w:rPr>
          <w:b/>
          <w:i/>
          <w:color w:val="000000" w:themeColor="text1"/>
          <w:szCs w:val="26"/>
        </w:rPr>
        <w:t>Toki entitateei</w:t>
      </w:r>
    </w:p>
    <w:p w14:paraId="27B9D9D8"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Egiturazko lanpostu guztiak plantilla organikoan sartzea, eta gutxitzea, deialdi egokien bitartez, toki entitateetako langileen behin-behinekotasun maila handia.</w:t>
      </w:r>
    </w:p>
    <w:p w14:paraId="1FE6FAF4"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lastRenderedPageBreak/>
        <w:t xml:space="preserve">Udal ondasun eta eskubide guztien inbentario balioztatua eta eguneratua ezartzeko prozesua osatzea, eta hura ibilgetuaren kontuekin lotzea. </w:t>
      </w:r>
    </w:p>
    <w:p w14:paraId="7B36210D"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Lurzoruaren udal ondarearen erregistroa eta inbentarioa sortzea, bai eta hirigintza hitzarmenen gaineko erregistroa ere.</w:t>
      </w:r>
    </w:p>
    <w:p w14:paraId="669EFBB0"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Udalaren barne kontrola egitea, aplikatzekoa den legerian ezarritako hedapenarekin, menpeko erakundeen kudeaketa ekonomikoaren gaineko kontrolari dagokionez, bere eginkizun hirukoitzaren arabera: kontu-hartzailetza, finantza-kontrola eta eraginkortasunaren kontrola.</w:t>
      </w:r>
    </w:p>
    <w:p w14:paraId="7C2A7476"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Toki entitateek beren burua antolatzeko duten ahalmena erabiliz, tokiko zerbitzu publikoak eraginkortasunez, ekonomiaz eta efizientziaz kudeatzeko antolaketa-egitura arrazoizkoena diseinatzea.</w:t>
      </w:r>
    </w:p>
    <w:p w14:paraId="03C2D7CB" w14:textId="77777777" w:rsidR="0088085F" w:rsidRPr="00CE5750" w:rsidRDefault="0088085F" w:rsidP="00CE5750">
      <w:pPr>
        <w:numPr>
          <w:ilvl w:val="0"/>
          <w:numId w:val="2"/>
        </w:numPr>
        <w:tabs>
          <w:tab w:val="clear" w:pos="502"/>
          <w:tab w:val="left" w:pos="480"/>
          <w:tab w:val="num" w:pos="720"/>
          <w:tab w:val="num" w:pos="6597"/>
        </w:tabs>
        <w:ind w:left="0" w:firstLine="289"/>
        <w:rPr>
          <w:i/>
          <w:spacing w:val="6"/>
          <w:sz w:val="26"/>
          <w:szCs w:val="26"/>
        </w:rPr>
      </w:pPr>
      <w:r>
        <w:rPr>
          <w:i/>
          <w:sz w:val="26"/>
          <w:szCs w:val="26"/>
        </w:rPr>
        <w:t>Zerbitzu publikoen kostuen metodologia ezartzen jarraitzea eta erabakiak hartzeko kudeaketa-adierazle baliagarriak definitzea.</w:t>
      </w:r>
    </w:p>
    <w:p w14:paraId="64DD4336" w14:textId="77777777" w:rsidR="0088085F" w:rsidRPr="0038773E" w:rsidRDefault="0088085F" w:rsidP="00CE5750">
      <w:pPr>
        <w:numPr>
          <w:ilvl w:val="0"/>
          <w:numId w:val="2"/>
        </w:numPr>
        <w:tabs>
          <w:tab w:val="clear" w:pos="502"/>
          <w:tab w:val="left" w:pos="480"/>
          <w:tab w:val="num" w:pos="720"/>
          <w:tab w:val="num" w:pos="6597"/>
        </w:tabs>
        <w:ind w:left="0" w:firstLine="289"/>
        <w:rPr>
          <w:i/>
          <w:color w:val="000000" w:themeColor="text1"/>
          <w:spacing w:val="6"/>
          <w:sz w:val="26"/>
          <w:szCs w:val="26"/>
        </w:rPr>
      </w:pPr>
      <w:r>
        <w:rPr>
          <w:i/>
          <w:sz w:val="26"/>
          <w:szCs w:val="26"/>
        </w:rPr>
        <w:t xml:space="preserve">Aurrekontua, aurrekontu-likidazioa eta kontu orokorra onestea </w:t>
      </w:r>
      <w:r>
        <w:rPr>
          <w:i/>
          <w:color w:val="000000" w:themeColor="text1"/>
          <w:sz w:val="26"/>
          <w:szCs w:val="26"/>
        </w:rPr>
        <w:t>ezarritako epeetan eta horien kontuak ematea 15 eguneko epean, onesten direnetik hasita.</w:t>
      </w:r>
    </w:p>
    <w:p w14:paraId="17685EDD" w14:textId="77777777" w:rsidR="0088085F" w:rsidRPr="0038773E" w:rsidRDefault="0088085F" w:rsidP="009810AC">
      <w:pPr>
        <w:numPr>
          <w:ilvl w:val="0"/>
          <w:numId w:val="2"/>
        </w:numPr>
        <w:tabs>
          <w:tab w:val="clear" w:pos="502"/>
          <w:tab w:val="left" w:pos="480"/>
          <w:tab w:val="num" w:pos="720"/>
          <w:tab w:val="num" w:pos="6597"/>
        </w:tabs>
        <w:spacing w:after="440"/>
        <w:ind w:left="0" w:firstLine="289"/>
        <w:rPr>
          <w:i/>
          <w:color w:val="000000" w:themeColor="text1"/>
          <w:spacing w:val="6"/>
          <w:sz w:val="26"/>
          <w:szCs w:val="26"/>
        </w:rPr>
      </w:pPr>
      <w:r>
        <w:rPr>
          <w:i/>
          <w:color w:val="000000" w:themeColor="text1"/>
          <w:sz w:val="26"/>
          <w:szCs w:val="26"/>
        </w:rPr>
        <w:t>Balorazio-ponentziak epean gaurkotzea.</w:t>
      </w:r>
    </w:p>
    <w:p w14:paraId="1A0BFB83" w14:textId="77777777" w:rsidR="009810AC" w:rsidRPr="00B876D9" w:rsidRDefault="009810AC" w:rsidP="009810AC">
      <w:pPr>
        <w:pStyle w:val="texto"/>
        <w:spacing w:after="180"/>
      </w:pPr>
      <w:r>
        <w:t xml:space="preserve">Txosten hau, indarrean dagoen araudiak ezarritako izapideak bete ondoren, Edurne Martinikorena Matxain </w:t>
      </w:r>
      <w:proofErr w:type="spellStart"/>
      <w:r>
        <w:t>auditoreak</w:t>
      </w:r>
      <w:proofErr w:type="spellEnd"/>
      <w:r>
        <w:t xml:space="preserve"> proposatuta jaulkitzen da, bera izan baita lan honen arduraduna.</w:t>
      </w:r>
    </w:p>
    <w:p w14:paraId="58BC7F0B" w14:textId="77777777" w:rsidR="009810AC" w:rsidRPr="00466715" w:rsidRDefault="009810AC" w:rsidP="009810AC">
      <w:pPr>
        <w:tabs>
          <w:tab w:val="center" w:pos="540"/>
          <w:tab w:val="center" w:pos="3969"/>
          <w:tab w:val="center" w:pos="5103"/>
          <w:tab w:val="center" w:pos="6237"/>
          <w:tab w:val="center" w:pos="7371"/>
        </w:tabs>
        <w:spacing w:before="280"/>
        <w:jc w:val="center"/>
        <w:rPr>
          <w:spacing w:val="6"/>
          <w:sz w:val="26"/>
          <w:szCs w:val="24"/>
        </w:rPr>
      </w:pPr>
      <w:r>
        <w:rPr>
          <w:sz w:val="26"/>
          <w:szCs w:val="24"/>
        </w:rPr>
        <w:t>Iruñean, 2021eko abenduaren 22an</w:t>
      </w:r>
    </w:p>
    <w:p w14:paraId="5262BA83" w14:textId="77777777" w:rsidR="00AC2646" w:rsidRDefault="009810AC" w:rsidP="009810AC">
      <w:pPr>
        <w:tabs>
          <w:tab w:val="center" w:pos="6237"/>
          <w:tab w:val="center" w:pos="7371"/>
        </w:tabs>
        <w:spacing w:after="60"/>
        <w:jc w:val="center"/>
        <w:rPr>
          <w:spacing w:val="6"/>
          <w:sz w:val="26"/>
          <w:szCs w:val="24"/>
        </w:rPr>
      </w:pPr>
      <w:r>
        <w:rPr>
          <w:sz w:val="26"/>
          <w:szCs w:val="24"/>
        </w:rPr>
        <w:t xml:space="preserve">Lehendakaria, </w:t>
      </w:r>
    </w:p>
    <w:p w14:paraId="309A148C" w14:textId="77777777" w:rsidR="0088085F" w:rsidRPr="00B81E61" w:rsidRDefault="009810AC" w:rsidP="009810AC">
      <w:pPr>
        <w:tabs>
          <w:tab w:val="center" w:pos="6237"/>
          <w:tab w:val="center" w:pos="7371"/>
        </w:tabs>
        <w:spacing w:after="60"/>
        <w:jc w:val="center"/>
        <w:rPr>
          <w:rFonts w:ascii="Arial" w:hAnsi="Arial"/>
          <w:i/>
          <w:iCs/>
          <w:color w:val="000000" w:themeColor="text1"/>
          <w:spacing w:val="10"/>
          <w:kern w:val="28"/>
          <w:sz w:val="25"/>
          <w:szCs w:val="26"/>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Estanga </w:t>
      </w:r>
      <w:r>
        <w:br w:type="page"/>
      </w:r>
    </w:p>
    <w:p w14:paraId="22131A59" w14:textId="77777777" w:rsidR="00460A76" w:rsidRDefault="00460A76" w:rsidP="00460A76">
      <w:pPr>
        <w:pStyle w:val="texto"/>
        <w:tabs>
          <w:tab w:val="clear" w:pos="2835"/>
          <w:tab w:val="clear" w:pos="3969"/>
          <w:tab w:val="clear" w:pos="5103"/>
          <w:tab w:val="clear" w:pos="6237"/>
          <w:tab w:val="clear" w:pos="7371"/>
          <w:tab w:val="left" w:pos="480"/>
          <w:tab w:val="num" w:pos="720"/>
          <w:tab w:val="num" w:pos="1320"/>
          <w:tab w:val="num" w:pos="1948"/>
        </w:tabs>
        <w:spacing w:before="80" w:after="80"/>
        <w:rPr>
          <w:rFonts w:cs="Arial"/>
          <w:i/>
        </w:rPr>
      </w:pPr>
      <w:bookmarkStart w:id="99" w:name="_Toc529773890"/>
      <w:bookmarkStart w:id="100" w:name="_Toc24100150"/>
      <w:bookmarkStart w:id="101" w:name="_Toc52348328"/>
      <w:bookmarkStart w:id="102" w:name="_Toc89161275"/>
    </w:p>
    <w:p w14:paraId="51E699DA" w14:textId="77777777" w:rsidR="00460A76" w:rsidRDefault="00460A76" w:rsidP="00460A76">
      <w:pPr>
        <w:pStyle w:val="texto"/>
        <w:spacing w:after="0"/>
        <w:jc w:val="center"/>
      </w:pPr>
    </w:p>
    <w:p w14:paraId="16A93204" w14:textId="77777777" w:rsidR="00460A76" w:rsidRDefault="00460A76" w:rsidP="00460A76">
      <w:pPr>
        <w:spacing w:before="360" w:after="180"/>
        <w:ind w:firstLine="0"/>
        <w:jc w:val="left"/>
        <w:rPr>
          <w:b/>
          <w:bCs/>
          <w:sz w:val="24"/>
          <w:szCs w:val="24"/>
          <w:lang w:val="es-ES" w:eastAsia="es-ES"/>
        </w:rPr>
      </w:pPr>
    </w:p>
    <w:p w14:paraId="73F0738E" w14:textId="77777777" w:rsidR="0088085F" w:rsidRPr="00460A76" w:rsidRDefault="0088085F" w:rsidP="00460A76">
      <w:pPr>
        <w:pStyle w:val="atitulo1"/>
        <w:ind w:left="851"/>
        <w:rPr>
          <w:sz w:val="32"/>
          <w:szCs w:val="32"/>
        </w:rPr>
      </w:pPr>
      <w:bookmarkStart w:id="103" w:name="_Toc94871730"/>
      <w:r>
        <w:rPr>
          <w:sz w:val="32"/>
          <w:szCs w:val="32"/>
        </w:rPr>
        <w:t>1. eranskina Toki entitateei 2019ko ekitaldian aplikatzekoa zaien araudia</w:t>
      </w:r>
      <w:bookmarkEnd w:id="99"/>
      <w:bookmarkEnd w:id="100"/>
      <w:bookmarkEnd w:id="101"/>
      <w:bookmarkEnd w:id="102"/>
      <w:bookmarkEnd w:id="103"/>
    </w:p>
    <w:p w14:paraId="6A8DFFF3" w14:textId="77777777" w:rsidR="00460A76" w:rsidRDefault="00460A76">
      <w:pPr>
        <w:spacing w:after="0"/>
        <w:ind w:firstLine="0"/>
        <w:jc w:val="left"/>
        <w:rPr>
          <w:rFonts w:ascii="Arial" w:hAnsi="Arial"/>
          <w:i/>
          <w:iCs/>
          <w:color w:val="000000"/>
          <w:spacing w:val="10"/>
          <w:kern w:val="28"/>
          <w:sz w:val="25"/>
          <w:szCs w:val="26"/>
        </w:rPr>
      </w:pPr>
      <w:r>
        <w:br w:type="page"/>
      </w:r>
    </w:p>
    <w:p w14:paraId="64A106BC" w14:textId="77777777" w:rsidR="0088085F" w:rsidRPr="00D105E7" w:rsidRDefault="0088085F" w:rsidP="00D105E7">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lastRenderedPageBreak/>
        <w:t xml:space="preserve">a) Toki-administrazioa eta -araubidea </w:t>
      </w:r>
    </w:p>
    <w:p w14:paraId="108C44F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7/1985 Foru Legea, apirilaren 2koa, toki araubidearen oinarriak arautzen dituena. </w:t>
      </w:r>
    </w:p>
    <w:p w14:paraId="703FB74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6/1990 Foru Legea, uztailaren 2koa, Nafarroako Toki Administrazioari buruzkoa. </w:t>
      </w:r>
    </w:p>
    <w:p w14:paraId="576764C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19/2013 Foru Legea, abenduaren 9koa, gardentasunari, informazio publikoa eskuratzeari eta gobernu onari buruzkoa. </w:t>
      </w:r>
    </w:p>
    <w:p w14:paraId="3491160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39/2015 Legea, urriaren 1ekoa, administrazio publikoen administrazio prozedura erkideari buruzkoa. </w:t>
      </w:r>
    </w:p>
    <w:p w14:paraId="3D07FE0A"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40/2015 Legea, urriaren 1ekoa, sektore publikoaren araubide juridikoari buruzkoa. </w:t>
      </w:r>
    </w:p>
    <w:p w14:paraId="76A98F2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27/2018 Foru Legea, abenduaren 24koa, 2019ko ekitaldirako Nafarroako Aurrekontu Orokorrei buruzkoa. </w:t>
      </w:r>
    </w:p>
    <w:p w14:paraId="61E512D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6/2018 Legea, uztailaren 3koa, 2018rako Estatuko Aurrekontu Orokorrei buruzkoa (aurrekontu horiek 2019rako luzatu ziren).</w:t>
      </w:r>
    </w:p>
    <w:p w14:paraId="2C0FEBB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18/2016 Foru Legea, abenduaren 13koa, 2017-2019 aldirako Toki Inbertsioen Plana arautzen duena. </w:t>
      </w:r>
    </w:p>
    <w:p w14:paraId="79D294C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18/2017 Foru Legea, abenduaren 27koa, toki ogasunek transferentzia arrunten bidez Nafarroako tributuetan parte hartzeko duten funtsaren zenbatekoa eta banaketa ezartzen dituena 2018. eta 2019. urteetarako.</w:t>
      </w:r>
    </w:p>
    <w:p w14:paraId="1EA1C90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18/2018 Foru Legea, urriaren 10ekoa, zeinaren bidez aldatzen baita 2017-2019 aldirako Toki Inbertsioen Plana arautzen duen abenduaren 13ko 18/2016 Foru Legea. </w:t>
      </w:r>
    </w:p>
    <w:p w14:paraId="3FAA7A7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84/2017 Foru Agindua, Landa Garapeneko, Ingurumeneko eta Toki Administrazioko kontseilariarena, Tokiko Inbertsioen 2017-2019 Plana arautzen duen abenduaren 13ko 18/2016 Foru Legearen 20. artikuluan aurreikusitako gizarte klausula aplikatzeko modua arautzen duena.</w:t>
      </w:r>
    </w:p>
    <w:p w14:paraId="0A2A294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13/2017 Foru Legea, azaroaren 16koa, osasunaren eta gizarte zerbitzuen arloetako itun sozialak arautzen dituena.</w:t>
      </w:r>
    </w:p>
    <w:p w14:paraId="0E7DC1F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5/2018 Foru Legea, maiatzaren 17koa, gardentasunari, informazio publikoa eskuratzeari eta gobernu onari buruzkoa.</w:t>
      </w:r>
    </w:p>
    <w:p w14:paraId="0987C7C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7/2018 Foru Legea, maiatzaren 17koa, Nafarroako Foru Komunitateko jardunbide egokien aldeko eta ustelkeriaren kontrako Bulegoa sortzekoa.</w:t>
      </w:r>
    </w:p>
    <w:p w14:paraId="3908C27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12/2018 Foru Legea, ekainaren 14koa, irisgarritasun unibertsalari buruzkoa.</w:t>
      </w:r>
    </w:p>
    <w:p w14:paraId="201A060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14/2018 Foru Legea, ekainaren 18koa, hondakinei eta haien fiskalitateari buruzkoa.</w:t>
      </w:r>
    </w:p>
    <w:p w14:paraId="21664BD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4/2019 Foru Legea, otsailaren 4koa, Nafarroako Toki Administrazioaren erreformarakoa.</w:t>
      </w:r>
    </w:p>
    <w:p w14:paraId="6C77E59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lastRenderedPageBreak/>
        <w:t>8/2019 Foru Legea, otsailaren 28koa, Nafarroako Babes Zibilari eta Larrialdien Kudeaketari buruzko uztailaren 1eko 8/2005 Foru Legea aldatzen duena.</w:t>
      </w:r>
    </w:p>
    <w:p w14:paraId="4EAEFEE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12/2019 Foru Legea, martxoaren 22koa, Nafarroako parte-hartze demokratikoari buruzkoa.  </w:t>
      </w:r>
    </w:p>
    <w:p w14:paraId="2A7607A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17/2019 Foru Legea, apirilaren 4koa, emakumeen eta gizonen arteko berdintasunari buruzkoa.</w:t>
      </w:r>
    </w:p>
    <w:p w14:paraId="0D0FCDA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20/2019 Foru Legea, apirilaren 4koa, zeinaren bidez aldatzen baitira Nafarroako Toki Administrazioari buruzko uztailaren 2ko 6/1990 Foru Legea eta Nafarroako Toki Administrazioaren Erreformarako otsailaren 4ko 4/2019 Foru Legea. </w:t>
      </w:r>
    </w:p>
    <w:p w14:paraId="32509C6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6/2019 Errege Lege Dekretua, martxoaren 1ekoa, premiazko neurriak ezartzen dituena emakumeen eta gizonen arteko tratu eta aukera berdintasuna bermatzeko enplegu eta lanaren arloan.</w:t>
      </w:r>
    </w:p>
    <w:p w14:paraId="598C685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14/2019 Errege Lege Dekretua, urriaren 31koa, zeinaz presako neurriak hartzen baitira segurtasun publikoko arrazoiengatik administrazio digitalaren, sektore publikoko kontratazioaren eta telekomunikazioen arloan.</w:t>
      </w:r>
    </w:p>
    <w:p w14:paraId="7A8AC9E8"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t xml:space="preserve">b) Araubide ekonomikoa, aurrekontukoa eta kontabilitatekoa </w:t>
      </w:r>
    </w:p>
    <w:p w14:paraId="3970CB5C"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2/1995 Foru Legea, martxoaren 10ekoa, Nafarroako toki ogasunei buruzkoa. </w:t>
      </w:r>
    </w:p>
    <w:p w14:paraId="3736487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7/1996 Foru Legea, maiatzaren 28koa, jarduera ekonomikoen gaineko zergaren tarifei eta Jarraibideei buruzkoa. </w:t>
      </w:r>
    </w:p>
    <w:p w14:paraId="3887A280"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 Irailaren 21eko 270/1998 Foru Dekretua, irailaren 23ko 234/2015 Foru Dekretua, eta irailaren 21eko 272/1998 eta 273/1998 foru dekretuak, aurrekontuari eta gastu publikoari buruzkoa, aurrekontu egiturari buruzkoa, eta Nafarroako Toki Administrazioarentzat Kontabilitate Orokorreko Instrukzio Orokorra eta Kontabilitate </w:t>
      </w:r>
      <w:proofErr w:type="spellStart"/>
      <w:r>
        <w:rPr>
          <w:rFonts w:ascii="Arial" w:hAnsi="Arial"/>
          <w:sz w:val="24"/>
          <w:szCs w:val="24"/>
        </w:rPr>
        <w:t>Erraztua</w:t>
      </w:r>
      <w:proofErr w:type="spellEnd"/>
      <w:r>
        <w:rPr>
          <w:rFonts w:ascii="Arial" w:hAnsi="Arial"/>
          <w:sz w:val="24"/>
          <w:szCs w:val="24"/>
        </w:rPr>
        <w:t xml:space="preserve"> onestekoak, hurrenez hurren.</w:t>
      </w:r>
    </w:p>
    <w:p w14:paraId="4671E01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Toki Administrazioari egokitutako Kontabilitate Publikoko Plan Orokorra, Ekonomia eta Ogasun Ministerioaren 1990eko uztailaren 17ko Aginduaren bidez </w:t>
      </w:r>
      <w:proofErr w:type="spellStart"/>
      <w:r>
        <w:rPr>
          <w:rFonts w:ascii="Arial" w:hAnsi="Arial"/>
          <w:sz w:val="24"/>
          <w:szCs w:val="24"/>
        </w:rPr>
        <w:t>onetsia</w:t>
      </w:r>
      <w:proofErr w:type="spellEnd"/>
      <w:r>
        <w:rPr>
          <w:rFonts w:ascii="Arial" w:hAnsi="Arial"/>
          <w:sz w:val="24"/>
          <w:szCs w:val="24"/>
        </w:rPr>
        <w:t xml:space="preserve">. (Kontabilitateko Instrukzio Orokorrari buruzko 272/1998 Foru Dekretuko 425. araua). </w:t>
      </w:r>
    </w:p>
    <w:p w14:paraId="19AEB929"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12/2006 Foru Legea, azaroaren 21ekoa, Nafarroako Lurralde Aberastasunaren Erregistroari eta katastroei buruzkoa. </w:t>
      </w:r>
    </w:p>
    <w:p w14:paraId="5F021576"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22/2018 Foru Legea, azaroaren 13koa, Nafarroako Toki Ogasunei buruzko martxoaren 10eko 2/1995 Foru Legea aldatzen duena.</w:t>
      </w:r>
    </w:p>
    <w:p w14:paraId="6DFE393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3/2019 Foru Legea, urtarrilaren 24koa, Nafarroako Toki Ogasunei buruzko martxoaren 10eko 2/1995 Foru Legea aldatzen duena.</w:t>
      </w:r>
    </w:p>
    <w:p w14:paraId="4CE5DBA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18/2019 Errege Lege Dekretua, abenduaren 27koa, zeinaren bidez zergen, katastroaren eta gizarte-segurantzaren alorretan zenbait neurri hartzen baitira.</w:t>
      </w:r>
    </w:p>
    <w:p w14:paraId="29288C6E"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lastRenderedPageBreak/>
        <w:t xml:space="preserve">c) Aurrekontu-egonkortasuna eta finantza-iraunkortasuna </w:t>
      </w:r>
    </w:p>
    <w:p w14:paraId="13A02DF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 2/2012 Lege Organikoa, apirilaren 27koa, Aurrekontu Egonkortasunari eta Finantza Iraunkortasunari buruzkoa (irailaren 28ko 4/2012 Lege Organikoaz aldatu zen). </w:t>
      </w:r>
    </w:p>
    <w:p w14:paraId="0310BDB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6/2015 Lege Organikoa, ekainaren 12koa, honako hauek aldatzekoa: Autonomia-erkidegoak Finantzatzeari buruzko irailaren 22ko 8/1980 Lege Organikoa eta Aurrekontu Egonkortasunari eta Finantza Iraunkortasunari buruzko apirilaren 27ko 2/2012 Lege Organikoa. </w:t>
      </w:r>
    </w:p>
    <w:p w14:paraId="344BE76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9/2013 Lege Organikoa, abenduaren 20koa, sektore publikoan merkataritza-zorra kontrolatzeari buruzkoa. </w:t>
      </w:r>
    </w:p>
    <w:p w14:paraId="5EF9624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10/2019 Errege Lege Dekretua, martxoaren 29koa, zeinaren bidez, batetik, 2019rako luzatzen baita finantzen aldetik jasangarriak diren inbertsioetarako autonomia-erkidegoen eta toki entitateen superabitaren xedea eta, bestetik, beste neurri batzuk hartzen baitira toki entitateetan gaikuntza nazionala duten langileen eginkizunari dagokionez.</w:t>
      </w:r>
    </w:p>
    <w:p w14:paraId="203BA13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1/2018 Errege Lege Dekretua, martxoaren 23koa, toki korporazioen superabita finantzen aldetik jasangarriak diren inbertsioetara bideratzeko aukera luzatzen duena eta inbertsio horien eremu objektiboa aldatzen duena.</w:t>
      </w:r>
    </w:p>
    <w:p w14:paraId="2AA5BFDC"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27/2012 Foru Legea, abenduaren 28koa, zeinaren bidez Nafarroako Foru Komunitatean neurriak hartzen baitira aurrekontu-oreka bermatzeko eta lehiakortasuna sustatzeko. </w:t>
      </w:r>
    </w:p>
    <w:p w14:paraId="33BE29D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25/2013 Legea, abenduaren 27koa, sektore publikoan faktura elektronikoa bultzatzeari eta fakturen kontabilitate-erregistroa sortzeari buruzkoa. </w:t>
      </w:r>
    </w:p>
    <w:p w14:paraId="2157416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27/2013 Legea, abenduaren 27koa, Toki Administrazioaren arrazionalizazioari eta iraunkortasunari buruzkoa. </w:t>
      </w:r>
    </w:p>
    <w:p w14:paraId="2B748CF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8/2013 Errege Lege Dekretua, ekainaren 28koa, administrazio publikoen berankortasunaren aurkako presako neurriei eta finantza-arazoak dituzten toki entitateei laguntzeari buruzkoa.</w:t>
      </w:r>
    </w:p>
    <w:p w14:paraId="314FDDCE"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 17/2014 Errege Lege Dekretua, abenduaren 26koa, autonomia-erkidegoen eta toki entitateen finantza-iraunkortasunerako neurriei eta bestelako neurri ekonomikoei buruzkoa. </w:t>
      </w:r>
    </w:p>
    <w:p w14:paraId="5FFD0306"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HAP/2105/2012 Agindua, urriaren 1ekoa, Aurrekontu Egonkortasunari eta Finantza Iraunkortasunari buruzko apirilaren 27ko 2/2012 Lege Organikoan informazioa emateko aurreikusitako betebeharrak garatzekoa. </w:t>
      </w:r>
    </w:p>
    <w:p w14:paraId="0869D93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2017ko uztailaren 4ko Ebazpena, Altxorraren eta Finantza Politikaren Idazkaritza Nagusiarena, zeinaren bidez definitzen baita zorpetze-eragiketei eta autonomia-erkidegoetatik eta toki entitateetatik heldutakoei aplikatzekoa zaien zuhurtasun finantzarioa.</w:t>
      </w:r>
    </w:p>
    <w:p w14:paraId="5FBE08BC"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lastRenderedPageBreak/>
        <w:t xml:space="preserve">d) Kontratazio administratiboa </w:t>
      </w:r>
    </w:p>
    <w:p w14:paraId="18620FA2"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2/2018 Foru Legea, apirilaren 13koa, kontratu publikoei buruzkoa.</w:t>
      </w:r>
    </w:p>
    <w:p w14:paraId="04FE6C95"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15/2019 Foru Legea, martxoaren 26koa, Kontratu Publikoei buruzko apirilaren 3ko 2/2018 Foru Legea aldatzen duena. </w:t>
      </w:r>
    </w:p>
    <w:p w14:paraId="2F98427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74/2019 Foru Dekretua, ekainaren 26koa, Kontratazio Publikorako Batzordea arautzen duena.</w:t>
      </w:r>
    </w:p>
    <w:p w14:paraId="7F3B44E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317/2019 Foru Dekretua, azaroaren 13koa, Kontratu Publikoei buruzko apirilaren 13ko 2/2018 Foru Legearen Europako atalaseak eguneratzen dituena.</w:t>
      </w:r>
    </w:p>
    <w:p w14:paraId="1FCFDC37"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t xml:space="preserve">e) Langileak  </w:t>
      </w:r>
    </w:p>
    <w:p w14:paraId="043FF2B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251/1993 Legegintzako Foru Dekretua, abuztuaren 30ekoa, Nafarroako Administrazio Publikoen zerbitzuko Langileen Estatutuaren testu </w:t>
      </w:r>
      <w:proofErr w:type="spellStart"/>
      <w:r>
        <w:rPr>
          <w:rFonts w:ascii="Arial" w:hAnsi="Arial"/>
          <w:sz w:val="24"/>
          <w:szCs w:val="24"/>
        </w:rPr>
        <w:t>bategina</w:t>
      </w:r>
      <w:proofErr w:type="spellEnd"/>
      <w:r>
        <w:rPr>
          <w:rFonts w:ascii="Arial" w:hAnsi="Arial"/>
          <w:sz w:val="24"/>
          <w:szCs w:val="24"/>
        </w:rPr>
        <w:t xml:space="preserve"> onesten duena, bai eta haiek garatzeko xedapenak ere. </w:t>
      </w:r>
    </w:p>
    <w:p w14:paraId="244FFE7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158/1984 Foru Dekretua, uztailaren 4koa, Nafarroako Administrazio Publikoen zerbitzurako langileen ordainsarien behin-behineko araudia onartzen duena (martxoaren 29ko 21/2017 Foru Dekretuaren bidez aldatua).</w:t>
      </w:r>
    </w:p>
    <w:p w14:paraId="2BE147B0"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215/1985 Foru Dekretua, azaroaren 6koa, Nafarroako Administrazio Publikoetako lanpostuak betetzeko erregelamendua onesten duena (maiatzaren 17ko 29/2017 Foru Dekretuaren bidez aldatua).</w:t>
      </w:r>
    </w:p>
    <w:p w14:paraId="7C87F07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13/2012 Foru Legea, ekainaren 21ekoa, Nafarroako Administrazio Publikoen zerbitzuko langileen arloan presako zenbait neurri hartzeari buruzkoa. </w:t>
      </w:r>
    </w:p>
    <w:p w14:paraId="06211B0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12/2015 Foru Legea, apirilaren 10ekoa, zeinaren bitartez Nafarroako administrazio publikoen zerbitzuko langileen arloko presako neurri jakin batzuen indarraldia luzatzen baita eta langile horien montepioetako klase pasiboen pentsioak eguneratzen baitira (2019. urterako luzatu zuen abenduaren 24ko 27/2018 Foru Legeak, Nafarroako 2019rako Aurrekontu Orokorrei buruzkoak).</w:t>
      </w:r>
    </w:p>
    <w:p w14:paraId="3F161FD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13/2015 Foru Legea, apirilaren 10ekoa, Nafarroako Administrazio Publikoen Zerbitzuko Langileen Estatutuaren testu </w:t>
      </w:r>
      <w:proofErr w:type="spellStart"/>
      <w:r>
        <w:rPr>
          <w:rFonts w:ascii="Arial" w:hAnsi="Arial"/>
          <w:sz w:val="24"/>
          <w:szCs w:val="24"/>
        </w:rPr>
        <w:t>bategina</w:t>
      </w:r>
      <w:proofErr w:type="spellEnd"/>
      <w:r>
        <w:rPr>
          <w:rFonts w:ascii="Arial" w:hAnsi="Arial"/>
          <w:sz w:val="24"/>
          <w:szCs w:val="24"/>
        </w:rPr>
        <w:t xml:space="preserve"> aldatzen duena, desgaitasuna dutenek enplegu publikoa eskuratzeari dagokionez. </w:t>
      </w:r>
    </w:p>
    <w:p w14:paraId="4ECFC468"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4/2015 Errege Lege Dekretua, martxoaren 22koa, enplegurako lanbide heziketaren sistema presaz erreformatzekoa lan-arloan. </w:t>
      </w:r>
    </w:p>
    <w:p w14:paraId="13AEB30F"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23/2018 Foru Legea, azaroaren 19koa, Nafarroako poliziei buruzkoa. </w:t>
      </w:r>
    </w:p>
    <w:p w14:paraId="301801C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1/2018 Foru Lege Dekretua, urriaren 24koa, zeinaren bidez onesten baitira Nafarroako Foru Komunitateko Administrazioaren eta haren erakunde autonomoen zerbitzuko langileen arloko neurri batzuk.</w:t>
      </w:r>
    </w:p>
    <w:p w14:paraId="24099D31"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6/2019 Foru Legea, otsailaren 7koa, Nafarroako administrazio publikoen zerbitzuko langileen estatutuaren testu </w:t>
      </w:r>
      <w:proofErr w:type="spellStart"/>
      <w:r>
        <w:rPr>
          <w:rFonts w:ascii="Arial" w:hAnsi="Arial"/>
          <w:sz w:val="24"/>
          <w:szCs w:val="24"/>
        </w:rPr>
        <w:t>bategina</w:t>
      </w:r>
      <w:proofErr w:type="spellEnd"/>
      <w:r>
        <w:rPr>
          <w:rFonts w:ascii="Arial" w:hAnsi="Arial"/>
          <w:sz w:val="24"/>
          <w:szCs w:val="24"/>
        </w:rPr>
        <w:t xml:space="preserve"> ezartzen duen abuztuaren 30eko 251/1993 Legegintzako Foru Dekretua aldatzen duena.</w:t>
      </w:r>
    </w:p>
    <w:p w14:paraId="1FE02F7A"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lastRenderedPageBreak/>
        <w:t>7/2019 Foru Legea, otsailaren 18koa, aldatzen duena martxoaren 5eko 10/2003 Foru Legea, Nafarroako administrazio publikoen montepioetako funtzionarioen eskubide pasiboen araubide iragankorrari buruzkoa.</w:t>
      </w:r>
    </w:p>
    <w:p w14:paraId="768A2A8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4/2019 Foru Lege Dekretua, urriaren 23koa, Nafarroako administrazio publikoen zerbitzuko langileen arloko presako neurri batzuk onesten dituena. </w:t>
      </w:r>
    </w:p>
    <w:p w14:paraId="2D8E09EF"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t xml:space="preserve">f) Hirigintza </w:t>
      </w:r>
    </w:p>
    <w:p w14:paraId="3D1FD297"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 1/2017 Legegintzako Foru Dekretua, uztailaren 26koa, Lurraldearen Antolamenduari eta Hirigintzari buruzko Foru Legearen testu </w:t>
      </w:r>
      <w:proofErr w:type="spellStart"/>
      <w:r>
        <w:rPr>
          <w:rFonts w:ascii="Arial" w:hAnsi="Arial"/>
          <w:sz w:val="24"/>
          <w:szCs w:val="24"/>
        </w:rPr>
        <w:t>bategina</w:t>
      </w:r>
      <w:proofErr w:type="spellEnd"/>
      <w:r>
        <w:rPr>
          <w:rFonts w:ascii="Arial" w:hAnsi="Arial"/>
          <w:sz w:val="24"/>
          <w:szCs w:val="24"/>
        </w:rPr>
        <w:t xml:space="preserve"> onesten duena.</w:t>
      </w:r>
    </w:p>
    <w:p w14:paraId="08DED09D"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253/2019 Foru Dekretua, urriaren 16koa, Nafarroako Planeamenduaren Erregistroa eta Nafarroako hirigintza eta lurralde plangintzarako tresnak aurkezteko formatua arautzen dituena. </w:t>
      </w:r>
    </w:p>
    <w:p w14:paraId="66F5BDC5"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t xml:space="preserve">g) Dirulaguntzak </w:t>
      </w:r>
    </w:p>
    <w:p w14:paraId="7C7E2B3E"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38/2003 Lege Orokorra, azaroaren 17koa, Dirulaguntzei buruzkoa, eta hura garatzeko erregelamendua, uztailaren 21eko 887/2006 Errege Dekretuaren bidez </w:t>
      </w:r>
      <w:proofErr w:type="spellStart"/>
      <w:r>
        <w:rPr>
          <w:rFonts w:ascii="Arial" w:hAnsi="Arial"/>
          <w:sz w:val="24"/>
          <w:szCs w:val="24"/>
        </w:rPr>
        <w:t>onetsia</w:t>
      </w:r>
      <w:proofErr w:type="spellEnd"/>
      <w:r>
        <w:rPr>
          <w:rFonts w:ascii="Arial" w:hAnsi="Arial"/>
          <w:sz w:val="24"/>
          <w:szCs w:val="24"/>
        </w:rPr>
        <w:t>.</w:t>
      </w:r>
    </w:p>
    <w:p w14:paraId="0F4DF352" w14:textId="77777777" w:rsidR="0088085F" w:rsidRPr="00D105E7" w:rsidRDefault="0088085F" w:rsidP="00602902">
      <w:pPr>
        <w:keepNext/>
        <w:spacing w:before="320" w:after="240"/>
        <w:ind w:firstLine="0"/>
        <w:rPr>
          <w:rFonts w:ascii="Arial" w:hAnsi="Arial" w:cs="Arial"/>
          <w:b/>
          <w:i/>
          <w:iCs/>
          <w:color w:val="000000"/>
          <w:spacing w:val="10"/>
          <w:kern w:val="28"/>
          <w:sz w:val="25"/>
          <w:szCs w:val="25"/>
        </w:rPr>
      </w:pPr>
      <w:r>
        <w:rPr>
          <w:rFonts w:ascii="Arial" w:hAnsi="Arial"/>
          <w:b/>
          <w:i/>
          <w:iCs/>
          <w:color w:val="000000"/>
          <w:sz w:val="25"/>
          <w:szCs w:val="25"/>
        </w:rPr>
        <w:t xml:space="preserve"> h) Toki entitateen barne araubidea </w:t>
      </w:r>
    </w:p>
    <w:p w14:paraId="3C7C45C4"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 xml:space="preserve">Toki entitateen aurrekontuen exekuzio oinarriak, 2019rako. </w:t>
      </w:r>
    </w:p>
    <w:p w14:paraId="068D33CB"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Tasa eta prezio publikoak arautzen dituzten ordenantzak eta erabakiak.</w:t>
      </w:r>
    </w:p>
    <w:p w14:paraId="7208A013" w14:textId="77777777" w:rsidR="0088085F" w:rsidRPr="00D105E7" w:rsidRDefault="0088085F" w:rsidP="00CE5750">
      <w:pPr>
        <w:numPr>
          <w:ilvl w:val="0"/>
          <w:numId w:val="2"/>
        </w:numPr>
        <w:tabs>
          <w:tab w:val="clear" w:pos="502"/>
          <w:tab w:val="left" w:pos="480"/>
          <w:tab w:val="num" w:pos="720"/>
          <w:tab w:val="num" w:pos="6597"/>
        </w:tabs>
        <w:ind w:left="0" w:firstLine="289"/>
        <w:rPr>
          <w:rFonts w:ascii="Arial" w:hAnsi="Arial" w:cs="Arial"/>
          <w:spacing w:val="6"/>
          <w:sz w:val="24"/>
          <w:szCs w:val="24"/>
        </w:rPr>
      </w:pPr>
      <w:r>
        <w:rPr>
          <w:rFonts w:ascii="Arial" w:hAnsi="Arial"/>
          <w:sz w:val="24"/>
          <w:szCs w:val="24"/>
        </w:rPr>
        <w:t>Berariazko hitzarmen kolektiboak.</w:t>
      </w:r>
    </w:p>
    <w:p w14:paraId="4FF1F4FC" w14:textId="77777777" w:rsidR="0088085F" w:rsidRPr="00B81E61" w:rsidRDefault="0088085F" w:rsidP="0088085F">
      <w:pPr>
        <w:pStyle w:val="texto"/>
        <w:rPr>
          <w:color w:val="000000" w:themeColor="text1"/>
          <w:szCs w:val="26"/>
        </w:rPr>
      </w:pPr>
    </w:p>
    <w:p w14:paraId="10503999" w14:textId="77777777" w:rsidR="0088085F" w:rsidRPr="00B81E61" w:rsidRDefault="0088085F" w:rsidP="0088085F">
      <w:pPr>
        <w:pStyle w:val="texto"/>
        <w:rPr>
          <w:b/>
          <w:color w:val="000000" w:themeColor="text1"/>
          <w:szCs w:val="26"/>
        </w:rPr>
      </w:pPr>
    </w:p>
    <w:p w14:paraId="70BE5215" w14:textId="77777777" w:rsidR="0088085F" w:rsidRPr="00B81E61" w:rsidRDefault="0088085F" w:rsidP="0088085F">
      <w:pPr>
        <w:rPr>
          <w:b/>
          <w:bCs/>
          <w:color w:val="000000" w:themeColor="text1"/>
          <w:sz w:val="24"/>
          <w:szCs w:val="24"/>
        </w:rPr>
      </w:pPr>
      <w:r>
        <w:br w:type="page"/>
      </w:r>
    </w:p>
    <w:p w14:paraId="505FF5FA" w14:textId="77777777" w:rsidR="00143206" w:rsidRDefault="00143206" w:rsidP="00143206">
      <w:pPr>
        <w:spacing w:before="360" w:after="180"/>
        <w:ind w:firstLine="0"/>
        <w:jc w:val="left"/>
        <w:rPr>
          <w:b/>
          <w:bCs/>
          <w:sz w:val="24"/>
          <w:szCs w:val="24"/>
        </w:rPr>
      </w:pPr>
      <w:bookmarkStart w:id="104" w:name="_Toc465686694"/>
      <w:bookmarkStart w:id="105" w:name="_Toc529773891"/>
      <w:bookmarkStart w:id="106" w:name="_Toc24100151"/>
      <w:bookmarkStart w:id="107" w:name="_Toc52348329"/>
      <w:bookmarkStart w:id="108" w:name="_Toc89161276"/>
    </w:p>
    <w:p w14:paraId="0C6C4586" w14:textId="77777777" w:rsidR="00143206" w:rsidRPr="00B15970" w:rsidRDefault="00143206" w:rsidP="00143206">
      <w:pPr>
        <w:spacing w:before="360" w:after="180"/>
        <w:ind w:firstLine="0"/>
        <w:jc w:val="left"/>
        <w:rPr>
          <w:b/>
          <w:bCs/>
          <w:sz w:val="24"/>
          <w:szCs w:val="24"/>
          <w:lang w:val="es-ES" w:eastAsia="es-ES"/>
        </w:rPr>
      </w:pPr>
    </w:p>
    <w:p w14:paraId="30B3E705" w14:textId="77777777" w:rsidR="0088085F" w:rsidRPr="00143206" w:rsidRDefault="0088085F" w:rsidP="00143206">
      <w:pPr>
        <w:pStyle w:val="atitulo1"/>
        <w:ind w:left="426"/>
        <w:rPr>
          <w:sz w:val="32"/>
          <w:szCs w:val="32"/>
        </w:rPr>
      </w:pPr>
      <w:bookmarkStart w:id="109" w:name="_Toc94871731"/>
      <w:r>
        <w:rPr>
          <w:sz w:val="32"/>
          <w:szCs w:val="32"/>
        </w:rPr>
        <w:t>2.</w:t>
      </w:r>
      <w:r>
        <w:t xml:space="preserve"> </w:t>
      </w:r>
      <w:r>
        <w:rPr>
          <w:sz w:val="32"/>
          <w:szCs w:val="32"/>
        </w:rPr>
        <w:t>eranskina Nafarroako toki sektore publikoaren finantza egoera 2019an</w:t>
      </w:r>
      <w:bookmarkEnd w:id="104"/>
      <w:bookmarkEnd w:id="105"/>
      <w:bookmarkEnd w:id="106"/>
      <w:bookmarkEnd w:id="107"/>
      <w:bookmarkEnd w:id="108"/>
      <w:bookmarkEnd w:id="109"/>
    </w:p>
    <w:p w14:paraId="00B26D48" w14:textId="77777777" w:rsidR="0088085F" w:rsidRPr="00B81E61" w:rsidRDefault="0088085F" w:rsidP="0088085F">
      <w:pPr>
        <w:pStyle w:val="texto"/>
        <w:rPr>
          <w:color w:val="000000" w:themeColor="text1"/>
        </w:rPr>
      </w:pPr>
    </w:p>
    <w:p w14:paraId="58171B0D" w14:textId="77777777" w:rsidR="0088085F" w:rsidRPr="00B81E61" w:rsidRDefault="0088085F" w:rsidP="0088085F">
      <w:pPr>
        <w:pStyle w:val="texto"/>
        <w:rPr>
          <w:color w:val="000000" w:themeColor="text1"/>
        </w:rPr>
      </w:pPr>
    </w:p>
    <w:p w14:paraId="0975AEE6" w14:textId="77777777" w:rsidR="00477C53" w:rsidRDefault="00477C53" w:rsidP="00E36872">
      <w:pPr>
        <w:pStyle w:val="atitulo1"/>
      </w:pPr>
    </w:p>
    <w:p w14:paraId="02C35F16" w14:textId="77777777" w:rsidR="001728D0" w:rsidRDefault="001728D0" w:rsidP="001728D0">
      <w:pPr>
        <w:pStyle w:val="atitulo3"/>
      </w:pPr>
    </w:p>
    <w:p w14:paraId="1C2384F1" w14:textId="77777777" w:rsidR="00477C53" w:rsidRPr="004B2F01" w:rsidRDefault="00477C53" w:rsidP="00477C53">
      <w:pPr>
        <w:pStyle w:val="atitulo3"/>
      </w:pPr>
    </w:p>
    <w:p w14:paraId="19AFE301" w14:textId="77777777" w:rsidR="00564F2D" w:rsidRPr="004B2F01" w:rsidRDefault="00564F2D" w:rsidP="004B2F01">
      <w:pPr>
        <w:pStyle w:val="atitulo2"/>
      </w:pPr>
    </w:p>
    <w:p w14:paraId="0BA4527E" w14:textId="77777777" w:rsidR="00564F2D" w:rsidRPr="004B2F01" w:rsidRDefault="00564F2D" w:rsidP="004B2F01">
      <w:pPr>
        <w:pStyle w:val="atitulo3"/>
      </w:pPr>
    </w:p>
    <w:sectPr w:rsidR="00564F2D" w:rsidRPr="004B2F01"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385D" w14:textId="77777777" w:rsidR="00B9085A" w:rsidRDefault="00B9085A">
      <w:r>
        <w:separator/>
      </w:r>
    </w:p>
    <w:p w14:paraId="1C050168" w14:textId="77777777" w:rsidR="00B9085A" w:rsidRDefault="00B9085A"/>
    <w:p w14:paraId="0713C069" w14:textId="77777777" w:rsidR="00B9085A" w:rsidRDefault="00B9085A"/>
    <w:p w14:paraId="1BC93684" w14:textId="77777777" w:rsidR="00B9085A" w:rsidRDefault="00B9085A"/>
  </w:endnote>
  <w:endnote w:type="continuationSeparator" w:id="0">
    <w:p w14:paraId="72E261A7" w14:textId="77777777" w:rsidR="00B9085A" w:rsidRDefault="00B9085A">
      <w:r>
        <w:continuationSeparator/>
      </w:r>
    </w:p>
    <w:p w14:paraId="71C9345B" w14:textId="77777777" w:rsidR="00B9085A" w:rsidRDefault="00B9085A"/>
    <w:p w14:paraId="4EEA8E74" w14:textId="77777777" w:rsidR="00B9085A" w:rsidRDefault="00B9085A"/>
    <w:p w14:paraId="1767DAAD" w14:textId="77777777" w:rsidR="00B9085A" w:rsidRDefault="00B90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FF87" w14:textId="572D25FA" w:rsidR="00B9085A" w:rsidRDefault="00B9085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66B8">
      <w:rPr>
        <w:rStyle w:val="Nmerodepgina"/>
        <w:noProof/>
      </w:rPr>
      <w:t>40</w:t>
    </w:r>
    <w:r>
      <w:rPr>
        <w:rStyle w:val="Nmerodepgina"/>
      </w:rPr>
      <w:fldChar w:fldCharType="end"/>
    </w:r>
  </w:p>
  <w:p w14:paraId="30608BAD" w14:textId="77777777" w:rsidR="00B9085A" w:rsidRDefault="00B9085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BBD4" w14:textId="77777777" w:rsidR="00B9085A" w:rsidRPr="00F03814" w:rsidRDefault="00B9085A"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76FFF10" wp14:editId="3E98BE03">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651E8B62" w14:textId="77777777" w:rsidR="00B9085A" w:rsidRPr="00F74E38" w:rsidRDefault="00B9085A" w:rsidP="00F03814">
    <w:pPr>
      <w:pStyle w:val="Piedepgina"/>
      <w:tabs>
        <w:tab w:val="clear" w:pos="4252"/>
        <w:tab w:val="clear" w:pos="8504"/>
        <w:tab w:val="center" w:pos="4560"/>
      </w:tabs>
      <w:ind w:right="360"/>
      <w:jc w:val="left"/>
      <w:rPr>
        <w:rStyle w:val="Nmerodepgina"/>
      </w:rPr>
    </w:pPr>
  </w:p>
  <w:p w14:paraId="5FD61780" w14:textId="77777777" w:rsidR="00B9085A" w:rsidRPr="00C13453" w:rsidRDefault="00B9085A"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C320" w14:textId="77777777" w:rsidR="00B9085A" w:rsidRDefault="00B9085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F494" w14:textId="77777777" w:rsidR="00B9085A" w:rsidRPr="00F03814" w:rsidRDefault="00B9085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571BEDB5" wp14:editId="657B2699">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B5581">
      <w:rPr>
        <w:rStyle w:val="Nmerodepgina"/>
        <w:szCs w:val="24"/>
      </w:rPr>
      <w:t>21</w:t>
    </w:r>
    <w:r w:rsidRPr="001D4F09">
      <w:rPr>
        <w:rStyle w:val="Nmerodepgina"/>
        <w:szCs w:val="24"/>
      </w:rPr>
      <w:fldChar w:fldCharType="end"/>
    </w:r>
    <w:r>
      <w:rPr>
        <w:rStyle w:val="Nmerodepgina"/>
        <w:szCs w:val="24"/>
      </w:rPr>
      <w:t xml:space="preserve"> -</w:t>
    </w:r>
  </w:p>
  <w:p w14:paraId="4260BD0B" w14:textId="77777777" w:rsidR="00B9085A" w:rsidRPr="00C13453" w:rsidRDefault="00B9085A" w:rsidP="00D2472C">
    <w:pPr>
      <w:pStyle w:val="BorradorProvisional"/>
      <w:ind w:left="0"/>
      <w:jc w:val="center"/>
    </w:pPr>
  </w:p>
  <w:p w14:paraId="144134E7" w14:textId="77777777" w:rsidR="00B9085A" w:rsidRDefault="00B908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6194" w14:textId="77777777" w:rsidR="00B9085A" w:rsidRDefault="00B9085A">
      <w:r>
        <w:separator/>
      </w:r>
    </w:p>
    <w:p w14:paraId="7A8C4593" w14:textId="77777777" w:rsidR="00B9085A" w:rsidRDefault="00B9085A"/>
    <w:p w14:paraId="72561E4C" w14:textId="77777777" w:rsidR="00B9085A" w:rsidRDefault="00B9085A"/>
    <w:p w14:paraId="6CD53A39" w14:textId="77777777" w:rsidR="00B9085A" w:rsidRDefault="00B9085A"/>
  </w:footnote>
  <w:footnote w:type="continuationSeparator" w:id="0">
    <w:p w14:paraId="49C6E7E0" w14:textId="77777777" w:rsidR="00B9085A" w:rsidRDefault="00B9085A">
      <w:r>
        <w:continuationSeparator/>
      </w:r>
    </w:p>
    <w:p w14:paraId="6EBA4C3F" w14:textId="77777777" w:rsidR="00B9085A" w:rsidRDefault="00B9085A"/>
    <w:p w14:paraId="7C0BFED9" w14:textId="77777777" w:rsidR="00B9085A" w:rsidRDefault="00B9085A"/>
    <w:p w14:paraId="733CD5AC" w14:textId="77777777" w:rsidR="00B9085A" w:rsidRDefault="00B9085A"/>
  </w:footnote>
  <w:footnote w:id="1">
    <w:p w14:paraId="4084A05C" w14:textId="77777777" w:rsidR="00B9085A" w:rsidRPr="0085586A" w:rsidRDefault="00B9085A" w:rsidP="0088085F">
      <w:pPr>
        <w:autoSpaceDE w:val="0"/>
        <w:autoSpaceDN w:val="0"/>
        <w:adjustRightInd w:val="0"/>
        <w:spacing w:after="0"/>
        <w:ind w:firstLine="0"/>
        <w:rPr>
          <w:color w:val="000000" w:themeColor="text1"/>
        </w:rPr>
      </w:pPr>
      <w:r>
        <w:rPr>
          <w:rStyle w:val="Refdenotaalpie"/>
          <w:color w:val="000000" w:themeColor="text1"/>
        </w:rPr>
        <w:footnoteRef/>
      </w:r>
      <w:r>
        <w:rPr>
          <w:color w:val="000000" w:themeColor="text1"/>
        </w:rPr>
        <w:t xml:space="preserve"> Txosteneko datu ekonomikoak milioika eurotan ematen dira. Kopuruak biribildu egin dira bi dezimal erakusteko. Datuek beti adierazten dute balio zehatz bakoitza biribilduta, eta ez biribildutako datuen batura. Ehunekoak ere balio zehatzen gainean kalkulatuta daude, eta ez biribildutako balioen gainean.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B543" w14:textId="77777777" w:rsidR="00B9085A" w:rsidRDefault="00B9085A" w:rsidP="007C36BE">
    <w:pPr>
      <w:pStyle w:val="Encabezado"/>
      <w:pBdr>
        <w:bottom w:val="single" w:sz="4" w:space="1" w:color="auto"/>
      </w:pBdr>
      <w:spacing w:after="40"/>
      <w:ind w:firstLine="0"/>
      <w:jc w:val="left"/>
    </w:pPr>
    <w:r>
      <w:rPr>
        <w:b/>
        <w:noProof/>
      </w:rPr>
      <w:drawing>
        <wp:inline distT="0" distB="0" distL="0" distR="0" wp14:anchorId="66BAA86C" wp14:editId="21DC31D2">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3BB5C506" w14:textId="77777777" w:rsidR="00B9085A" w:rsidRPr="0059650E" w:rsidRDefault="00B9085A" w:rsidP="00891D73">
    <w:pPr>
      <w:pStyle w:val="Encabezado"/>
      <w:pBdr>
        <w:bottom w:val="single" w:sz="4" w:space="1" w:color="auto"/>
      </w:pBdr>
      <w:ind w:firstLine="0"/>
    </w:pPr>
    <w:r>
      <w:t xml:space="preserve">            Nafarroako toki sektore publikoari buruzko fiskalizazio txostena, 2019ko ekitaldia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BE9F" w14:textId="77777777" w:rsidR="00B9085A" w:rsidRDefault="00B9085A" w:rsidP="006A2D41">
    <w:pPr>
      <w:pStyle w:val="Encabezado"/>
      <w:ind w:firstLine="0"/>
      <w:jc w:val="left"/>
    </w:pPr>
    <w:r>
      <w:rPr>
        <w:noProof/>
      </w:rPr>
      <w:drawing>
        <wp:inline distT="0" distB="0" distL="0" distR="0" wp14:anchorId="04BE5196" wp14:editId="144C8877">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A55" w14:textId="77777777" w:rsidR="00B9085A" w:rsidRDefault="00B9085A"/>
  <w:p w14:paraId="03E88339" w14:textId="77777777" w:rsidR="00B9085A" w:rsidRDefault="00B9085A"/>
  <w:p w14:paraId="09FED8DC" w14:textId="77777777" w:rsidR="00B9085A" w:rsidRDefault="00B9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A42"/>
    <w:multiLevelType w:val="hybridMultilevel"/>
    <w:tmpl w:val="E6BA26A0"/>
    <w:lvl w:ilvl="0" w:tplc="2A462E34">
      <w:start w:val="1"/>
      <w:numFmt w:val="decimal"/>
      <w:lvlText w:val="(%1)"/>
      <w:lvlJc w:val="left"/>
      <w:pPr>
        <w:ind w:left="644" w:hanging="360"/>
      </w:pPr>
      <w:rPr>
        <w:rFonts w:hint="default"/>
        <w:i/>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151255F"/>
    <w:multiLevelType w:val="hybridMultilevel"/>
    <w:tmpl w:val="E77E60D4"/>
    <w:lvl w:ilvl="0" w:tplc="F302438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E52C42"/>
    <w:multiLevelType w:val="hybridMultilevel"/>
    <w:tmpl w:val="369691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4BE03CF"/>
    <w:multiLevelType w:val="hybridMultilevel"/>
    <w:tmpl w:val="14D6DB56"/>
    <w:lvl w:ilvl="0" w:tplc="D8163EAE">
      <w:start w:val="4"/>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5AF7DDB"/>
    <w:multiLevelType w:val="hybridMultilevel"/>
    <w:tmpl w:val="B31E2B62"/>
    <w:lvl w:ilvl="0" w:tplc="07A459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F4542CA"/>
    <w:multiLevelType w:val="hybridMultilevel"/>
    <w:tmpl w:val="22B6F5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7C83F35"/>
    <w:multiLevelType w:val="hybridMultilevel"/>
    <w:tmpl w:val="1FC04D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A1164C7"/>
    <w:multiLevelType w:val="hybridMultilevel"/>
    <w:tmpl w:val="F0965294"/>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0" w15:restartNumberingAfterBreak="0">
    <w:nsid w:val="443A2E7B"/>
    <w:multiLevelType w:val="hybridMultilevel"/>
    <w:tmpl w:val="C0AC0F22"/>
    <w:lvl w:ilvl="0" w:tplc="AB8494E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11"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80079F6"/>
    <w:multiLevelType w:val="hybridMultilevel"/>
    <w:tmpl w:val="5B44B5D0"/>
    <w:lvl w:ilvl="0" w:tplc="FFFFFFFF">
      <w:start w:val="1"/>
      <w:numFmt w:val="decimal"/>
      <w:lvlText w:val="(%1)"/>
      <w:lvlJc w:val="left"/>
      <w:pPr>
        <w:tabs>
          <w:tab w:val="num" w:pos="885"/>
        </w:tabs>
        <w:ind w:left="885" w:hanging="5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9460A3"/>
    <w:multiLevelType w:val="hybridMultilevel"/>
    <w:tmpl w:val="2786A03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519E7274"/>
    <w:multiLevelType w:val="hybridMultilevel"/>
    <w:tmpl w:val="5E960494"/>
    <w:lvl w:ilvl="0" w:tplc="B96C17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7AC33B9"/>
    <w:multiLevelType w:val="hybridMultilevel"/>
    <w:tmpl w:val="B18846F2"/>
    <w:lvl w:ilvl="0" w:tplc="428C510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17"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003001F"/>
    <w:multiLevelType w:val="hybridMultilevel"/>
    <w:tmpl w:val="4F781162"/>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9" w15:restartNumberingAfterBreak="0">
    <w:nsid w:val="70E30354"/>
    <w:multiLevelType w:val="hybridMultilevel"/>
    <w:tmpl w:val="6226D416"/>
    <w:lvl w:ilvl="0" w:tplc="5B261A90">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0" w15:restartNumberingAfterBreak="0">
    <w:nsid w:val="74221C53"/>
    <w:multiLevelType w:val="hybridMultilevel"/>
    <w:tmpl w:val="0BAC00C0"/>
    <w:lvl w:ilvl="0" w:tplc="730027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6DC2CC0"/>
    <w:multiLevelType w:val="hybridMultilevel"/>
    <w:tmpl w:val="8C10B442"/>
    <w:lvl w:ilvl="0" w:tplc="6DF0EDF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9CF4F8F"/>
    <w:multiLevelType w:val="hybridMultilevel"/>
    <w:tmpl w:val="F21E21D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3"/>
  </w:num>
  <w:num w:numId="2">
    <w:abstractNumId w:val="16"/>
  </w:num>
  <w:num w:numId="3">
    <w:abstractNumId w:val="3"/>
  </w:num>
  <w:num w:numId="4">
    <w:abstractNumId w:val="11"/>
  </w:num>
  <w:num w:numId="5">
    <w:abstractNumId w:val="17"/>
  </w:num>
  <w:num w:numId="6">
    <w:abstractNumId w:val="3"/>
  </w:num>
  <w:num w:numId="7">
    <w:abstractNumId w:val="3"/>
  </w:num>
  <w:num w:numId="8">
    <w:abstractNumId w:val="3"/>
  </w:num>
  <w:num w:numId="9">
    <w:abstractNumId w:val="12"/>
  </w:num>
  <w:num w:numId="10">
    <w:abstractNumId w:val="6"/>
  </w:num>
  <w:num w:numId="11">
    <w:abstractNumId w:val="9"/>
  </w:num>
  <w:num w:numId="12">
    <w:abstractNumId w:val="18"/>
  </w:num>
  <w:num w:numId="13">
    <w:abstractNumId w:val="10"/>
  </w:num>
  <w:num w:numId="14">
    <w:abstractNumId w:val="21"/>
  </w:num>
  <w:num w:numId="15">
    <w:abstractNumId w:val="7"/>
  </w:num>
  <w:num w:numId="16">
    <w:abstractNumId w:val="2"/>
  </w:num>
  <w:num w:numId="17">
    <w:abstractNumId w:val="22"/>
  </w:num>
  <w:num w:numId="18">
    <w:abstractNumId w:val="1"/>
  </w:num>
  <w:num w:numId="19">
    <w:abstractNumId w:val="4"/>
  </w:num>
  <w:num w:numId="20">
    <w:abstractNumId w:val="20"/>
  </w:num>
  <w:num w:numId="21">
    <w:abstractNumId w:val="19"/>
  </w:num>
  <w:num w:numId="22">
    <w:abstractNumId w:val="5"/>
  </w:num>
  <w:num w:numId="23">
    <w:abstractNumId w:val="0"/>
  </w:num>
  <w:num w:numId="24">
    <w:abstractNumId w:val="8"/>
  </w:num>
  <w:num w:numId="25">
    <w:abstractNumId w:val="14"/>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5F"/>
    <w:rsid w:val="000019D8"/>
    <w:rsid w:val="00006736"/>
    <w:rsid w:val="00006A97"/>
    <w:rsid w:val="0000793A"/>
    <w:rsid w:val="0001123B"/>
    <w:rsid w:val="00012A7F"/>
    <w:rsid w:val="00017A3A"/>
    <w:rsid w:val="00017DCC"/>
    <w:rsid w:val="00032E3C"/>
    <w:rsid w:val="00033B8D"/>
    <w:rsid w:val="00033CB3"/>
    <w:rsid w:val="00036E42"/>
    <w:rsid w:val="00040389"/>
    <w:rsid w:val="0004373B"/>
    <w:rsid w:val="000448FA"/>
    <w:rsid w:val="00053A42"/>
    <w:rsid w:val="0005517D"/>
    <w:rsid w:val="0006133D"/>
    <w:rsid w:val="00063585"/>
    <w:rsid w:val="00071CD0"/>
    <w:rsid w:val="00074DF3"/>
    <w:rsid w:val="00075677"/>
    <w:rsid w:val="00075692"/>
    <w:rsid w:val="000874DF"/>
    <w:rsid w:val="00087B8D"/>
    <w:rsid w:val="00093D67"/>
    <w:rsid w:val="00093E60"/>
    <w:rsid w:val="000A18B7"/>
    <w:rsid w:val="000A253F"/>
    <w:rsid w:val="000A2C1E"/>
    <w:rsid w:val="000A3BD7"/>
    <w:rsid w:val="000A4697"/>
    <w:rsid w:val="000B0250"/>
    <w:rsid w:val="000B2291"/>
    <w:rsid w:val="000B2728"/>
    <w:rsid w:val="000B2C75"/>
    <w:rsid w:val="000B3943"/>
    <w:rsid w:val="000B4477"/>
    <w:rsid w:val="000C0704"/>
    <w:rsid w:val="000C2B07"/>
    <w:rsid w:val="000C379B"/>
    <w:rsid w:val="000C39CC"/>
    <w:rsid w:val="000C7566"/>
    <w:rsid w:val="000D188E"/>
    <w:rsid w:val="000D5335"/>
    <w:rsid w:val="000E7B86"/>
    <w:rsid w:val="000F2B66"/>
    <w:rsid w:val="000F3D83"/>
    <w:rsid w:val="00100383"/>
    <w:rsid w:val="00100F12"/>
    <w:rsid w:val="001023FA"/>
    <w:rsid w:val="00103589"/>
    <w:rsid w:val="001045C9"/>
    <w:rsid w:val="00107CC1"/>
    <w:rsid w:val="00111A92"/>
    <w:rsid w:val="001145C3"/>
    <w:rsid w:val="001161D2"/>
    <w:rsid w:val="00117107"/>
    <w:rsid w:val="00131DF1"/>
    <w:rsid w:val="00132C38"/>
    <w:rsid w:val="00133984"/>
    <w:rsid w:val="001365C4"/>
    <w:rsid w:val="0014147D"/>
    <w:rsid w:val="00141D29"/>
    <w:rsid w:val="00143206"/>
    <w:rsid w:val="0014506A"/>
    <w:rsid w:val="0014728F"/>
    <w:rsid w:val="001521A2"/>
    <w:rsid w:val="00152358"/>
    <w:rsid w:val="00155BFF"/>
    <w:rsid w:val="00160F66"/>
    <w:rsid w:val="00161A15"/>
    <w:rsid w:val="001633AF"/>
    <w:rsid w:val="00166A6C"/>
    <w:rsid w:val="001728D0"/>
    <w:rsid w:val="00173EDD"/>
    <w:rsid w:val="0017402B"/>
    <w:rsid w:val="00181D37"/>
    <w:rsid w:val="001835B7"/>
    <w:rsid w:val="0018426B"/>
    <w:rsid w:val="00185A37"/>
    <w:rsid w:val="00194309"/>
    <w:rsid w:val="00195193"/>
    <w:rsid w:val="0019660E"/>
    <w:rsid w:val="00197C1B"/>
    <w:rsid w:val="001A3CA1"/>
    <w:rsid w:val="001B39E2"/>
    <w:rsid w:val="001B6540"/>
    <w:rsid w:val="001C2B26"/>
    <w:rsid w:val="001C3A32"/>
    <w:rsid w:val="001C5C55"/>
    <w:rsid w:val="001C6B74"/>
    <w:rsid w:val="001D4F09"/>
    <w:rsid w:val="001E5CF2"/>
    <w:rsid w:val="001F1482"/>
    <w:rsid w:val="001F20D7"/>
    <w:rsid w:val="001F7744"/>
    <w:rsid w:val="002014EB"/>
    <w:rsid w:val="00202B1A"/>
    <w:rsid w:val="00203A6F"/>
    <w:rsid w:val="00204979"/>
    <w:rsid w:val="002070E0"/>
    <w:rsid w:val="00211D69"/>
    <w:rsid w:val="002179DB"/>
    <w:rsid w:val="00227824"/>
    <w:rsid w:val="00227E48"/>
    <w:rsid w:val="00230577"/>
    <w:rsid w:val="0023151B"/>
    <w:rsid w:val="0023159D"/>
    <w:rsid w:val="0023209D"/>
    <w:rsid w:val="002333F8"/>
    <w:rsid w:val="00233D79"/>
    <w:rsid w:val="00234ED3"/>
    <w:rsid w:val="00237657"/>
    <w:rsid w:val="00242BA7"/>
    <w:rsid w:val="002437B5"/>
    <w:rsid w:val="00244EF1"/>
    <w:rsid w:val="00246AA5"/>
    <w:rsid w:val="00246F21"/>
    <w:rsid w:val="0025084B"/>
    <w:rsid w:val="00253E78"/>
    <w:rsid w:val="002548FC"/>
    <w:rsid w:val="002602C1"/>
    <w:rsid w:val="00261DBA"/>
    <w:rsid w:val="00262228"/>
    <w:rsid w:val="00262C3C"/>
    <w:rsid w:val="0026436D"/>
    <w:rsid w:val="00264C88"/>
    <w:rsid w:val="0026532C"/>
    <w:rsid w:val="0026575D"/>
    <w:rsid w:val="002705B0"/>
    <w:rsid w:val="002717A6"/>
    <w:rsid w:val="00272015"/>
    <w:rsid w:val="00273C10"/>
    <w:rsid w:val="00274B4C"/>
    <w:rsid w:val="00276264"/>
    <w:rsid w:val="00280A00"/>
    <w:rsid w:val="00281DCA"/>
    <w:rsid w:val="00282AA4"/>
    <w:rsid w:val="002933DC"/>
    <w:rsid w:val="00297B04"/>
    <w:rsid w:val="002A056C"/>
    <w:rsid w:val="002A2D86"/>
    <w:rsid w:val="002A566F"/>
    <w:rsid w:val="002A66A5"/>
    <w:rsid w:val="002A6EBB"/>
    <w:rsid w:val="002B07D6"/>
    <w:rsid w:val="002B1643"/>
    <w:rsid w:val="002B21E9"/>
    <w:rsid w:val="002B2B87"/>
    <w:rsid w:val="002B4E0F"/>
    <w:rsid w:val="002B5581"/>
    <w:rsid w:val="002B5754"/>
    <w:rsid w:val="002B693F"/>
    <w:rsid w:val="002C7026"/>
    <w:rsid w:val="002C7E08"/>
    <w:rsid w:val="002D089F"/>
    <w:rsid w:val="002D5635"/>
    <w:rsid w:val="002D65E8"/>
    <w:rsid w:val="002D7D32"/>
    <w:rsid w:val="002E02E5"/>
    <w:rsid w:val="002E0478"/>
    <w:rsid w:val="002E0791"/>
    <w:rsid w:val="002E1B92"/>
    <w:rsid w:val="002E3924"/>
    <w:rsid w:val="002E7B81"/>
    <w:rsid w:val="002F09FB"/>
    <w:rsid w:val="002F0FE3"/>
    <w:rsid w:val="002F1AF0"/>
    <w:rsid w:val="002F2530"/>
    <w:rsid w:val="002F272A"/>
    <w:rsid w:val="002F3225"/>
    <w:rsid w:val="002F53B4"/>
    <w:rsid w:val="002F5F1D"/>
    <w:rsid w:val="002F76D6"/>
    <w:rsid w:val="00303506"/>
    <w:rsid w:val="00307057"/>
    <w:rsid w:val="00310031"/>
    <w:rsid w:val="00312819"/>
    <w:rsid w:val="00312E9C"/>
    <w:rsid w:val="00313875"/>
    <w:rsid w:val="00314FFC"/>
    <w:rsid w:val="003203BF"/>
    <w:rsid w:val="003208AF"/>
    <w:rsid w:val="00321369"/>
    <w:rsid w:val="00327081"/>
    <w:rsid w:val="00330787"/>
    <w:rsid w:val="00331165"/>
    <w:rsid w:val="00337493"/>
    <w:rsid w:val="0034285F"/>
    <w:rsid w:val="00343969"/>
    <w:rsid w:val="003464A4"/>
    <w:rsid w:val="00351684"/>
    <w:rsid w:val="00354458"/>
    <w:rsid w:val="00363653"/>
    <w:rsid w:val="0036509D"/>
    <w:rsid w:val="00366DA8"/>
    <w:rsid w:val="0037228C"/>
    <w:rsid w:val="0037325A"/>
    <w:rsid w:val="003738FD"/>
    <w:rsid w:val="003810BE"/>
    <w:rsid w:val="00386F6C"/>
    <w:rsid w:val="00387709"/>
    <w:rsid w:val="0038773E"/>
    <w:rsid w:val="00387794"/>
    <w:rsid w:val="00392D2A"/>
    <w:rsid w:val="00397162"/>
    <w:rsid w:val="003A335E"/>
    <w:rsid w:val="003A3DD2"/>
    <w:rsid w:val="003B3573"/>
    <w:rsid w:val="003B5813"/>
    <w:rsid w:val="003C03EA"/>
    <w:rsid w:val="003C196B"/>
    <w:rsid w:val="003C6E1D"/>
    <w:rsid w:val="003D058C"/>
    <w:rsid w:val="003D58AB"/>
    <w:rsid w:val="003D76B1"/>
    <w:rsid w:val="003E17A6"/>
    <w:rsid w:val="003E4AA5"/>
    <w:rsid w:val="003F1CEC"/>
    <w:rsid w:val="003F43BF"/>
    <w:rsid w:val="003F6BE4"/>
    <w:rsid w:val="00403CF8"/>
    <w:rsid w:val="004054B3"/>
    <w:rsid w:val="00407459"/>
    <w:rsid w:val="00414D01"/>
    <w:rsid w:val="004160D8"/>
    <w:rsid w:val="004170FE"/>
    <w:rsid w:val="004209E6"/>
    <w:rsid w:val="00422348"/>
    <w:rsid w:val="0042324B"/>
    <w:rsid w:val="004234E8"/>
    <w:rsid w:val="00426805"/>
    <w:rsid w:val="00430150"/>
    <w:rsid w:val="004302F9"/>
    <w:rsid w:val="0043229B"/>
    <w:rsid w:val="00433C0C"/>
    <w:rsid w:val="00434450"/>
    <w:rsid w:val="00435287"/>
    <w:rsid w:val="00436007"/>
    <w:rsid w:val="00440A22"/>
    <w:rsid w:val="004466B8"/>
    <w:rsid w:val="00451107"/>
    <w:rsid w:val="004540DF"/>
    <w:rsid w:val="0045550E"/>
    <w:rsid w:val="004561B9"/>
    <w:rsid w:val="00456456"/>
    <w:rsid w:val="00457255"/>
    <w:rsid w:val="00460A76"/>
    <w:rsid w:val="00461587"/>
    <w:rsid w:val="00462367"/>
    <w:rsid w:val="0046490C"/>
    <w:rsid w:val="00466715"/>
    <w:rsid w:val="00470287"/>
    <w:rsid w:val="00470733"/>
    <w:rsid w:val="00474353"/>
    <w:rsid w:val="00477C53"/>
    <w:rsid w:val="00485380"/>
    <w:rsid w:val="004859D2"/>
    <w:rsid w:val="00485DA5"/>
    <w:rsid w:val="004868B2"/>
    <w:rsid w:val="00490E6A"/>
    <w:rsid w:val="00493D87"/>
    <w:rsid w:val="004950D4"/>
    <w:rsid w:val="004A0506"/>
    <w:rsid w:val="004A2342"/>
    <w:rsid w:val="004A2F62"/>
    <w:rsid w:val="004B1DB8"/>
    <w:rsid w:val="004B2F01"/>
    <w:rsid w:val="004B361F"/>
    <w:rsid w:val="004B4060"/>
    <w:rsid w:val="004B4182"/>
    <w:rsid w:val="004B4538"/>
    <w:rsid w:val="004B6FB6"/>
    <w:rsid w:val="004C334E"/>
    <w:rsid w:val="004C3423"/>
    <w:rsid w:val="004C571D"/>
    <w:rsid w:val="004C5C5D"/>
    <w:rsid w:val="004D35A2"/>
    <w:rsid w:val="004D5FD1"/>
    <w:rsid w:val="004F7C93"/>
    <w:rsid w:val="00502251"/>
    <w:rsid w:val="00506105"/>
    <w:rsid w:val="00513162"/>
    <w:rsid w:val="00521EBA"/>
    <w:rsid w:val="00525809"/>
    <w:rsid w:val="00527F65"/>
    <w:rsid w:val="0053393E"/>
    <w:rsid w:val="00535130"/>
    <w:rsid w:val="00537302"/>
    <w:rsid w:val="005434E5"/>
    <w:rsid w:val="0055496B"/>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2FD1"/>
    <w:rsid w:val="005862AF"/>
    <w:rsid w:val="005907A1"/>
    <w:rsid w:val="00595E80"/>
    <w:rsid w:val="0059650E"/>
    <w:rsid w:val="00596953"/>
    <w:rsid w:val="005A6030"/>
    <w:rsid w:val="005A7814"/>
    <w:rsid w:val="005B091A"/>
    <w:rsid w:val="005B57AD"/>
    <w:rsid w:val="005B722E"/>
    <w:rsid w:val="005C02FE"/>
    <w:rsid w:val="005C50AC"/>
    <w:rsid w:val="005C6406"/>
    <w:rsid w:val="005C6682"/>
    <w:rsid w:val="005C7B45"/>
    <w:rsid w:val="005D57AE"/>
    <w:rsid w:val="005D69D1"/>
    <w:rsid w:val="005E210D"/>
    <w:rsid w:val="005E4343"/>
    <w:rsid w:val="005F2425"/>
    <w:rsid w:val="005F5EC7"/>
    <w:rsid w:val="005F7207"/>
    <w:rsid w:val="005F7FCF"/>
    <w:rsid w:val="00602902"/>
    <w:rsid w:val="00607691"/>
    <w:rsid w:val="0061062C"/>
    <w:rsid w:val="00613183"/>
    <w:rsid w:val="006133F0"/>
    <w:rsid w:val="00616888"/>
    <w:rsid w:val="006176BE"/>
    <w:rsid w:val="006212CB"/>
    <w:rsid w:val="006279F9"/>
    <w:rsid w:val="00633BB6"/>
    <w:rsid w:val="006369EE"/>
    <w:rsid w:val="0064097E"/>
    <w:rsid w:val="0064700E"/>
    <w:rsid w:val="00650183"/>
    <w:rsid w:val="00650677"/>
    <w:rsid w:val="00657326"/>
    <w:rsid w:val="0066233D"/>
    <w:rsid w:val="00662B56"/>
    <w:rsid w:val="00665642"/>
    <w:rsid w:val="006736A9"/>
    <w:rsid w:val="00673BC7"/>
    <w:rsid w:val="00674975"/>
    <w:rsid w:val="00675D39"/>
    <w:rsid w:val="0068560B"/>
    <w:rsid w:val="006A1277"/>
    <w:rsid w:val="006A2602"/>
    <w:rsid w:val="006A2D41"/>
    <w:rsid w:val="006A67E1"/>
    <w:rsid w:val="006A6C4E"/>
    <w:rsid w:val="006C36FB"/>
    <w:rsid w:val="006C7D62"/>
    <w:rsid w:val="006D0B23"/>
    <w:rsid w:val="006D0C4A"/>
    <w:rsid w:val="006D2ED6"/>
    <w:rsid w:val="006D5685"/>
    <w:rsid w:val="006E1987"/>
    <w:rsid w:val="006E23B2"/>
    <w:rsid w:val="006E5207"/>
    <w:rsid w:val="006E610D"/>
    <w:rsid w:val="006F00A7"/>
    <w:rsid w:val="006F2195"/>
    <w:rsid w:val="006F2D94"/>
    <w:rsid w:val="006F5C70"/>
    <w:rsid w:val="006F6A20"/>
    <w:rsid w:val="00703FB3"/>
    <w:rsid w:val="007047B2"/>
    <w:rsid w:val="00704DE7"/>
    <w:rsid w:val="00706868"/>
    <w:rsid w:val="007078B8"/>
    <w:rsid w:val="00707B7B"/>
    <w:rsid w:val="00715E32"/>
    <w:rsid w:val="007162D1"/>
    <w:rsid w:val="00716463"/>
    <w:rsid w:val="0071706E"/>
    <w:rsid w:val="00723826"/>
    <w:rsid w:val="00727292"/>
    <w:rsid w:val="0073138B"/>
    <w:rsid w:val="00733DD5"/>
    <w:rsid w:val="00736897"/>
    <w:rsid w:val="00742B1B"/>
    <w:rsid w:val="00742F6A"/>
    <w:rsid w:val="007446E8"/>
    <w:rsid w:val="007447E2"/>
    <w:rsid w:val="00751553"/>
    <w:rsid w:val="0075165E"/>
    <w:rsid w:val="00752A05"/>
    <w:rsid w:val="00753112"/>
    <w:rsid w:val="00754E10"/>
    <w:rsid w:val="00760196"/>
    <w:rsid w:val="007603F0"/>
    <w:rsid w:val="007629CD"/>
    <w:rsid w:val="00762A29"/>
    <w:rsid w:val="0076327D"/>
    <w:rsid w:val="00763524"/>
    <w:rsid w:val="00767745"/>
    <w:rsid w:val="007707FC"/>
    <w:rsid w:val="00770BE3"/>
    <w:rsid w:val="0077177A"/>
    <w:rsid w:val="007728A8"/>
    <w:rsid w:val="00775915"/>
    <w:rsid w:val="00785A76"/>
    <w:rsid w:val="00787852"/>
    <w:rsid w:val="007915BC"/>
    <w:rsid w:val="007967FA"/>
    <w:rsid w:val="00797E7A"/>
    <w:rsid w:val="007A0EA6"/>
    <w:rsid w:val="007A2D9E"/>
    <w:rsid w:val="007A717F"/>
    <w:rsid w:val="007B0381"/>
    <w:rsid w:val="007B097F"/>
    <w:rsid w:val="007B0CFC"/>
    <w:rsid w:val="007B0F3D"/>
    <w:rsid w:val="007B148D"/>
    <w:rsid w:val="007B18C8"/>
    <w:rsid w:val="007B28DE"/>
    <w:rsid w:val="007B7A5F"/>
    <w:rsid w:val="007C36BE"/>
    <w:rsid w:val="007C37EE"/>
    <w:rsid w:val="007C6BBC"/>
    <w:rsid w:val="007D53ED"/>
    <w:rsid w:val="007D6001"/>
    <w:rsid w:val="007D7F94"/>
    <w:rsid w:val="007E1B76"/>
    <w:rsid w:val="007E219A"/>
    <w:rsid w:val="007E37BF"/>
    <w:rsid w:val="007E5A67"/>
    <w:rsid w:val="007E6593"/>
    <w:rsid w:val="007F0D71"/>
    <w:rsid w:val="007F1101"/>
    <w:rsid w:val="007F2CB1"/>
    <w:rsid w:val="00803D20"/>
    <w:rsid w:val="008112A0"/>
    <w:rsid w:val="0081696D"/>
    <w:rsid w:val="00816E01"/>
    <w:rsid w:val="008173D0"/>
    <w:rsid w:val="0082013A"/>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380F"/>
    <w:rsid w:val="0085586A"/>
    <w:rsid w:val="008579E5"/>
    <w:rsid w:val="008600C7"/>
    <w:rsid w:val="008617D0"/>
    <w:rsid w:val="00861A60"/>
    <w:rsid w:val="00862357"/>
    <w:rsid w:val="00862D02"/>
    <w:rsid w:val="008637B9"/>
    <w:rsid w:val="00863ED5"/>
    <w:rsid w:val="00864194"/>
    <w:rsid w:val="00865FA4"/>
    <w:rsid w:val="00870399"/>
    <w:rsid w:val="008711EC"/>
    <w:rsid w:val="008718FE"/>
    <w:rsid w:val="00872946"/>
    <w:rsid w:val="00874B65"/>
    <w:rsid w:val="0088085F"/>
    <w:rsid w:val="00883928"/>
    <w:rsid w:val="00883DDE"/>
    <w:rsid w:val="00887997"/>
    <w:rsid w:val="00891D73"/>
    <w:rsid w:val="00892A44"/>
    <w:rsid w:val="008A2DE8"/>
    <w:rsid w:val="008A2F96"/>
    <w:rsid w:val="008A312D"/>
    <w:rsid w:val="008A3E09"/>
    <w:rsid w:val="008A3E57"/>
    <w:rsid w:val="008A5DF5"/>
    <w:rsid w:val="008A77A7"/>
    <w:rsid w:val="008B3F34"/>
    <w:rsid w:val="008C56B9"/>
    <w:rsid w:val="008D05E0"/>
    <w:rsid w:val="008D2600"/>
    <w:rsid w:val="008D7C40"/>
    <w:rsid w:val="008E0AC0"/>
    <w:rsid w:val="008E16E7"/>
    <w:rsid w:val="008E221A"/>
    <w:rsid w:val="008E3FFE"/>
    <w:rsid w:val="008E60BE"/>
    <w:rsid w:val="008E6B74"/>
    <w:rsid w:val="008F0FAF"/>
    <w:rsid w:val="008F46CD"/>
    <w:rsid w:val="008F6480"/>
    <w:rsid w:val="008F7740"/>
    <w:rsid w:val="00900CA2"/>
    <w:rsid w:val="00903653"/>
    <w:rsid w:val="00910A52"/>
    <w:rsid w:val="00911479"/>
    <w:rsid w:val="0091484D"/>
    <w:rsid w:val="00923043"/>
    <w:rsid w:val="00925E71"/>
    <w:rsid w:val="0093329F"/>
    <w:rsid w:val="009361CC"/>
    <w:rsid w:val="009368EA"/>
    <w:rsid w:val="00937043"/>
    <w:rsid w:val="009445D3"/>
    <w:rsid w:val="00944DBF"/>
    <w:rsid w:val="00945580"/>
    <w:rsid w:val="009544C7"/>
    <w:rsid w:val="00955A8A"/>
    <w:rsid w:val="00956974"/>
    <w:rsid w:val="0095705D"/>
    <w:rsid w:val="0096400D"/>
    <w:rsid w:val="00965C64"/>
    <w:rsid w:val="00966600"/>
    <w:rsid w:val="009671D9"/>
    <w:rsid w:val="00971352"/>
    <w:rsid w:val="00975E5B"/>
    <w:rsid w:val="00977C8F"/>
    <w:rsid w:val="00977F94"/>
    <w:rsid w:val="009810AC"/>
    <w:rsid w:val="009861B8"/>
    <w:rsid w:val="009863E9"/>
    <w:rsid w:val="00992E20"/>
    <w:rsid w:val="009936FC"/>
    <w:rsid w:val="00993925"/>
    <w:rsid w:val="00993977"/>
    <w:rsid w:val="009A05D1"/>
    <w:rsid w:val="009A28AC"/>
    <w:rsid w:val="009A3A5B"/>
    <w:rsid w:val="009A3F2A"/>
    <w:rsid w:val="009A521B"/>
    <w:rsid w:val="009B0993"/>
    <w:rsid w:val="009B216E"/>
    <w:rsid w:val="009B2AAC"/>
    <w:rsid w:val="009B3521"/>
    <w:rsid w:val="009B541C"/>
    <w:rsid w:val="009B7AA5"/>
    <w:rsid w:val="009C4460"/>
    <w:rsid w:val="009D024C"/>
    <w:rsid w:val="009D2FED"/>
    <w:rsid w:val="009D3ACE"/>
    <w:rsid w:val="009D7192"/>
    <w:rsid w:val="009E0E38"/>
    <w:rsid w:val="009E1A35"/>
    <w:rsid w:val="009F09AA"/>
    <w:rsid w:val="009F2C16"/>
    <w:rsid w:val="009F2C1B"/>
    <w:rsid w:val="009F335C"/>
    <w:rsid w:val="009F4235"/>
    <w:rsid w:val="00A002B5"/>
    <w:rsid w:val="00A005AA"/>
    <w:rsid w:val="00A0260C"/>
    <w:rsid w:val="00A041B5"/>
    <w:rsid w:val="00A04F8C"/>
    <w:rsid w:val="00A05158"/>
    <w:rsid w:val="00A07973"/>
    <w:rsid w:val="00A13BF5"/>
    <w:rsid w:val="00A14837"/>
    <w:rsid w:val="00A20762"/>
    <w:rsid w:val="00A225E3"/>
    <w:rsid w:val="00A22908"/>
    <w:rsid w:val="00A23A26"/>
    <w:rsid w:val="00A24A8F"/>
    <w:rsid w:val="00A25708"/>
    <w:rsid w:val="00A25BF0"/>
    <w:rsid w:val="00A3026E"/>
    <w:rsid w:val="00A357D9"/>
    <w:rsid w:val="00A4576A"/>
    <w:rsid w:val="00A45948"/>
    <w:rsid w:val="00A45AD0"/>
    <w:rsid w:val="00A45EE9"/>
    <w:rsid w:val="00A53C14"/>
    <w:rsid w:val="00A54021"/>
    <w:rsid w:val="00A60044"/>
    <w:rsid w:val="00A61410"/>
    <w:rsid w:val="00A6198A"/>
    <w:rsid w:val="00A646BD"/>
    <w:rsid w:val="00A65108"/>
    <w:rsid w:val="00A7067F"/>
    <w:rsid w:val="00A707A7"/>
    <w:rsid w:val="00A7090C"/>
    <w:rsid w:val="00A718FD"/>
    <w:rsid w:val="00A72008"/>
    <w:rsid w:val="00A72341"/>
    <w:rsid w:val="00A72CB5"/>
    <w:rsid w:val="00A75F97"/>
    <w:rsid w:val="00A776ED"/>
    <w:rsid w:val="00A77D09"/>
    <w:rsid w:val="00A80E50"/>
    <w:rsid w:val="00A8137F"/>
    <w:rsid w:val="00A83663"/>
    <w:rsid w:val="00A83B0F"/>
    <w:rsid w:val="00A84216"/>
    <w:rsid w:val="00A90BFA"/>
    <w:rsid w:val="00A92BF3"/>
    <w:rsid w:val="00A942F8"/>
    <w:rsid w:val="00A943C8"/>
    <w:rsid w:val="00A950A4"/>
    <w:rsid w:val="00A9520D"/>
    <w:rsid w:val="00A96563"/>
    <w:rsid w:val="00A9747D"/>
    <w:rsid w:val="00AA00A6"/>
    <w:rsid w:val="00AA27EA"/>
    <w:rsid w:val="00AA5E6C"/>
    <w:rsid w:val="00AA6BA8"/>
    <w:rsid w:val="00AA7F5A"/>
    <w:rsid w:val="00AB2340"/>
    <w:rsid w:val="00AB5C2A"/>
    <w:rsid w:val="00AB5FE4"/>
    <w:rsid w:val="00AB659D"/>
    <w:rsid w:val="00AC229F"/>
    <w:rsid w:val="00AC2646"/>
    <w:rsid w:val="00AC3578"/>
    <w:rsid w:val="00AD7671"/>
    <w:rsid w:val="00AE53E8"/>
    <w:rsid w:val="00AE6FE4"/>
    <w:rsid w:val="00AE74C5"/>
    <w:rsid w:val="00AF2059"/>
    <w:rsid w:val="00AF3D84"/>
    <w:rsid w:val="00AF4161"/>
    <w:rsid w:val="00AF580B"/>
    <w:rsid w:val="00B007C8"/>
    <w:rsid w:val="00B03B85"/>
    <w:rsid w:val="00B14410"/>
    <w:rsid w:val="00B15E61"/>
    <w:rsid w:val="00B17157"/>
    <w:rsid w:val="00B24F35"/>
    <w:rsid w:val="00B32C88"/>
    <w:rsid w:val="00B33587"/>
    <w:rsid w:val="00B34747"/>
    <w:rsid w:val="00B42E49"/>
    <w:rsid w:val="00B50903"/>
    <w:rsid w:val="00B62FFE"/>
    <w:rsid w:val="00B65013"/>
    <w:rsid w:val="00B70238"/>
    <w:rsid w:val="00B7123A"/>
    <w:rsid w:val="00B7435C"/>
    <w:rsid w:val="00B76F38"/>
    <w:rsid w:val="00B8085D"/>
    <w:rsid w:val="00B81EFF"/>
    <w:rsid w:val="00B836BB"/>
    <w:rsid w:val="00B84122"/>
    <w:rsid w:val="00B862B0"/>
    <w:rsid w:val="00B9085A"/>
    <w:rsid w:val="00B9733A"/>
    <w:rsid w:val="00BA2B7C"/>
    <w:rsid w:val="00BB142A"/>
    <w:rsid w:val="00BB34B9"/>
    <w:rsid w:val="00BB35C2"/>
    <w:rsid w:val="00BB553B"/>
    <w:rsid w:val="00BC28D7"/>
    <w:rsid w:val="00BC376C"/>
    <w:rsid w:val="00BC6321"/>
    <w:rsid w:val="00BC7817"/>
    <w:rsid w:val="00BD33B6"/>
    <w:rsid w:val="00BD3819"/>
    <w:rsid w:val="00BD5242"/>
    <w:rsid w:val="00BD642D"/>
    <w:rsid w:val="00BD6988"/>
    <w:rsid w:val="00BD79ED"/>
    <w:rsid w:val="00BE1A77"/>
    <w:rsid w:val="00BE4742"/>
    <w:rsid w:val="00BE7383"/>
    <w:rsid w:val="00BE754D"/>
    <w:rsid w:val="00BF1DB9"/>
    <w:rsid w:val="00BF6D10"/>
    <w:rsid w:val="00BF6E79"/>
    <w:rsid w:val="00C03F6C"/>
    <w:rsid w:val="00C12108"/>
    <w:rsid w:val="00C121D9"/>
    <w:rsid w:val="00C13453"/>
    <w:rsid w:val="00C1366A"/>
    <w:rsid w:val="00C13CE1"/>
    <w:rsid w:val="00C21108"/>
    <w:rsid w:val="00C220F9"/>
    <w:rsid w:val="00C24098"/>
    <w:rsid w:val="00C2541C"/>
    <w:rsid w:val="00C26862"/>
    <w:rsid w:val="00C30458"/>
    <w:rsid w:val="00C31DA6"/>
    <w:rsid w:val="00C33260"/>
    <w:rsid w:val="00C4598F"/>
    <w:rsid w:val="00C50360"/>
    <w:rsid w:val="00C54E12"/>
    <w:rsid w:val="00C55468"/>
    <w:rsid w:val="00C6085C"/>
    <w:rsid w:val="00C622C3"/>
    <w:rsid w:val="00C63BD5"/>
    <w:rsid w:val="00C66CB1"/>
    <w:rsid w:val="00C71D1A"/>
    <w:rsid w:val="00C74906"/>
    <w:rsid w:val="00C7553E"/>
    <w:rsid w:val="00C762E6"/>
    <w:rsid w:val="00C81B40"/>
    <w:rsid w:val="00C81FEA"/>
    <w:rsid w:val="00C83969"/>
    <w:rsid w:val="00C83E40"/>
    <w:rsid w:val="00C86C95"/>
    <w:rsid w:val="00C965E4"/>
    <w:rsid w:val="00CA05EB"/>
    <w:rsid w:val="00CA3515"/>
    <w:rsid w:val="00CA3A05"/>
    <w:rsid w:val="00CA4FBF"/>
    <w:rsid w:val="00CB14E9"/>
    <w:rsid w:val="00CB6D90"/>
    <w:rsid w:val="00CB72C3"/>
    <w:rsid w:val="00CC21F4"/>
    <w:rsid w:val="00CC45E4"/>
    <w:rsid w:val="00CD019F"/>
    <w:rsid w:val="00CD27C5"/>
    <w:rsid w:val="00CE01B8"/>
    <w:rsid w:val="00CE4169"/>
    <w:rsid w:val="00CE5750"/>
    <w:rsid w:val="00CE6C44"/>
    <w:rsid w:val="00CE7894"/>
    <w:rsid w:val="00CF06A1"/>
    <w:rsid w:val="00CF1467"/>
    <w:rsid w:val="00CF48D6"/>
    <w:rsid w:val="00CF57D6"/>
    <w:rsid w:val="00CF6C1B"/>
    <w:rsid w:val="00CF6E96"/>
    <w:rsid w:val="00D019D5"/>
    <w:rsid w:val="00D040FE"/>
    <w:rsid w:val="00D0601E"/>
    <w:rsid w:val="00D105E7"/>
    <w:rsid w:val="00D168FD"/>
    <w:rsid w:val="00D16F64"/>
    <w:rsid w:val="00D2472C"/>
    <w:rsid w:val="00D279BA"/>
    <w:rsid w:val="00D37822"/>
    <w:rsid w:val="00D404B5"/>
    <w:rsid w:val="00D42203"/>
    <w:rsid w:val="00D4444C"/>
    <w:rsid w:val="00D44657"/>
    <w:rsid w:val="00D447CB"/>
    <w:rsid w:val="00D458DE"/>
    <w:rsid w:val="00D47D16"/>
    <w:rsid w:val="00D505F4"/>
    <w:rsid w:val="00D51CE1"/>
    <w:rsid w:val="00D54D57"/>
    <w:rsid w:val="00D562F2"/>
    <w:rsid w:val="00D61B93"/>
    <w:rsid w:val="00D67E4A"/>
    <w:rsid w:val="00D763FD"/>
    <w:rsid w:val="00D809C2"/>
    <w:rsid w:val="00D90AD1"/>
    <w:rsid w:val="00D941F7"/>
    <w:rsid w:val="00D96D3F"/>
    <w:rsid w:val="00DA4DDF"/>
    <w:rsid w:val="00DB0804"/>
    <w:rsid w:val="00DB2FC4"/>
    <w:rsid w:val="00DB6EDE"/>
    <w:rsid w:val="00DC382A"/>
    <w:rsid w:val="00DD1FA9"/>
    <w:rsid w:val="00DE1923"/>
    <w:rsid w:val="00DE2B33"/>
    <w:rsid w:val="00DE309A"/>
    <w:rsid w:val="00DE492F"/>
    <w:rsid w:val="00DE60B7"/>
    <w:rsid w:val="00DE638B"/>
    <w:rsid w:val="00DE72EE"/>
    <w:rsid w:val="00DF37E5"/>
    <w:rsid w:val="00DF53D9"/>
    <w:rsid w:val="00E029EF"/>
    <w:rsid w:val="00E034FE"/>
    <w:rsid w:val="00E03B06"/>
    <w:rsid w:val="00E041E5"/>
    <w:rsid w:val="00E04888"/>
    <w:rsid w:val="00E0763B"/>
    <w:rsid w:val="00E10302"/>
    <w:rsid w:val="00E1352C"/>
    <w:rsid w:val="00E17EC5"/>
    <w:rsid w:val="00E26BFD"/>
    <w:rsid w:val="00E27E90"/>
    <w:rsid w:val="00E33D02"/>
    <w:rsid w:val="00E34F2C"/>
    <w:rsid w:val="00E35BF3"/>
    <w:rsid w:val="00E35D79"/>
    <w:rsid w:val="00E36872"/>
    <w:rsid w:val="00E4641E"/>
    <w:rsid w:val="00E519AE"/>
    <w:rsid w:val="00E57AF7"/>
    <w:rsid w:val="00E6241B"/>
    <w:rsid w:val="00E63EE0"/>
    <w:rsid w:val="00E64FCC"/>
    <w:rsid w:val="00E6778A"/>
    <w:rsid w:val="00E703B6"/>
    <w:rsid w:val="00E72200"/>
    <w:rsid w:val="00E72B1B"/>
    <w:rsid w:val="00E75D47"/>
    <w:rsid w:val="00E766F5"/>
    <w:rsid w:val="00E82948"/>
    <w:rsid w:val="00E90218"/>
    <w:rsid w:val="00E913BB"/>
    <w:rsid w:val="00E95F2E"/>
    <w:rsid w:val="00E96821"/>
    <w:rsid w:val="00EA005B"/>
    <w:rsid w:val="00EA1508"/>
    <w:rsid w:val="00EA1541"/>
    <w:rsid w:val="00EA1A84"/>
    <w:rsid w:val="00EA32E4"/>
    <w:rsid w:val="00EA78B4"/>
    <w:rsid w:val="00EA7E36"/>
    <w:rsid w:val="00EB0898"/>
    <w:rsid w:val="00EB3A45"/>
    <w:rsid w:val="00EB627B"/>
    <w:rsid w:val="00EB6D94"/>
    <w:rsid w:val="00EC4183"/>
    <w:rsid w:val="00EC6468"/>
    <w:rsid w:val="00EC6708"/>
    <w:rsid w:val="00ED207C"/>
    <w:rsid w:val="00ED21C8"/>
    <w:rsid w:val="00ED325A"/>
    <w:rsid w:val="00ED3F41"/>
    <w:rsid w:val="00ED5615"/>
    <w:rsid w:val="00ED692E"/>
    <w:rsid w:val="00ED69AF"/>
    <w:rsid w:val="00EE1847"/>
    <w:rsid w:val="00EE240E"/>
    <w:rsid w:val="00EE688E"/>
    <w:rsid w:val="00EE6A6D"/>
    <w:rsid w:val="00EF03E2"/>
    <w:rsid w:val="00EF12C2"/>
    <w:rsid w:val="00EF73A5"/>
    <w:rsid w:val="00EF7F8B"/>
    <w:rsid w:val="00F00F8C"/>
    <w:rsid w:val="00F03814"/>
    <w:rsid w:val="00F05342"/>
    <w:rsid w:val="00F07A09"/>
    <w:rsid w:val="00F1390C"/>
    <w:rsid w:val="00F14D98"/>
    <w:rsid w:val="00F20C5E"/>
    <w:rsid w:val="00F212BF"/>
    <w:rsid w:val="00F26F85"/>
    <w:rsid w:val="00F32439"/>
    <w:rsid w:val="00F36A1D"/>
    <w:rsid w:val="00F41308"/>
    <w:rsid w:val="00F41705"/>
    <w:rsid w:val="00F44278"/>
    <w:rsid w:val="00F4617C"/>
    <w:rsid w:val="00F51B65"/>
    <w:rsid w:val="00F52AAB"/>
    <w:rsid w:val="00F52EB6"/>
    <w:rsid w:val="00F55260"/>
    <w:rsid w:val="00F6316B"/>
    <w:rsid w:val="00F65AE0"/>
    <w:rsid w:val="00F74E38"/>
    <w:rsid w:val="00F7590F"/>
    <w:rsid w:val="00F76D6F"/>
    <w:rsid w:val="00F778B0"/>
    <w:rsid w:val="00F81771"/>
    <w:rsid w:val="00F829E8"/>
    <w:rsid w:val="00F83BC2"/>
    <w:rsid w:val="00F92EC1"/>
    <w:rsid w:val="00F94C47"/>
    <w:rsid w:val="00FA0421"/>
    <w:rsid w:val="00FA239F"/>
    <w:rsid w:val="00FA3389"/>
    <w:rsid w:val="00FA3476"/>
    <w:rsid w:val="00FA495F"/>
    <w:rsid w:val="00FB0C10"/>
    <w:rsid w:val="00FB3C36"/>
    <w:rsid w:val="00FB4280"/>
    <w:rsid w:val="00FB7CCE"/>
    <w:rsid w:val="00FC01C8"/>
    <w:rsid w:val="00FC5027"/>
    <w:rsid w:val="00FC50C7"/>
    <w:rsid w:val="00FC511D"/>
    <w:rsid w:val="00FC68BC"/>
    <w:rsid w:val="00FD093B"/>
    <w:rsid w:val="00FD11D4"/>
    <w:rsid w:val="00FD1955"/>
    <w:rsid w:val="00FD225D"/>
    <w:rsid w:val="00FD2384"/>
    <w:rsid w:val="00FD5739"/>
    <w:rsid w:val="00FE3101"/>
    <w:rsid w:val="00FE452E"/>
    <w:rsid w:val="00FE4FE4"/>
    <w:rsid w:val="00FF1764"/>
    <w:rsid w:val="00FF1E4E"/>
    <w:rsid w:val="00FF4275"/>
    <w:rsid w:val="00FF4A4C"/>
    <w:rsid w:val="00FF4C15"/>
    <w:rsid w:val="00FF7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50735F1"/>
  <w15:docId w15:val="{469B2E89-4657-40D9-8446-92AD8044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85380F"/>
    <w:pPr>
      <w:keepNext/>
      <w:tabs>
        <w:tab w:val="num" w:pos="864"/>
      </w:tabs>
      <w:spacing w:before="240" w:after="60"/>
      <w:ind w:left="864" w:hanging="864"/>
      <w:jc w:val="left"/>
      <w:outlineLvl w:val="3"/>
    </w:pPr>
    <w:rPr>
      <w:b/>
      <w:bCs/>
      <w:sz w:val="28"/>
      <w:szCs w:val="28"/>
      <w:lang w:eastAsia="es-ES"/>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88085F"/>
    <w:rPr>
      <w:rFonts w:ascii="Arial" w:hAnsi="Arial"/>
      <w:b/>
      <w:color w:val="000000"/>
      <w:kern w:val="28"/>
      <w:sz w:val="25"/>
      <w:szCs w:val="26"/>
      <w:lang w:val="eu-ES" w:eastAsia="en-US"/>
    </w:rPr>
  </w:style>
  <w:style w:type="character" w:customStyle="1" w:styleId="atitulo2Car">
    <w:name w:val="atitulo2 Car"/>
    <w:link w:val="atitulo2"/>
    <w:uiPriority w:val="99"/>
    <w:locked/>
    <w:rsid w:val="0088085F"/>
    <w:rPr>
      <w:rFonts w:ascii="Arial" w:hAnsi="Arial"/>
      <w:bCs/>
      <w:iCs/>
      <w:color w:val="000000"/>
      <w:spacing w:val="10"/>
      <w:kern w:val="28"/>
      <w:sz w:val="25"/>
      <w:szCs w:val="26"/>
      <w:lang w:val="eu-ES" w:eastAsia="en-US"/>
    </w:rPr>
  </w:style>
  <w:style w:type="paragraph" w:styleId="Prrafodelista">
    <w:name w:val="List Paragraph"/>
    <w:basedOn w:val="Normal"/>
    <w:uiPriority w:val="99"/>
    <w:qFormat/>
    <w:rsid w:val="0088085F"/>
    <w:pPr>
      <w:spacing w:after="0"/>
      <w:ind w:left="720" w:firstLine="0"/>
      <w:contextualSpacing/>
      <w:jc w:val="left"/>
    </w:pPr>
  </w:style>
  <w:style w:type="character" w:customStyle="1" w:styleId="PiedepginaCar">
    <w:name w:val="Pie de página Car"/>
    <w:basedOn w:val="Fuentedeprrafopredeter"/>
    <w:link w:val="Piedepgina"/>
    <w:rsid w:val="0088085F"/>
    <w:rPr>
      <w:spacing w:val="6"/>
      <w:lang w:val="eu-ES" w:eastAsia="en-US"/>
    </w:rPr>
  </w:style>
  <w:style w:type="character" w:customStyle="1" w:styleId="Ttulo5Car">
    <w:name w:val="Título 5 Car"/>
    <w:basedOn w:val="Fuentedeprrafopredeter"/>
    <w:link w:val="Ttulo5"/>
    <w:uiPriority w:val="99"/>
    <w:rsid w:val="0088085F"/>
    <w:rPr>
      <w:b/>
      <w:sz w:val="28"/>
      <w:lang w:eastAsia="en-US"/>
    </w:rPr>
  </w:style>
  <w:style w:type="character" w:customStyle="1" w:styleId="markedcontent">
    <w:name w:val="markedcontent"/>
    <w:basedOn w:val="Fuentedeprrafopredeter"/>
    <w:rsid w:val="0088085F"/>
  </w:style>
  <w:style w:type="paragraph" w:styleId="Textonotapie">
    <w:name w:val="footnote text"/>
    <w:basedOn w:val="Normal"/>
    <w:link w:val="TextonotapieCar"/>
    <w:semiHidden/>
    <w:unhideWhenUsed/>
    <w:rsid w:val="0088085F"/>
    <w:pPr>
      <w:spacing w:after="0"/>
    </w:pPr>
  </w:style>
  <w:style w:type="character" w:customStyle="1" w:styleId="TextonotapieCar">
    <w:name w:val="Texto nota pie Car"/>
    <w:basedOn w:val="Fuentedeprrafopredeter"/>
    <w:link w:val="Textonotapie"/>
    <w:semiHidden/>
    <w:rsid w:val="0088085F"/>
    <w:rPr>
      <w:lang w:val="eu-ES" w:eastAsia="en-US"/>
    </w:rPr>
  </w:style>
  <w:style w:type="character" w:styleId="Refdenotaalpie">
    <w:name w:val="footnote reference"/>
    <w:basedOn w:val="Fuentedeprrafopredeter"/>
    <w:semiHidden/>
    <w:unhideWhenUsed/>
    <w:rsid w:val="0088085F"/>
    <w:rPr>
      <w:vertAlign w:val="superscript"/>
    </w:rPr>
  </w:style>
  <w:style w:type="character" w:customStyle="1" w:styleId="Ttulo4Car">
    <w:name w:val="Título 4 Car"/>
    <w:basedOn w:val="Fuentedeprrafopredeter"/>
    <w:link w:val="Ttulo4"/>
    <w:rsid w:val="008538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308">
      <w:bodyDiv w:val="1"/>
      <w:marLeft w:val="0"/>
      <w:marRight w:val="0"/>
      <w:marTop w:val="0"/>
      <w:marBottom w:val="0"/>
      <w:divBdr>
        <w:top w:val="none" w:sz="0" w:space="0" w:color="auto"/>
        <w:left w:val="none" w:sz="0" w:space="0" w:color="auto"/>
        <w:bottom w:val="none" w:sz="0" w:space="0" w:color="auto"/>
        <w:right w:val="none" w:sz="0" w:space="0" w:color="auto"/>
      </w:divBdr>
    </w:div>
    <w:div w:id="643581550">
      <w:bodyDiv w:val="1"/>
      <w:marLeft w:val="0"/>
      <w:marRight w:val="0"/>
      <w:marTop w:val="0"/>
      <w:marBottom w:val="0"/>
      <w:divBdr>
        <w:top w:val="none" w:sz="0" w:space="0" w:color="auto"/>
        <w:left w:val="none" w:sz="0" w:space="0" w:color="auto"/>
        <w:bottom w:val="none" w:sz="0" w:space="0" w:color="auto"/>
        <w:right w:val="none" w:sz="0" w:space="0" w:color="auto"/>
      </w:divBdr>
    </w:div>
    <w:div w:id="689916320">
      <w:bodyDiv w:val="1"/>
      <w:marLeft w:val="0"/>
      <w:marRight w:val="0"/>
      <w:marTop w:val="0"/>
      <w:marBottom w:val="0"/>
      <w:divBdr>
        <w:top w:val="none" w:sz="0" w:space="0" w:color="auto"/>
        <w:left w:val="none" w:sz="0" w:space="0" w:color="auto"/>
        <w:bottom w:val="none" w:sz="0" w:space="0" w:color="auto"/>
        <w:right w:val="none" w:sz="0" w:space="0" w:color="auto"/>
      </w:divBdr>
    </w:div>
    <w:div w:id="1029062357">
      <w:bodyDiv w:val="1"/>
      <w:marLeft w:val="0"/>
      <w:marRight w:val="0"/>
      <w:marTop w:val="0"/>
      <w:marBottom w:val="0"/>
      <w:divBdr>
        <w:top w:val="none" w:sz="0" w:space="0" w:color="auto"/>
        <w:left w:val="none" w:sz="0" w:space="0" w:color="auto"/>
        <w:bottom w:val="none" w:sz="0" w:space="0" w:color="auto"/>
        <w:right w:val="none" w:sz="0" w:space="0" w:color="auto"/>
      </w:divBdr>
    </w:div>
    <w:div w:id="1686324284">
      <w:bodyDiv w:val="1"/>
      <w:marLeft w:val="0"/>
      <w:marRight w:val="0"/>
      <w:marTop w:val="0"/>
      <w:marBottom w:val="0"/>
      <w:divBdr>
        <w:top w:val="none" w:sz="0" w:space="0" w:color="auto"/>
        <w:left w:val="none" w:sz="0" w:space="0" w:color="auto"/>
        <w:bottom w:val="none" w:sz="0" w:space="0" w:color="auto"/>
        <w:right w:val="none" w:sz="0" w:space="0" w:color="auto"/>
      </w:divBdr>
    </w:div>
    <w:div w:id="1951424831">
      <w:bodyDiv w:val="1"/>
      <w:marLeft w:val="0"/>
      <w:marRight w:val="0"/>
      <w:marTop w:val="0"/>
      <w:marBottom w:val="0"/>
      <w:divBdr>
        <w:top w:val="none" w:sz="0" w:space="0" w:color="auto"/>
        <w:left w:val="none" w:sz="0" w:space="0" w:color="auto"/>
        <w:bottom w:val="none" w:sz="0" w:space="0" w:color="auto"/>
        <w:right w:val="none" w:sz="0" w:space="0" w:color="auto"/>
      </w:divBdr>
    </w:div>
    <w:div w:id="2134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biernoabierto.navarra.es/eu/gardentasuna/informazio-publikoa/toki-entitateak-aurrekontua-eta-kontua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gobiernoabierto.navarra.es/eu/gardentasuna/informazio-publikoa/toki-entitateak-aurrekontua-eta-kontua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obiernoabierto.navarra.es/eu/gardentasuna/informazio-publikoa/toki-entitateak-aurrekontua-eta-kontua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9E38-1D7B-4CAB-BB60-3E30C24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11168</Words>
  <Characters>61427</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De Santiago, Iñaki</cp:lastModifiedBy>
  <cp:revision>3</cp:revision>
  <cp:lastPrinted>2021-12-21T07:34:00Z</cp:lastPrinted>
  <dcterms:created xsi:type="dcterms:W3CDTF">2022-02-04T11:53:00Z</dcterms:created>
  <dcterms:modified xsi:type="dcterms:W3CDTF">2022-02-04T11:55:00Z</dcterms:modified>
</cp:coreProperties>
</file>