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B568"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39FD56EF" wp14:editId="46FCDA47">
                <wp:simplePos x="0" y="0"/>
                <wp:positionH relativeFrom="column">
                  <wp:posOffset>-151765</wp:posOffset>
                </wp:positionH>
                <wp:positionV relativeFrom="paragraph">
                  <wp:posOffset>-817246</wp:posOffset>
                </wp:positionV>
                <wp:extent cx="1105535" cy="931545"/>
                <wp:effectExtent l="0" t="0" r="0" b="19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15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BFAFEB5" w14:textId="77777777" w:rsidR="00B9085A" w:rsidRPr="003A7956" w:rsidRDefault="00B9085A" w:rsidP="004C3423">
                            <w:pPr>
                              <w:spacing w:after="0"/>
                              <w:ind w:firstLine="0"/>
                              <w:jc w:val="center"/>
                              <w:rPr>
                                <w:sz w:val="18"/>
                                <w:szCs w:val="18"/>
                                <w:lang w:val="es-ES"/>
                              </w:rPr>
                            </w:pPr>
                            <w:r w:rsidRPr="003A7956">
                              <w:rPr>
                                <w:sz w:val="18"/>
                                <w:szCs w:val="18"/>
                                <w:lang w:val="es-ES"/>
                              </w:rPr>
                              <w:t>CAMARA DE</w:t>
                            </w:r>
                          </w:p>
                          <w:p w14:paraId="470A4450" w14:textId="77777777" w:rsidR="00B9085A" w:rsidRPr="003A7956" w:rsidRDefault="00B9085A" w:rsidP="004C3423">
                            <w:pPr>
                              <w:spacing w:after="0"/>
                              <w:ind w:firstLine="0"/>
                              <w:jc w:val="center"/>
                              <w:rPr>
                                <w:sz w:val="18"/>
                                <w:szCs w:val="18"/>
                                <w:lang w:val="es-ES"/>
                              </w:rPr>
                            </w:pPr>
                            <w:r w:rsidRPr="003A7956">
                              <w:rPr>
                                <w:sz w:val="18"/>
                                <w:szCs w:val="18"/>
                                <w:lang w:val="es-ES"/>
                              </w:rPr>
                              <w:t>COMPTOS</w:t>
                            </w:r>
                          </w:p>
                          <w:p w14:paraId="6FEB93BE" w14:textId="77777777" w:rsidR="00B9085A" w:rsidRPr="003A7956" w:rsidRDefault="00B9085A" w:rsidP="004C3423">
                            <w:pPr>
                              <w:spacing w:after="0"/>
                              <w:ind w:firstLine="0"/>
                              <w:jc w:val="center"/>
                              <w:rPr>
                                <w:sz w:val="18"/>
                                <w:szCs w:val="18"/>
                                <w:lang w:val="es-ES"/>
                              </w:rPr>
                            </w:pPr>
                            <w:r w:rsidRPr="003A7956">
                              <w:rPr>
                                <w:sz w:val="18"/>
                                <w:szCs w:val="18"/>
                                <w:lang w:val="es-ES"/>
                              </w:rPr>
                              <w:t>DE NAVARRA</w:t>
                            </w:r>
                          </w:p>
                          <w:p w14:paraId="3B8FC254" w14:textId="77777777" w:rsidR="00B9085A" w:rsidRPr="003A7956" w:rsidRDefault="00B9085A" w:rsidP="004C3423">
                            <w:pPr>
                              <w:spacing w:after="0"/>
                              <w:ind w:firstLine="0"/>
                              <w:jc w:val="center"/>
                              <w:rPr>
                                <w:color w:val="808080"/>
                                <w:sz w:val="18"/>
                                <w:szCs w:val="18"/>
                                <w:lang w:val="es-ES"/>
                              </w:rPr>
                            </w:pPr>
                            <w:r w:rsidRPr="003A7956">
                              <w:rPr>
                                <w:color w:val="808080"/>
                                <w:sz w:val="18"/>
                                <w:szCs w:val="18"/>
                                <w:lang w:val="es-ES"/>
                              </w:rPr>
                              <w:t>NAFARROAKO</w:t>
                            </w:r>
                          </w:p>
                          <w:p w14:paraId="151EF659" w14:textId="77777777" w:rsidR="00B9085A" w:rsidRPr="003A7956" w:rsidRDefault="00B9085A" w:rsidP="004C3423">
                            <w:pPr>
                              <w:spacing w:after="0"/>
                              <w:ind w:firstLine="0"/>
                              <w:jc w:val="center"/>
                              <w:rPr>
                                <w:color w:val="808080"/>
                                <w:sz w:val="18"/>
                                <w:szCs w:val="18"/>
                                <w:lang w:val="es-ES"/>
                              </w:rPr>
                            </w:pPr>
                            <w:r w:rsidRPr="003A7956">
                              <w:rPr>
                                <w:color w:val="808080"/>
                                <w:sz w:val="18"/>
                                <w:szCs w:val="18"/>
                                <w:lang w:val="es-ES"/>
                              </w:rPr>
                              <w:t>KONTUEN</w:t>
                            </w:r>
                          </w:p>
                          <w:p w14:paraId="5FDD6209" w14:textId="77777777" w:rsidR="00B9085A" w:rsidRPr="003A7956" w:rsidRDefault="00B9085A" w:rsidP="004C3423">
                            <w:pPr>
                              <w:spacing w:after="0"/>
                              <w:ind w:firstLine="0"/>
                              <w:jc w:val="center"/>
                              <w:rPr>
                                <w:color w:val="808080"/>
                                <w:sz w:val="18"/>
                                <w:szCs w:val="18"/>
                                <w:lang w:val="es-ES"/>
                              </w:rPr>
                            </w:pPr>
                            <w:r w:rsidRPr="003A7956">
                              <w:rPr>
                                <w:color w:val="808080"/>
                                <w:sz w:val="18"/>
                                <w:szCs w:val="18"/>
                                <w:lang w:val="es-ES"/>
                              </w:rPr>
                              <w:t>GANBERA</w:t>
                            </w:r>
                          </w:p>
                          <w:p w14:paraId="4B06EBD4" w14:textId="77777777" w:rsidR="00B9085A" w:rsidRPr="002C7026" w:rsidRDefault="00B9085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56EF" id="_x0000_t202" coordsize="21600,21600" o:spt="202" path="m,l,21600r21600,l21600,xe">
                <v:stroke joinstyle="miter"/>
                <v:path gradientshapeok="t" o:connecttype="rect"/>
              </v:shapetype>
              <v:shape id="Text Box 7" o:spid="_x0000_s1026" type="#_x0000_t202" style="position:absolute;left:0;text-align:left;margin-left:-11.95pt;margin-top:-64.35pt;width:87.05pt;height:7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Ph8wEAAMoDAAAOAAAAZHJzL2Uyb0RvYy54bWysU9uO0zAQfUfiHyy/0zTdBtio6Wrpqghp&#10;uUgLH+A4TmLheMzYbVK+nrHT7S7whsiD5cnYZ+acOd7cTINhR4Veg614vlhypqyERtuu4t++7l+9&#10;5cwHYRthwKqKn5TnN9uXLzajK9UKejCNQkYg1pejq3gfgiuzzMteDcIvwClLyRZwEIFC7LIGxUjo&#10;g8lWy+XrbARsHIJU3tPfuznJtwm/bZUMn9vWq8BMxam3kFZMax3XbLsRZYfC9Vqe2xD/0MUgtKWi&#10;F6g7EQQ7oP4LatASwUMbFhKGDNpWS5U4EJt8+Qebh144lbiQON5dZPL/D1Z+Oj64L8jC9A4mGmAi&#10;4d09yO+eWdj1wnbqFhHGXomGCudRsmx0vjxfjVL70keQevwIDQ1ZHAIkoKnFIapCPBmh0wBOF9HV&#10;FJiMJfNlUVwVnEnKXV/lxbpIJUT5eNuhD+8VDCxuKo401IQujvc+xG5E+XgkFvNgdLPXxqQAu3pn&#10;kB0FGWCfvjP6b8eMjYctxGszYvyTaEZmM8cw1RMlI90amhMRRpgNRQ+ANj3gT85GMlPF/Y+DQMWZ&#10;+WBJtOt8vY7uS8G6eLOiAJ9n6ucZYSVBVTxwNm93YXbswaHueqo0j8nCLQnd6qTBU1fnvskwSZqz&#10;uaMjn8fp1NMT3P4CAAD//wMAUEsDBBQABgAIAAAAIQBDd7qB4gAAAAsBAAAPAAAAZHJzL2Rvd25y&#10;ZXYueG1sTI/BTsMwDIbvSLxDZCRuW7LCRilNpwmBELugjSGxW9aYtqNxqibbytvjneD2W/70+3M+&#10;H1wrjtiHxpOGyViBQCq9bajSsHl/HqUgQjRkTesJNfxggHlxeZGbzPoTrfC4jpXgEgqZ0VDH2GVS&#10;hrJGZ8LYd0i8+/K9M5HHvpK2Nycud61MlJpJZxriC7Xp8LHG8nt9cBqWm7dZv39dbadP225BLx/+&#10;1u8/tb6+GhYPICIO8Q+Gsz6rQ8FOO38gG0SrYZTc3DPKYZKkdyDOyFQlIHYcUgWyyOX/H4pfAAAA&#10;//8DAFBLAQItABQABgAIAAAAIQC2gziS/gAAAOEBAAATAAAAAAAAAAAAAAAAAAAAAABbQ29udGVu&#10;dF9UeXBlc10ueG1sUEsBAi0AFAAGAAgAAAAhADj9If/WAAAAlAEAAAsAAAAAAAAAAAAAAAAALwEA&#10;AF9yZWxzLy5yZWxzUEsBAi0AFAAGAAgAAAAhAJosk+HzAQAAygMAAA4AAAAAAAAAAAAAAAAALgIA&#10;AGRycy9lMm9Eb2MueG1sUEsBAi0AFAAGAAgAAAAhAEN3uoHiAAAACwEAAA8AAAAAAAAAAAAAAAAA&#10;TQQAAGRycy9kb3ducmV2LnhtbFBLBQYAAAAABAAEAPMAAABcBQAAAAA=&#10;" stroked="f" strokecolor="white">
                <v:textbox>
                  <w:txbxContent>
                    <w:p w14:paraId="5BFAFEB5" w14:textId="77777777" w:rsidR="00B9085A" w:rsidRPr="003A7956" w:rsidRDefault="00B9085A" w:rsidP="004C3423">
                      <w:pPr>
                        <w:spacing w:after="0"/>
                        <w:ind w:firstLine="0"/>
                        <w:jc w:val="center"/>
                        <w:rPr>
                          <w:sz w:val="18"/>
                          <w:szCs w:val="18"/>
                          <w:lang w:val="es-ES"/>
                        </w:rPr>
                      </w:pPr>
                      <w:r w:rsidRPr="003A7956">
                        <w:rPr>
                          <w:sz w:val="18"/>
                          <w:szCs w:val="18"/>
                          <w:lang w:val="es-ES"/>
                        </w:rPr>
                        <w:t>CAMARA DE</w:t>
                      </w:r>
                    </w:p>
                    <w:p w14:paraId="470A4450" w14:textId="77777777" w:rsidR="00B9085A" w:rsidRPr="003A7956" w:rsidRDefault="00B9085A" w:rsidP="004C3423">
                      <w:pPr>
                        <w:spacing w:after="0"/>
                        <w:ind w:firstLine="0"/>
                        <w:jc w:val="center"/>
                        <w:rPr>
                          <w:sz w:val="18"/>
                          <w:szCs w:val="18"/>
                          <w:lang w:val="es-ES"/>
                        </w:rPr>
                      </w:pPr>
                      <w:r w:rsidRPr="003A7956">
                        <w:rPr>
                          <w:sz w:val="18"/>
                          <w:szCs w:val="18"/>
                          <w:lang w:val="es-ES"/>
                        </w:rPr>
                        <w:t>COMPTOS</w:t>
                      </w:r>
                    </w:p>
                    <w:p w14:paraId="6FEB93BE" w14:textId="77777777" w:rsidR="00B9085A" w:rsidRPr="003A7956" w:rsidRDefault="00B9085A" w:rsidP="004C3423">
                      <w:pPr>
                        <w:spacing w:after="0"/>
                        <w:ind w:firstLine="0"/>
                        <w:jc w:val="center"/>
                        <w:rPr>
                          <w:sz w:val="18"/>
                          <w:szCs w:val="18"/>
                          <w:lang w:val="es-ES"/>
                        </w:rPr>
                      </w:pPr>
                      <w:r w:rsidRPr="003A7956">
                        <w:rPr>
                          <w:sz w:val="18"/>
                          <w:szCs w:val="18"/>
                          <w:lang w:val="es-ES"/>
                        </w:rPr>
                        <w:t>DE NAVARRA</w:t>
                      </w:r>
                    </w:p>
                    <w:p w14:paraId="3B8FC254" w14:textId="77777777" w:rsidR="00B9085A" w:rsidRPr="003A7956" w:rsidRDefault="00B9085A" w:rsidP="004C3423">
                      <w:pPr>
                        <w:spacing w:after="0"/>
                        <w:ind w:firstLine="0"/>
                        <w:jc w:val="center"/>
                        <w:rPr>
                          <w:color w:val="808080"/>
                          <w:sz w:val="18"/>
                          <w:szCs w:val="18"/>
                          <w:lang w:val="es-ES"/>
                        </w:rPr>
                      </w:pPr>
                      <w:r w:rsidRPr="003A7956">
                        <w:rPr>
                          <w:color w:val="808080"/>
                          <w:sz w:val="18"/>
                          <w:szCs w:val="18"/>
                          <w:lang w:val="es-ES"/>
                        </w:rPr>
                        <w:t>NAFARROAKO</w:t>
                      </w:r>
                    </w:p>
                    <w:p w14:paraId="151EF659" w14:textId="77777777" w:rsidR="00B9085A" w:rsidRPr="003A7956" w:rsidRDefault="00B9085A" w:rsidP="004C3423">
                      <w:pPr>
                        <w:spacing w:after="0"/>
                        <w:ind w:firstLine="0"/>
                        <w:jc w:val="center"/>
                        <w:rPr>
                          <w:color w:val="808080"/>
                          <w:sz w:val="18"/>
                          <w:szCs w:val="18"/>
                          <w:lang w:val="es-ES"/>
                        </w:rPr>
                      </w:pPr>
                      <w:r w:rsidRPr="003A7956">
                        <w:rPr>
                          <w:color w:val="808080"/>
                          <w:sz w:val="18"/>
                          <w:szCs w:val="18"/>
                          <w:lang w:val="es-ES"/>
                        </w:rPr>
                        <w:t>KONTUEN</w:t>
                      </w:r>
                    </w:p>
                    <w:p w14:paraId="5FDD6209" w14:textId="77777777" w:rsidR="00B9085A" w:rsidRPr="003A7956" w:rsidRDefault="00B9085A" w:rsidP="004C3423">
                      <w:pPr>
                        <w:spacing w:after="0"/>
                        <w:ind w:firstLine="0"/>
                        <w:jc w:val="center"/>
                        <w:rPr>
                          <w:color w:val="808080"/>
                          <w:sz w:val="18"/>
                          <w:szCs w:val="18"/>
                          <w:lang w:val="es-ES"/>
                        </w:rPr>
                      </w:pPr>
                      <w:r w:rsidRPr="003A7956">
                        <w:rPr>
                          <w:color w:val="808080"/>
                          <w:sz w:val="18"/>
                          <w:szCs w:val="18"/>
                          <w:lang w:val="es-ES"/>
                        </w:rPr>
                        <w:t>GANBERA</w:t>
                      </w:r>
                    </w:p>
                    <w:p w14:paraId="4B06EBD4" w14:textId="77777777" w:rsidR="00B9085A" w:rsidRPr="002C7026" w:rsidRDefault="00B9085A" w:rsidP="002C7026">
                      <w:pPr>
                        <w:spacing w:after="0"/>
                        <w:ind w:firstLine="0"/>
                        <w:jc w:val="center"/>
                        <w:rPr>
                          <w:rFonts w:ascii="Trajan" w:hAnsi="Trajan"/>
                          <w:color w:val="808080"/>
                          <w:sz w:val="18"/>
                          <w:szCs w:val="18"/>
                          <w:lang w:val="es-ES"/>
                        </w:rPr>
                      </w:pPr>
                    </w:p>
                  </w:txbxContent>
                </v:textbox>
              </v:shape>
            </w:pict>
          </mc:Fallback>
        </mc:AlternateContent>
      </w:r>
      <w:r w:rsidR="00C13453" w:rsidRPr="00A8137F">
        <w:t>l</w:t>
      </w:r>
    </w:p>
    <w:p w14:paraId="7EB30D07" w14:textId="77777777" w:rsidR="0085380F" w:rsidRPr="009B0993" w:rsidRDefault="0085380F" w:rsidP="0085380F">
      <w:pPr>
        <w:pStyle w:val="EstiloPortada"/>
        <w:spacing w:after="320"/>
        <w:ind w:left="4111" w:right="-57" w:hanging="284"/>
        <w:rPr>
          <w:color w:val="000000" w:themeColor="text1"/>
          <w:sz w:val="30"/>
          <w:szCs w:val="30"/>
        </w:rPr>
      </w:pPr>
    </w:p>
    <w:p w14:paraId="3607B2DD" w14:textId="77777777" w:rsidR="0085380F" w:rsidRPr="00B81E61" w:rsidRDefault="0085380F" w:rsidP="0085380F">
      <w:pPr>
        <w:pStyle w:val="EstiloPortada"/>
        <w:ind w:left="3780"/>
        <w:rPr>
          <w:color w:val="000000" w:themeColor="text1"/>
        </w:rPr>
      </w:pPr>
      <w:r w:rsidRPr="00B81E61">
        <w:rPr>
          <w:color w:val="000000" w:themeColor="text1"/>
        </w:rPr>
        <w:t xml:space="preserve">Sector público local </w:t>
      </w:r>
    </w:p>
    <w:p w14:paraId="6065A2B9" w14:textId="77777777" w:rsidR="0085380F" w:rsidRPr="00B81E61" w:rsidRDefault="0085380F" w:rsidP="0085380F">
      <w:pPr>
        <w:pStyle w:val="EstiloPortada"/>
        <w:ind w:left="3780"/>
        <w:rPr>
          <w:color w:val="000000" w:themeColor="text1"/>
        </w:rPr>
      </w:pPr>
      <w:r w:rsidRPr="00B81E61">
        <w:rPr>
          <w:color w:val="000000" w:themeColor="text1"/>
        </w:rPr>
        <w:t>de Navarra, 201</w:t>
      </w:r>
      <w:r>
        <w:rPr>
          <w:color w:val="000000" w:themeColor="text1"/>
        </w:rPr>
        <w:t>9</w:t>
      </w:r>
    </w:p>
    <w:p w14:paraId="36207643" w14:textId="77777777" w:rsidR="001C3A32" w:rsidRPr="00204979" w:rsidRDefault="001C3A32" w:rsidP="00891D73">
      <w:pPr>
        <w:pStyle w:val="texto"/>
      </w:pPr>
    </w:p>
    <w:p w14:paraId="1665C721" w14:textId="77777777" w:rsidR="001C3A32" w:rsidRPr="00204979" w:rsidRDefault="001C3A32" w:rsidP="00891D73">
      <w:pPr>
        <w:pStyle w:val="texto"/>
      </w:pPr>
    </w:p>
    <w:p w14:paraId="5994E7D9" w14:textId="77777777" w:rsidR="002F2530" w:rsidRPr="00204979" w:rsidRDefault="002F2530" w:rsidP="00891D73">
      <w:pPr>
        <w:pStyle w:val="texto"/>
      </w:pPr>
    </w:p>
    <w:p w14:paraId="408F45C6" w14:textId="77777777" w:rsidR="002F2530" w:rsidRPr="00204979" w:rsidRDefault="002F2530" w:rsidP="00891D73">
      <w:pPr>
        <w:pStyle w:val="texto"/>
      </w:pPr>
    </w:p>
    <w:p w14:paraId="5374A3E1" w14:textId="77777777" w:rsidR="001C3A32" w:rsidRPr="00204979" w:rsidRDefault="001C3A32" w:rsidP="00891D73">
      <w:pPr>
        <w:pStyle w:val="texto"/>
      </w:pPr>
    </w:p>
    <w:p w14:paraId="3CBFDE9B" w14:textId="77777777" w:rsidR="001C3A32" w:rsidRPr="00204979" w:rsidRDefault="001C3A32" w:rsidP="00891D73">
      <w:pPr>
        <w:pStyle w:val="texto"/>
      </w:pPr>
    </w:p>
    <w:p w14:paraId="27CBC16B" w14:textId="77777777" w:rsidR="001C3A32" w:rsidRPr="00204979" w:rsidRDefault="001C3A32" w:rsidP="00891D73">
      <w:pPr>
        <w:pStyle w:val="texto"/>
      </w:pPr>
    </w:p>
    <w:p w14:paraId="4EC7E8EE" w14:textId="77777777" w:rsidR="001C3A32" w:rsidRPr="00204979" w:rsidRDefault="001C3A32" w:rsidP="00891D73">
      <w:pPr>
        <w:pStyle w:val="texto"/>
      </w:pPr>
    </w:p>
    <w:p w14:paraId="663FE21A" w14:textId="77777777" w:rsidR="001C3A32" w:rsidRPr="00204979" w:rsidRDefault="001C3A32" w:rsidP="00891D73">
      <w:pPr>
        <w:pStyle w:val="texto"/>
      </w:pPr>
    </w:p>
    <w:p w14:paraId="3BD1F203" w14:textId="77777777" w:rsidR="001C3A32" w:rsidRPr="00204979" w:rsidRDefault="001C3A32" w:rsidP="00891D73">
      <w:pPr>
        <w:pStyle w:val="texto"/>
      </w:pPr>
    </w:p>
    <w:p w14:paraId="003E2C85" w14:textId="77777777" w:rsidR="001C3A32" w:rsidRPr="00204979" w:rsidRDefault="001C3A32" w:rsidP="00891D73">
      <w:pPr>
        <w:pStyle w:val="texto"/>
      </w:pPr>
    </w:p>
    <w:p w14:paraId="6C3E8C1B" w14:textId="77777777" w:rsidR="001C3A32" w:rsidRPr="00204979" w:rsidRDefault="001C3A32" w:rsidP="00891D73">
      <w:pPr>
        <w:pStyle w:val="texto"/>
      </w:pPr>
    </w:p>
    <w:p w14:paraId="3691E4F1" w14:textId="77777777" w:rsidR="001C3A32" w:rsidRPr="00204979" w:rsidRDefault="001C3A32" w:rsidP="00891D73">
      <w:pPr>
        <w:pStyle w:val="texto"/>
      </w:pPr>
    </w:p>
    <w:p w14:paraId="1608C074" w14:textId="77777777" w:rsidR="001C3A32" w:rsidRPr="00204979" w:rsidRDefault="001C3A32" w:rsidP="00891D73">
      <w:pPr>
        <w:pStyle w:val="texto"/>
      </w:pPr>
    </w:p>
    <w:p w14:paraId="68CBDFE1" w14:textId="77777777" w:rsidR="001C3A32" w:rsidRPr="00204979" w:rsidRDefault="001C3A32" w:rsidP="00891D73">
      <w:pPr>
        <w:pStyle w:val="texto"/>
      </w:pPr>
    </w:p>
    <w:p w14:paraId="7058AE5A" w14:textId="77777777" w:rsidR="001C3A32" w:rsidRPr="00204979" w:rsidRDefault="001C3A32" w:rsidP="00891D73">
      <w:pPr>
        <w:pStyle w:val="texto"/>
      </w:pPr>
    </w:p>
    <w:p w14:paraId="152596F4" w14:textId="77777777" w:rsidR="001C3A32" w:rsidRPr="00204979" w:rsidRDefault="001C3A32" w:rsidP="00891D73">
      <w:pPr>
        <w:pStyle w:val="texto"/>
      </w:pPr>
    </w:p>
    <w:p w14:paraId="5E1CC39D" w14:textId="77777777" w:rsidR="001C3A32" w:rsidRPr="00204979" w:rsidRDefault="001C3A32" w:rsidP="00891D73">
      <w:pPr>
        <w:pStyle w:val="texto"/>
      </w:pPr>
    </w:p>
    <w:p w14:paraId="108947FD" w14:textId="77777777" w:rsidR="00844F74" w:rsidRPr="00204979" w:rsidRDefault="00844F74" w:rsidP="00891D73">
      <w:pPr>
        <w:pStyle w:val="texto"/>
      </w:pPr>
    </w:p>
    <w:p w14:paraId="7D9B623D" w14:textId="77777777" w:rsidR="00844F74" w:rsidRPr="00204979" w:rsidRDefault="00844F74" w:rsidP="00891D73">
      <w:pPr>
        <w:pStyle w:val="texto"/>
      </w:pPr>
    </w:p>
    <w:p w14:paraId="4D14BA3E" w14:textId="77777777" w:rsidR="009B0993" w:rsidRDefault="009B0993" w:rsidP="009936FC">
      <w:pPr>
        <w:pStyle w:val="Fechaportada"/>
      </w:pPr>
    </w:p>
    <w:p w14:paraId="2F39AE92" w14:textId="77777777" w:rsidR="00716463" w:rsidRPr="001D4F09" w:rsidRDefault="0085380F" w:rsidP="009936FC">
      <w:pPr>
        <w:pStyle w:val="Fechaportada"/>
      </w:pPr>
      <w:r>
        <w:t>Diciembre</w:t>
      </w:r>
      <w:r w:rsidR="00253E78" w:rsidRPr="001D4F09">
        <w:t xml:space="preserve"> de 20</w:t>
      </w:r>
      <w:r>
        <w:t>21</w:t>
      </w:r>
    </w:p>
    <w:p w14:paraId="52EAECE8"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198F6044" w14:textId="77777777" w:rsidR="0085380F" w:rsidRPr="00783F1C" w:rsidRDefault="0085380F" w:rsidP="0085380F">
      <w:pPr>
        <w:pStyle w:val="ndice"/>
        <w:rPr>
          <w:color w:val="auto"/>
        </w:rPr>
      </w:pPr>
      <w:r w:rsidRPr="00783F1C">
        <w:rPr>
          <w:color w:val="auto"/>
        </w:rPr>
        <w:lastRenderedPageBreak/>
        <w:t>Índice</w:t>
      </w:r>
    </w:p>
    <w:p w14:paraId="2C6CDE55" w14:textId="77777777" w:rsidR="0085380F" w:rsidRPr="00783F1C" w:rsidRDefault="0085380F" w:rsidP="0085380F">
      <w:pPr>
        <w:pStyle w:val="ndice"/>
        <w:ind w:right="-156"/>
        <w:jc w:val="right"/>
        <w:rPr>
          <w:b w:val="0"/>
          <w:i/>
          <w:color w:val="auto"/>
          <w:sz w:val="16"/>
          <w:szCs w:val="16"/>
        </w:rPr>
      </w:pPr>
      <w:r w:rsidRPr="00783F1C">
        <w:rPr>
          <w:b w:val="0"/>
          <w:i/>
          <w:color w:val="auto"/>
          <w:sz w:val="16"/>
          <w:szCs w:val="16"/>
        </w:rPr>
        <w:t>Página</w:t>
      </w:r>
    </w:p>
    <w:p w14:paraId="679A1D3F" w14:textId="77777777" w:rsidR="002B5581" w:rsidRDefault="0085380F">
      <w:pPr>
        <w:pStyle w:val="TDC1"/>
        <w:rPr>
          <w:rFonts w:asciiTheme="minorHAnsi" w:eastAsiaTheme="minorEastAsia" w:hAnsiTheme="minorHAnsi" w:cstheme="minorBidi"/>
          <w:smallCaps w:val="0"/>
          <w:noProof/>
          <w:szCs w:val="22"/>
          <w:lang w:val="es-ES" w:eastAsia="es-ES"/>
        </w:rPr>
      </w:pPr>
      <w:r w:rsidRPr="00783F1C">
        <w:fldChar w:fldCharType="begin"/>
      </w:r>
      <w:r w:rsidRPr="00783F1C">
        <w:instrText xml:space="preserve"> TOC \o "1-3" \h \z \t "atitulo1;1;atitulo2;2" </w:instrText>
      </w:r>
      <w:r w:rsidRPr="00783F1C">
        <w:fldChar w:fldCharType="separate"/>
      </w:r>
      <w:hyperlink w:anchor="_Toc90969139" w:history="1">
        <w:r w:rsidR="002B5581" w:rsidRPr="002D0A86">
          <w:rPr>
            <w:rStyle w:val="Hipervnculo"/>
            <w:noProof/>
          </w:rPr>
          <w:t>I. Introducción</w:t>
        </w:r>
        <w:r w:rsidR="002B5581">
          <w:rPr>
            <w:noProof/>
            <w:webHidden/>
          </w:rPr>
          <w:tab/>
        </w:r>
        <w:r w:rsidR="002B5581">
          <w:rPr>
            <w:noProof/>
            <w:webHidden/>
          </w:rPr>
          <w:fldChar w:fldCharType="begin"/>
        </w:r>
        <w:r w:rsidR="002B5581">
          <w:rPr>
            <w:noProof/>
            <w:webHidden/>
          </w:rPr>
          <w:instrText xml:space="preserve"> PAGEREF _Toc90969139 \h </w:instrText>
        </w:r>
        <w:r w:rsidR="002B5581">
          <w:rPr>
            <w:noProof/>
            <w:webHidden/>
          </w:rPr>
        </w:r>
        <w:r w:rsidR="002B5581">
          <w:rPr>
            <w:noProof/>
            <w:webHidden/>
          </w:rPr>
          <w:fldChar w:fldCharType="separate"/>
        </w:r>
        <w:r w:rsidR="002B5581">
          <w:rPr>
            <w:noProof/>
            <w:webHidden/>
          </w:rPr>
          <w:t>3</w:t>
        </w:r>
        <w:r w:rsidR="002B5581">
          <w:rPr>
            <w:noProof/>
            <w:webHidden/>
          </w:rPr>
          <w:fldChar w:fldCharType="end"/>
        </w:r>
      </w:hyperlink>
    </w:p>
    <w:p w14:paraId="1E60E6D6" w14:textId="77777777" w:rsidR="002B5581" w:rsidRDefault="000A253F">
      <w:pPr>
        <w:pStyle w:val="TDC1"/>
        <w:rPr>
          <w:rFonts w:asciiTheme="minorHAnsi" w:eastAsiaTheme="minorEastAsia" w:hAnsiTheme="minorHAnsi" w:cstheme="minorBidi"/>
          <w:smallCaps w:val="0"/>
          <w:noProof/>
          <w:szCs w:val="22"/>
          <w:lang w:val="es-ES" w:eastAsia="es-ES"/>
        </w:rPr>
      </w:pPr>
      <w:hyperlink w:anchor="_Toc90969140" w:history="1">
        <w:r w:rsidR="002B5581" w:rsidRPr="002D0A86">
          <w:rPr>
            <w:rStyle w:val="Hipervnculo"/>
            <w:noProof/>
          </w:rPr>
          <w:t>II. Estructura organizativa y normativa del sector público local</w:t>
        </w:r>
        <w:r w:rsidR="002B5581">
          <w:rPr>
            <w:noProof/>
            <w:webHidden/>
          </w:rPr>
          <w:tab/>
        </w:r>
        <w:r w:rsidR="002B5581">
          <w:rPr>
            <w:noProof/>
            <w:webHidden/>
          </w:rPr>
          <w:fldChar w:fldCharType="begin"/>
        </w:r>
        <w:r w:rsidR="002B5581">
          <w:rPr>
            <w:noProof/>
            <w:webHidden/>
          </w:rPr>
          <w:instrText xml:space="preserve"> PAGEREF _Toc90969140 \h </w:instrText>
        </w:r>
        <w:r w:rsidR="002B5581">
          <w:rPr>
            <w:noProof/>
            <w:webHidden/>
          </w:rPr>
        </w:r>
        <w:r w:rsidR="002B5581">
          <w:rPr>
            <w:noProof/>
            <w:webHidden/>
          </w:rPr>
          <w:fldChar w:fldCharType="separate"/>
        </w:r>
        <w:r w:rsidR="002B5581">
          <w:rPr>
            <w:noProof/>
            <w:webHidden/>
          </w:rPr>
          <w:t>4</w:t>
        </w:r>
        <w:r w:rsidR="002B5581">
          <w:rPr>
            <w:noProof/>
            <w:webHidden/>
          </w:rPr>
          <w:fldChar w:fldCharType="end"/>
        </w:r>
      </w:hyperlink>
    </w:p>
    <w:p w14:paraId="06845745" w14:textId="77777777" w:rsidR="002B5581" w:rsidRDefault="000A253F">
      <w:pPr>
        <w:pStyle w:val="TDC2"/>
        <w:rPr>
          <w:rFonts w:asciiTheme="minorHAnsi" w:eastAsiaTheme="minorEastAsia" w:hAnsiTheme="minorHAnsi" w:cstheme="minorBidi"/>
          <w:noProof/>
          <w:szCs w:val="22"/>
          <w:lang w:val="es-ES" w:eastAsia="es-ES"/>
        </w:rPr>
      </w:pPr>
      <w:hyperlink w:anchor="_Toc90969141" w:history="1">
        <w:r w:rsidR="002B5581" w:rsidRPr="002D0A86">
          <w:rPr>
            <w:rStyle w:val="Hipervnculo"/>
            <w:noProof/>
          </w:rPr>
          <w:t>II.1. Estructura organizativa</w:t>
        </w:r>
        <w:r w:rsidR="002B5581">
          <w:rPr>
            <w:noProof/>
            <w:webHidden/>
          </w:rPr>
          <w:tab/>
        </w:r>
        <w:r w:rsidR="002B5581">
          <w:rPr>
            <w:noProof/>
            <w:webHidden/>
          </w:rPr>
          <w:fldChar w:fldCharType="begin"/>
        </w:r>
        <w:r w:rsidR="002B5581">
          <w:rPr>
            <w:noProof/>
            <w:webHidden/>
          </w:rPr>
          <w:instrText xml:space="preserve"> PAGEREF _Toc90969141 \h </w:instrText>
        </w:r>
        <w:r w:rsidR="002B5581">
          <w:rPr>
            <w:noProof/>
            <w:webHidden/>
          </w:rPr>
        </w:r>
        <w:r w:rsidR="002B5581">
          <w:rPr>
            <w:noProof/>
            <w:webHidden/>
          </w:rPr>
          <w:fldChar w:fldCharType="separate"/>
        </w:r>
        <w:r w:rsidR="002B5581">
          <w:rPr>
            <w:noProof/>
            <w:webHidden/>
          </w:rPr>
          <w:t>4</w:t>
        </w:r>
        <w:r w:rsidR="002B5581">
          <w:rPr>
            <w:noProof/>
            <w:webHidden/>
          </w:rPr>
          <w:fldChar w:fldCharType="end"/>
        </w:r>
      </w:hyperlink>
    </w:p>
    <w:p w14:paraId="1E149609" w14:textId="77777777" w:rsidR="002B5581" w:rsidRDefault="000A253F">
      <w:pPr>
        <w:pStyle w:val="TDC2"/>
        <w:rPr>
          <w:rFonts w:asciiTheme="minorHAnsi" w:eastAsiaTheme="minorEastAsia" w:hAnsiTheme="minorHAnsi" w:cstheme="minorBidi"/>
          <w:noProof/>
          <w:szCs w:val="22"/>
          <w:lang w:val="es-ES" w:eastAsia="es-ES"/>
        </w:rPr>
      </w:pPr>
      <w:hyperlink w:anchor="_Toc90969142" w:history="1">
        <w:r w:rsidR="002B5581" w:rsidRPr="002D0A86">
          <w:rPr>
            <w:rStyle w:val="Hipervnculo"/>
            <w:noProof/>
          </w:rPr>
          <w:t>II.2. Medidas legislativas planteadas para la racionalización del sector público local</w:t>
        </w:r>
        <w:r w:rsidR="002B5581">
          <w:rPr>
            <w:noProof/>
            <w:webHidden/>
          </w:rPr>
          <w:tab/>
        </w:r>
        <w:r w:rsidR="002B5581">
          <w:rPr>
            <w:noProof/>
            <w:webHidden/>
          </w:rPr>
          <w:fldChar w:fldCharType="begin"/>
        </w:r>
        <w:r w:rsidR="002B5581">
          <w:rPr>
            <w:noProof/>
            <w:webHidden/>
          </w:rPr>
          <w:instrText xml:space="preserve"> PAGEREF _Toc90969142 \h </w:instrText>
        </w:r>
        <w:r w:rsidR="002B5581">
          <w:rPr>
            <w:noProof/>
            <w:webHidden/>
          </w:rPr>
        </w:r>
        <w:r w:rsidR="002B5581">
          <w:rPr>
            <w:noProof/>
            <w:webHidden/>
          </w:rPr>
          <w:fldChar w:fldCharType="separate"/>
        </w:r>
        <w:r w:rsidR="002B5581">
          <w:rPr>
            <w:noProof/>
            <w:webHidden/>
          </w:rPr>
          <w:t>7</w:t>
        </w:r>
        <w:r w:rsidR="002B5581">
          <w:rPr>
            <w:noProof/>
            <w:webHidden/>
          </w:rPr>
          <w:fldChar w:fldCharType="end"/>
        </w:r>
      </w:hyperlink>
    </w:p>
    <w:p w14:paraId="16CC91F1" w14:textId="77777777" w:rsidR="002B5581" w:rsidRDefault="000A253F">
      <w:pPr>
        <w:pStyle w:val="TDC2"/>
        <w:rPr>
          <w:rFonts w:asciiTheme="minorHAnsi" w:eastAsiaTheme="minorEastAsia" w:hAnsiTheme="minorHAnsi" w:cstheme="minorBidi"/>
          <w:noProof/>
          <w:szCs w:val="22"/>
          <w:lang w:val="es-ES" w:eastAsia="es-ES"/>
        </w:rPr>
      </w:pPr>
      <w:hyperlink w:anchor="_Toc90969143" w:history="1">
        <w:r w:rsidR="002B5581" w:rsidRPr="002D0A86">
          <w:rPr>
            <w:rStyle w:val="Hipervnculo"/>
            <w:noProof/>
          </w:rPr>
          <w:t>II.3. Normativa aprobada en 2019</w:t>
        </w:r>
        <w:r w:rsidR="002B5581">
          <w:rPr>
            <w:noProof/>
            <w:webHidden/>
          </w:rPr>
          <w:tab/>
        </w:r>
        <w:r w:rsidR="002B5581">
          <w:rPr>
            <w:noProof/>
            <w:webHidden/>
          </w:rPr>
          <w:fldChar w:fldCharType="begin"/>
        </w:r>
        <w:r w:rsidR="002B5581">
          <w:rPr>
            <w:noProof/>
            <w:webHidden/>
          </w:rPr>
          <w:instrText xml:space="preserve"> PAGEREF _Toc90969143 \h </w:instrText>
        </w:r>
        <w:r w:rsidR="002B5581">
          <w:rPr>
            <w:noProof/>
            <w:webHidden/>
          </w:rPr>
        </w:r>
        <w:r w:rsidR="002B5581">
          <w:rPr>
            <w:noProof/>
            <w:webHidden/>
          </w:rPr>
          <w:fldChar w:fldCharType="separate"/>
        </w:r>
        <w:r w:rsidR="002B5581">
          <w:rPr>
            <w:noProof/>
            <w:webHidden/>
          </w:rPr>
          <w:t>7</w:t>
        </w:r>
        <w:r w:rsidR="002B5581">
          <w:rPr>
            <w:noProof/>
            <w:webHidden/>
          </w:rPr>
          <w:fldChar w:fldCharType="end"/>
        </w:r>
      </w:hyperlink>
    </w:p>
    <w:p w14:paraId="410786A5" w14:textId="77777777" w:rsidR="002B5581" w:rsidRDefault="000A253F">
      <w:pPr>
        <w:pStyle w:val="TDC1"/>
        <w:rPr>
          <w:rFonts w:asciiTheme="minorHAnsi" w:eastAsiaTheme="minorEastAsia" w:hAnsiTheme="minorHAnsi" w:cstheme="minorBidi"/>
          <w:smallCaps w:val="0"/>
          <w:noProof/>
          <w:szCs w:val="22"/>
          <w:lang w:val="es-ES" w:eastAsia="es-ES"/>
        </w:rPr>
      </w:pPr>
      <w:hyperlink w:anchor="_Toc90969144" w:history="1">
        <w:r w:rsidR="002B5581" w:rsidRPr="002D0A86">
          <w:rPr>
            <w:rStyle w:val="Hipervnculo"/>
            <w:noProof/>
          </w:rPr>
          <w:t>III. Objetivo, alcance y limitaciones</w:t>
        </w:r>
        <w:r w:rsidR="002B5581">
          <w:rPr>
            <w:noProof/>
            <w:webHidden/>
          </w:rPr>
          <w:tab/>
        </w:r>
        <w:r w:rsidR="002B5581">
          <w:rPr>
            <w:noProof/>
            <w:webHidden/>
          </w:rPr>
          <w:fldChar w:fldCharType="begin"/>
        </w:r>
        <w:r w:rsidR="002B5581">
          <w:rPr>
            <w:noProof/>
            <w:webHidden/>
          </w:rPr>
          <w:instrText xml:space="preserve"> PAGEREF _Toc90969144 \h </w:instrText>
        </w:r>
        <w:r w:rsidR="002B5581">
          <w:rPr>
            <w:noProof/>
            <w:webHidden/>
          </w:rPr>
        </w:r>
        <w:r w:rsidR="002B5581">
          <w:rPr>
            <w:noProof/>
            <w:webHidden/>
          </w:rPr>
          <w:fldChar w:fldCharType="separate"/>
        </w:r>
        <w:r w:rsidR="002B5581">
          <w:rPr>
            <w:noProof/>
            <w:webHidden/>
          </w:rPr>
          <w:t>9</w:t>
        </w:r>
        <w:r w:rsidR="002B5581">
          <w:rPr>
            <w:noProof/>
            <w:webHidden/>
          </w:rPr>
          <w:fldChar w:fldCharType="end"/>
        </w:r>
      </w:hyperlink>
    </w:p>
    <w:p w14:paraId="58C53557" w14:textId="77777777" w:rsidR="002B5581" w:rsidRDefault="000A253F">
      <w:pPr>
        <w:pStyle w:val="TDC1"/>
        <w:rPr>
          <w:rFonts w:asciiTheme="minorHAnsi" w:eastAsiaTheme="minorEastAsia" w:hAnsiTheme="minorHAnsi" w:cstheme="minorBidi"/>
          <w:smallCaps w:val="0"/>
          <w:noProof/>
          <w:szCs w:val="22"/>
          <w:lang w:val="es-ES" w:eastAsia="es-ES"/>
        </w:rPr>
      </w:pPr>
      <w:hyperlink w:anchor="_Toc90969145" w:history="1">
        <w:r w:rsidR="002B5581" w:rsidRPr="002D0A86">
          <w:rPr>
            <w:rStyle w:val="Hipervnculo"/>
            <w:noProof/>
          </w:rPr>
          <w:t>IV. Memoria-resumen de las actuaciones de fiscalización de entes locales</w:t>
        </w:r>
        <w:r w:rsidR="002B5581">
          <w:rPr>
            <w:noProof/>
            <w:webHidden/>
          </w:rPr>
          <w:tab/>
        </w:r>
        <w:r w:rsidR="002B5581">
          <w:rPr>
            <w:noProof/>
            <w:webHidden/>
          </w:rPr>
          <w:fldChar w:fldCharType="begin"/>
        </w:r>
        <w:r w:rsidR="002B5581">
          <w:rPr>
            <w:noProof/>
            <w:webHidden/>
          </w:rPr>
          <w:instrText xml:space="preserve"> PAGEREF _Toc90969145 \h </w:instrText>
        </w:r>
        <w:r w:rsidR="002B5581">
          <w:rPr>
            <w:noProof/>
            <w:webHidden/>
          </w:rPr>
        </w:r>
        <w:r w:rsidR="002B5581">
          <w:rPr>
            <w:noProof/>
            <w:webHidden/>
          </w:rPr>
          <w:fldChar w:fldCharType="separate"/>
        </w:r>
        <w:r w:rsidR="002B5581">
          <w:rPr>
            <w:noProof/>
            <w:webHidden/>
          </w:rPr>
          <w:t>11</w:t>
        </w:r>
        <w:r w:rsidR="002B5581">
          <w:rPr>
            <w:noProof/>
            <w:webHidden/>
          </w:rPr>
          <w:fldChar w:fldCharType="end"/>
        </w:r>
      </w:hyperlink>
    </w:p>
    <w:p w14:paraId="209C3CCC" w14:textId="77777777" w:rsidR="002B5581" w:rsidRDefault="000A253F">
      <w:pPr>
        <w:pStyle w:val="TDC1"/>
        <w:rPr>
          <w:rFonts w:asciiTheme="minorHAnsi" w:eastAsiaTheme="minorEastAsia" w:hAnsiTheme="minorHAnsi" w:cstheme="minorBidi"/>
          <w:smallCaps w:val="0"/>
          <w:noProof/>
          <w:szCs w:val="22"/>
          <w:lang w:val="es-ES" w:eastAsia="es-ES"/>
        </w:rPr>
      </w:pPr>
      <w:hyperlink w:anchor="_Toc90969146" w:history="1">
        <w:r w:rsidR="002B5581" w:rsidRPr="002D0A86">
          <w:rPr>
            <w:rStyle w:val="Hipervnculo"/>
            <w:noProof/>
          </w:rPr>
          <w:t>V. Situación financiera del sector público local</w:t>
        </w:r>
        <w:r w:rsidR="002B5581">
          <w:rPr>
            <w:noProof/>
            <w:webHidden/>
          </w:rPr>
          <w:tab/>
        </w:r>
        <w:r w:rsidR="002B5581">
          <w:rPr>
            <w:noProof/>
            <w:webHidden/>
          </w:rPr>
          <w:fldChar w:fldCharType="begin"/>
        </w:r>
        <w:r w:rsidR="002B5581">
          <w:rPr>
            <w:noProof/>
            <w:webHidden/>
          </w:rPr>
          <w:instrText xml:space="preserve"> PAGEREF _Toc90969146 \h </w:instrText>
        </w:r>
        <w:r w:rsidR="002B5581">
          <w:rPr>
            <w:noProof/>
            <w:webHidden/>
          </w:rPr>
        </w:r>
        <w:r w:rsidR="002B5581">
          <w:rPr>
            <w:noProof/>
            <w:webHidden/>
          </w:rPr>
          <w:fldChar w:fldCharType="separate"/>
        </w:r>
        <w:r w:rsidR="002B5581">
          <w:rPr>
            <w:noProof/>
            <w:webHidden/>
          </w:rPr>
          <w:t>15</w:t>
        </w:r>
        <w:r w:rsidR="002B5581">
          <w:rPr>
            <w:noProof/>
            <w:webHidden/>
          </w:rPr>
          <w:fldChar w:fldCharType="end"/>
        </w:r>
      </w:hyperlink>
    </w:p>
    <w:p w14:paraId="24D5310F" w14:textId="77777777" w:rsidR="002B5581" w:rsidRDefault="000A253F">
      <w:pPr>
        <w:pStyle w:val="TDC2"/>
        <w:rPr>
          <w:rFonts w:asciiTheme="minorHAnsi" w:eastAsiaTheme="minorEastAsia" w:hAnsiTheme="minorHAnsi" w:cstheme="minorBidi"/>
          <w:noProof/>
          <w:szCs w:val="22"/>
          <w:lang w:val="es-ES" w:eastAsia="es-ES"/>
        </w:rPr>
      </w:pPr>
      <w:hyperlink w:anchor="_Toc90969147" w:history="1">
        <w:r w:rsidR="002B5581" w:rsidRPr="002D0A86">
          <w:rPr>
            <w:rStyle w:val="Hipervnculo"/>
            <w:noProof/>
          </w:rPr>
          <w:t>V.1. Ingresos</w:t>
        </w:r>
        <w:r w:rsidR="002B5581">
          <w:rPr>
            <w:noProof/>
            <w:webHidden/>
          </w:rPr>
          <w:tab/>
        </w:r>
        <w:r w:rsidR="002B5581">
          <w:rPr>
            <w:noProof/>
            <w:webHidden/>
          </w:rPr>
          <w:fldChar w:fldCharType="begin"/>
        </w:r>
        <w:r w:rsidR="002B5581">
          <w:rPr>
            <w:noProof/>
            <w:webHidden/>
          </w:rPr>
          <w:instrText xml:space="preserve"> PAGEREF _Toc90969147 \h </w:instrText>
        </w:r>
        <w:r w:rsidR="002B5581">
          <w:rPr>
            <w:noProof/>
            <w:webHidden/>
          </w:rPr>
        </w:r>
        <w:r w:rsidR="002B5581">
          <w:rPr>
            <w:noProof/>
            <w:webHidden/>
          </w:rPr>
          <w:fldChar w:fldCharType="separate"/>
        </w:r>
        <w:r w:rsidR="002B5581">
          <w:rPr>
            <w:noProof/>
            <w:webHidden/>
          </w:rPr>
          <w:t>15</w:t>
        </w:r>
        <w:r w:rsidR="002B5581">
          <w:rPr>
            <w:noProof/>
            <w:webHidden/>
          </w:rPr>
          <w:fldChar w:fldCharType="end"/>
        </w:r>
      </w:hyperlink>
    </w:p>
    <w:p w14:paraId="21C7C2D9" w14:textId="77777777" w:rsidR="002B5581" w:rsidRDefault="000A253F">
      <w:pPr>
        <w:pStyle w:val="TDC2"/>
        <w:rPr>
          <w:rFonts w:asciiTheme="minorHAnsi" w:eastAsiaTheme="minorEastAsia" w:hAnsiTheme="minorHAnsi" w:cstheme="minorBidi"/>
          <w:noProof/>
          <w:szCs w:val="22"/>
          <w:lang w:val="es-ES" w:eastAsia="es-ES"/>
        </w:rPr>
      </w:pPr>
      <w:hyperlink w:anchor="_Toc90969148" w:history="1">
        <w:r w:rsidR="002B5581" w:rsidRPr="002D0A86">
          <w:rPr>
            <w:rStyle w:val="Hipervnculo"/>
            <w:noProof/>
          </w:rPr>
          <w:t>V.2. Gastos</w:t>
        </w:r>
        <w:r w:rsidR="002B5581">
          <w:rPr>
            <w:noProof/>
            <w:webHidden/>
          </w:rPr>
          <w:tab/>
        </w:r>
        <w:r w:rsidR="002B5581">
          <w:rPr>
            <w:noProof/>
            <w:webHidden/>
          </w:rPr>
          <w:fldChar w:fldCharType="begin"/>
        </w:r>
        <w:r w:rsidR="002B5581">
          <w:rPr>
            <w:noProof/>
            <w:webHidden/>
          </w:rPr>
          <w:instrText xml:space="preserve"> PAGEREF _Toc90969148 \h </w:instrText>
        </w:r>
        <w:r w:rsidR="002B5581">
          <w:rPr>
            <w:noProof/>
            <w:webHidden/>
          </w:rPr>
        </w:r>
        <w:r w:rsidR="002B5581">
          <w:rPr>
            <w:noProof/>
            <w:webHidden/>
          </w:rPr>
          <w:fldChar w:fldCharType="separate"/>
        </w:r>
        <w:r w:rsidR="002B5581">
          <w:rPr>
            <w:noProof/>
            <w:webHidden/>
          </w:rPr>
          <w:t>16</w:t>
        </w:r>
        <w:r w:rsidR="002B5581">
          <w:rPr>
            <w:noProof/>
            <w:webHidden/>
          </w:rPr>
          <w:fldChar w:fldCharType="end"/>
        </w:r>
      </w:hyperlink>
    </w:p>
    <w:p w14:paraId="078AD3BB" w14:textId="77777777" w:rsidR="002B5581" w:rsidRDefault="000A253F">
      <w:pPr>
        <w:pStyle w:val="TDC2"/>
        <w:rPr>
          <w:rFonts w:asciiTheme="minorHAnsi" w:eastAsiaTheme="minorEastAsia" w:hAnsiTheme="minorHAnsi" w:cstheme="minorBidi"/>
          <w:noProof/>
          <w:szCs w:val="22"/>
          <w:lang w:val="es-ES" w:eastAsia="es-ES"/>
        </w:rPr>
      </w:pPr>
      <w:hyperlink w:anchor="_Toc90969149" w:history="1">
        <w:r w:rsidR="002B5581" w:rsidRPr="002D0A86">
          <w:rPr>
            <w:rStyle w:val="Hipervnculo"/>
            <w:noProof/>
          </w:rPr>
          <w:t>V.3. Indicadores</w:t>
        </w:r>
        <w:r w:rsidR="002B5581">
          <w:rPr>
            <w:noProof/>
            <w:webHidden/>
          </w:rPr>
          <w:tab/>
        </w:r>
        <w:r w:rsidR="002B5581">
          <w:rPr>
            <w:noProof/>
            <w:webHidden/>
          </w:rPr>
          <w:fldChar w:fldCharType="begin"/>
        </w:r>
        <w:r w:rsidR="002B5581">
          <w:rPr>
            <w:noProof/>
            <w:webHidden/>
          </w:rPr>
          <w:instrText xml:space="preserve"> PAGEREF _Toc90969149 \h </w:instrText>
        </w:r>
        <w:r w:rsidR="002B5581">
          <w:rPr>
            <w:noProof/>
            <w:webHidden/>
          </w:rPr>
        </w:r>
        <w:r w:rsidR="002B5581">
          <w:rPr>
            <w:noProof/>
            <w:webHidden/>
          </w:rPr>
          <w:fldChar w:fldCharType="separate"/>
        </w:r>
        <w:r w:rsidR="002B5581">
          <w:rPr>
            <w:noProof/>
            <w:webHidden/>
          </w:rPr>
          <w:t>19</w:t>
        </w:r>
        <w:r w:rsidR="002B5581">
          <w:rPr>
            <w:noProof/>
            <w:webHidden/>
          </w:rPr>
          <w:fldChar w:fldCharType="end"/>
        </w:r>
      </w:hyperlink>
    </w:p>
    <w:p w14:paraId="73E958B0" w14:textId="77777777" w:rsidR="002B5581" w:rsidRDefault="000A253F">
      <w:pPr>
        <w:pStyle w:val="TDC2"/>
        <w:rPr>
          <w:rFonts w:asciiTheme="minorHAnsi" w:eastAsiaTheme="minorEastAsia" w:hAnsiTheme="minorHAnsi" w:cstheme="minorBidi"/>
          <w:noProof/>
          <w:szCs w:val="22"/>
          <w:lang w:val="es-ES" w:eastAsia="es-ES"/>
        </w:rPr>
      </w:pPr>
      <w:hyperlink w:anchor="_Toc90969150" w:history="1">
        <w:r w:rsidR="002B5581" w:rsidRPr="002D0A86">
          <w:rPr>
            <w:rStyle w:val="Hipervnculo"/>
            <w:noProof/>
          </w:rPr>
          <w:t>V.4. Objetivos de estabilidad presupuestaria y sostenibilidad financiera</w:t>
        </w:r>
        <w:r w:rsidR="002B5581">
          <w:rPr>
            <w:noProof/>
            <w:webHidden/>
          </w:rPr>
          <w:tab/>
        </w:r>
        <w:r w:rsidR="002B5581">
          <w:rPr>
            <w:noProof/>
            <w:webHidden/>
          </w:rPr>
          <w:fldChar w:fldCharType="begin"/>
        </w:r>
        <w:r w:rsidR="002B5581">
          <w:rPr>
            <w:noProof/>
            <w:webHidden/>
          </w:rPr>
          <w:instrText xml:space="preserve"> PAGEREF _Toc90969150 \h </w:instrText>
        </w:r>
        <w:r w:rsidR="002B5581">
          <w:rPr>
            <w:noProof/>
            <w:webHidden/>
          </w:rPr>
        </w:r>
        <w:r w:rsidR="002B5581">
          <w:rPr>
            <w:noProof/>
            <w:webHidden/>
          </w:rPr>
          <w:fldChar w:fldCharType="separate"/>
        </w:r>
        <w:r w:rsidR="002B5581">
          <w:rPr>
            <w:noProof/>
            <w:webHidden/>
          </w:rPr>
          <w:t>20</w:t>
        </w:r>
        <w:r w:rsidR="002B5581">
          <w:rPr>
            <w:noProof/>
            <w:webHidden/>
          </w:rPr>
          <w:fldChar w:fldCharType="end"/>
        </w:r>
      </w:hyperlink>
    </w:p>
    <w:p w14:paraId="59FC5B23" w14:textId="77777777" w:rsidR="002B5581" w:rsidRDefault="000A253F">
      <w:pPr>
        <w:pStyle w:val="TDC1"/>
        <w:rPr>
          <w:rFonts w:asciiTheme="minorHAnsi" w:eastAsiaTheme="minorEastAsia" w:hAnsiTheme="minorHAnsi" w:cstheme="minorBidi"/>
          <w:smallCaps w:val="0"/>
          <w:noProof/>
          <w:szCs w:val="22"/>
          <w:lang w:val="es-ES" w:eastAsia="es-ES"/>
        </w:rPr>
      </w:pPr>
      <w:hyperlink w:anchor="_Toc90969151" w:history="1">
        <w:r w:rsidR="002B5581" w:rsidRPr="002D0A86">
          <w:rPr>
            <w:rStyle w:val="Hipervnculo"/>
            <w:noProof/>
          </w:rPr>
          <w:t>VI. Contratación administrativa</w:t>
        </w:r>
        <w:r w:rsidR="002B5581">
          <w:rPr>
            <w:noProof/>
            <w:webHidden/>
          </w:rPr>
          <w:tab/>
        </w:r>
        <w:r w:rsidR="002B5581">
          <w:rPr>
            <w:noProof/>
            <w:webHidden/>
          </w:rPr>
          <w:fldChar w:fldCharType="begin"/>
        </w:r>
        <w:r w:rsidR="002B5581">
          <w:rPr>
            <w:noProof/>
            <w:webHidden/>
          </w:rPr>
          <w:instrText xml:space="preserve"> PAGEREF _Toc90969151 \h </w:instrText>
        </w:r>
        <w:r w:rsidR="002B5581">
          <w:rPr>
            <w:noProof/>
            <w:webHidden/>
          </w:rPr>
        </w:r>
        <w:r w:rsidR="002B5581">
          <w:rPr>
            <w:noProof/>
            <w:webHidden/>
          </w:rPr>
          <w:fldChar w:fldCharType="separate"/>
        </w:r>
        <w:r w:rsidR="002B5581">
          <w:rPr>
            <w:noProof/>
            <w:webHidden/>
          </w:rPr>
          <w:t>22</w:t>
        </w:r>
        <w:r w:rsidR="002B5581">
          <w:rPr>
            <w:noProof/>
            <w:webHidden/>
          </w:rPr>
          <w:fldChar w:fldCharType="end"/>
        </w:r>
      </w:hyperlink>
    </w:p>
    <w:p w14:paraId="414129A7" w14:textId="77777777" w:rsidR="002B5581" w:rsidRDefault="000A253F">
      <w:pPr>
        <w:pStyle w:val="TDC1"/>
        <w:rPr>
          <w:rFonts w:asciiTheme="minorHAnsi" w:eastAsiaTheme="minorEastAsia" w:hAnsiTheme="minorHAnsi" w:cstheme="minorBidi"/>
          <w:smallCaps w:val="0"/>
          <w:noProof/>
          <w:szCs w:val="22"/>
          <w:lang w:val="es-ES" w:eastAsia="es-ES"/>
        </w:rPr>
      </w:pPr>
      <w:hyperlink w:anchor="_Toc90969152" w:history="1">
        <w:r w:rsidR="002B5581" w:rsidRPr="002D0A86">
          <w:rPr>
            <w:rStyle w:val="Hipervnculo"/>
            <w:noProof/>
          </w:rPr>
          <w:t>VII. Comparativa de un conjunto de indicadores entre los ayuntamientos de Navarra, País Vasco y Estado</w:t>
        </w:r>
        <w:r w:rsidR="002B5581">
          <w:rPr>
            <w:noProof/>
            <w:webHidden/>
          </w:rPr>
          <w:tab/>
        </w:r>
        <w:r w:rsidR="002B5581">
          <w:rPr>
            <w:noProof/>
            <w:webHidden/>
          </w:rPr>
          <w:fldChar w:fldCharType="begin"/>
        </w:r>
        <w:r w:rsidR="002B5581">
          <w:rPr>
            <w:noProof/>
            <w:webHidden/>
          </w:rPr>
          <w:instrText xml:space="preserve"> PAGEREF _Toc90969152 \h </w:instrText>
        </w:r>
        <w:r w:rsidR="002B5581">
          <w:rPr>
            <w:noProof/>
            <w:webHidden/>
          </w:rPr>
        </w:r>
        <w:r w:rsidR="002B5581">
          <w:rPr>
            <w:noProof/>
            <w:webHidden/>
          </w:rPr>
          <w:fldChar w:fldCharType="separate"/>
        </w:r>
        <w:r w:rsidR="002B5581">
          <w:rPr>
            <w:noProof/>
            <w:webHidden/>
          </w:rPr>
          <w:t>25</w:t>
        </w:r>
        <w:r w:rsidR="002B5581">
          <w:rPr>
            <w:noProof/>
            <w:webHidden/>
          </w:rPr>
          <w:fldChar w:fldCharType="end"/>
        </w:r>
      </w:hyperlink>
    </w:p>
    <w:p w14:paraId="7BE7C0A2" w14:textId="77777777" w:rsidR="002B5581" w:rsidRDefault="000A253F">
      <w:pPr>
        <w:pStyle w:val="TDC1"/>
        <w:rPr>
          <w:rFonts w:asciiTheme="minorHAnsi" w:eastAsiaTheme="minorEastAsia" w:hAnsiTheme="minorHAnsi" w:cstheme="minorBidi"/>
          <w:smallCaps w:val="0"/>
          <w:noProof/>
          <w:szCs w:val="22"/>
          <w:lang w:val="es-ES" w:eastAsia="es-ES"/>
        </w:rPr>
      </w:pPr>
      <w:hyperlink w:anchor="_Toc90969153" w:history="1">
        <w:r w:rsidR="002B5581" w:rsidRPr="002D0A86">
          <w:rPr>
            <w:rStyle w:val="Hipervnculo"/>
            <w:noProof/>
          </w:rPr>
          <w:t>VIII. Conclusiones y recomendaciones</w:t>
        </w:r>
        <w:r w:rsidR="002B5581">
          <w:rPr>
            <w:noProof/>
            <w:webHidden/>
          </w:rPr>
          <w:tab/>
        </w:r>
        <w:r w:rsidR="002B5581">
          <w:rPr>
            <w:noProof/>
            <w:webHidden/>
          </w:rPr>
          <w:fldChar w:fldCharType="begin"/>
        </w:r>
        <w:r w:rsidR="002B5581">
          <w:rPr>
            <w:noProof/>
            <w:webHidden/>
          </w:rPr>
          <w:instrText xml:space="preserve"> PAGEREF _Toc90969153 \h </w:instrText>
        </w:r>
        <w:r w:rsidR="002B5581">
          <w:rPr>
            <w:noProof/>
            <w:webHidden/>
          </w:rPr>
        </w:r>
        <w:r w:rsidR="002B5581">
          <w:rPr>
            <w:noProof/>
            <w:webHidden/>
          </w:rPr>
          <w:fldChar w:fldCharType="separate"/>
        </w:r>
        <w:r w:rsidR="002B5581">
          <w:rPr>
            <w:noProof/>
            <w:webHidden/>
          </w:rPr>
          <w:t>28</w:t>
        </w:r>
        <w:r w:rsidR="002B5581">
          <w:rPr>
            <w:noProof/>
            <w:webHidden/>
          </w:rPr>
          <w:fldChar w:fldCharType="end"/>
        </w:r>
      </w:hyperlink>
    </w:p>
    <w:p w14:paraId="04D6064F" w14:textId="77777777" w:rsidR="002B5581" w:rsidRDefault="002B5581">
      <w:pPr>
        <w:pStyle w:val="TDC1"/>
        <w:rPr>
          <w:rStyle w:val="Hipervnculo"/>
          <w:noProof/>
        </w:rPr>
      </w:pPr>
    </w:p>
    <w:p w14:paraId="21BCB721" w14:textId="77777777" w:rsidR="002B5581" w:rsidRDefault="002B5581">
      <w:pPr>
        <w:pStyle w:val="TDC1"/>
        <w:rPr>
          <w:rFonts w:asciiTheme="minorHAnsi" w:eastAsiaTheme="minorEastAsia" w:hAnsiTheme="minorHAnsi" w:cstheme="minorBidi"/>
          <w:smallCaps w:val="0"/>
          <w:noProof/>
          <w:szCs w:val="22"/>
          <w:lang w:val="es-ES" w:eastAsia="es-ES"/>
        </w:rPr>
      </w:pPr>
      <w:hyperlink w:anchor="_Toc90969154" w:history="1">
        <w:r w:rsidRPr="002D0A86">
          <w:rPr>
            <w:rStyle w:val="Hipervnculo"/>
            <w:noProof/>
          </w:rPr>
          <w:t>Anexo 1. Normativa aplicable a las entidades locales durante el ejercicio 2019</w:t>
        </w:r>
        <w:r>
          <w:rPr>
            <w:noProof/>
            <w:webHidden/>
          </w:rPr>
          <w:tab/>
        </w:r>
        <w:r>
          <w:rPr>
            <w:noProof/>
            <w:webHidden/>
          </w:rPr>
          <w:fldChar w:fldCharType="begin"/>
        </w:r>
        <w:r>
          <w:rPr>
            <w:noProof/>
            <w:webHidden/>
          </w:rPr>
          <w:instrText xml:space="preserve"> PAGEREF _Toc90969154 \h </w:instrText>
        </w:r>
        <w:r>
          <w:rPr>
            <w:noProof/>
            <w:webHidden/>
          </w:rPr>
        </w:r>
        <w:r>
          <w:rPr>
            <w:noProof/>
            <w:webHidden/>
          </w:rPr>
          <w:fldChar w:fldCharType="separate"/>
        </w:r>
        <w:r>
          <w:rPr>
            <w:noProof/>
            <w:webHidden/>
          </w:rPr>
          <w:t>34</w:t>
        </w:r>
        <w:r>
          <w:rPr>
            <w:noProof/>
            <w:webHidden/>
          </w:rPr>
          <w:fldChar w:fldCharType="end"/>
        </w:r>
      </w:hyperlink>
    </w:p>
    <w:p w14:paraId="5FCA29D4" w14:textId="77777777" w:rsidR="002B5581" w:rsidRDefault="000A253F">
      <w:pPr>
        <w:pStyle w:val="TDC1"/>
        <w:rPr>
          <w:rFonts w:asciiTheme="minorHAnsi" w:eastAsiaTheme="minorEastAsia" w:hAnsiTheme="minorHAnsi" w:cstheme="minorBidi"/>
          <w:smallCaps w:val="0"/>
          <w:noProof/>
          <w:szCs w:val="22"/>
          <w:lang w:val="es-ES" w:eastAsia="es-ES"/>
        </w:rPr>
      </w:pPr>
      <w:hyperlink w:anchor="_Toc90969155" w:history="1">
        <w:r w:rsidR="002B5581" w:rsidRPr="002D0A86">
          <w:rPr>
            <w:rStyle w:val="Hipervnculo"/>
            <w:noProof/>
          </w:rPr>
          <w:t>Anexo 2. Situación financiera del sector público local de Navarra, año 2019</w:t>
        </w:r>
        <w:r w:rsidR="002B5581">
          <w:rPr>
            <w:noProof/>
            <w:webHidden/>
          </w:rPr>
          <w:tab/>
        </w:r>
        <w:r w:rsidR="002B5581">
          <w:rPr>
            <w:noProof/>
            <w:webHidden/>
          </w:rPr>
          <w:fldChar w:fldCharType="begin"/>
        </w:r>
        <w:r w:rsidR="002B5581">
          <w:rPr>
            <w:noProof/>
            <w:webHidden/>
          </w:rPr>
          <w:instrText xml:space="preserve"> PAGEREF _Toc90969155 \h </w:instrText>
        </w:r>
        <w:r w:rsidR="002B5581">
          <w:rPr>
            <w:noProof/>
            <w:webHidden/>
          </w:rPr>
        </w:r>
        <w:r w:rsidR="002B5581">
          <w:rPr>
            <w:noProof/>
            <w:webHidden/>
          </w:rPr>
          <w:fldChar w:fldCharType="separate"/>
        </w:r>
        <w:r w:rsidR="002B5581">
          <w:rPr>
            <w:noProof/>
            <w:webHidden/>
          </w:rPr>
          <w:t>40</w:t>
        </w:r>
        <w:r w:rsidR="002B5581">
          <w:rPr>
            <w:noProof/>
            <w:webHidden/>
          </w:rPr>
          <w:fldChar w:fldCharType="end"/>
        </w:r>
      </w:hyperlink>
    </w:p>
    <w:p w14:paraId="69B396BC" w14:textId="77777777" w:rsidR="00891D73" w:rsidRDefault="0085380F" w:rsidP="0085380F">
      <w:pPr>
        <w:pStyle w:val="texto"/>
      </w:pPr>
      <w:r w:rsidRPr="00783F1C">
        <w:fldChar w:fldCharType="end"/>
      </w:r>
    </w:p>
    <w:p w14:paraId="29AA99A4" w14:textId="77777777" w:rsidR="00891D73" w:rsidRPr="00E703B6" w:rsidRDefault="00891D73" w:rsidP="00E703B6"/>
    <w:p w14:paraId="10D4FF46"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5651D9F9" w14:textId="77777777" w:rsidR="0088085F" w:rsidRPr="00B81E61" w:rsidRDefault="001728D0" w:rsidP="0088085F">
      <w:pPr>
        <w:pStyle w:val="atitulo1"/>
        <w:rPr>
          <w:color w:val="000000" w:themeColor="text1"/>
        </w:rPr>
      </w:pPr>
      <w:r>
        <w:lastRenderedPageBreak/>
        <w:t xml:space="preserve"> </w:t>
      </w: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52348283"/>
      <w:bookmarkStart w:id="8" w:name="_Toc89161260"/>
      <w:bookmarkStart w:id="9" w:name="_Toc90969139"/>
      <w:r w:rsidR="0088085F" w:rsidRPr="00B81E61">
        <w:rPr>
          <w:color w:val="000000" w:themeColor="text1"/>
        </w:rPr>
        <w:t>I. Introducción</w:t>
      </w:r>
      <w:bookmarkEnd w:id="0"/>
      <w:bookmarkEnd w:id="1"/>
      <w:bookmarkEnd w:id="2"/>
      <w:bookmarkEnd w:id="3"/>
      <w:bookmarkEnd w:id="4"/>
      <w:bookmarkEnd w:id="5"/>
      <w:bookmarkEnd w:id="6"/>
      <w:bookmarkEnd w:id="7"/>
      <w:bookmarkEnd w:id="8"/>
      <w:bookmarkEnd w:id="9"/>
    </w:p>
    <w:p w14:paraId="1D24127B" w14:textId="77777777" w:rsidR="0088085F" w:rsidRPr="00C13CE1" w:rsidRDefault="0088085F" w:rsidP="0088085F">
      <w:pPr>
        <w:pStyle w:val="texto"/>
      </w:pPr>
      <w:r w:rsidRPr="00C13CE1">
        <w:t>El informe sobre el sector público local de Navarra se realiza, de acuerdo con la Ley Foral 19/1984, de 20 de diciembre, reguladora de la Cámara de Comptos, en cumplimiento de la Ley Foral 6/1990, de 2 de julio, de la Administración Local de Navarra. Así, el artículo 350.2 de dicha ley foral establece la obligación de remitir anualmente al Parlamento y al Gobierno de Navarra una memoria-resumen de las actuaciones de fiscalización y control de la Cámara de Comptos en el ámbito de las entidades locales de Navarra.</w:t>
      </w:r>
    </w:p>
    <w:p w14:paraId="0BE5B72D" w14:textId="77777777" w:rsidR="0088085F" w:rsidRPr="009A521B" w:rsidRDefault="0088085F" w:rsidP="0088085F">
      <w:pPr>
        <w:pStyle w:val="texto"/>
        <w:rPr>
          <w:color w:val="000000" w:themeColor="text1"/>
        </w:rPr>
      </w:pPr>
      <w:r w:rsidRPr="00C13CE1">
        <w:t>Los plazos establecidos en la Ley Foral 2/1995, de 10 de marzo, de Haciendas Locales para la aprobación y remisión al Gobierno de la Cuenta General de cada ejercicio por las entidades locales, y la complejidad del tratamiento de dicha in</w:t>
      </w:r>
      <w:r w:rsidRPr="009A521B">
        <w:rPr>
          <w:color w:val="000000" w:themeColor="text1"/>
        </w:rPr>
        <w:t xml:space="preserve">formación, explican que el informe relativo al ejercicio de 2019 no </w:t>
      </w:r>
      <w:r w:rsidR="007603F0" w:rsidRPr="009A521B">
        <w:rPr>
          <w:color w:val="000000" w:themeColor="text1"/>
        </w:rPr>
        <w:t>se haya podido realizar</w:t>
      </w:r>
      <w:r w:rsidRPr="009A521B">
        <w:rPr>
          <w:color w:val="000000" w:themeColor="text1"/>
        </w:rPr>
        <w:t xml:space="preserve"> con anterioridad.</w:t>
      </w:r>
    </w:p>
    <w:p w14:paraId="06B0FF8F" w14:textId="77777777" w:rsidR="0088085F" w:rsidRPr="00262228" w:rsidRDefault="0088085F" w:rsidP="0088085F">
      <w:pPr>
        <w:pStyle w:val="texto"/>
      </w:pPr>
      <w:r w:rsidRPr="00262228">
        <w:t xml:space="preserve">El informe se estructura en ocho epígrafes, incluyendo esta introducción. En el segundo, mostramos la estructura organizativa del sector público local y la principal normativa aprobada en 2019.  En el tercero mostramos los objetivos, alcance y limitaciones del trabajo realizado. En los epígrafes cuarto a séptimo se incluyen los siguientes aspectos relativos a 2019: memoria de las actuaciones de fiscalización de la Cámara de Comptos sobre el sector público local, situación financiera del mismo, contratación administrativa de las entidades locales y comparativa de un conjunto de indicadores entre los ayuntamientos de Navarra con los del País Vasco y con los del resto del Estado. El último epígrafe incluye las conclusiones y recomendaciones del trabajo realizado. </w:t>
      </w:r>
    </w:p>
    <w:p w14:paraId="4F48CBFE" w14:textId="77777777" w:rsidR="0088085F" w:rsidRPr="00262228" w:rsidRDefault="0088085F" w:rsidP="0088085F">
      <w:pPr>
        <w:pStyle w:val="texto"/>
      </w:pPr>
      <w:r w:rsidRPr="00262228">
        <w:t>El informe se acompaña, además, de dos anexos que contienen la normativa aplicable a las entidades locales de Navarra en 2019 y el informe elaborado por la Dirección General de Administración Local y Despoblación del Gobierno de Navarra sobre la situación financiera del sector público local en 2019.</w:t>
      </w:r>
    </w:p>
    <w:p w14:paraId="36C6AE35" w14:textId="77777777" w:rsidR="0088085F" w:rsidRPr="00262228" w:rsidRDefault="0088085F" w:rsidP="0088085F">
      <w:pPr>
        <w:pStyle w:val="texto"/>
      </w:pPr>
      <w:r w:rsidRPr="00262228">
        <w:t>El trabajo lo realizó en el mes de noviembre de 2021 un equipo integrado por una técnica de auditoría y una auditora, con la colaboración de los servicios jurídicos, informáticos y administrativos de la Cámara de Comptos.</w:t>
      </w:r>
    </w:p>
    <w:p w14:paraId="7F160669" w14:textId="77777777" w:rsidR="0088085F" w:rsidRPr="00262228" w:rsidRDefault="0088085F" w:rsidP="0088085F">
      <w:pPr>
        <w:pStyle w:val="texto"/>
      </w:pPr>
      <w:r w:rsidRPr="00262228">
        <w:t>Agradecemos al personal de las entidades locales de Navarra, de la Dirección General de Administración Local y Despoblación y de la Federación Navarra de Municipios y Concejos, la colaboración prestada en la realización del presente trabajo.</w:t>
      </w:r>
      <w:r w:rsidR="00F41705">
        <w:t xml:space="preserve"> </w:t>
      </w:r>
    </w:p>
    <w:p w14:paraId="0B00DE36" w14:textId="77777777" w:rsidR="0088085F" w:rsidRPr="00B81E61" w:rsidRDefault="0088085F" w:rsidP="0088085F">
      <w:pPr>
        <w:autoSpaceDE w:val="0"/>
        <w:autoSpaceDN w:val="0"/>
        <w:adjustRightInd w:val="0"/>
        <w:spacing w:after="0"/>
        <w:ind w:firstLine="0"/>
        <w:rPr>
          <w:color w:val="000000" w:themeColor="text1"/>
        </w:rPr>
      </w:pPr>
      <w:r w:rsidRPr="00B81E61">
        <w:rPr>
          <w:color w:val="000000" w:themeColor="text1"/>
          <w:highlight w:val="yellow"/>
        </w:rPr>
        <w:br w:type="page"/>
      </w:r>
    </w:p>
    <w:p w14:paraId="3B597F08" w14:textId="77777777" w:rsidR="0088085F" w:rsidRPr="00B81E61" w:rsidRDefault="0088085F" w:rsidP="0088085F">
      <w:pPr>
        <w:pStyle w:val="atitulo1"/>
        <w:rPr>
          <w:color w:val="000000" w:themeColor="text1"/>
        </w:rPr>
      </w:pPr>
      <w:bookmarkStart w:id="10" w:name="_Toc311633164"/>
      <w:bookmarkStart w:id="11" w:name="_Toc311633173"/>
      <w:bookmarkStart w:id="12" w:name="_Toc399916259"/>
      <w:bookmarkStart w:id="13" w:name="_Toc465686682"/>
      <w:bookmarkStart w:id="14" w:name="_Toc529773876"/>
      <w:bookmarkStart w:id="15" w:name="_Toc24100136"/>
      <w:bookmarkStart w:id="16" w:name="_Toc52348284"/>
      <w:bookmarkStart w:id="17" w:name="_Toc89161261"/>
      <w:bookmarkStart w:id="18" w:name="_Toc90969140"/>
      <w:r w:rsidRPr="00B81E61">
        <w:rPr>
          <w:color w:val="000000" w:themeColor="text1"/>
        </w:rPr>
        <w:lastRenderedPageBreak/>
        <w:t>II. Estructura organizativa y normativa del sector público local</w:t>
      </w:r>
      <w:bookmarkEnd w:id="10"/>
      <w:bookmarkEnd w:id="11"/>
      <w:bookmarkEnd w:id="12"/>
      <w:bookmarkEnd w:id="13"/>
      <w:bookmarkEnd w:id="14"/>
      <w:bookmarkEnd w:id="15"/>
      <w:bookmarkEnd w:id="16"/>
      <w:bookmarkEnd w:id="17"/>
      <w:bookmarkEnd w:id="18"/>
    </w:p>
    <w:p w14:paraId="736B1F55" w14:textId="77777777" w:rsidR="0088085F" w:rsidRPr="00B81E61" w:rsidRDefault="0088085F" w:rsidP="0088085F">
      <w:pPr>
        <w:pStyle w:val="atitulo2"/>
        <w:rPr>
          <w:color w:val="000000" w:themeColor="text1"/>
        </w:rPr>
      </w:pPr>
      <w:bookmarkStart w:id="19" w:name="_Toc291067877"/>
      <w:bookmarkStart w:id="20" w:name="_Toc399916260"/>
      <w:bookmarkStart w:id="21" w:name="_Toc465686683"/>
      <w:bookmarkStart w:id="22" w:name="_Toc529773877"/>
      <w:bookmarkStart w:id="23" w:name="_Toc531088343"/>
      <w:bookmarkStart w:id="24" w:name="_Toc24100137"/>
      <w:bookmarkStart w:id="25" w:name="_Toc52348285"/>
      <w:bookmarkStart w:id="26" w:name="_Toc89161262"/>
      <w:bookmarkStart w:id="27" w:name="_Toc90969141"/>
      <w:r w:rsidRPr="00B81E61">
        <w:rPr>
          <w:color w:val="000000" w:themeColor="text1"/>
        </w:rPr>
        <w:t>II.1. Estructura organizativa</w:t>
      </w:r>
      <w:bookmarkEnd w:id="19"/>
      <w:bookmarkEnd w:id="20"/>
      <w:bookmarkEnd w:id="21"/>
      <w:bookmarkEnd w:id="22"/>
      <w:bookmarkEnd w:id="23"/>
      <w:bookmarkEnd w:id="24"/>
      <w:bookmarkEnd w:id="25"/>
      <w:bookmarkEnd w:id="26"/>
      <w:bookmarkEnd w:id="27"/>
    </w:p>
    <w:p w14:paraId="6F9E0061" w14:textId="77777777" w:rsidR="0088085F" w:rsidRPr="00262228" w:rsidRDefault="0088085F" w:rsidP="0088085F">
      <w:pPr>
        <w:pStyle w:val="texto"/>
      </w:pPr>
      <w:r w:rsidRPr="00262228">
        <w:t>El sector público local se organiza conforme a lo establecido en la Ley Foral 6/1990, de 2 de julio, de la Administración Local de Navarra.</w:t>
      </w:r>
    </w:p>
    <w:p w14:paraId="1B8176DC" w14:textId="77777777" w:rsidR="0088085F" w:rsidRPr="00262228" w:rsidRDefault="0088085F" w:rsidP="0088085F">
      <w:pPr>
        <w:pStyle w:val="texto"/>
      </w:pPr>
      <w:r w:rsidRPr="00262228">
        <w:t>Los municipios son las entidades locales básicas de organización territorial. Además de estos, también tienen la condición de entes locales en el año 2019:</w:t>
      </w:r>
    </w:p>
    <w:p w14:paraId="50B9A5DF"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Los concejos: entidades locales enclavadas en el término de un municipio, con población y ámbito territorial inferiores al de este.</w:t>
      </w:r>
    </w:p>
    <w:p w14:paraId="7D1D2E94"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Las corporaciones de carácter tradicional titulares o administradoras de bienes comunales: Comunidad de </w:t>
      </w:r>
      <w:proofErr w:type="spellStart"/>
      <w:r w:rsidRPr="00CE5750">
        <w:rPr>
          <w:spacing w:val="6"/>
          <w:sz w:val="26"/>
          <w:szCs w:val="26"/>
        </w:rPr>
        <w:t>Bardenas</w:t>
      </w:r>
      <w:proofErr w:type="spellEnd"/>
      <w:r w:rsidRPr="00CE5750">
        <w:rPr>
          <w:spacing w:val="6"/>
          <w:sz w:val="26"/>
          <w:szCs w:val="26"/>
        </w:rPr>
        <w:t xml:space="preserve"> Reales, Comunidad del Valle de </w:t>
      </w:r>
      <w:proofErr w:type="spellStart"/>
      <w:r w:rsidRPr="00CE5750">
        <w:rPr>
          <w:spacing w:val="6"/>
          <w:sz w:val="26"/>
          <w:szCs w:val="26"/>
        </w:rPr>
        <w:t>Aezkoa</w:t>
      </w:r>
      <w:proofErr w:type="spellEnd"/>
      <w:r w:rsidRPr="00CE5750">
        <w:rPr>
          <w:spacing w:val="6"/>
          <w:sz w:val="26"/>
          <w:szCs w:val="26"/>
        </w:rPr>
        <w:t>, Mancomunidad del Valle de Roncal, Universidad del Valle de Salazar y el resto de corporaciones existentes.</w:t>
      </w:r>
    </w:p>
    <w:p w14:paraId="6390EA69" w14:textId="77777777" w:rsidR="0088085F"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Las mancomunidades o asociaciones de varios municipios para la ejecución en común de obras y para la prestación de determinados servicios.</w:t>
      </w:r>
    </w:p>
    <w:p w14:paraId="497DA7B8" w14:textId="77777777" w:rsidR="004868B2" w:rsidRDefault="004868B2" w:rsidP="00CE5750">
      <w:pPr>
        <w:numPr>
          <w:ilvl w:val="0"/>
          <w:numId w:val="2"/>
        </w:numPr>
        <w:tabs>
          <w:tab w:val="clear" w:pos="502"/>
          <w:tab w:val="left" w:pos="480"/>
          <w:tab w:val="num" w:pos="720"/>
          <w:tab w:val="num" w:pos="6597"/>
        </w:tabs>
        <w:ind w:left="0" w:firstLine="289"/>
        <w:rPr>
          <w:spacing w:val="6"/>
          <w:sz w:val="26"/>
          <w:szCs w:val="26"/>
        </w:rPr>
      </w:pPr>
      <w:r>
        <w:rPr>
          <w:spacing w:val="6"/>
          <w:sz w:val="26"/>
          <w:szCs w:val="26"/>
        </w:rPr>
        <w:t>Las comarcas: entidades locales de carácter supramunicipal para la prestación de servicios y gestión de actividades de ámbito supramunicipal.</w:t>
      </w:r>
    </w:p>
    <w:p w14:paraId="7498150F" w14:textId="77777777" w:rsidR="004868B2" w:rsidRPr="00CE5750" w:rsidRDefault="004868B2" w:rsidP="00CE5750">
      <w:pPr>
        <w:numPr>
          <w:ilvl w:val="0"/>
          <w:numId w:val="2"/>
        </w:numPr>
        <w:tabs>
          <w:tab w:val="clear" w:pos="502"/>
          <w:tab w:val="left" w:pos="480"/>
          <w:tab w:val="num" w:pos="720"/>
          <w:tab w:val="num" w:pos="6597"/>
        </w:tabs>
        <w:ind w:left="0" w:firstLine="289"/>
        <w:rPr>
          <w:spacing w:val="6"/>
          <w:sz w:val="26"/>
          <w:szCs w:val="26"/>
        </w:rPr>
      </w:pPr>
      <w:r>
        <w:rPr>
          <w:spacing w:val="6"/>
          <w:sz w:val="26"/>
          <w:szCs w:val="26"/>
        </w:rPr>
        <w:t>Las mancomunidades de planificación general para la coordinación de la prestación de servicios de competencia local.</w:t>
      </w:r>
    </w:p>
    <w:p w14:paraId="096CCAC7" w14:textId="77777777" w:rsidR="0088085F" w:rsidRPr="00262228" w:rsidRDefault="0088085F" w:rsidP="00262228">
      <w:pPr>
        <w:pStyle w:val="texto"/>
      </w:pPr>
      <w:r w:rsidRPr="00262228">
        <w:t xml:space="preserve">La aprobación de la Ley Foral 4/2019, de 4 de febrero, de Reforma de la Administración Local de Navarra ha supuesto la supresión de los consorcios como entidades locales, con lo que se ha dado cumplimiento al compromiso </w:t>
      </w:r>
      <w:r w:rsidR="002A566F">
        <w:t>a</w:t>
      </w:r>
      <w:r w:rsidRPr="00262228">
        <w:t>dquirido por la Comunidad Foral de Navarra</w:t>
      </w:r>
      <w:r w:rsidR="002A566F">
        <w:t xml:space="preserve"> con el Estado en 2015</w:t>
      </w:r>
      <w:r w:rsidRPr="00262228">
        <w:t xml:space="preserve">. Esta ley foral suprime también </w:t>
      </w:r>
      <w:r w:rsidR="004868B2">
        <w:t xml:space="preserve">los distritos administrativos y </w:t>
      </w:r>
      <w:r w:rsidRPr="00262228">
        <w:t>las agrupaciones de municipios</w:t>
      </w:r>
      <w:r w:rsidR="004868B2">
        <w:t>, si bien estas últimas se mantienen hasta la creación de las comarcas.</w:t>
      </w:r>
    </w:p>
    <w:p w14:paraId="2DABDE2E" w14:textId="77777777" w:rsidR="0088085F" w:rsidRPr="00B81E61" w:rsidRDefault="0088085F" w:rsidP="0088085F">
      <w:pPr>
        <w:spacing w:after="0"/>
        <w:ind w:firstLine="0"/>
        <w:jc w:val="left"/>
        <w:rPr>
          <w:color w:val="000000" w:themeColor="text1"/>
          <w:spacing w:val="6"/>
          <w:sz w:val="26"/>
          <w:szCs w:val="24"/>
        </w:rPr>
      </w:pPr>
      <w:r w:rsidRPr="00B81E61">
        <w:rPr>
          <w:color w:val="000000" w:themeColor="text1"/>
        </w:rPr>
        <w:br w:type="page"/>
      </w:r>
    </w:p>
    <w:p w14:paraId="357752CB" w14:textId="77777777" w:rsidR="0088085F" w:rsidRPr="00262228" w:rsidRDefault="0088085F" w:rsidP="00C762E6">
      <w:pPr>
        <w:pStyle w:val="texto"/>
        <w:spacing w:after="240"/>
      </w:pPr>
      <w:r w:rsidRPr="00262228">
        <w:lastRenderedPageBreak/>
        <w:t>El número de entidades locales a 31 de diciembre de 2019 y su comparación con las existentes en años anteriores es el siguiente:</w:t>
      </w:r>
    </w:p>
    <w:tbl>
      <w:tblPr>
        <w:tblW w:w="5000" w:type="pct"/>
        <w:jc w:val="center"/>
        <w:tblCellMar>
          <w:left w:w="70" w:type="dxa"/>
          <w:right w:w="70" w:type="dxa"/>
        </w:tblCellMar>
        <w:tblLook w:val="04A0" w:firstRow="1" w:lastRow="0" w:firstColumn="1" w:lastColumn="0" w:noHBand="0" w:noVBand="1"/>
      </w:tblPr>
      <w:tblGrid>
        <w:gridCol w:w="2803"/>
        <w:gridCol w:w="1600"/>
        <w:gridCol w:w="1093"/>
        <w:gridCol w:w="1079"/>
        <w:gridCol w:w="1136"/>
        <w:gridCol w:w="1078"/>
      </w:tblGrid>
      <w:tr w:rsidR="00D54D57" w:rsidRPr="00C762E6" w14:paraId="72BFD932" w14:textId="77777777" w:rsidTr="00F4617C">
        <w:trPr>
          <w:trHeight w:val="255"/>
          <w:jc w:val="center"/>
        </w:trPr>
        <w:tc>
          <w:tcPr>
            <w:tcW w:w="1595" w:type="pct"/>
            <w:tcBorders>
              <w:top w:val="single" w:sz="4" w:space="0" w:color="auto"/>
              <w:left w:val="nil"/>
              <w:bottom w:val="single" w:sz="4" w:space="0" w:color="auto"/>
              <w:right w:val="nil"/>
            </w:tcBorders>
            <w:shd w:val="clear" w:color="auto" w:fill="FABF8F" w:themeFill="accent6" w:themeFillTint="99"/>
            <w:vAlign w:val="center"/>
            <w:hideMark/>
          </w:tcPr>
          <w:p w14:paraId="3DB0058C" w14:textId="77777777" w:rsidR="0088085F" w:rsidRPr="00C762E6" w:rsidRDefault="0088085F" w:rsidP="00C762E6">
            <w:pPr>
              <w:pStyle w:val="cuadroCabe"/>
              <w:spacing w:line="240" w:lineRule="auto"/>
              <w:jc w:val="left"/>
              <w:rPr>
                <w:lang w:val="es-ES" w:eastAsia="es-ES"/>
              </w:rPr>
            </w:pPr>
            <w:r w:rsidRPr="00C762E6">
              <w:rPr>
                <w:lang w:val="es-ES" w:eastAsia="es-ES"/>
              </w:rPr>
              <w:t>Entidad Local</w:t>
            </w:r>
          </w:p>
        </w:tc>
        <w:tc>
          <w:tcPr>
            <w:tcW w:w="910" w:type="pct"/>
            <w:tcBorders>
              <w:top w:val="single" w:sz="4" w:space="0" w:color="auto"/>
              <w:left w:val="nil"/>
              <w:bottom w:val="single" w:sz="4" w:space="0" w:color="auto"/>
              <w:right w:val="nil"/>
            </w:tcBorders>
            <w:shd w:val="clear" w:color="auto" w:fill="FABF8F" w:themeFill="accent6" w:themeFillTint="99"/>
            <w:vAlign w:val="center"/>
          </w:tcPr>
          <w:p w14:paraId="24D1907F" w14:textId="77777777" w:rsidR="0088085F" w:rsidRPr="00C762E6" w:rsidRDefault="0088085F" w:rsidP="00C762E6">
            <w:pPr>
              <w:pStyle w:val="cuadroCabe"/>
              <w:spacing w:line="240" w:lineRule="auto"/>
              <w:jc w:val="right"/>
              <w:rPr>
                <w:lang w:val="es-ES" w:eastAsia="es-ES"/>
              </w:rPr>
            </w:pPr>
            <w:r w:rsidRPr="00C762E6">
              <w:rPr>
                <w:lang w:val="es-ES" w:eastAsia="es-ES"/>
              </w:rPr>
              <w:t>2015</w:t>
            </w:r>
          </w:p>
        </w:tc>
        <w:tc>
          <w:tcPr>
            <w:tcW w:w="622" w:type="pct"/>
            <w:tcBorders>
              <w:top w:val="single" w:sz="4" w:space="0" w:color="auto"/>
              <w:left w:val="nil"/>
              <w:bottom w:val="single" w:sz="4" w:space="0" w:color="auto"/>
              <w:right w:val="nil"/>
            </w:tcBorders>
            <w:shd w:val="clear" w:color="auto" w:fill="FABF8F" w:themeFill="accent6" w:themeFillTint="99"/>
            <w:vAlign w:val="center"/>
            <w:hideMark/>
          </w:tcPr>
          <w:p w14:paraId="16A11A4D" w14:textId="77777777" w:rsidR="0088085F" w:rsidRPr="00C762E6" w:rsidRDefault="0088085F" w:rsidP="00C762E6">
            <w:pPr>
              <w:pStyle w:val="cuadroCabe"/>
              <w:spacing w:line="240" w:lineRule="auto"/>
              <w:jc w:val="right"/>
              <w:rPr>
                <w:lang w:val="es-ES" w:eastAsia="es-ES"/>
              </w:rPr>
            </w:pPr>
            <w:r w:rsidRPr="00C762E6">
              <w:rPr>
                <w:lang w:val="es-ES" w:eastAsia="es-ES"/>
              </w:rPr>
              <w:t>2016</w:t>
            </w:r>
          </w:p>
        </w:tc>
        <w:tc>
          <w:tcPr>
            <w:tcW w:w="614" w:type="pct"/>
            <w:tcBorders>
              <w:top w:val="single" w:sz="4" w:space="0" w:color="auto"/>
              <w:left w:val="nil"/>
              <w:bottom w:val="single" w:sz="4" w:space="0" w:color="auto"/>
              <w:right w:val="nil"/>
            </w:tcBorders>
            <w:shd w:val="clear" w:color="auto" w:fill="FABF8F" w:themeFill="accent6" w:themeFillTint="99"/>
            <w:vAlign w:val="center"/>
            <w:hideMark/>
          </w:tcPr>
          <w:p w14:paraId="3D7ABE5C" w14:textId="77777777" w:rsidR="0088085F" w:rsidRPr="00C762E6" w:rsidRDefault="0088085F" w:rsidP="00C762E6">
            <w:pPr>
              <w:pStyle w:val="cuadroCabe"/>
              <w:spacing w:line="240" w:lineRule="auto"/>
              <w:jc w:val="right"/>
              <w:rPr>
                <w:lang w:val="es-ES" w:eastAsia="es-ES"/>
              </w:rPr>
            </w:pPr>
            <w:r w:rsidRPr="00C762E6">
              <w:rPr>
                <w:lang w:val="es-ES" w:eastAsia="es-ES"/>
              </w:rPr>
              <w:t>2017</w:t>
            </w:r>
          </w:p>
        </w:tc>
        <w:tc>
          <w:tcPr>
            <w:tcW w:w="646" w:type="pct"/>
            <w:tcBorders>
              <w:top w:val="single" w:sz="4" w:space="0" w:color="auto"/>
              <w:left w:val="nil"/>
              <w:bottom w:val="single" w:sz="4" w:space="0" w:color="auto"/>
              <w:right w:val="nil"/>
            </w:tcBorders>
            <w:shd w:val="clear" w:color="auto" w:fill="FABF8F" w:themeFill="accent6" w:themeFillTint="99"/>
            <w:vAlign w:val="center"/>
            <w:hideMark/>
          </w:tcPr>
          <w:p w14:paraId="28E5A6B7" w14:textId="77777777" w:rsidR="0088085F" w:rsidRPr="00C762E6" w:rsidRDefault="0088085F" w:rsidP="00C762E6">
            <w:pPr>
              <w:pStyle w:val="cuadroCabe"/>
              <w:spacing w:line="240" w:lineRule="auto"/>
              <w:jc w:val="right"/>
              <w:rPr>
                <w:lang w:val="es-ES" w:eastAsia="es-ES"/>
              </w:rPr>
            </w:pPr>
            <w:r w:rsidRPr="00C762E6">
              <w:rPr>
                <w:lang w:val="es-ES" w:eastAsia="es-ES"/>
              </w:rPr>
              <w:t>2018</w:t>
            </w:r>
          </w:p>
        </w:tc>
        <w:tc>
          <w:tcPr>
            <w:tcW w:w="614" w:type="pct"/>
            <w:tcBorders>
              <w:top w:val="single" w:sz="4" w:space="0" w:color="auto"/>
              <w:left w:val="nil"/>
              <w:bottom w:val="single" w:sz="4" w:space="0" w:color="auto"/>
              <w:right w:val="nil"/>
            </w:tcBorders>
            <w:shd w:val="clear" w:color="auto" w:fill="FABF8F" w:themeFill="accent6" w:themeFillTint="99"/>
            <w:vAlign w:val="center"/>
          </w:tcPr>
          <w:p w14:paraId="0D39856A" w14:textId="77777777" w:rsidR="0088085F" w:rsidRPr="00C762E6" w:rsidRDefault="0088085F" w:rsidP="00C762E6">
            <w:pPr>
              <w:pStyle w:val="cuadroCabe"/>
              <w:spacing w:line="240" w:lineRule="auto"/>
              <w:jc w:val="right"/>
              <w:rPr>
                <w:lang w:val="es-ES" w:eastAsia="es-ES"/>
              </w:rPr>
            </w:pPr>
            <w:r w:rsidRPr="00C762E6">
              <w:rPr>
                <w:lang w:val="es-ES" w:eastAsia="es-ES"/>
              </w:rPr>
              <w:t>2019</w:t>
            </w:r>
          </w:p>
        </w:tc>
      </w:tr>
      <w:tr w:rsidR="0088085F" w:rsidRPr="00552FA9" w14:paraId="737E201D" w14:textId="77777777" w:rsidTr="00F4617C">
        <w:trPr>
          <w:trHeight w:val="198"/>
          <w:jc w:val="center"/>
        </w:trPr>
        <w:tc>
          <w:tcPr>
            <w:tcW w:w="1595" w:type="pct"/>
            <w:tcBorders>
              <w:top w:val="single" w:sz="4" w:space="0" w:color="auto"/>
              <w:left w:val="nil"/>
              <w:bottom w:val="single" w:sz="2" w:space="0" w:color="auto"/>
              <w:right w:val="nil"/>
            </w:tcBorders>
            <w:shd w:val="clear" w:color="auto" w:fill="auto"/>
            <w:vAlign w:val="center"/>
            <w:hideMark/>
          </w:tcPr>
          <w:p w14:paraId="44FC3B04" w14:textId="77777777" w:rsidR="0088085F" w:rsidRPr="00552FA9" w:rsidRDefault="0088085F" w:rsidP="00C762E6">
            <w:pPr>
              <w:pStyle w:val="cuatexto"/>
              <w:jc w:val="left"/>
              <w:rPr>
                <w:rFonts w:cs="Calibri"/>
                <w:lang w:val="es-ES" w:eastAsia="es-ES"/>
              </w:rPr>
            </w:pPr>
            <w:r w:rsidRPr="00552FA9">
              <w:rPr>
                <w:lang w:eastAsia="es-ES"/>
              </w:rPr>
              <w:t>Municipios</w:t>
            </w:r>
            <w:r w:rsidRPr="00552FA9">
              <w:rPr>
                <w:sz w:val="22"/>
                <w:vertAlign w:val="subscript"/>
                <w:lang w:eastAsia="es-ES"/>
              </w:rPr>
              <w:t xml:space="preserve"> (1)</w:t>
            </w:r>
          </w:p>
        </w:tc>
        <w:tc>
          <w:tcPr>
            <w:tcW w:w="910" w:type="pct"/>
            <w:tcBorders>
              <w:top w:val="single" w:sz="4" w:space="0" w:color="auto"/>
              <w:left w:val="nil"/>
              <w:bottom w:val="single" w:sz="2" w:space="0" w:color="auto"/>
              <w:right w:val="nil"/>
            </w:tcBorders>
            <w:vAlign w:val="center"/>
          </w:tcPr>
          <w:p w14:paraId="1B70D901" w14:textId="77777777" w:rsidR="0088085F" w:rsidRPr="00552FA9" w:rsidRDefault="0088085F" w:rsidP="00C762E6">
            <w:pPr>
              <w:pStyle w:val="cuatexto"/>
              <w:jc w:val="right"/>
              <w:rPr>
                <w:rFonts w:cs="Calibri"/>
                <w:lang w:val="es-ES" w:eastAsia="es-ES"/>
              </w:rPr>
            </w:pPr>
            <w:r w:rsidRPr="00552FA9">
              <w:rPr>
                <w:lang w:eastAsia="es-ES"/>
              </w:rPr>
              <w:t>272</w:t>
            </w:r>
          </w:p>
        </w:tc>
        <w:tc>
          <w:tcPr>
            <w:tcW w:w="622" w:type="pct"/>
            <w:tcBorders>
              <w:top w:val="single" w:sz="4" w:space="0" w:color="auto"/>
              <w:left w:val="nil"/>
              <w:bottom w:val="single" w:sz="2" w:space="0" w:color="auto"/>
              <w:right w:val="nil"/>
            </w:tcBorders>
            <w:shd w:val="clear" w:color="auto" w:fill="auto"/>
            <w:vAlign w:val="center"/>
            <w:hideMark/>
          </w:tcPr>
          <w:p w14:paraId="5341B8F4" w14:textId="77777777" w:rsidR="0088085F" w:rsidRPr="00552FA9" w:rsidRDefault="0088085F" w:rsidP="00C762E6">
            <w:pPr>
              <w:pStyle w:val="cuatexto"/>
              <w:jc w:val="right"/>
              <w:rPr>
                <w:rFonts w:cs="Calibri"/>
                <w:lang w:val="es-ES" w:eastAsia="es-ES"/>
              </w:rPr>
            </w:pPr>
            <w:r w:rsidRPr="00552FA9">
              <w:rPr>
                <w:lang w:eastAsia="es-ES"/>
              </w:rPr>
              <w:t>272</w:t>
            </w:r>
          </w:p>
        </w:tc>
        <w:tc>
          <w:tcPr>
            <w:tcW w:w="614" w:type="pct"/>
            <w:tcBorders>
              <w:top w:val="single" w:sz="4" w:space="0" w:color="auto"/>
              <w:left w:val="nil"/>
              <w:bottom w:val="single" w:sz="2" w:space="0" w:color="auto"/>
              <w:right w:val="nil"/>
            </w:tcBorders>
            <w:shd w:val="clear" w:color="auto" w:fill="auto"/>
            <w:vAlign w:val="center"/>
            <w:hideMark/>
          </w:tcPr>
          <w:p w14:paraId="1B614E52" w14:textId="77777777" w:rsidR="0088085F" w:rsidRPr="00552FA9" w:rsidRDefault="0088085F" w:rsidP="00C762E6">
            <w:pPr>
              <w:pStyle w:val="cuatexto"/>
              <w:jc w:val="right"/>
              <w:rPr>
                <w:rFonts w:cs="Calibri"/>
                <w:lang w:val="es-ES" w:eastAsia="es-ES"/>
              </w:rPr>
            </w:pPr>
            <w:r w:rsidRPr="00552FA9">
              <w:rPr>
                <w:lang w:eastAsia="es-ES"/>
              </w:rPr>
              <w:t>272</w:t>
            </w:r>
          </w:p>
        </w:tc>
        <w:tc>
          <w:tcPr>
            <w:tcW w:w="646" w:type="pct"/>
            <w:tcBorders>
              <w:top w:val="single" w:sz="4" w:space="0" w:color="auto"/>
              <w:left w:val="nil"/>
              <w:bottom w:val="single" w:sz="2" w:space="0" w:color="auto"/>
              <w:right w:val="nil"/>
            </w:tcBorders>
            <w:shd w:val="clear" w:color="auto" w:fill="auto"/>
            <w:vAlign w:val="center"/>
            <w:hideMark/>
          </w:tcPr>
          <w:p w14:paraId="7F0665EB" w14:textId="77777777" w:rsidR="0088085F" w:rsidRPr="00552FA9" w:rsidRDefault="0088085F" w:rsidP="00C762E6">
            <w:pPr>
              <w:pStyle w:val="cuatexto"/>
              <w:jc w:val="right"/>
              <w:rPr>
                <w:rFonts w:cs="Calibri"/>
                <w:lang w:val="es-ES" w:eastAsia="es-ES"/>
              </w:rPr>
            </w:pPr>
            <w:r w:rsidRPr="00552FA9">
              <w:rPr>
                <w:lang w:eastAsia="es-ES"/>
              </w:rPr>
              <w:t>272</w:t>
            </w:r>
          </w:p>
        </w:tc>
        <w:tc>
          <w:tcPr>
            <w:tcW w:w="614" w:type="pct"/>
            <w:tcBorders>
              <w:top w:val="single" w:sz="4" w:space="0" w:color="auto"/>
              <w:left w:val="nil"/>
              <w:bottom w:val="single" w:sz="2" w:space="0" w:color="auto"/>
              <w:right w:val="nil"/>
            </w:tcBorders>
            <w:vAlign w:val="center"/>
          </w:tcPr>
          <w:p w14:paraId="3380E92D" w14:textId="77777777" w:rsidR="0088085F" w:rsidRPr="00552FA9" w:rsidRDefault="0088085F" w:rsidP="00C762E6">
            <w:pPr>
              <w:pStyle w:val="cuatexto"/>
              <w:jc w:val="right"/>
              <w:rPr>
                <w:rFonts w:cs="Calibri"/>
                <w:lang w:val="es-ES" w:eastAsia="es-ES"/>
              </w:rPr>
            </w:pPr>
            <w:r w:rsidRPr="00552FA9">
              <w:rPr>
                <w:lang w:eastAsia="es-ES"/>
              </w:rPr>
              <w:t>272</w:t>
            </w:r>
          </w:p>
        </w:tc>
      </w:tr>
      <w:tr w:rsidR="0088085F" w:rsidRPr="00552FA9" w14:paraId="5D3771FE" w14:textId="77777777" w:rsidTr="00F4617C">
        <w:trPr>
          <w:trHeight w:val="198"/>
          <w:jc w:val="center"/>
        </w:trPr>
        <w:tc>
          <w:tcPr>
            <w:tcW w:w="1595" w:type="pct"/>
            <w:tcBorders>
              <w:top w:val="single" w:sz="2" w:space="0" w:color="auto"/>
              <w:left w:val="nil"/>
              <w:bottom w:val="single" w:sz="2" w:space="0" w:color="auto"/>
              <w:right w:val="nil"/>
            </w:tcBorders>
            <w:shd w:val="clear" w:color="auto" w:fill="auto"/>
            <w:vAlign w:val="center"/>
            <w:hideMark/>
          </w:tcPr>
          <w:p w14:paraId="48A2DE4A" w14:textId="77777777" w:rsidR="0088085F" w:rsidRPr="00552FA9" w:rsidRDefault="0088085F" w:rsidP="00C762E6">
            <w:pPr>
              <w:pStyle w:val="cuatexto"/>
              <w:jc w:val="left"/>
              <w:rPr>
                <w:rFonts w:cs="Calibri"/>
                <w:lang w:val="es-ES" w:eastAsia="es-ES"/>
              </w:rPr>
            </w:pPr>
            <w:r w:rsidRPr="00552FA9">
              <w:rPr>
                <w:lang w:eastAsia="es-ES"/>
              </w:rPr>
              <w:t>Concejos</w:t>
            </w:r>
          </w:p>
        </w:tc>
        <w:tc>
          <w:tcPr>
            <w:tcW w:w="910" w:type="pct"/>
            <w:tcBorders>
              <w:top w:val="single" w:sz="2" w:space="0" w:color="auto"/>
              <w:left w:val="nil"/>
              <w:bottom w:val="single" w:sz="2" w:space="0" w:color="auto"/>
              <w:right w:val="nil"/>
            </w:tcBorders>
            <w:vAlign w:val="center"/>
          </w:tcPr>
          <w:p w14:paraId="2B368A23" w14:textId="77777777" w:rsidR="0088085F" w:rsidRPr="00552FA9" w:rsidRDefault="0088085F" w:rsidP="00C762E6">
            <w:pPr>
              <w:pStyle w:val="cuatexto"/>
              <w:jc w:val="right"/>
              <w:rPr>
                <w:rFonts w:cs="Calibri"/>
                <w:lang w:val="es-ES" w:eastAsia="es-ES"/>
              </w:rPr>
            </w:pPr>
            <w:r w:rsidRPr="00552FA9">
              <w:rPr>
                <w:lang w:eastAsia="es-ES"/>
              </w:rPr>
              <w:t>347</w:t>
            </w:r>
          </w:p>
        </w:tc>
        <w:tc>
          <w:tcPr>
            <w:tcW w:w="622" w:type="pct"/>
            <w:tcBorders>
              <w:top w:val="single" w:sz="2" w:space="0" w:color="auto"/>
              <w:left w:val="nil"/>
              <w:bottom w:val="single" w:sz="2" w:space="0" w:color="auto"/>
              <w:right w:val="nil"/>
            </w:tcBorders>
            <w:shd w:val="clear" w:color="auto" w:fill="auto"/>
            <w:vAlign w:val="center"/>
            <w:hideMark/>
          </w:tcPr>
          <w:p w14:paraId="665E1E9B" w14:textId="77777777" w:rsidR="0088085F" w:rsidRPr="00552FA9" w:rsidRDefault="0088085F" w:rsidP="00C762E6">
            <w:pPr>
              <w:pStyle w:val="cuatexto"/>
              <w:jc w:val="right"/>
              <w:rPr>
                <w:rFonts w:cs="Calibri"/>
                <w:lang w:val="es-ES" w:eastAsia="es-ES"/>
              </w:rPr>
            </w:pPr>
            <w:r w:rsidRPr="00552FA9">
              <w:rPr>
                <w:lang w:eastAsia="es-ES"/>
              </w:rPr>
              <w:t>346</w:t>
            </w:r>
          </w:p>
        </w:tc>
        <w:tc>
          <w:tcPr>
            <w:tcW w:w="614" w:type="pct"/>
            <w:tcBorders>
              <w:top w:val="single" w:sz="2" w:space="0" w:color="auto"/>
              <w:left w:val="nil"/>
              <w:bottom w:val="single" w:sz="2" w:space="0" w:color="auto"/>
              <w:right w:val="nil"/>
            </w:tcBorders>
            <w:shd w:val="clear" w:color="auto" w:fill="auto"/>
            <w:vAlign w:val="center"/>
            <w:hideMark/>
          </w:tcPr>
          <w:p w14:paraId="43C8FB7F" w14:textId="77777777" w:rsidR="0088085F" w:rsidRPr="00552FA9" w:rsidRDefault="0088085F" w:rsidP="00C762E6">
            <w:pPr>
              <w:pStyle w:val="cuatexto"/>
              <w:jc w:val="right"/>
              <w:rPr>
                <w:rFonts w:cs="Calibri"/>
                <w:lang w:val="es-ES" w:eastAsia="es-ES"/>
              </w:rPr>
            </w:pPr>
            <w:r w:rsidRPr="00552FA9">
              <w:rPr>
                <w:lang w:eastAsia="es-ES"/>
              </w:rPr>
              <w:t>346</w:t>
            </w:r>
          </w:p>
        </w:tc>
        <w:tc>
          <w:tcPr>
            <w:tcW w:w="646" w:type="pct"/>
            <w:tcBorders>
              <w:top w:val="single" w:sz="2" w:space="0" w:color="auto"/>
              <w:left w:val="nil"/>
              <w:bottom w:val="single" w:sz="2" w:space="0" w:color="auto"/>
              <w:right w:val="nil"/>
            </w:tcBorders>
            <w:shd w:val="clear" w:color="auto" w:fill="auto"/>
            <w:vAlign w:val="center"/>
            <w:hideMark/>
          </w:tcPr>
          <w:p w14:paraId="10651327" w14:textId="77777777" w:rsidR="0088085F" w:rsidRPr="00552FA9" w:rsidRDefault="0088085F" w:rsidP="00C762E6">
            <w:pPr>
              <w:pStyle w:val="cuatexto"/>
              <w:jc w:val="right"/>
              <w:rPr>
                <w:rFonts w:cs="Calibri"/>
                <w:lang w:val="es-ES" w:eastAsia="es-ES"/>
              </w:rPr>
            </w:pPr>
            <w:r w:rsidRPr="00552FA9">
              <w:rPr>
                <w:lang w:eastAsia="es-ES"/>
              </w:rPr>
              <w:t>346</w:t>
            </w:r>
          </w:p>
        </w:tc>
        <w:tc>
          <w:tcPr>
            <w:tcW w:w="614" w:type="pct"/>
            <w:tcBorders>
              <w:top w:val="single" w:sz="2" w:space="0" w:color="auto"/>
              <w:left w:val="nil"/>
              <w:bottom w:val="single" w:sz="2" w:space="0" w:color="auto"/>
              <w:right w:val="nil"/>
            </w:tcBorders>
            <w:vAlign w:val="center"/>
          </w:tcPr>
          <w:p w14:paraId="109C74BF" w14:textId="77777777" w:rsidR="0088085F" w:rsidRPr="00552FA9" w:rsidRDefault="0088085F" w:rsidP="00C762E6">
            <w:pPr>
              <w:pStyle w:val="cuatexto"/>
              <w:jc w:val="right"/>
              <w:rPr>
                <w:rFonts w:cs="Calibri"/>
                <w:lang w:val="es-ES" w:eastAsia="es-ES"/>
              </w:rPr>
            </w:pPr>
            <w:r w:rsidRPr="00552FA9">
              <w:rPr>
                <w:lang w:eastAsia="es-ES"/>
              </w:rPr>
              <w:t>346</w:t>
            </w:r>
          </w:p>
        </w:tc>
      </w:tr>
      <w:tr w:rsidR="0088085F" w:rsidRPr="00552FA9" w14:paraId="5342F2A0" w14:textId="77777777" w:rsidTr="00F4617C">
        <w:trPr>
          <w:trHeight w:val="198"/>
          <w:jc w:val="center"/>
        </w:trPr>
        <w:tc>
          <w:tcPr>
            <w:tcW w:w="1595" w:type="pct"/>
            <w:tcBorders>
              <w:top w:val="single" w:sz="2" w:space="0" w:color="auto"/>
              <w:left w:val="nil"/>
              <w:bottom w:val="single" w:sz="2" w:space="0" w:color="auto"/>
              <w:right w:val="nil"/>
            </w:tcBorders>
            <w:shd w:val="clear" w:color="auto" w:fill="auto"/>
            <w:vAlign w:val="center"/>
            <w:hideMark/>
          </w:tcPr>
          <w:p w14:paraId="331CF65D" w14:textId="77777777" w:rsidR="0088085F" w:rsidRPr="00552FA9" w:rsidRDefault="0088085F" w:rsidP="00C762E6">
            <w:pPr>
              <w:pStyle w:val="cuatexto"/>
              <w:jc w:val="left"/>
              <w:rPr>
                <w:rFonts w:cs="Calibri"/>
                <w:lang w:val="es-ES" w:eastAsia="es-ES"/>
              </w:rPr>
            </w:pPr>
            <w:r w:rsidRPr="00552FA9">
              <w:rPr>
                <w:lang w:eastAsia="es-ES"/>
              </w:rPr>
              <w:t xml:space="preserve">Mancomunidades </w:t>
            </w:r>
            <w:r w:rsidRPr="00552FA9">
              <w:rPr>
                <w:sz w:val="22"/>
                <w:vertAlign w:val="subscript"/>
                <w:lang w:eastAsia="es-ES"/>
              </w:rPr>
              <w:t>(2)</w:t>
            </w:r>
          </w:p>
        </w:tc>
        <w:tc>
          <w:tcPr>
            <w:tcW w:w="910" w:type="pct"/>
            <w:tcBorders>
              <w:top w:val="single" w:sz="2" w:space="0" w:color="auto"/>
              <w:left w:val="nil"/>
              <w:bottom w:val="single" w:sz="2" w:space="0" w:color="auto"/>
              <w:right w:val="nil"/>
            </w:tcBorders>
            <w:vAlign w:val="center"/>
          </w:tcPr>
          <w:p w14:paraId="7924267F" w14:textId="77777777" w:rsidR="0088085F" w:rsidRPr="00552FA9" w:rsidRDefault="0088085F" w:rsidP="00C762E6">
            <w:pPr>
              <w:pStyle w:val="cuatexto"/>
              <w:jc w:val="right"/>
              <w:rPr>
                <w:rFonts w:cs="Calibri"/>
                <w:lang w:val="es-ES" w:eastAsia="es-ES"/>
              </w:rPr>
            </w:pPr>
            <w:r w:rsidRPr="00552FA9">
              <w:rPr>
                <w:lang w:eastAsia="es-ES"/>
              </w:rPr>
              <w:t>63</w:t>
            </w:r>
          </w:p>
        </w:tc>
        <w:tc>
          <w:tcPr>
            <w:tcW w:w="622" w:type="pct"/>
            <w:tcBorders>
              <w:top w:val="single" w:sz="2" w:space="0" w:color="auto"/>
              <w:left w:val="nil"/>
              <w:bottom w:val="single" w:sz="2" w:space="0" w:color="auto"/>
              <w:right w:val="nil"/>
            </w:tcBorders>
            <w:shd w:val="clear" w:color="auto" w:fill="auto"/>
            <w:vAlign w:val="center"/>
            <w:hideMark/>
          </w:tcPr>
          <w:p w14:paraId="7AE5D8BC" w14:textId="77777777" w:rsidR="0088085F" w:rsidRPr="00552FA9" w:rsidRDefault="0088085F" w:rsidP="00C762E6">
            <w:pPr>
              <w:pStyle w:val="cuatexto"/>
              <w:jc w:val="right"/>
              <w:rPr>
                <w:rFonts w:cs="Calibri"/>
                <w:lang w:val="es-ES" w:eastAsia="es-ES"/>
              </w:rPr>
            </w:pPr>
            <w:r w:rsidRPr="00552FA9">
              <w:rPr>
                <w:lang w:eastAsia="es-ES"/>
              </w:rPr>
              <w:t>63</w:t>
            </w:r>
          </w:p>
        </w:tc>
        <w:tc>
          <w:tcPr>
            <w:tcW w:w="614" w:type="pct"/>
            <w:tcBorders>
              <w:top w:val="single" w:sz="2" w:space="0" w:color="auto"/>
              <w:left w:val="nil"/>
              <w:bottom w:val="single" w:sz="2" w:space="0" w:color="auto"/>
              <w:right w:val="nil"/>
            </w:tcBorders>
            <w:shd w:val="clear" w:color="auto" w:fill="auto"/>
            <w:vAlign w:val="center"/>
            <w:hideMark/>
          </w:tcPr>
          <w:p w14:paraId="5EB89536" w14:textId="77777777" w:rsidR="0088085F" w:rsidRPr="00552FA9" w:rsidRDefault="0088085F" w:rsidP="00C762E6">
            <w:pPr>
              <w:pStyle w:val="cuatexto"/>
              <w:jc w:val="right"/>
              <w:rPr>
                <w:rFonts w:cs="Calibri"/>
                <w:lang w:val="es-ES" w:eastAsia="es-ES"/>
              </w:rPr>
            </w:pPr>
            <w:r w:rsidRPr="00552FA9">
              <w:rPr>
                <w:lang w:eastAsia="es-ES"/>
              </w:rPr>
              <w:t>62</w:t>
            </w:r>
          </w:p>
        </w:tc>
        <w:tc>
          <w:tcPr>
            <w:tcW w:w="646" w:type="pct"/>
            <w:tcBorders>
              <w:top w:val="single" w:sz="2" w:space="0" w:color="auto"/>
              <w:left w:val="nil"/>
              <w:bottom w:val="single" w:sz="2" w:space="0" w:color="auto"/>
              <w:right w:val="nil"/>
            </w:tcBorders>
            <w:shd w:val="clear" w:color="auto" w:fill="auto"/>
            <w:vAlign w:val="center"/>
            <w:hideMark/>
          </w:tcPr>
          <w:p w14:paraId="6A412EA1" w14:textId="77777777" w:rsidR="0088085F" w:rsidRPr="00552FA9" w:rsidRDefault="0088085F" w:rsidP="00C762E6">
            <w:pPr>
              <w:pStyle w:val="cuatexto"/>
              <w:jc w:val="right"/>
              <w:rPr>
                <w:rFonts w:cs="Calibri"/>
                <w:lang w:val="es-ES" w:eastAsia="es-ES"/>
              </w:rPr>
            </w:pPr>
            <w:r w:rsidRPr="00552FA9">
              <w:rPr>
                <w:lang w:eastAsia="es-ES"/>
              </w:rPr>
              <w:t>62</w:t>
            </w:r>
          </w:p>
        </w:tc>
        <w:tc>
          <w:tcPr>
            <w:tcW w:w="614" w:type="pct"/>
            <w:tcBorders>
              <w:top w:val="single" w:sz="2" w:space="0" w:color="auto"/>
              <w:left w:val="nil"/>
              <w:bottom w:val="single" w:sz="2" w:space="0" w:color="auto"/>
              <w:right w:val="nil"/>
            </w:tcBorders>
            <w:vAlign w:val="center"/>
          </w:tcPr>
          <w:p w14:paraId="61A6B38C" w14:textId="77777777" w:rsidR="0088085F" w:rsidRPr="00552FA9" w:rsidRDefault="0088085F" w:rsidP="00C762E6">
            <w:pPr>
              <w:pStyle w:val="cuatexto"/>
              <w:jc w:val="right"/>
              <w:rPr>
                <w:rFonts w:cs="Calibri"/>
                <w:lang w:val="es-ES" w:eastAsia="es-ES"/>
              </w:rPr>
            </w:pPr>
            <w:r w:rsidRPr="00552FA9">
              <w:rPr>
                <w:lang w:eastAsia="es-ES"/>
              </w:rPr>
              <w:t>62</w:t>
            </w:r>
          </w:p>
        </w:tc>
      </w:tr>
      <w:tr w:rsidR="0088085F" w:rsidRPr="00552FA9" w14:paraId="0D752290" w14:textId="77777777" w:rsidTr="00F4617C">
        <w:trPr>
          <w:trHeight w:val="198"/>
          <w:jc w:val="center"/>
        </w:trPr>
        <w:tc>
          <w:tcPr>
            <w:tcW w:w="1595" w:type="pct"/>
            <w:tcBorders>
              <w:top w:val="single" w:sz="2" w:space="0" w:color="auto"/>
              <w:left w:val="nil"/>
              <w:bottom w:val="single" w:sz="4" w:space="0" w:color="auto"/>
              <w:right w:val="nil"/>
            </w:tcBorders>
            <w:shd w:val="clear" w:color="auto" w:fill="auto"/>
            <w:vAlign w:val="center"/>
            <w:hideMark/>
          </w:tcPr>
          <w:p w14:paraId="4A62CC20" w14:textId="77777777" w:rsidR="0088085F" w:rsidRPr="00552FA9" w:rsidRDefault="0088085F" w:rsidP="00C762E6">
            <w:pPr>
              <w:pStyle w:val="cuatexto"/>
              <w:jc w:val="left"/>
              <w:rPr>
                <w:rFonts w:cs="Calibri"/>
                <w:lang w:val="es-ES" w:eastAsia="es-ES"/>
              </w:rPr>
            </w:pPr>
            <w:r w:rsidRPr="00552FA9">
              <w:rPr>
                <w:lang w:eastAsia="es-ES"/>
              </w:rPr>
              <w:t>Agrupaciones Municipales</w:t>
            </w:r>
          </w:p>
        </w:tc>
        <w:tc>
          <w:tcPr>
            <w:tcW w:w="910" w:type="pct"/>
            <w:tcBorders>
              <w:top w:val="single" w:sz="2" w:space="0" w:color="auto"/>
              <w:left w:val="nil"/>
              <w:bottom w:val="single" w:sz="4" w:space="0" w:color="auto"/>
              <w:right w:val="nil"/>
            </w:tcBorders>
            <w:vAlign w:val="center"/>
          </w:tcPr>
          <w:p w14:paraId="4B3DC5F6" w14:textId="77777777" w:rsidR="0088085F" w:rsidRPr="00552FA9" w:rsidRDefault="0088085F" w:rsidP="00C762E6">
            <w:pPr>
              <w:pStyle w:val="cuatexto"/>
              <w:jc w:val="right"/>
              <w:rPr>
                <w:rFonts w:cs="Calibri"/>
                <w:lang w:val="es-ES" w:eastAsia="es-ES"/>
              </w:rPr>
            </w:pPr>
            <w:r w:rsidRPr="00552FA9">
              <w:rPr>
                <w:lang w:eastAsia="es-ES"/>
              </w:rPr>
              <w:t>19</w:t>
            </w:r>
          </w:p>
        </w:tc>
        <w:tc>
          <w:tcPr>
            <w:tcW w:w="622" w:type="pct"/>
            <w:tcBorders>
              <w:top w:val="single" w:sz="2" w:space="0" w:color="auto"/>
              <w:left w:val="nil"/>
              <w:bottom w:val="single" w:sz="4" w:space="0" w:color="auto"/>
              <w:right w:val="nil"/>
            </w:tcBorders>
            <w:shd w:val="clear" w:color="auto" w:fill="auto"/>
            <w:vAlign w:val="center"/>
            <w:hideMark/>
          </w:tcPr>
          <w:p w14:paraId="1BE03C25" w14:textId="77777777" w:rsidR="0088085F" w:rsidRPr="00552FA9" w:rsidRDefault="0088085F" w:rsidP="00C762E6">
            <w:pPr>
              <w:pStyle w:val="cuatexto"/>
              <w:jc w:val="right"/>
              <w:rPr>
                <w:rFonts w:cs="Calibri"/>
                <w:lang w:val="es-ES" w:eastAsia="es-ES"/>
              </w:rPr>
            </w:pPr>
            <w:r w:rsidRPr="00552FA9">
              <w:rPr>
                <w:lang w:eastAsia="es-ES"/>
              </w:rPr>
              <w:t>20</w:t>
            </w:r>
          </w:p>
        </w:tc>
        <w:tc>
          <w:tcPr>
            <w:tcW w:w="614" w:type="pct"/>
            <w:tcBorders>
              <w:top w:val="single" w:sz="2" w:space="0" w:color="auto"/>
              <w:left w:val="nil"/>
              <w:bottom w:val="single" w:sz="4" w:space="0" w:color="auto"/>
              <w:right w:val="nil"/>
            </w:tcBorders>
            <w:shd w:val="clear" w:color="auto" w:fill="auto"/>
            <w:vAlign w:val="center"/>
            <w:hideMark/>
          </w:tcPr>
          <w:p w14:paraId="04701FC0" w14:textId="77777777" w:rsidR="0088085F" w:rsidRPr="00552FA9" w:rsidRDefault="0088085F" w:rsidP="00C762E6">
            <w:pPr>
              <w:pStyle w:val="cuatexto"/>
              <w:jc w:val="right"/>
              <w:rPr>
                <w:rFonts w:cs="Calibri"/>
                <w:lang w:val="es-ES" w:eastAsia="es-ES"/>
              </w:rPr>
            </w:pPr>
            <w:r w:rsidRPr="00552FA9">
              <w:rPr>
                <w:lang w:eastAsia="es-ES"/>
              </w:rPr>
              <w:t>23</w:t>
            </w:r>
          </w:p>
        </w:tc>
        <w:tc>
          <w:tcPr>
            <w:tcW w:w="646" w:type="pct"/>
            <w:tcBorders>
              <w:top w:val="single" w:sz="2" w:space="0" w:color="auto"/>
              <w:left w:val="nil"/>
              <w:bottom w:val="single" w:sz="4" w:space="0" w:color="auto"/>
              <w:right w:val="nil"/>
            </w:tcBorders>
            <w:shd w:val="clear" w:color="auto" w:fill="auto"/>
            <w:vAlign w:val="center"/>
            <w:hideMark/>
          </w:tcPr>
          <w:p w14:paraId="5C7EC717" w14:textId="77777777" w:rsidR="0088085F" w:rsidRPr="00552FA9" w:rsidRDefault="0088085F" w:rsidP="00C762E6">
            <w:pPr>
              <w:pStyle w:val="cuatexto"/>
              <w:jc w:val="right"/>
              <w:rPr>
                <w:rFonts w:cs="Calibri"/>
                <w:lang w:val="es-ES" w:eastAsia="es-ES"/>
              </w:rPr>
            </w:pPr>
            <w:r w:rsidRPr="00552FA9">
              <w:rPr>
                <w:lang w:eastAsia="es-ES"/>
              </w:rPr>
              <w:t>22</w:t>
            </w:r>
          </w:p>
        </w:tc>
        <w:tc>
          <w:tcPr>
            <w:tcW w:w="614" w:type="pct"/>
            <w:tcBorders>
              <w:top w:val="single" w:sz="2" w:space="0" w:color="auto"/>
              <w:left w:val="nil"/>
              <w:bottom w:val="single" w:sz="4" w:space="0" w:color="auto"/>
              <w:right w:val="nil"/>
            </w:tcBorders>
            <w:vAlign w:val="center"/>
          </w:tcPr>
          <w:p w14:paraId="06A89BFE" w14:textId="77777777" w:rsidR="0088085F" w:rsidRPr="00552FA9" w:rsidRDefault="0088085F" w:rsidP="00C762E6">
            <w:pPr>
              <w:pStyle w:val="cuatexto"/>
              <w:jc w:val="right"/>
              <w:rPr>
                <w:rFonts w:cs="Calibri"/>
                <w:lang w:val="es-ES" w:eastAsia="es-ES"/>
              </w:rPr>
            </w:pPr>
            <w:r w:rsidRPr="00552FA9">
              <w:rPr>
                <w:lang w:eastAsia="es-ES"/>
              </w:rPr>
              <w:t>22</w:t>
            </w:r>
          </w:p>
        </w:tc>
      </w:tr>
      <w:tr w:rsidR="00D54D57" w:rsidRPr="00552FA9" w14:paraId="168BCE36" w14:textId="77777777" w:rsidTr="00F4617C">
        <w:trPr>
          <w:trHeight w:val="255"/>
          <w:jc w:val="center"/>
        </w:trPr>
        <w:tc>
          <w:tcPr>
            <w:tcW w:w="1595" w:type="pct"/>
            <w:tcBorders>
              <w:top w:val="nil"/>
              <w:left w:val="nil"/>
              <w:bottom w:val="single" w:sz="4" w:space="0" w:color="auto"/>
              <w:right w:val="nil"/>
            </w:tcBorders>
            <w:shd w:val="clear" w:color="auto" w:fill="FABF8F" w:themeFill="accent6" w:themeFillTint="99"/>
            <w:vAlign w:val="center"/>
            <w:hideMark/>
          </w:tcPr>
          <w:p w14:paraId="61BBA622" w14:textId="77777777" w:rsidR="0088085F" w:rsidRPr="00552FA9" w:rsidRDefault="0088085F" w:rsidP="00C762E6">
            <w:pPr>
              <w:pStyle w:val="cuadroCabe"/>
              <w:jc w:val="left"/>
              <w:rPr>
                <w:lang w:val="es-ES" w:eastAsia="es-ES"/>
              </w:rPr>
            </w:pPr>
            <w:r w:rsidRPr="00552FA9">
              <w:rPr>
                <w:lang w:eastAsia="es-ES"/>
              </w:rPr>
              <w:t>Total</w:t>
            </w:r>
          </w:p>
        </w:tc>
        <w:tc>
          <w:tcPr>
            <w:tcW w:w="910" w:type="pct"/>
            <w:tcBorders>
              <w:top w:val="nil"/>
              <w:left w:val="nil"/>
              <w:bottom w:val="single" w:sz="4" w:space="0" w:color="auto"/>
              <w:right w:val="nil"/>
            </w:tcBorders>
            <w:shd w:val="clear" w:color="auto" w:fill="FABF8F" w:themeFill="accent6" w:themeFillTint="99"/>
            <w:vAlign w:val="center"/>
          </w:tcPr>
          <w:p w14:paraId="76E14C8D" w14:textId="77777777" w:rsidR="0088085F" w:rsidRPr="00552FA9" w:rsidRDefault="0088085F" w:rsidP="00C762E6">
            <w:pPr>
              <w:pStyle w:val="cuadroCabe"/>
              <w:jc w:val="right"/>
              <w:rPr>
                <w:lang w:val="es-ES" w:eastAsia="es-ES"/>
              </w:rPr>
            </w:pPr>
            <w:r w:rsidRPr="00552FA9">
              <w:rPr>
                <w:lang w:eastAsia="es-ES"/>
              </w:rPr>
              <w:t>701</w:t>
            </w:r>
          </w:p>
        </w:tc>
        <w:tc>
          <w:tcPr>
            <w:tcW w:w="622" w:type="pct"/>
            <w:tcBorders>
              <w:top w:val="nil"/>
              <w:left w:val="nil"/>
              <w:bottom w:val="single" w:sz="4" w:space="0" w:color="auto"/>
              <w:right w:val="nil"/>
            </w:tcBorders>
            <w:shd w:val="clear" w:color="auto" w:fill="FABF8F" w:themeFill="accent6" w:themeFillTint="99"/>
            <w:vAlign w:val="center"/>
            <w:hideMark/>
          </w:tcPr>
          <w:p w14:paraId="3C42B422" w14:textId="77777777" w:rsidR="0088085F" w:rsidRPr="00552FA9" w:rsidRDefault="0088085F" w:rsidP="00C762E6">
            <w:pPr>
              <w:pStyle w:val="cuadroCabe"/>
              <w:jc w:val="right"/>
              <w:rPr>
                <w:lang w:val="es-ES" w:eastAsia="es-ES"/>
              </w:rPr>
            </w:pPr>
            <w:r w:rsidRPr="00552FA9">
              <w:rPr>
                <w:lang w:eastAsia="es-ES"/>
              </w:rPr>
              <w:t>701</w:t>
            </w:r>
          </w:p>
        </w:tc>
        <w:tc>
          <w:tcPr>
            <w:tcW w:w="614" w:type="pct"/>
            <w:tcBorders>
              <w:top w:val="nil"/>
              <w:left w:val="nil"/>
              <w:bottom w:val="single" w:sz="4" w:space="0" w:color="auto"/>
              <w:right w:val="nil"/>
            </w:tcBorders>
            <w:shd w:val="clear" w:color="auto" w:fill="FABF8F" w:themeFill="accent6" w:themeFillTint="99"/>
            <w:vAlign w:val="center"/>
            <w:hideMark/>
          </w:tcPr>
          <w:p w14:paraId="66056061" w14:textId="77777777" w:rsidR="0088085F" w:rsidRPr="00552FA9" w:rsidRDefault="0088085F" w:rsidP="00C762E6">
            <w:pPr>
              <w:pStyle w:val="cuadroCabe"/>
              <w:jc w:val="right"/>
              <w:rPr>
                <w:lang w:val="es-ES" w:eastAsia="es-ES"/>
              </w:rPr>
            </w:pPr>
            <w:r w:rsidRPr="00552FA9">
              <w:rPr>
                <w:lang w:eastAsia="es-ES"/>
              </w:rPr>
              <w:t>703</w:t>
            </w:r>
          </w:p>
        </w:tc>
        <w:tc>
          <w:tcPr>
            <w:tcW w:w="646" w:type="pct"/>
            <w:tcBorders>
              <w:top w:val="nil"/>
              <w:left w:val="nil"/>
              <w:bottom w:val="single" w:sz="4" w:space="0" w:color="auto"/>
              <w:right w:val="nil"/>
            </w:tcBorders>
            <w:shd w:val="clear" w:color="auto" w:fill="FABF8F" w:themeFill="accent6" w:themeFillTint="99"/>
            <w:vAlign w:val="center"/>
            <w:hideMark/>
          </w:tcPr>
          <w:p w14:paraId="774F55E2" w14:textId="77777777" w:rsidR="0088085F" w:rsidRPr="00552FA9" w:rsidRDefault="0088085F" w:rsidP="00C762E6">
            <w:pPr>
              <w:pStyle w:val="cuadroCabe"/>
              <w:jc w:val="right"/>
              <w:rPr>
                <w:lang w:val="es-ES" w:eastAsia="es-ES"/>
              </w:rPr>
            </w:pPr>
            <w:r w:rsidRPr="00552FA9">
              <w:rPr>
                <w:lang w:val="es-ES" w:eastAsia="es-ES"/>
              </w:rPr>
              <w:t>702</w:t>
            </w:r>
          </w:p>
        </w:tc>
        <w:tc>
          <w:tcPr>
            <w:tcW w:w="614" w:type="pct"/>
            <w:tcBorders>
              <w:top w:val="nil"/>
              <w:left w:val="nil"/>
              <w:bottom w:val="single" w:sz="4" w:space="0" w:color="auto"/>
              <w:right w:val="nil"/>
            </w:tcBorders>
            <w:shd w:val="clear" w:color="auto" w:fill="FABF8F" w:themeFill="accent6" w:themeFillTint="99"/>
            <w:vAlign w:val="center"/>
          </w:tcPr>
          <w:p w14:paraId="399EA77A" w14:textId="77777777" w:rsidR="0088085F" w:rsidRPr="00552FA9" w:rsidRDefault="0088085F" w:rsidP="00C762E6">
            <w:pPr>
              <w:pStyle w:val="cuadroCabe"/>
              <w:jc w:val="right"/>
              <w:rPr>
                <w:lang w:val="es-ES" w:eastAsia="es-ES"/>
              </w:rPr>
            </w:pPr>
            <w:r w:rsidRPr="00552FA9">
              <w:rPr>
                <w:lang w:val="es-ES" w:eastAsia="es-ES"/>
              </w:rPr>
              <w:t>702</w:t>
            </w:r>
          </w:p>
        </w:tc>
      </w:tr>
    </w:tbl>
    <w:p w14:paraId="0C72ADC2" w14:textId="77777777" w:rsidR="0088085F" w:rsidRPr="00C762E6" w:rsidRDefault="00C762E6" w:rsidP="00C762E6">
      <w:pPr>
        <w:pStyle w:val="recomen"/>
        <w:numPr>
          <w:ilvl w:val="0"/>
          <w:numId w:val="0"/>
        </w:numPr>
        <w:spacing w:before="80" w:after="60"/>
        <w:rPr>
          <w:rFonts w:ascii="Arial" w:hAnsi="Arial" w:cs="Arial"/>
          <w:i w:val="0"/>
          <w:color w:val="000000" w:themeColor="text1"/>
          <w:sz w:val="16"/>
          <w:szCs w:val="16"/>
          <w:lang w:val="es-ES_tradnl"/>
        </w:rPr>
      </w:pPr>
      <w:r>
        <w:rPr>
          <w:rFonts w:ascii="Arial" w:hAnsi="Arial" w:cs="Arial"/>
          <w:i w:val="0"/>
          <w:color w:val="000000" w:themeColor="text1"/>
          <w:sz w:val="14"/>
          <w:szCs w:val="14"/>
          <w:lang w:val="es-ES_tradnl"/>
        </w:rPr>
        <w:t xml:space="preserve">  </w:t>
      </w:r>
      <w:r w:rsidRPr="00C762E6">
        <w:rPr>
          <w:rFonts w:ascii="Arial" w:hAnsi="Arial" w:cs="Arial"/>
          <w:i w:val="0"/>
          <w:color w:val="000000" w:themeColor="text1"/>
          <w:sz w:val="14"/>
          <w:szCs w:val="14"/>
          <w:lang w:val="es-ES_tradnl"/>
        </w:rPr>
        <w:t>(1)</w:t>
      </w:r>
      <w:r>
        <w:rPr>
          <w:rFonts w:ascii="Arial" w:hAnsi="Arial" w:cs="Arial"/>
          <w:i w:val="0"/>
          <w:color w:val="000000" w:themeColor="text1"/>
          <w:sz w:val="14"/>
          <w:szCs w:val="14"/>
          <w:lang w:val="es-ES_tradnl"/>
        </w:rPr>
        <w:t xml:space="preserve"> </w:t>
      </w:r>
      <w:r w:rsidR="0088085F" w:rsidRPr="00C762E6">
        <w:rPr>
          <w:rFonts w:ascii="Arial" w:hAnsi="Arial" w:cs="Arial"/>
          <w:i w:val="0"/>
          <w:color w:val="000000" w:themeColor="text1"/>
          <w:sz w:val="16"/>
          <w:szCs w:val="16"/>
          <w:lang w:val="es-ES_tradnl"/>
        </w:rPr>
        <w:t>60 son municipios compuestos</w:t>
      </w:r>
      <w:r w:rsidR="004160D8">
        <w:rPr>
          <w:rFonts w:ascii="Arial" w:hAnsi="Arial" w:cs="Arial"/>
          <w:i w:val="0"/>
          <w:color w:val="000000" w:themeColor="text1"/>
          <w:sz w:val="16"/>
          <w:szCs w:val="16"/>
          <w:lang w:val="es-ES_tradnl"/>
        </w:rPr>
        <w:t>.</w:t>
      </w:r>
      <w:r>
        <w:rPr>
          <w:rFonts w:ascii="Arial" w:hAnsi="Arial" w:cs="Arial"/>
          <w:i w:val="0"/>
          <w:color w:val="000000" w:themeColor="text1"/>
          <w:sz w:val="16"/>
          <w:szCs w:val="16"/>
          <w:lang w:val="es-ES_tradnl"/>
        </w:rPr>
        <w:t xml:space="preserve"> </w:t>
      </w:r>
    </w:p>
    <w:p w14:paraId="2680B189" w14:textId="77777777" w:rsidR="0088085F" w:rsidRPr="00C762E6" w:rsidRDefault="00C762E6" w:rsidP="00C762E6">
      <w:pPr>
        <w:pStyle w:val="recomen"/>
        <w:numPr>
          <w:ilvl w:val="0"/>
          <w:numId w:val="0"/>
        </w:numPr>
        <w:spacing w:after="0"/>
        <w:rPr>
          <w:rFonts w:ascii="Arial" w:hAnsi="Arial" w:cs="Arial"/>
          <w:i w:val="0"/>
          <w:color w:val="000000" w:themeColor="text1"/>
          <w:sz w:val="16"/>
          <w:szCs w:val="16"/>
          <w:lang w:val="es-ES_tradnl"/>
        </w:rPr>
      </w:pPr>
      <w:r>
        <w:rPr>
          <w:rFonts w:ascii="Arial" w:hAnsi="Arial" w:cs="Arial"/>
          <w:i w:val="0"/>
          <w:color w:val="000000" w:themeColor="text1"/>
          <w:sz w:val="14"/>
          <w:szCs w:val="14"/>
          <w:lang w:val="es-ES_tradnl"/>
        </w:rPr>
        <w:t xml:space="preserve">  </w:t>
      </w:r>
      <w:r w:rsidRPr="00C762E6">
        <w:rPr>
          <w:rFonts w:ascii="Arial" w:hAnsi="Arial" w:cs="Arial"/>
          <w:i w:val="0"/>
          <w:color w:val="000000" w:themeColor="text1"/>
          <w:sz w:val="14"/>
          <w:szCs w:val="14"/>
          <w:lang w:val="es-ES_tradnl"/>
        </w:rPr>
        <w:t>(</w:t>
      </w:r>
      <w:r>
        <w:rPr>
          <w:rFonts w:ascii="Arial" w:hAnsi="Arial" w:cs="Arial"/>
          <w:i w:val="0"/>
          <w:color w:val="000000" w:themeColor="text1"/>
          <w:sz w:val="14"/>
          <w:szCs w:val="14"/>
          <w:lang w:val="es-ES_tradnl"/>
        </w:rPr>
        <w:t>2</w:t>
      </w:r>
      <w:r w:rsidRPr="007603F0">
        <w:rPr>
          <w:rFonts w:ascii="Arial" w:hAnsi="Arial" w:cs="Arial"/>
          <w:i w:val="0"/>
          <w:color w:val="000000" w:themeColor="text1"/>
          <w:sz w:val="16"/>
          <w:szCs w:val="14"/>
          <w:lang w:val="es-ES_tradnl"/>
        </w:rPr>
        <w:t xml:space="preserve">) </w:t>
      </w:r>
      <w:r w:rsidR="007603F0" w:rsidRPr="007603F0">
        <w:rPr>
          <w:rFonts w:ascii="Arial" w:hAnsi="Arial" w:cs="Arial"/>
          <w:i w:val="0"/>
          <w:color w:val="000000" w:themeColor="text1"/>
          <w:sz w:val="16"/>
          <w:szCs w:val="14"/>
          <w:lang w:val="es-ES_tradnl"/>
        </w:rPr>
        <w:t>d</w:t>
      </w:r>
      <w:r w:rsidR="0088085F" w:rsidRPr="00C762E6">
        <w:rPr>
          <w:rFonts w:ascii="Arial" w:hAnsi="Arial" w:cs="Arial"/>
          <w:i w:val="0"/>
          <w:color w:val="000000" w:themeColor="text1"/>
          <w:sz w:val="16"/>
          <w:szCs w:val="16"/>
          <w:lang w:val="es-ES_tradnl"/>
        </w:rPr>
        <w:t>os Mancomunidades no tienen actividad</w:t>
      </w:r>
      <w:r w:rsidR="004160D8">
        <w:rPr>
          <w:rFonts w:ascii="Arial" w:hAnsi="Arial" w:cs="Arial"/>
          <w:i w:val="0"/>
          <w:color w:val="000000" w:themeColor="text1"/>
          <w:sz w:val="16"/>
          <w:szCs w:val="16"/>
          <w:lang w:val="es-ES_tradnl"/>
        </w:rPr>
        <w:t>.</w:t>
      </w:r>
    </w:p>
    <w:p w14:paraId="3227A83E" w14:textId="77777777" w:rsidR="0088085F" w:rsidRPr="00262228" w:rsidRDefault="0088085F" w:rsidP="00C762E6">
      <w:pPr>
        <w:pStyle w:val="texto"/>
        <w:spacing w:before="220"/>
      </w:pPr>
      <w:r w:rsidRPr="00262228">
        <w:t>Si comparamos los datos con los de 2018 comprobamos que no hay variación alguna.</w:t>
      </w:r>
    </w:p>
    <w:p w14:paraId="366E1356" w14:textId="77777777" w:rsidR="0088085F" w:rsidRPr="00262228" w:rsidRDefault="0088085F" w:rsidP="00C762E6">
      <w:pPr>
        <w:pStyle w:val="texto"/>
        <w:spacing w:after="240"/>
      </w:pPr>
      <w:r w:rsidRPr="00262228">
        <w:t>El número de organismos autónomos, empresas públicas locales, fundaciones públicas locales y consorcios en el periodo de 2015 a 2019 es:</w:t>
      </w:r>
    </w:p>
    <w:tbl>
      <w:tblPr>
        <w:tblW w:w="4984" w:type="pct"/>
        <w:jc w:val="center"/>
        <w:tblCellMar>
          <w:left w:w="70" w:type="dxa"/>
          <w:right w:w="70" w:type="dxa"/>
        </w:tblCellMar>
        <w:tblLook w:val="04A0" w:firstRow="1" w:lastRow="0" w:firstColumn="1" w:lastColumn="0" w:noHBand="0" w:noVBand="1"/>
      </w:tblPr>
      <w:tblGrid>
        <w:gridCol w:w="2253"/>
        <w:gridCol w:w="1187"/>
        <w:gridCol w:w="902"/>
        <w:gridCol w:w="1158"/>
        <w:gridCol w:w="1065"/>
        <w:gridCol w:w="1134"/>
        <w:gridCol w:w="1062"/>
      </w:tblGrid>
      <w:tr w:rsidR="00D54D57" w:rsidRPr="006E66F8" w14:paraId="1228E120" w14:textId="77777777" w:rsidTr="00F4617C">
        <w:trPr>
          <w:trHeight w:val="255"/>
          <w:jc w:val="center"/>
        </w:trPr>
        <w:tc>
          <w:tcPr>
            <w:tcW w:w="1285" w:type="pct"/>
            <w:tcBorders>
              <w:top w:val="single" w:sz="4" w:space="0" w:color="auto"/>
              <w:left w:val="nil"/>
              <w:bottom w:val="single" w:sz="4" w:space="0" w:color="auto"/>
              <w:right w:val="nil"/>
            </w:tcBorders>
            <w:shd w:val="clear" w:color="auto" w:fill="FABF8F" w:themeFill="accent6" w:themeFillTint="99"/>
            <w:vAlign w:val="center"/>
            <w:hideMark/>
          </w:tcPr>
          <w:p w14:paraId="37E8A8A7" w14:textId="77777777" w:rsidR="0088085F" w:rsidRPr="006E66F8" w:rsidRDefault="0088085F" w:rsidP="00C762E6">
            <w:pPr>
              <w:pStyle w:val="cuadroCabe"/>
              <w:jc w:val="left"/>
              <w:rPr>
                <w:lang w:val="es-ES" w:eastAsia="es-ES"/>
              </w:rPr>
            </w:pPr>
            <w:r w:rsidRPr="006E66F8">
              <w:rPr>
                <w:lang w:val="es-ES" w:eastAsia="es-ES"/>
              </w:rPr>
              <w:t>Entidad</w:t>
            </w:r>
          </w:p>
        </w:tc>
        <w:tc>
          <w:tcPr>
            <w:tcW w:w="677" w:type="pct"/>
            <w:tcBorders>
              <w:top w:val="single" w:sz="4" w:space="0" w:color="auto"/>
              <w:left w:val="nil"/>
              <w:bottom w:val="single" w:sz="4" w:space="0" w:color="auto"/>
              <w:right w:val="nil"/>
            </w:tcBorders>
            <w:shd w:val="clear" w:color="auto" w:fill="FABF8F" w:themeFill="accent6" w:themeFillTint="99"/>
            <w:vAlign w:val="center"/>
          </w:tcPr>
          <w:p w14:paraId="739AE369" w14:textId="77777777" w:rsidR="0088085F" w:rsidRPr="006E66F8" w:rsidRDefault="0088085F" w:rsidP="00C762E6">
            <w:pPr>
              <w:pStyle w:val="cuadroCabe"/>
              <w:rPr>
                <w:lang w:val="es-ES" w:eastAsia="es-ES"/>
              </w:rPr>
            </w:pPr>
          </w:p>
        </w:tc>
        <w:tc>
          <w:tcPr>
            <w:tcW w:w="515" w:type="pct"/>
            <w:tcBorders>
              <w:top w:val="single" w:sz="4" w:space="0" w:color="auto"/>
              <w:left w:val="nil"/>
              <w:bottom w:val="single" w:sz="4" w:space="0" w:color="auto"/>
              <w:right w:val="nil"/>
            </w:tcBorders>
            <w:shd w:val="clear" w:color="auto" w:fill="FABF8F" w:themeFill="accent6" w:themeFillTint="99"/>
            <w:vAlign w:val="center"/>
            <w:hideMark/>
          </w:tcPr>
          <w:p w14:paraId="18131DB2" w14:textId="77777777" w:rsidR="0088085F" w:rsidRPr="006E66F8" w:rsidRDefault="0088085F" w:rsidP="00C762E6">
            <w:pPr>
              <w:pStyle w:val="cuadroCabe"/>
              <w:jc w:val="right"/>
              <w:rPr>
                <w:lang w:val="es-ES" w:eastAsia="es-ES"/>
              </w:rPr>
            </w:pPr>
            <w:r w:rsidRPr="006E66F8">
              <w:rPr>
                <w:lang w:val="es-ES" w:eastAsia="es-ES"/>
              </w:rPr>
              <w:t>2015</w:t>
            </w:r>
          </w:p>
        </w:tc>
        <w:tc>
          <w:tcPr>
            <w:tcW w:w="661" w:type="pct"/>
            <w:tcBorders>
              <w:top w:val="single" w:sz="4" w:space="0" w:color="auto"/>
              <w:left w:val="nil"/>
              <w:bottom w:val="single" w:sz="4" w:space="0" w:color="auto"/>
              <w:right w:val="nil"/>
            </w:tcBorders>
            <w:shd w:val="clear" w:color="auto" w:fill="FABF8F" w:themeFill="accent6" w:themeFillTint="99"/>
            <w:vAlign w:val="center"/>
            <w:hideMark/>
          </w:tcPr>
          <w:p w14:paraId="3066F488" w14:textId="77777777" w:rsidR="0088085F" w:rsidRPr="006E66F8" w:rsidRDefault="0088085F" w:rsidP="00C762E6">
            <w:pPr>
              <w:pStyle w:val="cuadroCabe"/>
              <w:jc w:val="right"/>
              <w:rPr>
                <w:lang w:val="es-ES" w:eastAsia="es-ES"/>
              </w:rPr>
            </w:pPr>
            <w:r w:rsidRPr="006E66F8">
              <w:rPr>
                <w:lang w:val="es-ES" w:eastAsia="es-ES"/>
              </w:rPr>
              <w:t>2016</w:t>
            </w:r>
          </w:p>
        </w:tc>
        <w:tc>
          <w:tcPr>
            <w:tcW w:w="608" w:type="pct"/>
            <w:tcBorders>
              <w:top w:val="single" w:sz="4" w:space="0" w:color="auto"/>
              <w:left w:val="nil"/>
              <w:bottom w:val="single" w:sz="4" w:space="0" w:color="auto"/>
              <w:right w:val="nil"/>
            </w:tcBorders>
            <w:shd w:val="clear" w:color="auto" w:fill="FABF8F" w:themeFill="accent6" w:themeFillTint="99"/>
            <w:vAlign w:val="center"/>
            <w:hideMark/>
          </w:tcPr>
          <w:p w14:paraId="78BFC817" w14:textId="77777777" w:rsidR="0088085F" w:rsidRPr="006E66F8" w:rsidRDefault="0088085F" w:rsidP="00C762E6">
            <w:pPr>
              <w:pStyle w:val="cuadroCabe"/>
              <w:jc w:val="right"/>
              <w:rPr>
                <w:lang w:val="es-ES" w:eastAsia="es-ES"/>
              </w:rPr>
            </w:pPr>
            <w:r w:rsidRPr="006E66F8">
              <w:rPr>
                <w:lang w:val="es-ES" w:eastAsia="es-ES"/>
              </w:rPr>
              <w:t>2017</w:t>
            </w:r>
          </w:p>
        </w:tc>
        <w:tc>
          <w:tcPr>
            <w:tcW w:w="647" w:type="pct"/>
            <w:tcBorders>
              <w:top w:val="single" w:sz="4" w:space="0" w:color="auto"/>
              <w:left w:val="nil"/>
              <w:bottom w:val="single" w:sz="4" w:space="0" w:color="auto"/>
              <w:right w:val="nil"/>
            </w:tcBorders>
            <w:shd w:val="clear" w:color="auto" w:fill="FABF8F" w:themeFill="accent6" w:themeFillTint="99"/>
            <w:vAlign w:val="center"/>
            <w:hideMark/>
          </w:tcPr>
          <w:p w14:paraId="706C0D85" w14:textId="77777777" w:rsidR="0088085F" w:rsidRPr="006E66F8" w:rsidRDefault="0088085F" w:rsidP="00C762E6">
            <w:pPr>
              <w:pStyle w:val="cuadroCabe"/>
              <w:jc w:val="right"/>
              <w:rPr>
                <w:lang w:val="es-ES" w:eastAsia="es-ES"/>
              </w:rPr>
            </w:pPr>
            <w:r>
              <w:rPr>
                <w:lang w:val="es-ES" w:eastAsia="es-ES"/>
              </w:rPr>
              <w:t>2018</w:t>
            </w:r>
          </w:p>
        </w:tc>
        <w:tc>
          <w:tcPr>
            <w:tcW w:w="606" w:type="pct"/>
            <w:tcBorders>
              <w:top w:val="single" w:sz="4" w:space="0" w:color="auto"/>
              <w:left w:val="nil"/>
              <w:bottom w:val="single" w:sz="4" w:space="0" w:color="auto"/>
              <w:right w:val="nil"/>
            </w:tcBorders>
            <w:shd w:val="clear" w:color="auto" w:fill="FABF8F" w:themeFill="accent6" w:themeFillTint="99"/>
            <w:vAlign w:val="center"/>
          </w:tcPr>
          <w:p w14:paraId="7C4F8832" w14:textId="77777777" w:rsidR="0088085F" w:rsidRDefault="0088085F" w:rsidP="00C762E6">
            <w:pPr>
              <w:pStyle w:val="cuadroCabe"/>
              <w:jc w:val="right"/>
              <w:rPr>
                <w:lang w:val="es-ES" w:eastAsia="es-ES"/>
              </w:rPr>
            </w:pPr>
            <w:r>
              <w:rPr>
                <w:lang w:val="es-ES" w:eastAsia="es-ES"/>
              </w:rPr>
              <w:t>2019</w:t>
            </w:r>
          </w:p>
        </w:tc>
      </w:tr>
      <w:tr w:rsidR="00D54D57" w:rsidRPr="006E66F8" w14:paraId="7D126D05" w14:textId="77777777" w:rsidTr="00F4617C">
        <w:trPr>
          <w:trHeight w:val="198"/>
          <w:jc w:val="center"/>
        </w:trPr>
        <w:tc>
          <w:tcPr>
            <w:tcW w:w="1285" w:type="pct"/>
            <w:tcBorders>
              <w:top w:val="single" w:sz="4" w:space="0" w:color="auto"/>
              <w:left w:val="nil"/>
              <w:bottom w:val="single" w:sz="2" w:space="0" w:color="auto"/>
              <w:right w:val="nil"/>
            </w:tcBorders>
            <w:shd w:val="clear" w:color="auto" w:fill="auto"/>
            <w:vAlign w:val="center"/>
            <w:hideMark/>
          </w:tcPr>
          <w:p w14:paraId="45513EF3" w14:textId="77777777" w:rsidR="0088085F" w:rsidRPr="006E66F8" w:rsidRDefault="0088085F" w:rsidP="00C762E6">
            <w:pPr>
              <w:pStyle w:val="cuatexto"/>
              <w:jc w:val="left"/>
              <w:rPr>
                <w:lang w:val="es-ES" w:eastAsia="es-ES"/>
              </w:rPr>
            </w:pPr>
            <w:r w:rsidRPr="006E66F8">
              <w:rPr>
                <w:lang w:val="es-ES" w:eastAsia="es-ES"/>
              </w:rPr>
              <w:t xml:space="preserve">Organismos Autónomos </w:t>
            </w:r>
            <w:r w:rsidRPr="00731784">
              <w:rPr>
                <w:vertAlign w:val="subscript"/>
                <w:lang w:val="es-ES" w:eastAsia="es-ES"/>
              </w:rPr>
              <w:t>(1)</w:t>
            </w:r>
          </w:p>
        </w:tc>
        <w:tc>
          <w:tcPr>
            <w:tcW w:w="677" w:type="pct"/>
            <w:tcBorders>
              <w:top w:val="single" w:sz="4" w:space="0" w:color="auto"/>
              <w:left w:val="nil"/>
              <w:bottom w:val="single" w:sz="2" w:space="0" w:color="auto"/>
              <w:right w:val="nil"/>
            </w:tcBorders>
            <w:shd w:val="clear" w:color="auto" w:fill="auto"/>
            <w:vAlign w:val="center"/>
          </w:tcPr>
          <w:p w14:paraId="58E8BE34" w14:textId="77777777" w:rsidR="0088085F" w:rsidRPr="006E66F8" w:rsidRDefault="0088085F" w:rsidP="00D54D57">
            <w:pPr>
              <w:pStyle w:val="cuatexto"/>
              <w:tabs>
                <w:tab w:val="clear" w:pos="5103"/>
                <w:tab w:val="right" w:pos="1056"/>
              </w:tabs>
              <w:rPr>
                <w:lang w:val="es-ES" w:eastAsia="es-ES"/>
              </w:rPr>
            </w:pPr>
          </w:p>
        </w:tc>
        <w:tc>
          <w:tcPr>
            <w:tcW w:w="515" w:type="pct"/>
            <w:tcBorders>
              <w:top w:val="single" w:sz="4" w:space="0" w:color="auto"/>
              <w:left w:val="nil"/>
              <w:bottom w:val="single" w:sz="2" w:space="0" w:color="auto"/>
              <w:right w:val="nil"/>
            </w:tcBorders>
            <w:shd w:val="clear" w:color="auto" w:fill="auto"/>
            <w:vAlign w:val="center"/>
            <w:hideMark/>
          </w:tcPr>
          <w:p w14:paraId="73D5A721" w14:textId="77777777" w:rsidR="0088085F" w:rsidRPr="006E66F8" w:rsidRDefault="0088085F" w:rsidP="00C762E6">
            <w:pPr>
              <w:pStyle w:val="cuatexto"/>
              <w:jc w:val="right"/>
              <w:rPr>
                <w:lang w:val="es-ES" w:eastAsia="es-ES"/>
              </w:rPr>
            </w:pPr>
            <w:r w:rsidRPr="006E66F8">
              <w:rPr>
                <w:lang w:val="es-ES" w:eastAsia="es-ES"/>
              </w:rPr>
              <w:t>65</w:t>
            </w:r>
          </w:p>
        </w:tc>
        <w:tc>
          <w:tcPr>
            <w:tcW w:w="661" w:type="pct"/>
            <w:tcBorders>
              <w:top w:val="single" w:sz="4" w:space="0" w:color="auto"/>
              <w:left w:val="nil"/>
              <w:bottom w:val="single" w:sz="2" w:space="0" w:color="auto"/>
              <w:right w:val="nil"/>
            </w:tcBorders>
            <w:shd w:val="clear" w:color="auto" w:fill="auto"/>
            <w:vAlign w:val="center"/>
            <w:hideMark/>
          </w:tcPr>
          <w:p w14:paraId="66799FD0" w14:textId="77777777" w:rsidR="0088085F" w:rsidRPr="006E66F8" w:rsidRDefault="0088085F" w:rsidP="00C762E6">
            <w:pPr>
              <w:pStyle w:val="cuatexto"/>
              <w:jc w:val="right"/>
              <w:rPr>
                <w:lang w:val="es-ES" w:eastAsia="es-ES"/>
              </w:rPr>
            </w:pPr>
            <w:r w:rsidRPr="006E66F8">
              <w:rPr>
                <w:lang w:val="es-ES" w:eastAsia="es-ES"/>
              </w:rPr>
              <w:t>64</w:t>
            </w:r>
          </w:p>
        </w:tc>
        <w:tc>
          <w:tcPr>
            <w:tcW w:w="608" w:type="pct"/>
            <w:tcBorders>
              <w:top w:val="single" w:sz="4" w:space="0" w:color="auto"/>
              <w:left w:val="nil"/>
              <w:bottom w:val="single" w:sz="2" w:space="0" w:color="auto"/>
              <w:right w:val="nil"/>
            </w:tcBorders>
            <w:shd w:val="clear" w:color="auto" w:fill="auto"/>
            <w:vAlign w:val="center"/>
            <w:hideMark/>
          </w:tcPr>
          <w:p w14:paraId="62F4CE18" w14:textId="77777777" w:rsidR="0088085F" w:rsidRPr="006E66F8" w:rsidRDefault="0088085F" w:rsidP="00C762E6">
            <w:pPr>
              <w:pStyle w:val="cuatexto"/>
              <w:jc w:val="right"/>
              <w:rPr>
                <w:lang w:val="es-ES" w:eastAsia="es-ES"/>
              </w:rPr>
            </w:pPr>
            <w:r w:rsidRPr="006E66F8">
              <w:rPr>
                <w:lang w:val="es-ES" w:eastAsia="es-ES"/>
              </w:rPr>
              <w:t>63</w:t>
            </w:r>
          </w:p>
        </w:tc>
        <w:tc>
          <w:tcPr>
            <w:tcW w:w="647" w:type="pct"/>
            <w:tcBorders>
              <w:top w:val="single" w:sz="4" w:space="0" w:color="auto"/>
              <w:left w:val="nil"/>
              <w:bottom w:val="single" w:sz="2" w:space="0" w:color="auto"/>
              <w:right w:val="nil"/>
            </w:tcBorders>
            <w:shd w:val="clear" w:color="auto" w:fill="auto"/>
            <w:vAlign w:val="center"/>
            <w:hideMark/>
          </w:tcPr>
          <w:p w14:paraId="64935F42" w14:textId="77777777" w:rsidR="0088085F" w:rsidRPr="006E66F8" w:rsidRDefault="0088085F" w:rsidP="00C762E6">
            <w:pPr>
              <w:pStyle w:val="cuatexto"/>
              <w:jc w:val="right"/>
              <w:rPr>
                <w:lang w:val="es-ES" w:eastAsia="es-ES"/>
              </w:rPr>
            </w:pPr>
            <w:r w:rsidRPr="006E66F8">
              <w:rPr>
                <w:lang w:val="es-ES" w:eastAsia="es-ES"/>
              </w:rPr>
              <w:t>60</w:t>
            </w:r>
          </w:p>
        </w:tc>
        <w:tc>
          <w:tcPr>
            <w:tcW w:w="606" w:type="pct"/>
            <w:tcBorders>
              <w:top w:val="single" w:sz="4" w:space="0" w:color="auto"/>
              <w:left w:val="nil"/>
              <w:bottom w:val="single" w:sz="2" w:space="0" w:color="auto"/>
              <w:right w:val="nil"/>
            </w:tcBorders>
            <w:vAlign w:val="center"/>
          </w:tcPr>
          <w:p w14:paraId="04BA6070" w14:textId="77777777" w:rsidR="0088085F" w:rsidRPr="006E66F8" w:rsidRDefault="0088085F" w:rsidP="00C762E6">
            <w:pPr>
              <w:pStyle w:val="cuatexto"/>
              <w:jc w:val="right"/>
              <w:rPr>
                <w:lang w:val="es-ES" w:eastAsia="es-ES"/>
              </w:rPr>
            </w:pPr>
            <w:r>
              <w:rPr>
                <w:lang w:val="es-ES" w:eastAsia="es-ES"/>
              </w:rPr>
              <w:t>58</w:t>
            </w:r>
          </w:p>
        </w:tc>
      </w:tr>
      <w:tr w:rsidR="00D54D57" w:rsidRPr="006E66F8" w14:paraId="0B419D9A" w14:textId="77777777" w:rsidTr="00F4617C">
        <w:trPr>
          <w:trHeight w:val="198"/>
          <w:jc w:val="center"/>
        </w:trPr>
        <w:tc>
          <w:tcPr>
            <w:tcW w:w="1285" w:type="pct"/>
            <w:tcBorders>
              <w:top w:val="single" w:sz="2" w:space="0" w:color="auto"/>
              <w:left w:val="nil"/>
              <w:bottom w:val="single" w:sz="2" w:space="0" w:color="auto"/>
              <w:right w:val="nil"/>
            </w:tcBorders>
            <w:shd w:val="clear" w:color="auto" w:fill="auto"/>
            <w:vAlign w:val="center"/>
            <w:hideMark/>
          </w:tcPr>
          <w:p w14:paraId="46ED4BD5" w14:textId="77777777" w:rsidR="0088085F" w:rsidRPr="006E66F8" w:rsidRDefault="0088085F" w:rsidP="00C762E6">
            <w:pPr>
              <w:pStyle w:val="cuatexto"/>
              <w:jc w:val="left"/>
              <w:rPr>
                <w:lang w:val="es-ES" w:eastAsia="es-ES"/>
              </w:rPr>
            </w:pPr>
            <w:r w:rsidRPr="006E66F8">
              <w:rPr>
                <w:lang w:val="es-ES" w:eastAsia="es-ES"/>
              </w:rPr>
              <w:t>Empresas públicas</w:t>
            </w:r>
          </w:p>
        </w:tc>
        <w:tc>
          <w:tcPr>
            <w:tcW w:w="677" w:type="pct"/>
            <w:tcBorders>
              <w:top w:val="single" w:sz="2" w:space="0" w:color="auto"/>
              <w:left w:val="nil"/>
              <w:bottom w:val="single" w:sz="2" w:space="0" w:color="auto"/>
              <w:right w:val="nil"/>
            </w:tcBorders>
            <w:shd w:val="clear" w:color="auto" w:fill="auto"/>
            <w:vAlign w:val="center"/>
          </w:tcPr>
          <w:p w14:paraId="1882FD54" w14:textId="77777777" w:rsidR="0088085F" w:rsidRPr="006E66F8" w:rsidRDefault="0088085F" w:rsidP="00C762E6">
            <w:pPr>
              <w:pStyle w:val="cuatexto"/>
              <w:rPr>
                <w:lang w:val="es-ES" w:eastAsia="es-ES"/>
              </w:rPr>
            </w:pPr>
          </w:p>
        </w:tc>
        <w:tc>
          <w:tcPr>
            <w:tcW w:w="515" w:type="pct"/>
            <w:tcBorders>
              <w:top w:val="single" w:sz="2" w:space="0" w:color="auto"/>
              <w:left w:val="nil"/>
              <w:bottom w:val="single" w:sz="2" w:space="0" w:color="auto"/>
              <w:right w:val="nil"/>
            </w:tcBorders>
            <w:shd w:val="clear" w:color="auto" w:fill="auto"/>
            <w:vAlign w:val="center"/>
            <w:hideMark/>
          </w:tcPr>
          <w:p w14:paraId="743D35E9" w14:textId="77777777" w:rsidR="0088085F" w:rsidRPr="006E66F8" w:rsidRDefault="0088085F" w:rsidP="00C762E6">
            <w:pPr>
              <w:pStyle w:val="cuatexto"/>
              <w:jc w:val="right"/>
              <w:rPr>
                <w:lang w:val="es-ES" w:eastAsia="es-ES"/>
              </w:rPr>
            </w:pPr>
            <w:r w:rsidRPr="006E66F8">
              <w:rPr>
                <w:lang w:val="es-ES" w:eastAsia="es-ES"/>
              </w:rPr>
              <w:t>55</w:t>
            </w:r>
          </w:p>
        </w:tc>
        <w:tc>
          <w:tcPr>
            <w:tcW w:w="661" w:type="pct"/>
            <w:tcBorders>
              <w:top w:val="single" w:sz="2" w:space="0" w:color="auto"/>
              <w:left w:val="nil"/>
              <w:bottom w:val="single" w:sz="2" w:space="0" w:color="auto"/>
              <w:right w:val="nil"/>
            </w:tcBorders>
            <w:shd w:val="clear" w:color="auto" w:fill="auto"/>
            <w:vAlign w:val="center"/>
            <w:hideMark/>
          </w:tcPr>
          <w:p w14:paraId="6B4A26E6" w14:textId="77777777" w:rsidR="0088085F" w:rsidRPr="006E66F8" w:rsidRDefault="0088085F" w:rsidP="00C762E6">
            <w:pPr>
              <w:pStyle w:val="cuatexto"/>
              <w:jc w:val="right"/>
              <w:rPr>
                <w:lang w:val="es-ES" w:eastAsia="es-ES"/>
              </w:rPr>
            </w:pPr>
            <w:r w:rsidRPr="006E66F8">
              <w:rPr>
                <w:lang w:val="es-ES" w:eastAsia="es-ES"/>
              </w:rPr>
              <w:t>54</w:t>
            </w:r>
          </w:p>
        </w:tc>
        <w:tc>
          <w:tcPr>
            <w:tcW w:w="608" w:type="pct"/>
            <w:tcBorders>
              <w:top w:val="single" w:sz="2" w:space="0" w:color="auto"/>
              <w:left w:val="nil"/>
              <w:bottom w:val="single" w:sz="2" w:space="0" w:color="auto"/>
              <w:right w:val="nil"/>
            </w:tcBorders>
            <w:shd w:val="clear" w:color="auto" w:fill="auto"/>
            <w:vAlign w:val="center"/>
            <w:hideMark/>
          </w:tcPr>
          <w:p w14:paraId="16C33E1E" w14:textId="77777777" w:rsidR="0088085F" w:rsidRPr="006E66F8" w:rsidRDefault="0088085F" w:rsidP="00C762E6">
            <w:pPr>
              <w:pStyle w:val="cuatexto"/>
              <w:jc w:val="right"/>
              <w:rPr>
                <w:lang w:val="es-ES" w:eastAsia="es-ES"/>
              </w:rPr>
            </w:pPr>
            <w:r w:rsidRPr="006E66F8">
              <w:rPr>
                <w:lang w:val="es-ES" w:eastAsia="es-ES"/>
              </w:rPr>
              <w:t>53</w:t>
            </w:r>
          </w:p>
        </w:tc>
        <w:tc>
          <w:tcPr>
            <w:tcW w:w="647" w:type="pct"/>
            <w:tcBorders>
              <w:top w:val="single" w:sz="2" w:space="0" w:color="auto"/>
              <w:left w:val="nil"/>
              <w:bottom w:val="single" w:sz="2" w:space="0" w:color="auto"/>
              <w:right w:val="nil"/>
            </w:tcBorders>
            <w:shd w:val="clear" w:color="auto" w:fill="auto"/>
            <w:vAlign w:val="center"/>
            <w:hideMark/>
          </w:tcPr>
          <w:p w14:paraId="5B32C26A" w14:textId="77777777" w:rsidR="0088085F" w:rsidRPr="006E66F8" w:rsidRDefault="0088085F" w:rsidP="00C762E6">
            <w:pPr>
              <w:pStyle w:val="cuatexto"/>
              <w:jc w:val="right"/>
              <w:rPr>
                <w:lang w:val="es-ES" w:eastAsia="es-ES"/>
              </w:rPr>
            </w:pPr>
            <w:r>
              <w:rPr>
                <w:lang w:val="es-ES" w:eastAsia="es-ES"/>
              </w:rPr>
              <w:t>57</w:t>
            </w:r>
          </w:p>
        </w:tc>
        <w:tc>
          <w:tcPr>
            <w:tcW w:w="606" w:type="pct"/>
            <w:tcBorders>
              <w:top w:val="single" w:sz="2" w:space="0" w:color="auto"/>
              <w:left w:val="nil"/>
              <w:bottom w:val="single" w:sz="2" w:space="0" w:color="auto"/>
              <w:right w:val="nil"/>
            </w:tcBorders>
            <w:vAlign w:val="center"/>
          </w:tcPr>
          <w:p w14:paraId="45593B38" w14:textId="77777777" w:rsidR="0088085F" w:rsidRPr="006E66F8" w:rsidRDefault="0088085F" w:rsidP="00C762E6">
            <w:pPr>
              <w:pStyle w:val="cuatexto"/>
              <w:jc w:val="right"/>
              <w:rPr>
                <w:lang w:val="es-ES" w:eastAsia="es-ES"/>
              </w:rPr>
            </w:pPr>
            <w:r>
              <w:rPr>
                <w:lang w:val="es-ES" w:eastAsia="es-ES"/>
              </w:rPr>
              <w:t>56</w:t>
            </w:r>
          </w:p>
        </w:tc>
      </w:tr>
      <w:tr w:rsidR="00D54D57" w:rsidRPr="006E66F8" w14:paraId="51E2CB1C" w14:textId="77777777" w:rsidTr="00F4617C">
        <w:trPr>
          <w:trHeight w:val="198"/>
          <w:jc w:val="center"/>
        </w:trPr>
        <w:tc>
          <w:tcPr>
            <w:tcW w:w="1285" w:type="pct"/>
            <w:tcBorders>
              <w:top w:val="single" w:sz="2" w:space="0" w:color="auto"/>
              <w:left w:val="nil"/>
              <w:bottom w:val="single" w:sz="2" w:space="0" w:color="auto"/>
              <w:right w:val="nil"/>
            </w:tcBorders>
            <w:shd w:val="clear" w:color="auto" w:fill="auto"/>
            <w:vAlign w:val="center"/>
            <w:hideMark/>
          </w:tcPr>
          <w:p w14:paraId="6F47D0A5" w14:textId="77777777" w:rsidR="0088085F" w:rsidRPr="006E66F8" w:rsidRDefault="0088085F" w:rsidP="00C762E6">
            <w:pPr>
              <w:pStyle w:val="cuatexto"/>
              <w:jc w:val="left"/>
              <w:rPr>
                <w:lang w:val="es-ES" w:eastAsia="es-ES"/>
              </w:rPr>
            </w:pPr>
            <w:r w:rsidRPr="006E66F8">
              <w:rPr>
                <w:lang w:val="es-ES" w:eastAsia="es-ES"/>
              </w:rPr>
              <w:t>Fundaciones públicas</w:t>
            </w:r>
          </w:p>
        </w:tc>
        <w:tc>
          <w:tcPr>
            <w:tcW w:w="677" w:type="pct"/>
            <w:tcBorders>
              <w:top w:val="single" w:sz="2" w:space="0" w:color="auto"/>
              <w:left w:val="nil"/>
              <w:bottom w:val="single" w:sz="2" w:space="0" w:color="auto"/>
              <w:right w:val="nil"/>
            </w:tcBorders>
            <w:shd w:val="clear" w:color="auto" w:fill="auto"/>
            <w:vAlign w:val="center"/>
          </w:tcPr>
          <w:p w14:paraId="311C3085" w14:textId="77777777" w:rsidR="0088085F" w:rsidRPr="006E66F8" w:rsidRDefault="0088085F" w:rsidP="00C762E6">
            <w:pPr>
              <w:pStyle w:val="cuatexto"/>
              <w:rPr>
                <w:lang w:val="es-ES" w:eastAsia="es-ES"/>
              </w:rPr>
            </w:pPr>
          </w:p>
        </w:tc>
        <w:tc>
          <w:tcPr>
            <w:tcW w:w="515" w:type="pct"/>
            <w:tcBorders>
              <w:top w:val="single" w:sz="2" w:space="0" w:color="auto"/>
              <w:left w:val="nil"/>
              <w:bottom w:val="single" w:sz="2" w:space="0" w:color="auto"/>
              <w:right w:val="nil"/>
            </w:tcBorders>
            <w:shd w:val="clear" w:color="auto" w:fill="auto"/>
            <w:vAlign w:val="center"/>
            <w:hideMark/>
          </w:tcPr>
          <w:p w14:paraId="217E2B6B" w14:textId="77777777" w:rsidR="0088085F" w:rsidRPr="006E66F8" w:rsidRDefault="0088085F" w:rsidP="00C762E6">
            <w:pPr>
              <w:pStyle w:val="cuatexto"/>
              <w:jc w:val="right"/>
              <w:rPr>
                <w:lang w:val="es-ES" w:eastAsia="es-ES"/>
              </w:rPr>
            </w:pPr>
            <w:r w:rsidRPr="006E66F8">
              <w:rPr>
                <w:lang w:val="es-ES" w:eastAsia="es-ES"/>
              </w:rPr>
              <w:t>9</w:t>
            </w:r>
          </w:p>
        </w:tc>
        <w:tc>
          <w:tcPr>
            <w:tcW w:w="661" w:type="pct"/>
            <w:tcBorders>
              <w:top w:val="single" w:sz="2" w:space="0" w:color="auto"/>
              <w:left w:val="nil"/>
              <w:bottom w:val="single" w:sz="2" w:space="0" w:color="auto"/>
              <w:right w:val="nil"/>
            </w:tcBorders>
            <w:shd w:val="clear" w:color="auto" w:fill="auto"/>
            <w:vAlign w:val="center"/>
            <w:hideMark/>
          </w:tcPr>
          <w:p w14:paraId="00547E31" w14:textId="77777777" w:rsidR="0088085F" w:rsidRPr="006E66F8" w:rsidRDefault="0088085F" w:rsidP="00C762E6">
            <w:pPr>
              <w:pStyle w:val="cuatexto"/>
              <w:jc w:val="right"/>
              <w:rPr>
                <w:lang w:val="es-ES" w:eastAsia="es-ES"/>
              </w:rPr>
            </w:pPr>
            <w:r w:rsidRPr="006E66F8">
              <w:rPr>
                <w:lang w:val="es-ES" w:eastAsia="es-ES"/>
              </w:rPr>
              <w:t>9</w:t>
            </w:r>
          </w:p>
        </w:tc>
        <w:tc>
          <w:tcPr>
            <w:tcW w:w="608" w:type="pct"/>
            <w:tcBorders>
              <w:top w:val="single" w:sz="2" w:space="0" w:color="auto"/>
              <w:left w:val="nil"/>
              <w:bottom w:val="single" w:sz="2" w:space="0" w:color="auto"/>
              <w:right w:val="nil"/>
            </w:tcBorders>
            <w:shd w:val="clear" w:color="auto" w:fill="auto"/>
            <w:vAlign w:val="center"/>
            <w:hideMark/>
          </w:tcPr>
          <w:p w14:paraId="4479DADE" w14:textId="77777777" w:rsidR="0088085F" w:rsidRPr="006E66F8" w:rsidRDefault="0088085F" w:rsidP="00C762E6">
            <w:pPr>
              <w:pStyle w:val="cuatexto"/>
              <w:jc w:val="right"/>
              <w:rPr>
                <w:lang w:val="es-ES" w:eastAsia="es-ES"/>
              </w:rPr>
            </w:pPr>
            <w:r w:rsidRPr="006E66F8">
              <w:rPr>
                <w:lang w:val="es-ES" w:eastAsia="es-ES"/>
              </w:rPr>
              <w:t>8</w:t>
            </w:r>
          </w:p>
        </w:tc>
        <w:tc>
          <w:tcPr>
            <w:tcW w:w="647" w:type="pct"/>
            <w:tcBorders>
              <w:top w:val="single" w:sz="2" w:space="0" w:color="auto"/>
              <w:left w:val="nil"/>
              <w:bottom w:val="single" w:sz="2" w:space="0" w:color="auto"/>
              <w:right w:val="nil"/>
            </w:tcBorders>
            <w:shd w:val="clear" w:color="auto" w:fill="auto"/>
            <w:vAlign w:val="center"/>
            <w:hideMark/>
          </w:tcPr>
          <w:p w14:paraId="11CE51EA" w14:textId="77777777" w:rsidR="0088085F" w:rsidRPr="006E66F8" w:rsidRDefault="0088085F" w:rsidP="00C762E6">
            <w:pPr>
              <w:pStyle w:val="cuatexto"/>
              <w:jc w:val="right"/>
              <w:rPr>
                <w:lang w:val="es-ES" w:eastAsia="es-ES"/>
              </w:rPr>
            </w:pPr>
            <w:r>
              <w:rPr>
                <w:lang w:val="es-ES" w:eastAsia="es-ES"/>
              </w:rPr>
              <w:t>8</w:t>
            </w:r>
          </w:p>
        </w:tc>
        <w:tc>
          <w:tcPr>
            <w:tcW w:w="606" w:type="pct"/>
            <w:tcBorders>
              <w:top w:val="single" w:sz="2" w:space="0" w:color="auto"/>
              <w:left w:val="nil"/>
              <w:bottom w:val="single" w:sz="2" w:space="0" w:color="auto"/>
              <w:right w:val="nil"/>
            </w:tcBorders>
            <w:vAlign w:val="center"/>
          </w:tcPr>
          <w:p w14:paraId="33294903" w14:textId="77777777" w:rsidR="0088085F" w:rsidRPr="006E66F8" w:rsidRDefault="0088085F" w:rsidP="00C762E6">
            <w:pPr>
              <w:pStyle w:val="cuatexto"/>
              <w:jc w:val="right"/>
              <w:rPr>
                <w:lang w:val="es-ES" w:eastAsia="es-ES"/>
              </w:rPr>
            </w:pPr>
            <w:r>
              <w:rPr>
                <w:lang w:val="es-ES" w:eastAsia="es-ES"/>
              </w:rPr>
              <w:t>8</w:t>
            </w:r>
          </w:p>
        </w:tc>
      </w:tr>
      <w:tr w:rsidR="00D54D57" w:rsidRPr="006E66F8" w14:paraId="7389EB93" w14:textId="77777777" w:rsidTr="00F4617C">
        <w:trPr>
          <w:trHeight w:val="198"/>
          <w:jc w:val="center"/>
        </w:trPr>
        <w:tc>
          <w:tcPr>
            <w:tcW w:w="1285" w:type="pct"/>
            <w:tcBorders>
              <w:top w:val="single" w:sz="2" w:space="0" w:color="auto"/>
              <w:left w:val="nil"/>
              <w:bottom w:val="single" w:sz="4" w:space="0" w:color="auto"/>
              <w:right w:val="nil"/>
            </w:tcBorders>
            <w:shd w:val="clear" w:color="auto" w:fill="auto"/>
            <w:vAlign w:val="center"/>
            <w:hideMark/>
          </w:tcPr>
          <w:p w14:paraId="0496D4E8" w14:textId="77777777" w:rsidR="0088085F" w:rsidRPr="006E66F8" w:rsidRDefault="0088085F" w:rsidP="00C762E6">
            <w:pPr>
              <w:pStyle w:val="cuatexto"/>
              <w:jc w:val="left"/>
              <w:rPr>
                <w:lang w:val="es-ES" w:eastAsia="es-ES"/>
              </w:rPr>
            </w:pPr>
            <w:r w:rsidRPr="006E66F8">
              <w:rPr>
                <w:lang w:val="es-ES" w:eastAsia="es-ES"/>
              </w:rPr>
              <w:t>Consorcios</w:t>
            </w:r>
            <w:r w:rsidR="00E1352C">
              <w:rPr>
                <w:lang w:val="es-ES" w:eastAsia="es-ES"/>
              </w:rPr>
              <w:t xml:space="preserve"> </w:t>
            </w:r>
            <w:r w:rsidRPr="00731784">
              <w:rPr>
                <w:vertAlign w:val="subscript"/>
                <w:lang w:val="es-ES" w:eastAsia="es-ES"/>
              </w:rPr>
              <w:t>(2)</w:t>
            </w:r>
          </w:p>
        </w:tc>
        <w:tc>
          <w:tcPr>
            <w:tcW w:w="677" w:type="pct"/>
            <w:tcBorders>
              <w:top w:val="single" w:sz="2" w:space="0" w:color="auto"/>
              <w:left w:val="nil"/>
              <w:bottom w:val="single" w:sz="4" w:space="0" w:color="auto"/>
              <w:right w:val="nil"/>
            </w:tcBorders>
            <w:shd w:val="clear" w:color="auto" w:fill="auto"/>
            <w:vAlign w:val="center"/>
          </w:tcPr>
          <w:p w14:paraId="297272B1" w14:textId="77777777" w:rsidR="0088085F" w:rsidRPr="006E66F8" w:rsidRDefault="0088085F" w:rsidP="00C762E6">
            <w:pPr>
              <w:pStyle w:val="cuatexto"/>
              <w:rPr>
                <w:lang w:val="es-ES" w:eastAsia="es-ES"/>
              </w:rPr>
            </w:pPr>
          </w:p>
        </w:tc>
        <w:tc>
          <w:tcPr>
            <w:tcW w:w="515" w:type="pct"/>
            <w:tcBorders>
              <w:top w:val="single" w:sz="2" w:space="0" w:color="auto"/>
              <w:left w:val="nil"/>
              <w:bottom w:val="single" w:sz="4" w:space="0" w:color="auto"/>
              <w:right w:val="nil"/>
            </w:tcBorders>
            <w:shd w:val="clear" w:color="auto" w:fill="auto"/>
            <w:vAlign w:val="center"/>
            <w:hideMark/>
          </w:tcPr>
          <w:p w14:paraId="26A6C2CC" w14:textId="77777777" w:rsidR="0088085F" w:rsidRPr="006E66F8" w:rsidRDefault="0088085F" w:rsidP="00C762E6">
            <w:pPr>
              <w:pStyle w:val="cuatexto"/>
              <w:jc w:val="right"/>
              <w:rPr>
                <w:lang w:val="es-ES" w:eastAsia="es-ES"/>
              </w:rPr>
            </w:pPr>
            <w:r w:rsidRPr="006E66F8">
              <w:rPr>
                <w:lang w:val="es-ES" w:eastAsia="es-ES"/>
              </w:rPr>
              <w:t>15</w:t>
            </w:r>
          </w:p>
        </w:tc>
        <w:tc>
          <w:tcPr>
            <w:tcW w:w="661" w:type="pct"/>
            <w:tcBorders>
              <w:top w:val="single" w:sz="2" w:space="0" w:color="auto"/>
              <w:left w:val="nil"/>
              <w:bottom w:val="single" w:sz="4" w:space="0" w:color="auto"/>
              <w:right w:val="nil"/>
            </w:tcBorders>
            <w:shd w:val="clear" w:color="auto" w:fill="auto"/>
            <w:vAlign w:val="center"/>
            <w:hideMark/>
          </w:tcPr>
          <w:p w14:paraId="668BE56C" w14:textId="77777777" w:rsidR="0088085F" w:rsidRPr="006E66F8" w:rsidRDefault="0088085F" w:rsidP="00C762E6">
            <w:pPr>
              <w:pStyle w:val="cuatexto"/>
              <w:jc w:val="right"/>
              <w:rPr>
                <w:lang w:val="es-ES" w:eastAsia="es-ES"/>
              </w:rPr>
            </w:pPr>
            <w:r w:rsidRPr="006E66F8">
              <w:rPr>
                <w:lang w:val="es-ES" w:eastAsia="es-ES"/>
              </w:rPr>
              <w:t>15</w:t>
            </w:r>
          </w:p>
        </w:tc>
        <w:tc>
          <w:tcPr>
            <w:tcW w:w="608" w:type="pct"/>
            <w:tcBorders>
              <w:top w:val="single" w:sz="2" w:space="0" w:color="auto"/>
              <w:left w:val="nil"/>
              <w:bottom w:val="single" w:sz="4" w:space="0" w:color="auto"/>
              <w:right w:val="nil"/>
            </w:tcBorders>
            <w:shd w:val="clear" w:color="auto" w:fill="auto"/>
            <w:vAlign w:val="center"/>
            <w:hideMark/>
          </w:tcPr>
          <w:p w14:paraId="1FED4DDB" w14:textId="77777777" w:rsidR="0088085F" w:rsidRPr="006E66F8" w:rsidRDefault="0088085F" w:rsidP="00C762E6">
            <w:pPr>
              <w:pStyle w:val="cuatexto"/>
              <w:jc w:val="right"/>
              <w:rPr>
                <w:lang w:val="es-ES" w:eastAsia="es-ES"/>
              </w:rPr>
            </w:pPr>
            <w:r w:rsidRPr="006E66F8">
              <w:rPr>
                <w:lang w:val="es-ES" w:eastAsia="es-ES"/>
              </w:rPr>
              <w:t>17</w:t>
            </w:r>
          </w:p>
        </w:tc>
        <w:tc>
          <w:tcPr>
            <w:tcW w:w="647" w:type="pct"/>
            <w:tcBorders>
              <w:top w:val="single" w:sz="2" w:space="0" w:color="auto"/>
              <w:left w:val="nil"/>
              <w:bottom w:val="single" w:sz="4" w:space="0" w:color="auto"/>
              <w:right w:val="nil"/>
            </w:tcBorders>
            <w:shd w:val="clear" w:color="auto" w:fill="auto"/>
            <w:vAlign w:val="center"/>
            <w:hideMark/>
          </w:tcPr>
          <w:p w14:paraId="6DD09A6E" w14:textId="77777777" w:rsidR="0088085F" w:rsidRPr="006E66F8" w:rsidRDefault="0088085F" w:rsidP="00C762E6">
            <w:pPr>
              <w:pStyle w:val="cuatexto"/>
              <w:jc w:val="right"/>
              <w:rPr>
                <w:lang w:val="es-ES" w:eastAsia="es-ES"/>
              </w:rPr>
            </w:pPr>
            <w:r>
              <w:rPr>
                <w:lang w:val="es-ES" w:eastAsia="es-ES"/>
              </w:rPr>
              <w:t>17</w:t>
            </w:r>
          </w:p>
        </w:tc>
        <w:tc>
          <w:tcPr>
            <w:tcW w:w="606" w:type="pct"/>
            <w:tcBorders>
              <w:top w:val="single" w:sz="2" w:space="0" w:color="auto"/>
              <w:left w:val="nil"/>
              <w:bottom w:val="single" w:sz="4" w:space="0" w:color="auto"/>
              <w:right w:val="nil"/>
            </w:tcBorders>
            <w:vAlign w:val="center"/>
          </w:tcPr>
          <w:p w14:paraId="76C15FED" w14:textId="77777777" w:rsidR="0088085F" w:rsidRPr="006E66F8" w:rsidRDefault="0088085F" w:rsidP="00C762E6">
            <w:pPr>
              <w:pStyle w:val="cuatexto"/>
              <w:jc w:val="right"/>
              <w:rPr>
                <w:lang w:val="es-ES" w:eastAsia="es-ES"/>
              </w:rPr>
            </w:pPr>
            <w:r>
              <w:rPr>
                <w:lang w:val="es-ES" w:eastAsia="es-ES"/>
              </w:rPr>
              <w:t>17</w:t>
            </w:r>
          </w:p>
        </w:tc>
      </w:tr>
      <w:tr w:rsidR="00D54D57" w:rsidRPr="006E66F8" w14:paraId="7AA79FBA" w14:textId="77777777" w:rsidTr="00F4617C">
        <w:trPr>
          <w:trHeight w:val="255"/>
          <w:jc w:val="center"/>
        </w:trPr>
        <w:tc>
          <w:tcPr>
            <w:tcW w:w="1285" w:type="pct"/>
            <w:tcBorders>
              <w:top w:val="nil"/>
              <w:left w:val="nil"/>
              <w:bottom w:val="single" w:sz="4" w:space="0" w:color="auto"/>
              <w:right w:val="nil"/>
            </w:tcBorders>
            <w:shd w:val="clear" w:color="auto" w:fill="FABF8F" w:themeFill="accent6" w:themeFillTint="99"/>
            <w:vAlign w:val="center"/>
            <w:hideMark/>
          </w:tcPr>
          <w:p w14:paraId="0D1F5693" w14:textId="77777777" w:rsidR="0088085F" w:rsidRPr="006E66F8" w:rsidRDefault="0088085F" w:rsidP="00C762E6">
            <w:pPr>
              <w:pStyle w:val="cuadroCabe"/>
              <w:jc w:val="left"/>
              <w:rPr>
                <w:lang w:val="es-ES" w:eastAsia="es-ES"/>
              </w:rPr>
            </w:pPr>
            <w:r w:rsidRPr="006E66F8">
              <w:rPr>
                <w:lang w:val="es-ES" w:eastAsia="es-ES"/>
              </w:rPr>
              <w:t>Total</w:t>
            </w:r>
          </w:p>
        </w:tc>
        <w:tc>
          <w:tcPr>
            <w:tcW w:w="677" w:type="pct"/>
            <w:tcBorders>
              <w:top w:val="nil"/>
              <w:left w:val="nil"/>
              <w:bottom w:val="single" w:sz="4" w:space="0" w:color="auto"/>
              <w:right w:val="nil"/>
            </w:tcBorders>
            <w:shd w:val="clear" w:color="auto" w:fill="FABF8F" w:themeFill="accent6" w:themeFillTint="99"/>
            <w:vAlign w:val="center"/>
          </w:tcPr>
          <w:p w14:paraId="0648F5BC" w14:textId="77777777" w:rsidR="0088085F" w:rsidRPr="006E66F8" w:rsidRDefault="0088085F" w:rsidP="00C762E6">
            <w:pPr>
              <w:pStyle w:val="cuadroCabe"/>
              <w:rPr>
                <w:lang w:val="es-ES" w:eastAsia="es-ES"/>
              </w:rPr>
            </w:pPr>
          </w:p>
        </w:tc>
        <w:tc>
          <w:tcPr>
            <w:tcW w:w="515" w:type="pct"/>
            <w:tcBorders>
              <w:top w:val="nil"/>
              <w:left w:val="nil"/>
              <w:bottom w:val="single" w:sz="4" w:space="0" w:color="auto"/>
              <w:right w:val="nil"/>
            </w:tcBorders>
            <w:shd w:val="clear" w:color="auto" w:fill="FABF8F" w:themeFill="accent6" w:themeFillTint="99"/>
            <w:vAlign w:val="center"/>
            <w:hideMark/>
          </w:tcPr>
          <w:p w14:paraId="3807E6D8" w14:textId="77777777" w:rsidR="0088085F" w:rsidRPr="006E66F8" w:rsidRDefault="0088085F" w:rsidP="00C762E6">
            <w:pPr>
              <w:pStyle w:val="cuadroCabe"/>
              <w:jc w:val="right"/>
              <w:rPr>
                <w:lang w:val="es-ES" w:eastAsia="es-ES"/>
              </w:rPr>
            </w:pPr>
            <w:r w:rsidRPr="006E66F8">
              <w:rPr>
                <w:lang w:val="es-ES" w:eastAsia="es-ES"/>
              </w:rPr>
              <w:t>144</w:t>
            </w:r>
          </w:p>
        </w:tc>
        <w:tc>
          <w:tcPr>
            <w:tcW w:w="661" w:type="pct"/>
            <w:tcBorders>
              <w:top w:val="nil"/>
              <w:left w:val="nil"/>
              <w:bottom w:val="single" w:sz="4" w:space="0" w:color="auto"/>
              <w:right w:val="nil"/>
            </w:tcBorders>
            <w:shd w:val="clear" w:color="auto" w:fill="FABF8F" w:themeFill="accent6" w:themeFillTint="99"/>
            <w:vAlign w:val="center"/>
            <w:hideMark/>
          </w:tcPr>
          <w:p w14:paraId="222FB321" w14:textId="77777777" w:rsidR="0088085F" w:rsidRPr="006E66F8" w:rsidRDefault="0088085F" w:rsidP="00C762E6">
            <w:pPr>
              <w:pStyle w:val="cuadroCabe"/>
              <w:jc w:val="right"/>
              <w:rPr>
                <w:lang w:val="es-ES" w:eastAsia="es-ES"/>
              </w:rPr>
            </w:pPr>
            <w:r w:rsidRPr="006E66F8">
              <w:rPr>
                <w:lang w:val="es-ES" w:eastAsia="es-ES"/>
              </w:rPr>
              <w:t>142</w:t>
            </w:r>
          </w:p>
        </w:tc>
        <w:tc>
          <w:tcPr>
            <w:tcW w:w="608" w:type="pct"/>
            <w:tcBorders>
              <w:top w:val="nil"/>
              <w:left w:val="nil"/>
              <w:bottom w:val="single" w:sz="4" w:space="0" w:color="auto"/>
              <w:right w:val="nil"/>
            </w:tcBorders>
            <w:shd w:val="clear" w:color="auto" w:fill="FABF8F" w:themeFill="accent6" w:themeFillTint="99"/>
            <w:vAlign w:val="center"/>
            <w:hideMark/>
          </w:tcPr>
          <w:p w14:paraId="1AF7B77B" w14:textId="77777777" w:rsidR="0088085F" w:rsidRPr="006E66F8" w:rsidRDefault="0088085F" w:rsidP="00C762E6">
            <w:pPr>
              <w:pStyle w:val="cuadroCabe"/>
              <w:jc w:val="right"/>
              <w:rPr>
                <w:lang w:val="es-ES" w:eastAsia="es-ES"/>
              </w:rPr>
            </w:pPr>
            <w:r w:rsidRPr="006E66F8">
              <w:rPr>
                <w:lang w:val="es-ES" w:eastAsia="es-ES"/>
              </w:rPr>
              <w:t>1</w:t>
            </w:r>
            <w:r>
              <w:rPr>
                <w:lang w:val="es-ES" w:eastAsia="es-ES"/>
              </w:rPr>
              <w:t>41</w:t>
            </w:r>
          </w:p>
        </w:tc>
        <w:tc>
          <w:tcPr>
            <w:tcW w:w="647" w:type="pct"/>
            <w:tcBorders>
              <w:top w:val="nil"/>
              <w:left w:val="nil"/>
              <w:bottom w:val="single" w:sz="4" w:space="0" w:color="auto"/>
              <w:right w:val="nil"/>
            </w:tcBorders>
            <w:shd w:val="clear" w:color="auto" w:fill="FABF8F" w:themeFill="accent6" w:themeFillTint="99"/>
            <w:vAlign w:val="center"/>
            <w:hideMark/>
          </w:tcPr>
          <w:p w14:paraId="2C46AFE5" w14:textId="77777777" w:rsidR="0088085F" w:rsidRPr="006E66F8" w:rsidRDefault="0088085F" w:rsidP="00C762E6">
            <w:pPr>
              <w:pStyle w:val="cuadroCabe"/>
              <w:jc w:val="right"/>
              <w:rPr>
                <w:lang w:val="es-ES" w:eastAsia="es-ES"/>
              </w:rPr>
            </w:pPr>
            <w:r>
              <w:rPr>
                <w:lang w:val="es-ES" w:eastAsia="es-ES"/>
              </w:rPr>
              <w:t>142</w:t>
            </w:r>
          </w:p>
        </w:tc>
        <w:tc>
          <w:tcPr>
            <w:tcW w:w="606" w:type="pct"/>
            <w:tcBorders>
              <w:top w:val="nil"/>
              <w:left w:val="nil"/>
              <w:bottom w:val="single" w:sz="4" w:space="0" w:color="auto"/>
              <w:right w:val="nil"/>
            </w:tcBorders>
            <w:shd w:val="clear" w:color="auto" w:fill="FABF8F" w:themeFill="accent6" w:themeFillTint="99"/>
            <w:vAlign w:val="center"/>
          </w:tcPr>
          <w:p w14:paraId="2ED69F3C" w14:textId="77777777" w:rsidR="0088085F" w:rsidRPr="006E66F8" w:rsidRDefault="0088085F" w:rsidP="00C762E6">
            <w:pPr>
              <w:pStyle w:val="cuadroCabe"/>
              <w:jc w:val="right"/>
              <w:rPr>
                <w:lang w:val="es-ES" w:eastAsia="es-ES"/>
              </w:rPr>
            </w:pPr>
            <w:r>
              <w:rPr>
                <w:lang w:val="es-ES" w:eastAsia="es-ES"/>
              </w:rPr>
              <w:t>139</w:t>
            </w:r>
          </w:p>
        </w:tc>
      </w:tr>
    </w:tbl>
    <w:p w14:paraId="0BA7A819" w14:textId="77777777" w:rsidR="0088085F" w:rsidRPr="00F4617C" w:rsidRDefault="00C762E6" w:rsidP="00C762E6">
      <w:pPr>
        <w:pStyle w:val="texto"/>
        <w:spacing w:before="80" w:after="40"/>
        <w:ind w:firstLine="0"/>
        <w:rPr>
          <w:rFonts w:ascii="Arial" w:hAnsi="Arial" w:cs="Arial"/>
          <w:sz w:val="16"/>
          <w:szCs w:val="16"/>
        </w:rPr>
      </w:pPr>
      <w:r w:rsidRPr="00F4617C">
        <w:rPr>
          <w:rFonts w:ascii="Arial" w:hAnsi="Arial" w:cs="Arial"/>
          <w:sz w:val="16"/>
          <w:szCs w:val="16"/>
        </w:rPr>
        <w:t xml:space="preserve">  (1) </w:t>
      </w:r>
      <w:r w:rsidR="0088085F" w:rsidRPr="00F4617C">
        <w:rPr>
          <w:rFonts w:ascii="Arial" w:hAnsi="Arial" w:cs="Arial"/>
          <w:sz w:val="16"/>
          <w:szCs w:val="16"/>
        </w:rPr>
        <w:t xml:space="preserve">En organismos autónomos </w:t>
      </w:r>
      <w:r w:rsidR="000C379B" w:rsidRPr="00F4617C">
        <w:rPr>
          <w:rFonts w:ascii="Arial" w:hAnsi="Arial" w:cs="Arial"/>
          <w:sz w:val="16"/>
          <w:szCs w:val="16"/>
        </w:rPr>
        <w:t>incluimos</w:t>
      </w:r>
      <w:r w:rsidR="0088085F" w:rsidRPr="00F4617C">
        <w:rPr>
          <w:rFonts w:ascii="Arial" w:hAnsi="Arial" w:cs="Arial"/>
          <w:sz w:val="16"/>
          <w:szCs w:val="16"/>
        </w:rPr>
        <w:t xml:space="preserve"> uno que no está dado de alta en el R</w:t>
      </w:r>
      <w:r w:rsidR="009F4235" w:rsidRPr="00F4617C">
        <w:rPr>
          <w:rFonts w:ascii="Arial" w:hAnsi="Arial" w:cs="Arial"/>
          <w:sz w:val="16"/>
          <w:szCs w:val="16"/>
        </w:rPr>
        <w:t>egistro de Entidades Locales</w:t>
      </w:r>
      <w:r w:rsidR="0088085F" w:rsidRPr="00F4617C">
        <w:rPr>
          <w:rFonts w:ascii="Arial" w:hAnsi="Arial" w:cs="Arial"/>
          <w:sz w:val="16"/>
          <w:szCs w:val="16"/>
        </w:rPr>
        <w:t xml:space="preserve"> (Escuela de Música Salazar).</w:t>
      </w:r>
    </w:p>
    <w:p w14:paraId="39E86E92" w14:textId="77777777" w:rsidR="0088085F" w:rsidRPr="00F4617C" w:rsidRDefault="00C762E6" w:rsidP="00C762E6">
      <w:pPr>
        <w:pStyle w:val="texto"/>
        <w:spacing w:after="0"/>
        <w:ind w:firstLine="0"/>
        <w:rPr>
          <w:rFonts w:ascii="Arial" w:hAnsi="Arial" w:cs="Arial"/>
          <w:sz w:val="16"/>
          <w:szCs w:val="16"/>
        </w:rPr>
      </w:pPr>
      <w:r w:rsidRPr="00F4617C">
        <w:rPr>
          <w:rFonts w:ascii="Arial" w:hAnsi="Arial" w:cs="Arial"/>
          <w:sz w:val="16"/>
          <w:szCs w:val="16"/>
        </w:rPr>
        <w:t xml:space="preserve">  (2) </w:t>
      </w:r>
      <w:r w:rsidR="0088085F" w:rsidRPr="00F4617C">
        <w:rPr>
          <w:rFonts w:ascii="Arial" w:hAnsi="Arial" w:cs="Arial"/>
          <w:sz w:val="16"/>
          <w:szCs w:val="16"/>
        </w:rPr>
        <w:t>Se incluyen todos los consorcios existentes.</w:t>
      </w:r>
    </w:p>
    <w:p w14:paraId="24E6A651" w14:textId="77777777" w:rsidR="0088085F" w:rsidRPr="00262228" w:rsidRDefault="0088085F" w:rsidP="00C762E6">
      <w:pPr>
        <w:pStyle w:val="texto"/>
        <w:spacing w:before="220"/>
      </w:pPr>
      <w:r w:rsidRPr="00262228">
        <w:t xml:space="preserve">Respecto a 2018 y </w:t>
      </w:r>
      <w:r w:rsidR="005B091A">
        <w:t>en cuanto</w:t>
      </w:r>
      <w:r w:rsidRPr="00262228">
        <w:t xml:space="preserve"> a los organismos autónomos, se han extinguido el Patronato municipal de deporte de Tafalla, y el Patronato Escuela de Música de </w:t>
      </w:r>
      <w:proofErr w:type="spellStart"/>
      <w:r w:rsidRPr="00262228">
        <w:t>Cendea</w:t>
      </w:r>
      <w:proofErr w:type="spellEnd"/>
      <w:r w:rsidRPr="00262228">
        <w:t xml:space="preserve"> de </w:t>
      </w:r>
      <w:proofErr w:type="spellStart"/>
      <w:r w:rsidRPr="00262228">
        <w:t>Olza</w:t>
      </w:r>
      <w:proofErr w:type="spellEnd"/>
      <w:r w:rsidRPr="00262228">
        <w:t>. Del total de organismos autónomos, 55 dependen de ayuntamientos y tres son dependientes de mancomunidades.</w:t>
      </w:r>
    </w:p>
    <w:p w14:paraId="3F872BA5" w14:textId="77777777" w:rsidR="0088085F" w:rsidRPr="00262228" w:rsidRDefault="0088085F" w:rsidP="00262228">
      <w:pPr>
        <w:pStyle w:val="texto"/>
      </w:pPr>
      <w:r w:rsidRPr="00262228">
        <w:t xml:space="preserve">Con respecto a las empresas públicas, se ha dado de alta una nueva, Energía Río </w:t>
      </w:r>
      <w:proofErr w:type="spellStart"/>
      <w:r w:rsidRPr="00262228">
        <w:t>Ezka-Ezka</w:t>
      </w:r>
      <w:proofErr w:type="spellEnd"/>
      <w:r w:rsidRPr="00262228">
        <w:t xml:space="preserve"> </w:t>
      </w:r>
      <w:proofErr w:type="spellStart"/>
      <w:r w:rsidRPr="00262228">
        <w:t>Ibaia</w:t>
      </w:r>
      <w:proofErr w:type="spellEnd"/>
      <w:r w:rsidRPr="00262228">
        <w:t xml:space="preserve"> </w:t>
      </w:r>
      <w:proofErr w:type="spellStart"/>
      <w:r w:rsidRPr="00262228">
        <w:t>Energia</w:t>
      </w:r>
      <w:proofErr w:type="spellEnd"/>
      <w:r w:rsidRPr="00262228">
        <w:t xml:space="preserve">, S.L. y dos empresas han causado baja, </w:t>
      </w:r>
      <w:proofErr w:type="spellStart"/>
      <w:r w:rsidRPr="00262228">
        <w:t>Cintruénigo</w:t>
      </w:r>
      <w:proofErr w:type="spellEnd"/>
      <w:r w:rsidRPr="00262228">
        <w:t xml:space="preserve">, Servicios Municipales, SRL y </w:t>
      </w:r>
      <w:proofErr w:type="spellStart"/>
      <w:r w:rsidRPr="00262228">
        <w:t>Orbalan</w:t>
      </w:r>
      <w:proofErr w:type="spellEnd"/>
      <w:r w:rsidRPr="00262228">
        <w:t>, SL.</w:t>
      </w:r>
    </w:p>
    <w:p w14:paraId="3FA237F3" w14:textId="77777777" w:rsidR="00C762E6" w:rsidRDefault="00C762E6">
      <w:pPr>
        <w:spacing w:after="0"/>
        <w:ind w:firstLine="0"/>
        <w:jc w:val="left"/>
        <w:rPr>
          <w:spacing w:val="6"/>
          <w:sz w:val="26"/>
          <w:szCs w:val="24"/>
        </w:rPr>
      </w:pPr>
      <w:r>
        <w:br w:type="page"/>
      </w:r>
    </w:p>
    <w:p w14:paraId="4D494B67" w14:textId="77777777" w:rsidR="0088085F" w:rsidRPr="00262228" w:rsidRDefault="0088085F" w:rsidP="007E5A67">
      <w:pPr>
        <w:pStyle w:val="texto"/>
        <w:spacing w:after="360"/>
      </w:pPr>
      <w:r w:rsidRPr="00262228">
        <w:lastRenderedPageBreak/>
        <w:t>Considerando los datos anteriores, la estructura del sector público local de Navarra a 31 de diciembre del 2019 era la siguiente:</w:t>
      </w:r>
    </w:p>
    <w:p w14:paraId="0FDE9E5D"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b/>
          <w:bCs/>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65920" behindDoc="0" locked="0" layoutInCell="1" allowOverlap="1" wp14:anchorId="6D4EAC42" wp14:editId="7E335157">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14:paraId="7442DB07" w14:textId="77777777" w:rsidR="00B9085A" w:rsidRDefault="00B9085A" w:rsidP="0088085F">
                            <w:pPr>
                              <w:spacing w:after="0"/>
                              <w:ind w:firstLine="0"/>
                              <w:jc w:val="center"/>
                              <w:rPr>
                                <w:rFonts w:ascii="Arial" w:hAnsi="Arial" w:cs="Arial"/>
                                <w:sz w:val="16"/>
                                <w:szCs w:val="16"/>
                                <w:lang w:val="es-ES"/>
                              </w:rPr>
                            </w:pPr>
                          </w:p>
                          <w:p w14:paraId="43D99048"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Sector Público Local</w:t>
                            </w:r>
                          </w:p>
                          <w:p w14:paraId="0C80F400"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de 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EAC42" id="Rectangle 15" o:spid="_x0000_s1027" style="position:absolute;left:0;text-align:left;margin-left:170.8pt;margin-top:4.65pt;width:130.4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LgDQIAACgEAAAOAAAAZHJzL2Uyb0RvYy54bWysU9uO2yAQfa/Uf0C8N47TJhtZcVarbFNV&#10;2l6kbT+AYGyjYoYOJHb69R2IN+tenqrygBgGzpw5M7O5HTrDTgq9BlvyfDbnTFkJlbZNyb9+2b9a&#10;c+aDsJUwYFXJz8rz2+3LF5veFWoBLZhKISMQ64velbwNwRVZ5mWrOuFn4JQlZw3YiUAmNlmFoif0&#10;zmSL+XyV9YCVQ5DKe7q9vzj5NuHXtZLhU117FZgpOXELace0H+KebTeiaFC4VsuRhvgHFp3QloJe&#10;oe5FEOyI+g+oTksED3WYSegyqGstVcqBssnnv2Xz2AqnUi4kjndXmfz/g5UfT4/uM0bq3j2A/OaZ&#10;hV0rbKPuEKFvlagoXB6Fynrni+uHaHj6yg79B6iotOIYIGkw1NhFQMqODUnq81VqNQQm6TJfLVfz&#10;NVVEku/N8oZqmUKI4um3Qx/eKehYPJQcqZQJXZwefIhsRPH0JLEHo6u9NiYZ2Bx2BtlJUNn3aY3o&#10;fvrMWNaX/HV+s0zIv/j8FGKe1t8gOh2of43uSr6+PhJFlO2trVJ3BaHN5UyUjR11jNLFLvVFGA4D&#10;09Uocrw5QHUmYREu7UrjRYcW8AdnPbVqyf33o0DFmXlvY3EWN6QeC1MDp8ZhaggrCarkgbPLcRcu&#10;83B0qJuWIuVJDQt3VNBaJ62fWY30qR1TCcbRif0+tdOr5wHf/gQAAP//AwBQSwMEFAAGAAgAAAAh&#10;ADT85HndAAAACAEAAA8AAABkcnMvZG93bnJldi54bWxMj81ugzAQhO+V+g7WRuqtMQSECMVEVaSq&#10;6rH052zwBlDwmtpOcN++7qk9jmY08019CHpmV7RuMiQg3SbAkHqjJhoEvL893ZfAnJek5GwIBXyj&#10;g0Nze1PLSpmVXvHa+oHFEnKVFDB6v1Scu35ELd3WLEjROxmrpY/SDlxZucZyPfNdkhRcy4niwigX&#10;PI7Yn9uLFvAl958rZqfwEcrcpt1z+6K7oxB3m/D4AMxj8H9h+MWP6NBEps5cSDk2C8jytIhRAfsM&#10;WPSLZJcD6wSUaQa8qfn/A80PAAAA//8DAFBLAQItABQABgAIAAAAIQC2gziS/gAAAOEBAAATAAAA&#10;AAAAAAAAAAAAAAAAAABbQ29udGVudF9UeXBlc10ueG1sUEsBAi0AFAAGAAgAAAAhADj9If/WAAAA&#10;lAEAAAsAAAAAAAAAAAAAAAAALwEAAF9yZWxzLy5yZWxzUEsBAi0AFAAGAAgAAAAhANXVkuANAgAA&#10;KAQAAA4AAAAAAAAAAAAAAAAALgIAAGRycy9lMm9Eb2MueG1sUEsBAi0AFAAGAAgAAAAhADT85Hnd&#10;AAAACAEAAA8AAAAAAAAAAAAAAAAAZwQAAGRycy9kb3ducmV2LnhtbFBLBQYAAAAABAAEAPMAAABx&#10;BQAAAAA=&#10;" strokeweight=".25pt">
                <v:textbox inset="1pt,1pt,1pt,1pt">
                  <w:txbxContent>
                    <w:p w14:paraId="7442DB07" w14:textId="77777777" w:rsidR="00B9085A" w:rsidRDefault="00B9085A" w:rsidP="0088085F">
                      <w:pPr>
                        <w:spacing w:after="0"/>
                        <w:ind w:firstLine="0"/>
                        <w:jc w:val="center"/>
                        <w:rPr>
                          <w:rFonts w:ascii="Arial" w:hAnsi="Arial" w:cs="Arial"/>
                          <w:sz w:val="16"/>
                          <w:szCs w:val="16"/>
                          <w:lang w:val="es-ES"/>
                        </w:rPr>
                      </w:pPr>
                    </w:p>
                    <w:p w14:paraId="43D99048"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Sector Público Local</w:t>
                      </w:r>
                    </w:p>
                    <w:p w14:paraId="0C80F400"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de Navarra</w:t>
                      </w:r>
                    </w:p>
                  </w:txbxContent>
                </v:textbox>
              </v:rect>
            </w:pict>
          </mc:Fallback>
        </mc:AlternateContent>
      </w:r>
    </w:p>
    <w:p w14:paraId="6A6E177F"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60800" behindDoc="0" locked="0" layoutInCell="1" allowOverlap="1" wp14:anchorId="11C47011" wp14:editId="380C0096">
                <wp:simplePos x="0" y="0"/>
                <wp:positionH relativeFrom="column">
                  <wp:posOffset>3053715</wp:posOffset>
                </wp:positionH>
                <wp:positionV relativeFrom="paragraph">
                  <wp:posOffset>133985</wp:posOffset>
                </wp:positionV>
                <wp:extent cx="0" cy="1188720"/>
                <wp:effectExtent l="0" t="0" r="19050" b="3048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6EB7D"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10.55pt" to="240.4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ewKQIAAGEEAAAOAAAAZHJzL2Uyb0RvYy54bWysVMuO2jAU3VfqP1jeQxJImUxEGFUJdENb&#10;pJl+gLEdYtWxLdsQUNV/77V5dKZdzKgqC+PHvcfn3Huc+cOxl+jArRNaVTgbpxhxRTUTalfhb0+r&#10;UYGR80QxIrXiFT5xhx8W79/NB1Pyie60ZNwiAFGuHEyFO+9NmSSOdrwnbqwNV3DYatsTD0u7S5gl&#10;A6D3Mpmk6SwZtGXGasqdg93mfIgXEb9tOfVf29Zxj2SFgZuPo43jNozJYk7KnSWmE/RCg/wDi54I&#10;BZfeoBriCdpb8RdUL6jVTrd+THWf6LYVlEcNoCZL/1Dz2BHDoxYojjO3Mrn/B0u/HDYWCVbhyRQj&#10;RXro0VoojopQmsG4EiJqtbFBHD2qR7PW9LtDStcdUTseKT6dDKRlISN5kRIWzsAF2+GzZhBD9l7H&#10;Oh1b2wdIqAA6xnacbu3gR4/oeZPCbpYVxd0ktioh5TXRWOc/cd2jMKmwBM4RmBzWzgcipLyGhHuU&#10;XgkpY7elQkOFp9ndh5jgtBQsHIYwZ3fbWlp0IMEv8RdVwcnzMKv3ikWwjhO2VAz5WAIFHscB3fUY&#10;SQ4vAiYxzhMhX48D0lIFHlACkHGZnY304z69XxbLIh/lk9lylKdNM/q4qvPRbAVSmmlT1032M0jK&#10;8rITjHEVVF1NneVvM83leZ3teLP1rXzJS/RYZyB7/Y+kowdC288G2mp22tjQkmAH8HEMvry58FCe&#10;r2PU7y/D4hcAAAD//wMAUEsDBBQABgAIAAAAIQB7XZmD3gAAAAoBAAAPAAAAZHJzL2Rvd25yZXYu&#10;eG1sTI9NT8MwDIbvSPyHyEhcEEs6EOq6ptMEQkLitI8DR7cxbbUmqZJsK/x6jDiwo1+/evy4XE12&#10;ECcKsfdOQzZTIMg13vSu1bDfvd7nIGJCZ3DwjjR8UYRVdX1VYmH82W3otE2tYIiLBWroUhoLKWPT&#10;kcU48yM53n36YDHxGFppAp4Zbgc5V+pJWuwdX+hwpOeOmsP2aDXMR9Pj96KtX4bN3Xr38RbMPrxr&#10;fXszrZcgEk3pvwy/+qwOFTvV/uhMFIOGx1wtuMqwLAPBhb+g5kDlDyCrUl6+UP0AAAD//wMAUEsB&#10;Ai0AFAAGAAgAAAAhALaDOJL+AAAA4QEAABMAAAAAAAAAAAAAAAAAAAAAAFtDb250ZW50X1R5cGVz&#10;XS54bWxQSwECLQAUAAYACAAAACEAOP0h/9YAAACUAQAACwAAAAAAAAAAAAAAAAAvAQAAX3JlbHMv&#10;LnJlbHNQSwECLQAUAAYACAAAACEAM9KXsCkCAABhBAAADgAAAAAAAAAAAAAAAAAuAgAAZHJzL2Uy&#10;b0RvYy54bWxQSwECLQAUAAYACAAAACEAe12Zg94AAAAKAQAADwAAAAAAAAAAAAAAAACDBAAAZHJz&#10;L2Rvd25yZXYueG1sUEsFBgAAAAAEAAQA8wAAAI4FAAAAAA==&#10;" strokeweight=".25pt">
                <v:stroke startarrowwidth="narrow" startarrowlength="short" endarrowwidth="narrow" endarrowlength="short"/>
              </v:line>
            </w:pict>
          </mc:Fallback>
        </mc:AlternateContent>
      </w:r>
    </w:p>
    <w:p w14:paraId="1C884871"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299" distR="114299" simplePos="0" relativeHeight="251662848" behindDoc="0" locked="0" layoutInCell="1" allowOverlap="1" wp14:anchorId="3F7F4E1D" wp14:editId="11E47D4A">
                <wp:simplePos x="0" y="0"/>
                <wp:positionH relativeFrom="column">
                  <wp:posOffset>768350</wp:posOffset>
                </wp:positionH>
                <wp:positionV relativeFrom="paragraph">
                  <wp:posOffset>242570</wp:posOffset>
                </wp:positionV>
                <wp:extent cx="3810" cy="1000760"/>
                <wp:effectExtent l="0" t="0" r="34290" b="2794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00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7343" id="Line 10"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pt,19.1pt" to="60.8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FJFgIAAC0EAAAOAAAAZHJzL2Uyb0RvYy54bWysU02P2yAQvVfqf0C+J7azbjZrxVlVdtJL&#10;2kba7Q8ggGNUzCAgcaKq/70D+VC2vVRVfcADMzzezJuZPx97RQ7COgm6SvJxlhChGXCpd1Xy7XU1&#10;miXEeao5VaBFlZyES54X79/NB1OKCXSguLAEQbQrB1MlnfemTFPHOtFTNwYjNDpbsD31uLW7lFs6&#10;IHqv0kmWTdMBLDcWmHAOT5uzM1lE/LYVzH9tWyc8UVWC3HxcbVy3YU0Xc1ruLDWdZBca9B9Y9FRq&#10;fPQG1VBPyd7KP6B6ySw4aP2YQZ9C20omYg6YTZ79ls1LR42IuWBxnLmVyf0/WPblsLFEctQOldK0&#10;R43WUguSx9oMxpUYUuuNDdmxo34xa2DfHdFQd1TvROT4ejJ4Lw/VTN9cCRtn8IXt8Bk4xtC9h1io&#10;Y2v7AIklIMeox+mmhzh6wvDwYYYsCENHnmXZ4zRSSml5vWus858E9CQYVaKQd8Smh7XzgQstryHh&#10;KQ0rqVRUXGkyIH7++CFecKAkD84Q5uxuWytLDjT0TPxiYui5D7Ow1zyCdYLy5cX2VKqzjY8rHfAw&#10;G6Rzsc5N8eMpe1rOlrNiVEymy1GRNc3o46ouRtMVUmoemrpu8p+BWl6UneRc6MDu2qB58XcNcBmV&#10;c2vdWvRWhvQteqwXkr3+I+koZ1AwTJQrt8BPG3uVGXsyBl/mJzT9/R7t+ylf/AIAAP//AwBQSwME&#10;FAAGAAgAAAAhAImimE3gAAAACgEAAA8AAABkcnMvZG93bnJldi54bWxMj0FPhDAQhe8m/odmTLy5&#10;BYwEkbIRooc9aOKuiXrr0hGIdIp02MV/b/ekt3mZl/e+V6wXO4gDTr53pCBeRSCQGmd6ahW87h6v&#10;MhCeNRk9OEIFP+hhXZ6fFTo37kgveNhyK0II+Vwr6JjHXErfdGi1X7kRKfw+3WQ1Bzm10kz6GMLt&#10;IJMoSqXVPYWGTo9Yd9h8bWergP3b+zPPm+8qrZ5q3FUf9YPcKHV5sdzfgWBc+M8MJ/yADmVg2ruZ&#10;jBdD0EkctrCC6ywBcTIkcQpiH47bmwxkWcj/E8pfAAAA//8DAFBLAQItABQABgAIAAAAIQC2gziS&#10;/gAAAOEBAAATAAAAAAAAAAAAAAAAAAAAAABbQ29udGVudF9UeXBlc10ueG1sUEsBAi0AFAAGAAgA&#10;AAAhADj9If/WAAAAlAEAAAsAAAAAAAAAAAAAAAAALwEAAF9yZWxzLy5yZWxzUEsBAi0AFAAGAAgA&#10;AAAhAOSScUkWAgAALQQAAA4AAAAAAAAAAAAAAAAALgIAAGRycy9lMm9Eb2MueG1sUEsBAi0AFAAG&#10;AAgAAAAhAImimE3gAAAACgEAAA8AAAAAAAAAAAAAAAAAcAQAAGRycy9kb3ducmV2LnhtbFBLBQYA&#10;AAAABAAEAPMAAAB9BQAAAAA=&#10;" strokeweight=".25pt"/>
            </w:pict>
          </mc:Fallback>
        </mc:AlternateContent>
      </w:r>
      <w:r w:rsidRPr="00B81E61">
        <w:rPr>
          <w:noProof/>
          <w:color w:val="000000" w:themeColor="text1"/>
          <w:lang w:val="es-ES" w:eastAsia="es-ES"/>
        </w:rPr>
        <mc:AlternateContent>
          <mc:Choice Requires="wps">
            <w:drawing>
              <wp:anchor distT="0" distB="0" distL="114300" distR="114300" simplePos="0" relativeHeight="251663872" behindDoc="0" locked="0" layoutInCell="1" allowOverlap="1" wp14:anchorId="05A72FB1" wp14:editId="79DD486D">
                <wp:simplePos x="0" y="0"/>
                <wp:positionH relativeFrom="column">
                  <wp:posOffset>5198745</wp:posOffset>
                </wp:positionH>
                <wp:positionV relativeFrom="paragraph">
                  <wp:posOffset>240030</wp:posOffset>
                </wp:positionV>
                <wp:extent cx="6985" cy="388620"/>
                <wp:effectExtent l="0" t="0" r="31115" b="1143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86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F8231" id="Line 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pt" to="40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a1KwIAAGQEAAAOAAAAZHJzL2Uyb0RvYy54bWysVMuO2yAU3VfqPyD2iR+TSR0rzqiyk27S&#10;TqSZfgABHKNiQEDiRFX/vRfyaNMuWlX1AoM593DvuQfPn469RAdundCqwtk4xYgrqplQuwp/fl2N&#10;CoycJ4oRqRWv8Ik7/LR4+2Y+mJLnutOScYuARLlyMBXuvDdlkjja8Z64sTZcwWarbU88LO0uYZYM&#10;wN7LJE/TaTJoy4zVlDsHX5vzJl5E/rbl1D+3reMeyQpDbj6ONo7bMCaLOSl3lphO0Esa5B+y6IlQ&#10;cOiNqiGeoL0Vv1H1glrtdOvHVPeJbltBeawBqsnSX6p56YjhsRYQx5mbTO7/0dJPh41FglU4zzFS&#10;pIcerYXiKMuCNoNxJUBqtbGhOnpUL2at6ReHlK47onY85vh6MhAXI5K7kLBwBk7YDh81AwzZex2F&#10;Ora2D5QgATrGfpxu/eBHjyh8nM6KR4wobDwUxTSP3UpIeQ011vkPXPcoTCosIe1ITQ5r5yF5gF4h&#10;4SSlV0LK2HCp0ACk2bvHGOC0FCxsBpizu20tLTqQYJn4BCWA7A5m9V6xSNZxwpaKIR9FUGBzHNhd&#10;j5HkcClgEnGeCPlnHJwjVcgDRIAyLrOzl77O0tmyWBaT0SSfLkeTtGlG71f1ZDRdQSnNQ1PXTfYt&#10;lJRNyk4wxlWo6urrbPJ3vrncsLMjb86+yZfcs0dpINnrOyYdXRAaf7bQVrPTxgYVgyHAyhF8uXbh&#10;rvy8jqgfP4fFdwAAAP//AwBQSwMEFAAGAAgAAAAhAIC7xoPfAAAACQEAAA8AAABkcnMvZG93bnJl&#10;di54bWxMj01LxDAQhu+C/yGM4EXctCu4bW26LIogeNqPg8dpE9tiMilJdrf66x1P7m2GeXjneev1&#10;7Kw4mRBHTwryRQbCUOf1SL2Cw/71vgARE5JG68ko+DYR1s31VY2V9mfamtMu9YJDKFaoYEhpqqSM&#10;3WAcxoWfDPHt0weHidfQSx3wzOHOymWWPUqHI/GHASfzPJjua3d0CpaTHvGn7NsXu73b7D/egj6E&#10;d6Vub+bNE4hk5vQPw58+q0PDTq0/ko7CKijyYsWogocVV2CgyEseWgVlmYFsannZoPkFAAD//wMA&#10;UEsBAi0AFAAGAAgAAAAhALaDOJL+AAAA4QEAABMAAAAAAAAAAAAAAAAAAAAAAFtDb250ZW50X1R5&#10;cGVzXS54bWxQSwECLQAUAAYACAAAACEAOP0h/9YAAACUAQAACwAAAAAAAAAAAAAAAAAvAQAAX3Jl&#10;bHMvLnJlbHNQSwECLQAUAAYACAAAACEApt7GtSsCAABkBAAADgAAAAAAAAAAAAAAAAAuAgAAZHJz&#10;L2Uyb0RvYy54bWxQSwECLQAUAAYACAAAACEAgLvGg98AAAAJAQAADwAAAAAAAAAAAAAAAACFBAAA&#10;ZHJzL2Rvd25yZXYueG1sUEsFBgAAAAAEAAQA8wAAAJEFAAAAAA==&#10;" strokeweight=".25pt">
                <v:stroke startarrowwidth="narrow" startarrowlength="short" endarrowwidth="narrow" endarrowlength="short"/>
              </v:line>
            </w:pict>
          </mc:Fallback>
        </mc:AlternateContent>
      </w:r>
      <w:r w:rsidRPr="00B81E61">
        <w:rPr>
          <w:noProof/>
          <w:color w:val="000000" w:themeColor="text1"/>
          <w:lang w:val="es-ES" w:eastAsia="es-ES"/>
        </w:rPr>
        <mc:AlternateContent>
          <mc:Choice Requires="wps">
            <w:drawing>
              <wp:anchor distT="4294967295" distB="4294967295" distL="114300" distR="114300" simplePos="0" relativeHeight="251661824" behindDoc="0" locked="0" layoutInCell="1" allowOverlap="1" wp14:anchorId="39308777" wp14:editId="15C9C277">
                <wp:simplePos x="0" y="0"/>
                <wp:positionH relativeFrom="column">
                  <wp:posOffset>772160</wp:posOffset>
                </wp:positionH>
                <wp:positionV relativeFrom="paragraph">
                  <wp:posOffset>244474</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35B5" id="Line 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p>
    <w:p w14:paraId="334FE0B5"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68992" behindDoc="0" locked="0" layoutInCell="1" allowOverlap="1" wp14:anchorId="783607B9" wp14:editId="4BD342C3">
                <wp:simplePos x="0" y="0"/>
                <wp:positionH relativeFrom="column">
                  <wp:posOffset>342881</wp:posOffset>
                </wp:positionH>
                <wp:positionV relativeFrom="paragraph">
                  <wp:posOffset>273685</wp:posOffset>
                </wp:positionV>
                <wp:extent cx="841375" cy="370840"/>
                <wp:effectExtent l="0" t="0" r="15875" b="1016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14:paraId="61786316" w14:textId="77777777" w:rsidR="00B9085A" w:rsidRDefault="00B9085A" w:rsidP="0088085F">
                            <w:pPr>
                              <w:spacing w:after="0"/>
                              <w:ind w:firstLine="0"/>
                              <w:jc w:val="center"/>
                              <w:rPr>
                                <w:rFonts w:ascii="Arial" w:hAnsi="Arial" w:cs="Arial"/>
                                <w:sz w:val="16"/>
                                <w:szCs w:val="16"/>
                                <w:lang w:val="es-ES"/>
                              </w:rPr>
                            </w:pPr>
                          </w:p>
                          <w:p w14:paraId="627E3794"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Municipios: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07B9" id="Rectangle 18" o:spid="_x0000_s1028" style="position:absolute;left:0;text-align:left;margin-left:27pt;margin-top:21.55pt;width:66.25pt;height:2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NDAIAACcEAAAOAAAAZHJzL2Uyb0RvYy54bWysU9tu2zAMfR+wfxD0vthOuyUw4hRFugwD&#10;ugvQ7QNkWbaFyaJGKbGzrx+lpGmwFX0YpgeB1OXw8JBc3UyDYXuFXoOteDHLOVNWQqNtV/Hv37Zv&#10;lpz5IGwjDFhV8YPy/Gb9+tVqdKWaQw+mUcgIxPpydBXvQ3BllnnZq0H4GThl6bIFHEQgF7usQTES&#10;+mCyeZ6/y0bAxiFI5T2d3h0v+Trht62S4UvbehWYqThxC2nHtNdxz9YrUXYoXK/liYb4BxaD0JaC&#10;nqHuRBBsh/ovqEFLBA9tmEkYMmhbLVXKgbIp8j+yeeiFUykXEse7s0z+/8HKz/sH9xUjde/uQf7w&#10;zMKmF7ZTt4gw9ko0FK6IQmWj8+X5Q3Q8fWX1+AkaKq3YBUgaTC0OEZCyY1OS+nCWWk2BSTpcXhdX&#10;i7ecSbq6WuTL61SKTJSPnx368EHBwKJRcaRKJnCxv/chkhHl45NEHoxuttqY5GBXbwyyvaCqb9NK&#10;/CnHy2fGspGiF8TjZYg8recgBh2ofY0eKKPzI1FG1d7bJjVXENocbaJs7EnGqFxsUl+GqZ6Ybio+&#10;jwHiSQ3NgXRFOHYrTRcZPeAvzkbq1Ir7nzuBijPz0cbazBd5bO1LBy+d+tIRVhJUxQNnR3MTjuOw&#10;c6i7niIVSQ0Lt1TPVietn1id6FM3phKcJie2+6WfXj3N9/o3AAAA//8DAFBLAwQUAAYACAAAACEA&#10;LaeTCd0AAAAJAQAADwAAAGRycy9kb3ducmV2LnhtbEyPwU7DMBBE70j8g7VI3KgTmlQhjVOhSghx&#10;JAXOTrxNosbrYLuN+XvcE9xmNauZN9Uu6Ild0LrRkIB0lQBD6owaqRfwcXh5KIA5L0nJyRAK+EEH&#10;u/r2ppKlMgu946XxPYsh5EopYPB+Ljl33YBaupWZkaJ3NFZLH0/bc2XlEsP1xB+TZMO1HCk2DHLG&#10;/YDdqTlrAd/y6WvB9TF8hiKzafvavOl2L8T9XXjeAvMY/N8zXPEjOtSRqTVnUo5NAvIsTvECsnUK&#10;7OoXmxxYG0WS5sDriv9fUP8CAAD//wMAUEsBAi0AFAAGAAgAAAAhALaDOJL+AAAA4QEAABMAAAAA&#10;AAAAAAAAAAAAAAAAAFtDb250ZW50X1R5cGVzXS54bWxQSwECLQAUAAYACAAAACEAOP0h/9YAAACU&#10;AQAACwAAAAAAAAAAAAAAAAAvAQAAX3JlbHMvLnJlbHNQSwECLQAUAAYACAAAACEAERP+DQwCAAAn&#10;BAAADgAAAAAAAAAAAAAAAAAuAgAAZHJzL2Uyb0RvYy54bWxQSwECLQAUAAYACAAAACEALaeTCd0A&#10;AAAJAQAADwAAAAAAAAAAAAAAAABmBAAAZHJzL2Rvd25yZXYueG1sUEsFBgAAAAAEAAQA8wAAAHAF&#10;AAAAAA==&#10;" strokeweight=".25pt">
                <v:textbox inset="1pt,1pt,1pt,1pt">
                  <w:txbxContent>
                    <w:p w14:paraId="61786316" w14:textId="77777777" w:rsidR="00B9085A" w:rsidRDefault="00B9085A" w:rsidP="0088085F">
                      <w:pPr>
                        <w:spacing w:after="0"/>
                        <w:ind w:firstLine="0"/>
                        <w:jc w:val="center"/>
                        <w:rPr>
                          <w:rFonts w:ascii="Arial" w:hAnsi="Arial" w:cs="Arial"/>
                          <w:sz w:val="16"/>
                          <w:szCs w:val="16"/>
                          <w:lang w:val="es-ES"/>
                        </w:rPr>
                      </w:pPr>
                    </w:p>
                    <w:p w14:paraId="627E3794"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Municipios: 272</w:t>
                      </w:r>
                    </w:p>
                  </w:txbxContent>
                </v:textbox>
              </v:rect>
            </w:pict>
          </mc:Fallback>
        </mc:AlternateContent>
      </w:r>
    </w:p>
    <w:p w14:paraId="1A6C4870"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10"/>
          <w:szCs w:val="10"/>
          <w:highlight w:val="yellow"/>
        </w:rPr>
      </w:pPr>
      <w:r w:rsidRPr="00B81E61">
        <w:rPr>
          <w:noProof/>
          <w:color w:val="000000" w:themeColor="text1"/>
          <w:lang w:val="es-ES" w:eastAsia="es-ES"/>
        </w:rPr>
        <mc:AlternateContent>
          <mc:Choice Requires="wps">
            <w:drawing>
              <wp:anchor distT="0" distB="0" distL="114300" distR="114300" simplePos="0" relativeHeight="251667968" behindDoc="0" locked="0" layoutInCell="1" allowOverlap="1" wp14:anchorId="02B504BE" wp14:editId="75838E97">
                <wp:simplePos x="0" y="0"/>
                <wp:positionH relativeFrom="column">
                  <wp:posOffset>2566035</wp:posOffset>
                </wp:positionH>
                <wp:positionV relativeFrom="paragraph">
                  <wp:posOffset>12700</wp:posOffset>
                </wp:positionV>
                <wp:extent cx="1019175" cy="370205"/>
                <wp:effectExtent l="0" t="0" r="28575" b="1079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14:paraId="3A3F1C14"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 xml:space="preserve">Entidades </w:t>
                            </w:r>
                          </w:p>
                          <w:p w14:paraId="22250C26" w14:textId="77777777" w:rsidR="00B9085A" w:rsidRPr="00D05EAF" w:rsidRDefault="00B9085A" w:rsidP="0088085F">
                            <w:pPr>
                              <w:spacing w:after="0"/>
                              <w:ind w:firstLine="0"/>
                              <w:jc w:val="center"/>
                              <w:rPr>
                                <w:rFonts w:ascii="Arial Narrow" w:hAnsi="Arial Narrow" w:cs="GillSans"/>
                                <w:sz w:val="18"/>
                                <w:szCs w:val="18"/>
                              </w:rPr>
                            </w:pPr>
                            <w:r w:rsidRPr="000035AC">
                              <w:rPr>
                                <w:rFonts w:ascii="Arial" w:hAnsi="Arial" w:cs="Arial"/>
                                <w:sz w:val="16"/>
                                <w:szCs w:val="16"/>
                                <w:lang w:val="es-ES"/>
                              </w:rPr>
                              <w:t xml:space="preserve"> </w:t>
                            </w:r>
                            <w:proofErr w:type="spellStart"/>
                            <w:r w:rsidRPr="000035AC">
                              <w:rPr>
                                <w:rFonts w:ascii="Arial" w:hAnsi="Arial" w:cs="Arial"/>
                                <w:sz w:val="16"/>
                                <w:szCs w:val="16"/>
                                <w:lang w:val="es-ES"/>
                              </w:rPr>
                              <w:t>supramunici</w:t>
                            </w:r>
                            <w:proofErr w:type="spellEnd"/>
                            <w:r w:rsidRPr="00D05EAF">
                              <w:rPr>
                                <w:rFonts w:ascii="Arial Narrow" w:hAnsi="Arial Narrow" w:cs="GillSans"/>
                                <w:sz w:val="18"/>
                                <w:szCs w:val="18"/>
                              </w:rPr>
                              <w:t xml:space="preserve">pales: </w:t>
                            </w:r>
                            <w:r w:rsidRPr="006B749F">
                              <w:rPr>
                                <w:rFonts w:ascii="Arial Narrow" w:hAnsi="Arial Narrow" w:cs="GillSans"/>
                                <w:sz w:val="16"/>
                                <w:szCs w:val="16"/>
                              </w:rPr>
                              <w:t>84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504BE" id="Rectangle 17" o:spid="_x0000_s1029" style="position:absolute;left:0;text-align:left;margin-left:202.05pt;margin-top:1pt;width:80.25pt;height:29.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IaCgIAACgEAAAOAAAAZHJzL2Uyb0RvYy54bWysU9uO0zAQfUfiHyy/0yRFS5eo6WrVpQhp&#10;YZEWPsBxnMTC8Zix26R8PWM3260A8YDwgzXjy5kzZ2bWN9Ng2EGh12ArXixyzpSV0GjbVfzrl92r&#10;a858ELYRBqyq+FF5frN5+WI9ulItoQfTKGQEYn05uor3Ibgyy7zs1SD8ApyydNkCDiKQi13WoBgJ&#10;fTDZMs/fZCNg4xCk8p5O706XfJPw21bJ8NC2XgVmKk7cQtox7XXcs81alB0K12s50xD/wGIQ2lLQ&#10;M9SdCILtUf8GNWiJ4KENCwlDBm2rpUo5UDZF/ks2j71wKuVC4nh3lsn/P1j56fDoPmOk7t09yG+e&#10;Wdj2wnbqFhHGXomGwhVRqGx0vjx/iI6nr6weP0JDpRX7AEmDqcUhAlJ2bEpSH89SqykwSYdFXrwt&#10;VlecSbp7vcqX+VUKIcqn3w59eK9gYNGoOFIpE7o43PsQ2Yjy6UliD0Y3O21McrCrtwbZQVDZd2nN&#10;6P7ymbFspOiRx98h8rT+BDHoQP1r9FDx6/MjUUbZ3tkmdVcQ2pxsomzsrGOULnapL8NUT0w3RCQG&#10;iCc1NEcSFuHUrjReZPSAPzgbqVUr7r/vBSrOzAcbi7Nc5bG3Lx28dOpLR1hJUBUPnJ3MbTjNw96h&#10;7nqKVCQ1LNxSQVudtH5mNdOndkwlmEcn9vuln149D/jmJwAAAP//AwBQSwMEFAAGAAgAAAAhAG6f&#10;S+vcAAAACAEAAA8AAABkcnMvZG93bnJldi54bWxMj81OwzAQhO9IvIO1SNyonTZEbRqnQpUQ4kj4&#10;OW/ibRIR28F2G/P2mBMcRzOa+aY6RD2xCzk/WiMhWwlgZDqrRtNLeHt9vNsC8wGNwskakvBNHg71&#10;9VWFpbKLeaFLE3qWSowvUcIQwlxy7ruBNPqVnckk72SdxpCk67lyuKRyPfG1EAXXOJq0MOBMx4G6&#10;z+asJXzh7mOhzSm+x23usvapedbtUcrbm/iwBxYohr8w/OIndKgTU2vPRnk2SchFnqWohHW6lPz7&#10;Ii+AtRIKsQFeV/z/gfoHAAD//wMAUEsBAi0AFAAGAAgAAAAhALaDOJL+AAAA4QEAABMAAAAAAAAA&#10;AAAAAAAAAAAAAFtDb250ZW50X1R5cGVzXS54bWxQSwECLQAUAAYACAAAACEAOP0h/9YAAACUAQAA&#10;CwAAAAAAAAAAAAAAAAAvAQAAX3JlbHMvLnJlbHNQSwECLQAUAAYACAAAACEAIEtiGgoCAAAoBAAA&#10;DgAAAAAAAAAAAAAAAAAuAgAAZHJzL2Uyb0RvYy54bWxQSwECLQAUAAYACAAAACEAbp9L69wAAAAI&#10;AQAADwAAAAAAAAAAAAAAAABkBAAAZHJzL2Rvd25yZXYueG1sUEsFBgAAAAAEAAQA8wAAAG0FAAAA&#10;AA==&#10;" strokeweight=".25pt">
                <v:textbox inset="1pt,1pt,1pt,1pt">
                  <w:txbxContent>
                    <w:p w14:paraId="3A3F1C14"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 xml:space="preserve">Entidades </w:t>
                      </w:r>
                    </w:p>
                    <w:p w14:paraId="22250C26" w14:textId="77777777" w:rsidR="00B9085A" w:rsidRPr="00D05EAF" w:rsidRDefault="00B9085A" w:rsidP="0088085F">
                      <w:pPr>
                        <w:spacing w:after="0"/>
                        <w:ind w:firstLine="0"/>
                        <w:jc w:val="center"/>
                        <w:rPr>
                          <w:rFonts w:ascii="Arial Narrow" w:hAnsi="Arial Narrow" w:cs="GillSans"/>
                          <w:sz w:val="18"/>
                          <w:szCs w:val="18"/>
                        </w:rPr>
                      </w:pPr>
                      <w:r w:rsidRPr="000035AC">
                        <w:rPr>
                          <w:rFonts w:ascii="Arial" w:hAnsi="Arial" w:cs="Arial"/>
                          <w:sz w:val="16"/>
                          <w:szCs w:val="16"/>
                          <w:lang w:val="es-ES"/>
                        </w:rPr>
                        <w:t xml:space="preserve"> </w:t>
                      </w:r>
                      <w:proofErr w:type="spellStart"/>
                      <w:r w:rsidRPr="000035AC">
                        <w:rPr>
                          <w:rFonts w:ascii="Arial" w:hAnsi="Arial" w:cs="Arial"/>
                          <w:sz w:val="16"/>
                          <w:szCs w:val="16"/>
                          <w:lang w:val="es-ES"/>
                        </w:rPr>
                        <w:t>supramunici</w:t>
                      </w:r>
                      <w:proofErr w:type="spellEnd"/>
                      <w:r w:rsidRPr="00D05EAF">
                        <w:rPr>
                          <w:rFonts w:ascii="Arial Narrow" w:hAnsi="Arial Narrow" w:cs="GillSans"/>
                          <w:sz w:val="18"/>
                          <w:szCs w:val="18"/>
                        </w:rPr>
                        <w:t xml:space="preserve">pales: </w:t>
                      </w:r>
                      <w:r w:rsidRPr="006B749F">
                        <w:rPr>
                          <w:rFonts w:ascii="Arial Narrow" w:hAnsi="Arial Narrow" w:cs="GillSans"/>
                          <w:sz w:val="16"/>
                          <w:szCs w:val="16"/>
                        </w:rPr>
                        <w:t>84</w:t>
                      </w:r>
                    </w:p>
                  </w:txbxContent>
                </v:textbox>
              </v:rect>
            </w:pict>
          </mc:Fallback>
        </mc:AlternateContent>
      </w:r>
      <w:r w:rsidRPr="00B81E61">
        <w:rPr>
          <w:noProof/>
          <w:color w:val="000000" w:themeColor="text1"/>
          <w:lang w:val="es-ES" w:eastAsia="es-ES"/>
        </w:rPr>
        <mc:AlternateContent>
          <mc:Choice Requires="wps">
            <w:drawing>
              <wp:anchor distT="0" distB="0" distL="114300" distR="114300" simplePos="0" relativeHeight="251666944" behindDoc="0" locked="0" layoutInCell="1" allowOverlap="1" wp14:anchorId="53021F15" wp14:editId="136F4C83">
                <wp:simplePos x="0" y="0"/>
                <wp:positionH relativeFrom="column">
                  <wp:posOffset>4740910</wp:posOffset>
                </wp:positionH>
                <wp:positionV relativeFrom="paragraph">
                  <wp:posOffset>8890</wp:posOffset>
                </wp:positionV>
                <wp:extent cx="842010" cy="369570"/>
                <wp:effectExtent l="0" t="0" r="15240" b="1143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14:paraId="4DAA5FCB" w14:textId="77777777" w:rsidR="00B9085A" w:rsidRDefault="00B9085A" w:rsidP="0088085F">
                            <w:pPr>
                              <w:spacing w:after="0"/>
                              <w:ind w:firstLine="0"/>
                              <w:jc w:val="center"/>
                              <w:rPr>
                                <w:rFonts w:ascii="Arial" w:hAnsi="Arial" w:cs="Arial"/>
                                <w:sz w:val="16"/>
                                <w:szCs w:val="16"/>
                                <w:lang w:val="es-ES"/>
                              </w:rPr>
                            </w:pPr>
                          </w:p>
                          <w:p w14:paraId="1C29E031"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Concejos: 346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21F15" id="Rectangle 16" o:spid="_x0000_s1030" style="position:absolute;left:0;text-align:left;margin-left:373.3pt;margin-top:.7pt;width:66.3pt;height:2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DgIAACcEAAAOAAAAZHJzL2Uyb0RvYy54bWysU9tu2zAMfR+wfxD0vtjJ2qYz4hRFugwD&#10;ugvQ7gNkWbaFyaJGKbGzrx+lpKm37mmYHgRRlA4PD8nVzdgbtlfoNdiSz2c5Z8pKqLVtS/7tcfvm&#10;mjMfhK2FAatKflCe36xfv1oNrlAL6MDUChmBWF8MruRdCK7IMi871Qs/A6csORvAXgQysc1qFAOh&#10;9yZb5PlVNgDWDkEq7+n27ujk64TfNEqGL03jVWCm5MQtpB3TXsU9W69E0aJwnZYnGuIfWPRCWwp6&#10;hroTQbAd6hdQvZYIHpowk9Bn0DRaqpQDZTPP/8jmoRNOpVxIHO/OMvn/Bys/7x/cV4zUvbsH+d0z&#10;C5tO2FbdIsLQKVFTuHkUKhucL84fouHpK6uGT1BTacUuQNJgbLCPgJQdG5PUh7PUagxM0uX1RcyX&#10;M0mut1fvLpepFJkonj479OGDgp7FQ8mRKpnAxf7eh0hGFE9PEnkwut5qY5KBbbUxyPaCqr5NK/Gn&#10;HKfPjGUDRZ8vLxPybz4/hcjT+htErwO1r9E9ZXR+JIqo2ntbp+YKQpvjmSgbe5IxKheb1BdhrEam&#10;65JfxADxpoL6QLoiHLuVposOHeBPzgbq1JL7HzuBijPz0cbaLJZ5bO2pgVOjmhrCSoIqeeDseNyE&#10;4zjsHOq2o0jzpIaFW6pno5PWz6xO9KkbUwlOkxPbfWqnV8/zvf4FAAD//wMAUEsDBBQABgAIAAAA&#10;IQDfiYfw3AAAAAgBAAAPAAAAZHJzL2Rvd25yZXYueG1sTI/BTsMwEETvSPyDtUjcqNMS0iSNU6FK&#10;CHEkQM9OvE0iYjvYbmP+nuUEx9Ubzbyt9lFP7ILOj9YIWK8SYGg6q0bTC3h/e7rLgfkgjZKTNSjg&#10;Gz3s6+urSpbKLuYVL03oGZUYX0oBQwhzybnvBtTSr+yMhtjJOi0Dna7nysmFyvXEN0mScS1HQwuD&#10;nPEwYPfZnLWAL1kcF7w/xY+Yp27dPjcvuj0IcXsTH3fAAsbwF4ZffVKHmpxaezbKs0nANs0yihJI&#10;gRHPt8UGWCvgociA1xX//0D9AwAA//8DAFBLAQItABQABgAIAAAAIQC2gziS/gAAAOEBAAATAAAA&#10;AAAAAAAAAAAAAAAAAABbQ29udGVudF9UeXBlc10ueG1sUEsBAi0AFAAGAAgAAAAhADj9If/WAAAA&#10;lAEAAAsAAAAAAAAAAAAAAAAALwEAAF9yZWxzLy5yZWxzUEsBAi0AFAAGAAgAAAAhAFmwz+QOAgAA&#10;JwQAAA4AAAAAAAAAAAAAAAAALgIAAGRycy9lMm9Eb2MueG1sUEsBAi0AFAAGAAgAAAAhAN+Jh/Dc&#10;AAAACAEAAA8AAAAAAAAAAAAAAAAAaAQAAGRycy9kb3ducmV2LnhtbFBLBQYAAAAABAAEAPMAAABx&#10;BQAAAAA=&#10;" strokeweight=".25pt">
                <v:textbox inset="1pt,1pt,1pt,1pt">
                  <w:txbxContent>
                    <w:p w14:paraId="4DAA5FCB" w14:textId="77777777" w:rsidR="00B9085A" w:rsidRDefault="00B9085A" w:rsidP="0088085F">
                      <w:pPr>
                        <w:spacing w:after="0"/>
                        <w:ind w:firstLine="0"/>
                        <w:jc w:val="center"/>
                        <w:rPr>
                          <w:rFonts w:ascii="Arial" w:hAnsi="Arial" w:cs="Arial"/>
                          <w:sz w:val="16"/>
                          <w:szCs w:val="16"/>
                          <w:lang w:val="es-ES"/>
                        </w:rPr>
                      </w:pPr>
                    </w:p>
                    <w:p w14:paraId="1C29E031"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Concejos: 346</w:t>
                      </w:r>
                    </w:p>
                  </w:txbxContent>
                </v:textbox>
              </v:rect>
            </w:pict>
          </mc:Fallback>
        </mc:AlternateContent>
      </w:r>
    </w:p>
    <w:p w14:paraId="4723AB82"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p>
    <w:p w14:paraId="3E776442"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70016" behindDoc="0" locked="0" layoutInCell="1" allowOverlap="1" wp14:anchorId="2FD6F5F0" wp14:editId="64A5C271">
                <wp:simplePos x="0" y="0"/>
                <wp:positionH relativeFrom="column">
                  <wp:posOffset>61595</wp:posOffset>
                </wp:positionH>
                <wp:positionV relativeFrom="paragraph">
                  <wp:posOffset>144780</wp:posOffset>
                </wp:positionV>
                <wp:extent cx="1433195" cy="623570"/>
                <wp:effectExtent l="0" t="0" r="14605" b="2413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23570"/>
                        </a:xfrm>
                        <a:prstGeom prst="rect">
                          <a:avLst/>
                        </a:prstGeom>
                        <a:solidFill>
                          <a:srgbClr val="FFFFFF"/>
                        </a:solidFill>
                        <a:ln w="3175">
                          <a:solidFill>
                            <a:srgbClr val="000000"/>
                          </a:solidFill>
                          <a:miter lim="800000"/>
                          <a:headEnd/>
                          <a:tailEnd/>
                        </a:ln>
                      </wps:spPr>
                      <wps:txbx>
                        <w:txbxContent>
                          <w:p w14:paraId="15BA8C82" w14:textId="77777777" w:rsidR="00B9085A" w:rsidRPr="000035AC" w:rsidRDefault="00B9085A" w:rsidP="0088085F">
                            <w:pPr>
                              <w:spacing w:before="60" w:after="0"/>
                              <w:ind w:firstLine="0"/>
                              <w:jc w:val="center"/>
                              <w:rPr>
                                <w:rFonts w:ascii="Arial" w:hAnsi="Arial" w:cs="Arial"/>
                                <w:sz w:val="16"/>
                                <w:szCs w:val="16"/>
                                <w:lang w:val="es-ES"/>
                              </w:rPr>
                            </w:pPr>
                            <w:r w:rsidRPr="000035AC">
                              <w:rPr>
                                <w:rFonts w:ascii="Arial" w:hAnsi="Arial" w:cs="Arial"/>
                                <w:sz w:val="16"/>
                                <w:szCs w:val="16"/>
                                <w:lang w:val="es-ES"/>
                              </w:rPr>
                              <w:t>Organismos autónomos: 5</w:t>
                            </w:r>
                            <w:r>
                              <w:rPr>
                                <w:rFonts w:ascii="Arial" w:hAnsi="Arial" w:cs="Arial"/>
                                <w:sz w:val="16"/>
                                <w:szCs w:val="16"/>
                                <w:lang w:val="es-ES"/>
                              </w:rPr>
                              <w:t>5</w:t>
                            </w:r>
                          </w:p>
                          <w:p w14:paraId="30AD02D6"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 4</w:t>
                            </w:r>
                            <w:r>
                              <w:rPr>
                                <w:rFonts w:ascii="Arial" w:hAnsi="Arial" w:cs="Arial"/>
                                <w:sz w:val="16"/>
                                <w:szCs w:val="16"/>
                                <w:lang w:val="es-ES"/>
                              </w:rPr>
                              <w:t>6</w:t>
                            </w:r>
                          </w:p>
                          <w:p w14:paraId="78529AA3" w14:textId="77777777" w:rsidR="00B9085A" w:rsidRPr="000035AC" w:rsidRDefault="00B9085A" w:rsidP="005B091A">
                            <w:pPr>
                              <w:spacing w:after="0"/>
                              <w:ind w:firstLine="0"/>
                              <w:rPr>
                                <w:rFonts w:ascii="Arial" w:hAnsi="Arial" w:cs="Arial"/>
                                <w:sz w:val="16"/>
                                <w:szCs w:val="16"/>
                                <w:lang w:val="es-ES"/>
                              </w:rPr>
                            </w:pPr>
                            <w:r>
                              <w:rPr>
                                <w:rFonts w:ascii="Arial" w:hAnsi="Arial" w:cs="Arial"/>
                                <w:sz w:val="16"/>
                                <w:szCs w:val="16"/>
                                <w:lang w:val="es-ES"/>
                              </w:rPr>
                              <w:t xml:space="preserve">   </w:t>
                            </w:r>
                            <w:r w:rsidRPr="000035AC">
                              <w:rPr>
                                <w:rFonts w:ascii="Arial" w:hAnsi="Arial" w:cs="Arial"/>
                                <w:sz w:val="16"/>
                                <w:szCs w:val="16"/>
                                <w:lang w:val="es-ES"/>
                              </w:rPr>
                              <w:t>Fundaciones: 8</w:t>
                            </w:r>
                          </w:p>
                          <w:p w14:paraId="140369AF" w14:textId="77777777" w:rsidR="00B9085A" w:rsidRPr="000035AC" w:rsidRDefault="00B9085A" w:rsidP="005B091A">
                            <w:pPr>
                              <w:spacing w:after="0"/>
                              <w:ind w:firstLine="0"/>
                              <w:rPr>
                                <w:rFonts w:ascii="Arial" w:hAnsi="Arial" w:cs="Arial"/>
                                <w:sz w:val="16"/>
                                <w:szCs w:val="16"/>
                                <w:lang w:val="es-ES"/>
                              </w:rPr>
                            </w:pPr>
                            <w:r>
                              <w:rPr>
                                <w:rFonts w:ascii="Arial" w:hAnsi="Arial" w:cs="Arial"/>
                                <w:sz w:val="16"/>
                                <w:szCs w:val="16"/>
                                <w:lang w:val="es-ES"/>
                              </w:rPr>
                              <w:t xml:space="preserve">   </w:t>
                            </w:r>
                            <w:r w:rsidRPr="000035AC">
                              <w:rPr>
                                <w:rFonts w:ascii="Arial" w:hAnsi="Arial" w:cs="Arial"/>
                                <w:sz w:val="16"/>
                                <w:szCs w:val="16"/>
                                <w:lang w:val="es-ES"/>
                              </w:rPr>
                              <w:t>Consorcios: 17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F5F0" id="Rectangle 19" o:spid="_x0000_s1031" style="position:absolute;left:0;text-align:left;margin-left:4.85pt;margin-top:11.4pt;width:112.85pt;height:4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e1EgIAACgEAAAOAAAAZHJzL2Uyb0RvYy54bWysU9tu2zAMfR+wfxD0vthOlrYz4hRFugwD&#10;ugvQ7QNkWbaFyaJGKXGyrx+lpKl3eRqmB0EUpcPDQ3J1exgM2yv0GmzFi1nOmbISGm27in/9sn11&#10;w5kPwjbCgFUVPyrPb9cvX6xGV6o59GAahYxArC9HV/E+BFdmmZe9GoSfgVOWnC3gIAKZ2GUNipHQ&#10;B5PN8/wqGwEbhyCV93R7f3LydcJvWyXDp7b1KjBTceIW0o5pr+OerVei7FC4XsszDfEPLAahLQW9&#10;QN2LINgO9R9Qg5YIHtowkzBk0LZaqpQDZVPkv2Xz2AunUi4kjncXmfz/g5Uf94/uM0bq3j2A/OaZ&#10;hU0vbKfuEGHslWgoXBGFykbny8uHaHj6yurxAzRUWrELkDQ4tDhEQMqOHZLUx4vU6hCYpMvi9WJR&#10;vFlyJsl3NV8sr1MtMlE+/XbowzsFA4uHiiOVMqGL/YMPkY0on54k9mB0s9XGJAO7emOQ7QWVfZtW&#10;SoCSnD4zlo0VXxTXy4T8i89PIfK0/gYx6ED9a/RQ8ZvLI1FG2d7aJnVXENqczkTZ2LOOUbrYpb4M&#10;h/rAdFPxZQwQb2pojiQswqldabzo0AP+4GykVq24/74TqDgz720szvw6j709NXBq1FNDWElQFQ+c&#10;nY6bcJqHnUPd9RSpSGpYuKOCtjpp/czqTJ/aMZXgPDqx36d2evU84OufAAAA//8DAFBLAwQUAAYA&#10;CAAAACEAgDsUn9wAAAAIAQAADwAAAGRycy9kb3ducmV2LnhtbEyPwU7DMBBE70j8g7VI3KgTt9A2&#10;xKlQJYQ4EqBnJ94mEbEdbLcxf89yosfVPM2+KXfJjOyMPgzOSsgXGTC0rdOD7SR8vD/fbYCFqKxW&#10;o7Mo4QcD7Krrq1IV2s32Dc917BiV2FAoCX2MU8F5aHs0KizchJayo/NGRTp9x7VXM5WbkYsse+BG&#10;DZY+9GrCfY/tV30yEr7V9jDj8pg+02bl8+alfjXNXsrbm/T0CCxiiv8w/OmTOlTk1LiT1YGNErZr&#10;AiUIQQMoFsv7FbCGOJFnwKuSXw6ofgEAAP//AwBQSwECLQAUAAYACAAAACEAtoM4kv4AAADhAQAA&#10;EwAAAAAAAAAAAAAAAAAAAAAAW0NvbnRlbnRfVHlwZXNdLnhtbFBLAQItABQABgAIAAAAIQA4/SH/&#10;1gAAAJQBAAALAAAAAAAAAAAAAAAAAC8BAABfcmVscy8ucmVsc1BLAQItABQABgAIAAAAIQCulFe1&#10;EgIAACgEAAAOAAAAAAAAAAAAAAAAAC4CAABkcnMvZTJvRG9jLnhtbFBLAQItABQABgAIAAAAIQCA&#10;OxSf3AAAAAgBAAAPAAAAAAAAAAAAAAAAAGwEAABkcnMvZG93bnJldi54bWxQSwUGAAAAAAQABADz&#10;AAAAdQUAAAAA&#10;" strokeweight=".25pt">
                <v:textbox inset="1pt,1pt,1pt,1pt">
                  <w:txbxContent>
                    <w:p w14:paraId="15BA8C82" w14:textId="77777777" w:rsidR="00B9085A" w:rsidRPr="000035AC" w:rsidRDefault="00B9085A" w:rsidP="0088085F">
                      <w:pPr>
                        <w:spacing w:before="60" w:after="0"/>
                        <w:ind w:firstLine="0"/>
                        <w:jc w:val="center"/>
                        <w:rPr>
                          <w:rFonts w:ascii="Arial" w:hAnsi="Arial" w:cs="Arial"/>
                          <w:sz w:val="16"/>
                          <w:szCs w:val="16"/>
                          <w:lang w:val="es-ES"/>
                        </w:rPr>
                      </w:pPr>
                      <w:r w:rsidRPr="000035AC">
                        <w:rPr>
                          <w:rFonts w:ascii="Arial" w:hAnsi="Arial" w:cs="Arial"/>
                          <w:sz w:val="16"/>
                          <w:szCs w:val="16"/>
                          <w:lang w:val="es-ES"/>
                        </w:rPr>
                        <w:t>Organismos autónomos: 5</w:t>
                      </w:r>
                      <w:r>
                        <w:rPr>
                          <w:rFonts w:ascii="Arial" w:hAnsi="Arial" w:cs="Arial"/>
                          <w:sz w:val="16"/>
                          <w:szCs w:val="16"/>
                          <w:lang w:val="es-ES"/>
                        </w:rPr>
                        <w:t>5</w:t>
                      </w:r>
                    </w:p>
                    <w:p w14:paraId="30AD02D6"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 4</w:t>
                      </w:r>
                      <w:r>
                        <w:rPr>
                          <w:rFonts w:ascii="Arial" w:hAnsi="Arial" w:cs="Arial"/>
                          <w:sz w:val="16"/>
                          <w:szCs w:val="16"/>
                          <w:lang w:val="es-ES"/>
                        </w:rPr>
                        <w:t>6</w:t>
                      </w:r>
                    </w:p>
                    <w:p w14:paraId="78529AA3" w14:textId="77777777" w:rsidR="00B9085A" w:rsidRPr="000035AC" w:rsidRDefault="00B9085A" w:rsidP="005B091A">
                      <w:pPr>
                        <w:spacing w:after="0"/>
                        <w:ind w:firstLine="0"/>
                        <w:rPr>
                          <w:rFonts w:ascii="Arial" w:hAnsi="Arial" w:cs="Arial"/>
                          <w:sz w:val="16"/>
                          <w:szCs w:val="16"/>
                          <w:lang w:val="es-ES"/>
                        </w:rPr>
                      </w:pPr>
                      <w:r>
                        <w:rPr>
                          <w:rFonts w:ascii="Arial" w:hAnsi="Arial" w:cs="Arial"/>
                          <w:sz w:val="16"/>
                          <w:szCs w:val="16"/>
                          <w:lang w:val="es-ES"/>
                        </w:rPr>
                        <w:t xml:space="preserve">   </w:t>
                      </w:r>
                      <w:r w:rsidRPr="000035AC">
                        <w:rPr>
                          <w:rFonts w:ascii="Arial" w:hAnsi="Arial" w:cs="Arial"/>
                          <w:sz w:val="16"/>
                          <w:szCs w:val="16"/>
                          <w:lang w:val="es-ES"/>
                        </w:rPr>
                        <w:t>Fundaciones: 8</w:t>
                      </w:r>
                    </w:p>
                    <w:p w14:paraId="140369AF" w14:textId="77777777" w:rsidR="00B9085A" w:rsidRPr="000035AC" w:rsidRDefault="00B9085A" w:rsidP="005B091A">
                      <w:pPr>
                        <w:spacing w:after="0"/>
                        <w:ind w:firstLine="0"/>
                        <w:rPr>
                          <w:rFonts w:ascii="Arial" w:hAnsi="Arial" w:cs="Arial"/>
                          <w:sz w:val="16"/>
                          <w:szCs w:val="16"/>
                          <w:lang w:val="es-ES"/>
                        </w:rPr>
                      </w:pPr>
                      <w:r>
                        <w:rPr>
                          <w:rFonts w:ascii="Arial" w:hAnsi="Arial" w:cs="Arial"/>
                          <w:sz w:val="16"/>
                          <w:szCs w:val="16"/>
                          <w:lang w:val="es-ES"/>
                        </w:rPr>
                        <w:t xml:space="preserve">   </w:t>
                      </w:r>
                      <w:r w:rsidRPr="000035AC">
                        <w:rPr>
                          <w:rFonts w:ascii="Arial" w:hAnsi="Arial" w:cs="Arial"/>
                          <w:sz w:val="16"/>
                          <w:szCs w:val="16"/>
                          <w:lang w:val="es-ES"/>
                        </w:rPr>
                        <w:t>Consorcios: 17</w:t>
                      </w:r>
                    </w:p>
                  </w:txbxContent>
                </v:textbox>
              </v:rect>
            </w:pict>
          </mc:Fallback>
        </mc:AlternateContent>
      </w:r>
      <w:r w:rsidRPr="00B81E61">
        <w:rPr>
          <w:noProof/>
          <w:color w:val="000000" w:themeColor="text1"/>
          <w:lang w:val="es-ES" w:eastAsia="es-ES"/>
        </w:rPr>
        <mc:AlternateContent>
          <mc:Choice Requires="wps">
            <w:drawing>
              <wp:anchor distT="4294967295" distB="4294967295" distL="114300" distR="114300" simplePos="0" relativeHeight="251664896" behindDoc="0" locked="0" layoutInCell="1" allowOverlap="1" wp14:anchorId="4621431D" wp14:editId="0518961E">
                <wp:simplePos x="0" y="0"/>
                <wp:positionH relativeFrom="column">
                  <wp:posOffset>2292350</wp:posOffset>
                </wp:positionH>
                <wp:positionV relativeFrom="paragraph">
                  <wp:posOffset>2540</wp:posOffset>
                </wp:positionV>
                <wp:extent cx="1560830" cy="5080"/>
                <wp:effectExtent l="0" t="0" r="20320" b="3302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508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93F70" id="Line 14"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2pt" to="30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p3MgIAAG8EAAAOAAAAZHJzL2Uyb0RvYy54bWysVMGO2jAQvVfqP1i+QxIINBsRVlUCvdAW&#10;abe9G9shVh3bsg0BVf33jg3L7raHVlU5GDvz5mXezHMW96deoiO3TmhV4WycYsQV1UyofYW/PK5H&#10;BUbOE8WI1IpX+Mwdvl++fbMYTMknutOScYuARLlyMBXuvDdlkjja8Z64sTZcQbDVticejnafMEsG&#10;YO9lMknTeTJoy4zVlDsHT5tLEC8jf9ty6j+3reMeyQpDbT6uNq67sCbLBSn3lphO0GsZ5B+q6IlQ&#10;8NIbVUM8QQcrfqPqBbXa6daPqe4T3baC8qgB1GTpL2oeOmJ41ALNcebWJvf/aOmn49YiwWB2E4wU&#10;6WFGG6E4yvLQm8G4EiC12tqgjp7Ug9lo+s0hpeuOqD2PNT6eDeRlISN5lRIOzsAbdsNHzQBDDl7H&#10;Rp1a26NWCvM1JAZyaAY6xcmcb5PhJ48oPMxm87SYwgApxGZpEQeXkDKwhFxjnf/AdY/CpsISFERO&#10;ctw4H6p6hgS40mshZZy9VGio8DR7N4sJTkvBQjDAnN3vamnRkQT3xF+UCJGXMKsPikWyjhO2Ugz5&#10;2A8FjseB3fUYSQ73AzYR54mQf8ZB0VKFOqALIOO6u9jq+116typWRT7KJ/PVKE+bZvR+Xeej+Rqk&#10;NNOmrpvsR5CU5WUnGOMqqHqyeJb/nYWul+1izpvJb+1LXrPHPkOxT/+x6GiI4IGLm3aanbc2jCR4&#10;A1wdwdcbGK7Ny3NEPX8nlj8BAAD//wMAUEsDBBQABgAIAAAAIQABr3bF3AAAAAYBAAAPAAAAZHJz&#10;L2Rvd25yZXYueG1sTI/BTsMwEETvSPyDtZW4UbuhilCIUxUoJwRSW9SzEy9JVHsdxW4b+HqWExxH&#10;M5p5U64m78QZx9gH0rCYKxBITbA9tRo+9i+39yBiMmSNC4QavjDCqrq+Kk1hw4W2eN6lVnAJxcJo&#10;6FIaCilj06E3cR4GJPY+w+hNYjm20o7mwuXeyUypXHrTEy90ZsCnDpvj7uQ1vG7U8+P+vW7xDb+z&#10;Te8Oy8Mx0/pmNq0fQCSc0l8YfvEZHSpmqsOJbBROw12+4C9JwxIE27nK+UnNuQxkVcr/+NUPAAAA&#10;//8DAFBLAQItABQABgAIAAAAIQC2gziS/gAAAOEBAAATAAAAAAAAAAAAAAAAAAAAAABbQ29udGVu&#10;dF9UeXBlc10ueG1sUEsBAi0AFAAGAAgAAAAhADj9If/WAAAAlAEAAAsAAAAAAAAAAAAAAAAALwEA&#10;AF9yZWxzLy5yZWxzUEsBAi0AFAAGAAgAAAAhALCQ2ncyAgAAbwQAAA4AAAAAAAAAAAAAAAAALgIA&#10;AGRycy9lMm9Eb2MueG1sUEsBAi0AFAAGAAgAAAAhAAGvdsXcAAAABgEAAA8AAAAAAAAAAAAAAAAA&#10;jAQAAGRycy9kb3ducmV2LnhtbFBLBQYAAAAABAAEAPMAAACVBQAAAAA=&#10;" strokeweight=".25pt">
                <v:stroke startarrowwidth="narrow" startarrowlength="short" endarrowwidth="narrow" endarrowlength="short"/>
              </v:line>
            </w:pict>
          </mc:Fallback>
        </mc:AlternateContent>
      </w:r>
      <w:r w:rsidRPr="00B81E61">
        <w:rPr>
          <w:noProof/>
          <w:color w:val="000000" w:themeColor="text1"/>
          <w:lang w:val="es-ES" w:eastAsia="es-ES"/>
        </w:rPr>
        <mc:AlternateContent>
          <mc:Choice Requires="wps">
            <w:drawing>
              <wp:anchor distT="0" distB="0" distL="114300" distR="114300" simplePos="0" relativeHeight="251659776" behindDoc="0" locked="0" layoutInCell="1" allowOverlap="1" wp14:anchorId="1B43A390" wp14:editId="0CE69AAA">
                <wp:simplePos x="0" y="0"/>
                <wp:positionH relativeFrom="column">
                  <wp:posOffset>2290445</wp:posOffset>
                </wp:positionH>
                <wp:positionV relativeFrom="paragraph">
                  <wp:posOffset>7620</wp:posOffset>
                </wp:positionV>
                <wp:extent cx="0" cy="859790"/>
                <wp:effectExtent l="0" t="0" r="19050" b="1651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979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60286" id="Line 2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6pt" to="180.3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FHLwIAAGsEAAAOAAAAZHJzL2Uyb0RvYy54bWysVF1v2jAUfZ+0/2D5HfLRlEJEqKYEtgfW&#10;IbX7AcZ2iDXHtmxDQNP++64Npe32sGlaHhx/nHtyz73Hmd8fe4kO3DqhVYWzcYoRV1QzoXYV/vq0&#10;Gk0xcp4oRqRWvMIn7vD94v27+WBKnutOS8YtAhLlysFUuPPelEniaMd74sbacAWHrbY98bC0u4RZ&#10;MgB7L5M8TSfJoC0zVlPuHOw250O8iPxty6n/0raOeyQrDLn5ONo4bsOYLOak3FliOkEvaZB/yKIn&#10;QsFHr1QN8QTtrfiNqhfUaqdbP6a6T3TbCsqjBlCTpb+oeeyI4VELFMeZa5nc/6OlD4eNRYJVOJ9h&#10;pEgPPVoLxVGeh9oMxpUAqdXGBnX0qB7NWtNvDildd0TteMzx6WQgLgsRyZuQsHAGvrAdPmsGGLL3&#10;Ohbq2NoetVKYTyEwkEMx0DF25nTtDD96RM+bFHant7O7WWxaQsrAEOKMdf4j1z0KkwpLyD7ykcPa&#10;+ZDRCyTAlV4JKWPfpUJDhW+yu9sY4LQULBwGmLO7bS0tOpDgnPhEeXDyGmb1XrFI1nHCloohH2uh&#10;wO04sLseI8nhbsAk4jwR8s84SFqqkAdUAGRcZmdLfZ+ls+V0OS1GRT5Zjoq0aUYfVnUxmqxASnPT&#10;1HWT/QiSsqLsBGNcBVXP9s6Kv7PP5aKdjXk1+LV8yVv2WGdI9vkdk45mCP0/O2mr2WljQ0uCL8DR&#10;EXy5feHKvF5H1Ms/YvETAAD//wMAUEsDBBQABgAIAAAAIQCt7X3c3AAAAAkBAAAPAAAAZHJzL2Rv&#10;d25yZXYueG1sTI/LTsMwEEX3SPyDNUjsqN0UBRTiVDzKCoFEi7p24mkS1R5HsdsGvp5BLGB5dK/u&#10;nCmXk3fiiGPsA2mYzxQIpCbYnloNH5vnq1sQMRmyxgVCDZ8YYVmdn5WmsOFE73hcp1bwCMXCaOhS&#10;GgopY9OhN3EWBiTOdmH0JjGOrbSjOfG4dzJTKpfe9MQXOjPgY4fNfn3wGl5W6ulh81a3+Ipf2ap3&#10;2+vtPtP68mK6vwORcEp/ZfjRZ3Wo2KkOB7JROA2LXN1wlYMMBOe/XDMv8hxkVcr/H1TfAAAA//8D&#10;AFBLAQItABQABgAIAAAAIQC2gziS/gAAAOEBAAATAAAAAAAAAAAAAAAAAAAAAABbQ29udGVudF9U&#10;eXBlc10ueG1sUEsBAi0AFAAGAAgAAAAhADj9If/WAAAAlAEAAAsAAAAAAAAAAAAAAAAALwEAAF9y&#10;ZWxzLy5yZWxzUEsBAi0AFAAGAAgAAAAhAJ1msUcvAgAAawQAAA4AAAAAAAAAAAAAAAAALgIAAGRy&#10;cy9lMm9Eb2MueG1sUEsBAi0AFAAGAAgAAAAhAK3tfdzcAAAACQEAAA8AAAAAAAAAAAAAAAAAiQQA&#10;AGRycy9kb3ducmV2LnhtbFBLBQYAAAAABAAEAPMAAACSBQAAAAA=&#10;" strokeweight=".25pt">
                <v:stroke startarrowwidth="narrow" startarrowlength="short" endarrowwidth="narrow" endarrowlength="short"/>
              </v:line>
            </w:pict>
          </mc:Fallback>
        </mc:AlternateContent>
      </w:r>
      <w:r w:rsidRPr="00B81E61">
        <w:rPr>
          <w:noProof/>
          <w:color w:val="000000" w:themeColor="text1"/>
          <w:lang w:val="es-ES" w:eastAsia="es-ES"/>
        </w:rPr>
        <mc:AlternateContent>
          <mc:Choice Requires="wps">
            <w:drawing>
              <wp:anchor distT="0" distB="0" distL="114300" distR="114300" simplePos="0" relativeHeight="251672064" behindDoc="0" locked="0" layoutInCell="1" allowOverlap="1" wp14:anchorId="05C82CF3" wp14:editId="6B711ACD">
                <wp:simplePos x="0" y="0"/>
                <wp:positionH relativeFrom="column">
                  <wp:posOffset>3848735</wp:posOffset>
                </wp:positionH>
                <wp:positionV relativeFrom="paragraph">
                  <wp:posOffset>4445</wp:posOffset>
                </wp:positionV>
                <wp:extent cx="6350" cy="409575"/>
                <wp:effectExtent l="0" t="0" r="31750" b="28575"/>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957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CD7D6" id="Line 2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35pt" to="303.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aWKQIAAGQEAAAOAAAAZHJzL2Uyb0RvYy54bWysVMuu2yAQ3VfqPyD2iR9x0sSKc1XFSTdp&#10;b6R7+wEEcIyKAQGJE1X99w7k0aZdtKrqBQbPcDhn5uD506mT6MitE1pVOBumGHFFNRNqX+HPr+vB&#10;FCPniWJEasUrfOYOPy3evpn3puS5brVk3CIAUa7sTYVb702ZJI62vCNuqA1XEGy07YiHpd0nzJIe&#10;0DuZ5Gk6SXptmbGacufga30J4kXEbxpO/XPTOO6RrDBw83G0cdyFMVnMSbm3xLSCXmmQf2DREaHg&#10;0DtUTTxBByt+g+oEtdrpxg+p7hLdNILyqAHUZOkval5aYnjUAsVx5l4m9/9g6afj1iLBKpxPMFKk&#10;gx5thOIoz0NteuNKSFmqrQ3q6Em9mI2mXxxSetkSteeR4+vZwL4s7EgetoSFM3DCrv+oGeSQg9ex&#10;UKfGdgESSoBOsR/nez/4ySMKHyejMfSMQqBIZ+N344hPyttWY53/wHWHwqTCEmhHaHLcOB+okPKW&#10;Ek5Sei2kjA2XCvUVHmUAGSJOS8FCMC7sfreUFh1JsEx8ruc+pFl9UCyCtZywlWLIxyIosDkO6K7D&#10;SHK4FDCJeZ4I+ec8IC1V4AFFABnX2cVLX2fpbDVdTYtBkU9WgyKt68H79bIYTNYgpR7Vy2WdfQuS&#10;sqJsBWNcBVU3X2fF3/nmesMujrw7+16+5BE91hnI3t6RdHRBaPzFQjvNzlsbWhIMAVaOyddrF+7K&#10;z+uY9ePnsPgOAAD//wMAUEsDBBQABgAIAAAAIQDAHatu3AAAAAcBAAAPAAAAZHJzL2Rvd25yZXYu&#10;eG1sTI5LS8RAEITvgv9haMGLuDMbMKsxk2VRBMHTPg4eO5k2Cc4jzMzuRn+97UlvVVRR9dXr2Vlx&#10;opjG4DUsFwoE+S6Y0fcaDvuX23sQKaM3aIMnDV+UYN1cXtRYmXD2Wzrtci94xKcKNQw5T5WUqRvI&#10;YVqEiTxnHyE6zGxjL03EM487KwulSulw9Pww4ERPA3Wfu6PTUExmxO+Hvn2225vN/v01mkN80/r6&#10;at48gsg0578y/OIzOjTM1IajN0lYDaUql1zVsALBcalWbFsWdwXIppb/+ZsfAAAA//8DAFBLAQIt&#10;ABQABgAIAAAAIQC2gziS/gAAAOEBAAATAAAAAAAAAAAAAAAAAAAAAABbQ29udGVudF9UeXBlc10u&#10;eG1sUEsBAi0AFAAGAAgAAAAhADj9If/WAAAAlAEAAAsAAAAAAAAAAAAAAAAALwEAAF9yZWxzLy5y&#10;ZWxzUEsBAi0AFAAGAAgAAAAhABcCxpYpAgAAZAQAAA4AAAAAAAAAAAAAAAAALgIAAGRycy9lMm9E&#10;b2MueG1sUEsBAi0AFAAGAAgAAAAhAMAdq27cAAAABwEAAA8AAAAAAAAAAAAAAAAAgwQAAGRycy9k&#10;b3ducmV2LnhtbFBLBQYAAAAABAAEAPMAAACMBQAAAAA=&#10;" strokeweight=".25pt">
                <v:stroke startarrowwidth="narrow" startarrowlength="short" endarrowwidth="narrow" endarrowlength="short"/>
              </v:line>
            </w:pict>
          </mc:Fallback>
        </mc:AlternateContent>
      </w:r>
      <w:r w:rsidRPr="00B81E61">
        <w:rPr>
          <w:noProof/>
          <w:color w:val="000000" w:themeColor="text1"/>
          <w:lang w:val="es-ES" w:eastAsia="es-ES"/>
        </w:rPr>
        <mc:AlternateContent>
          <mc:Choice Requires="wps">
            <w:drawing>
              <wp:anchor distT="0" distB="0" distL="114300" distR="114300" simplePos="0" relativeHeight="251674112" behindDoc="0" locked="0" layoutInCell="1" allowOverlap="1" wp14:anchorId="6D1E10F9" wp14:editId="357E0CE1">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14:paraId="557021E8" w14:textId="77777777" w:rsidR="00B9085A" w:rsidRDefault="00B9085A" w:rsidP="0088085F">
                            <w:pPr>
                              <w:spacing w:after="0"/>
                              <w:ind w:firstLine="0"/>
                              <w:jc w:val="center"/>
                              <w:rPr>
                                <w:rFonts w:ascii="Arial" w:hAnsi="Arial" w:cs="Arial"/>
                                <w:sz w:val="16"/>
                                <w:szCs w:val="16"/>
                                <w:lang w:val="es-ES"/>
                              </w:rPr>
                            </w:pPr>
                          </w:p>
                          <w:p w14:paraId="49D19C78" w14:textId="77777777" w:rsidR="00B9085A" w:rsidRPr="000035AC" w:rsidRDefault="00B9085A" w:rsidP="0088085F">
                            <w:pPr>
                              <w:spacing w:after="0"/>
                              <w:ind w:firstLine="0"/>
                              <w:jc w:val="center"/>
                              <w:rPr>
                                <w:rFonts w:ascii="Arial" w:hAnsi="Arial" w:cs="Arial"/>
                                <w:sz w:val="14"/>
                                <w:szCs w:val="14"/>
                                <w:lang w:val="es-ES"/>
                              </w:rPr>
                            </w:pPr>
                            <w:r w:rsidRPr="000035AC">
                              <w:rPr>
                                <w:rFonts w:ascii="Arial" w:hAnsi="Arial" w:cs="Arial"/>
                                <w:sz w:val="14"/>
                                <w:szCs w:val="14"/>
                                <w:lang w:val="es-ES"/>
                              </w:rPr>
                              <w:t>Agrupaciones municipios: 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E10F9" id="Rectangle 24" o:spid="_x0000_s1032" style="position:absolute;left:0;text-align:left;margin-left:257.2pt;margin-top:13.15pt;width:96.85pt;height:2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JzEAIAACgEAAAOAAAAZHJzL2Uyb0RvYy54bWysU9tu2zAMfR+wfxD0vjhOkTQx4hRFugwD&#10;ugvQ7QNkWbaFyaJGKbGzrx+lpGl2eRqmB4GUqMPDQ2p9N/aGHRR6Dbbk+WTKmbISam3bkn/9snuz&#10;5MwHYWthwKqSH5Xnd5vXr9aDK9QMOjC1QkYg1heDK3kXgiuyzMtO9cJPwClLlw1gLwK52GY1ioHQ&#10;e5PNptNFNgDWDkEq7+n04XTJNwm/aZQMn5rGq8BMyYlbSDumvYp7tlmLokXhOi3PNMQ/sOiFtpT0&#10;AvUggmB71H9A9VoieGjCREKfQdNoqVINVE0+/a2ap044lWohcby7yOT/H6z8eHhynzFS9+4R5DfP&#10;LGw7YVt1jwhDp0RN6fIoVDY4X1weRMfTU1YNH6Cm1op9gKTB2GAfAak6Niapjxep1RiYpMN8Nlut&#10;VnPOJN3dLJarm3lKIYrn1w59eKegZ9EoOVIrE7o4PPoQ2YjiOSSxB6PrnTYmOdhWW4PsIKjtu7TO&#10;6P46zFg2UPb8dp6Qf7nz1xDTtP4G0etA82t0X/LlJUgUUba3tk7TFYQ2J5soG3vWMUoXp9QXYaxG&#10;puuSL2KCeFJBfSRhEU7jSt+LjA7wB2cDjWrJ/fe9QMWZeW9jc2a30zjb1w5eO9W1I6wkqJIHzk7m&#10;Npz+w96hbjvKlCc1LNxTQxudtH5hdaZP45hacP46cd6v/RT18sE3PwEAAP//AwBQSwMEFAAGAAgA&#10;AAAhAGEREUDdAAAACQEAAA8AAABkcnMvZG93bnJldi54bWxMj8tOwzAQRfdI/IM1SOyokzaUEOJU&#10;qBJCLAmPtRNPk4h4HGK3MX/PsKLL0T2690y5i3YUJ5z94EhBukpAILXODNQpeH97uslB+KDJ6NER&#10;KvhBD7vq8qLUhXELveKpDp3gEvKFVtCHMBVS+rZHq/3KTUicHdxsdeBz7qSZ9cLldpTrJNlKqwfi&#10;hV5PuO+x/aqPVsG3vv9ccHOIHzHP5rR5rl9ss1fq+io+PoAIGMM/DH/6rA4VOzXuSMaLUcFtmmWM&#10;KlhvNyAYuEvyFESjIOdAVqU8/6D6BQAA//8DAFBLAQItABQABgAIAAAAIQC2gziS/gAAAOEBAAAT&#10;AAAAAAAAAAAAAAAAAAAAAABbQ29udGVudF9UeXBlc10ueG1sUEsBAi0AFAAGAAgAAAAhADj9If/W&#10;AAAAlAEAAAsAAAAAAAAAAAAAAAAALwEAAF9yZWxzLy5yZWxzUEsBAi0AFAAGAAgAAAAhAINxUnMQ&#10;AgAAKAQAAA4AAAAAAAAAAAAAAAAALgIAAGRycy9lMm9Eb2MueG1sUEsBAi0AFAAGAAgAAAAhAGER&#10;EUDdAAAACQEAAA8AAAAAAAAAAAAAAAAAagQAAGRycy9kb3ducmV2LnhtbFBLBQYAAAAABAAEAPMA&#10;AAB0BQAAAAA=&#10;" strokeweight=".25pt">
                <v:textbox inset="1pt,1pt,1pt,1pt">
                  <w:txbxContent>
                    <w:p w14:paraId="557021E8" w14:textId="77777777" w:rsidR="00B9085A" w:rsidRDefault="00B9085A" w:rsidP="0088085F">
                      <w:pPr>
                        <w:spacing w:after="0"/>
                        <w:ind w:firstLine="0"/>
                        <w:jc w:val="center"/>
                        <w:rPr>
                          <w:rFonts w:ascii="Arial" w:hAnsi="Arial" w:cs="Arial"/>
                          <w:sz w:val="16"/>
                          <w:szCs w:val="16"/>
                          <w:lang w:val="es-ES"/>
                        </w:rPr>
                      </w:pPr>
                    </w:p>
                    <w:p w14:paraId="49D19C78" w14:textId="77777777" w:rsidR="00B9085A" w:rsidRPr="000035AC" w:rsidRDefault="00B9085A" w:rsidP="0088085F">
                      <w:pPr>
                        <w:spacing w:after="0"/>
                        <w:ind w:firstLine="0"/>
                        <w:jc w:val="center"/>
                        <w:rPr>
                          <w:rFonts w:ascii="Arial" w:hAnsi="Arial" w:cs="Arial"/>
                          <w:sz w:val="14"/>
                          <w:szCs w:val="14"/>
                          <w:lang w:val="es-ES"/>
                        </w:rPr>
                      </w:pPr>
                      <w:r w:rsidRPr="000035AC">
                        <w:rPr>
                          <w:rFonts w:ascii="Arial" w:hAnsi="Arial" w:cs="Arial"/>
                          <w:sz w:val="14"/>
                          <w:szCs w:val="14"/>
                          <w:lang w:val="es-ES"/>
                        </w:rPr>
                        <w:t>Agrupaciones municipios: 22</w:t>
                      </w:r>
                    </w:p>
                  </w:txbxContent>
                </v:textbox>
              </v:rect>
            </w:pict>
          </mc:Fallback>
        </mc:AlternateContent>
      </w:r>
      <w:r w:rsidRPr="00B81E61">
        <w:rPr>
          <w:noProof/>
          <w:color w:val="000000" w:themeColor="text1"/>
          <w:lang w:val="es-ES" w:eastAsia="es-ES"/>
        </w:rPr>
        <mc:AlternateContent>
          <mc:Choice Requires="wps">
            <w:drawing>
              <wp:anchor distT="0" distB="0" distL="114300" distR="114300" simplePos="0" relativeHeight="251673088" behindDoc="0" locked="0" layoutInCell="1" allowOverlap="1" wp14:anchorId="3FC0E749" wp14:editId="6675A34C">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14:paraId="2301AD3F" w14:textId="77777777" w:rsidR="00B9085A" w:rsidRDefault="00B9085A" w:rsidP="0088085F">
                            <w:pPr>
                              <w:spacing w:after="0"/>
                              <w:ind w:firstLine="0"/>
                              <w:jc w:val="center"/>
                              <w:rPr>
                                <w:rFonts w:ascii="Arial" w:hAnsi="Arial" w:cs="Arial"/>
                                <w:sz w:val="16"/>
                                <w:szCs w:val="16"/>
                                <w:lang w:val="es-ES"/>
                              </w:rPr>
                            </w:pPr>
                          </w:p>
                          <w:p w14:paraId="12601EDC"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Mancomunidades: 62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0E749" id="Rectangle 23" o:spid="_x0000_s1033" style="position:absolute;left:0;text-align:left;margin-left:140.5pt;margin-top:13pt;width:93.9pt;height:29.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xXEAIAACgEAAAOAAAAZHJzL2Uyb0RvYy54bWysU9tu2zAMfR+wfxD0vthOkCY14hRFugwD&#10;ugvQ7QMUWbaFyaJGKbGzrx+lpGl2eRqmB4GUqMPDQ2p1N/aGHRR6DbbixSTnTFkJtbZtxb9+2b5Z&#10;cuaDsLUwYFXFj8rzu/XrV6vBlWoKHZhaISMQ68vBVbwLwZVZ5mWneuEn4JSlywawF4FcbLMaxUDo&#10;vcmmeX6TDYC1Q5DKezp9OF3ydcJvGiXDp6bxKjBTceIW0o5p38U9W69E2aJwnZZnGuIfWPRCW0p6&#10;gXoQQbA96j+gei0RPDRhIqHPoGm0VKkGqqbIf6vmqRNOpVpIHO8uMvn/Bys/Hp7cZ4zUvXsE+c0z&#10;C5tO2FbdI8LQKVFTuiIKlQ3Ol5cH0fH0lO2GD1BTa8U+QNJgbLCPgFQdG5PUx4vUagxM0mFR3E7n&#10;M+qIpLvZzfJ2Nk8pRPn82qEP7xT0LBoVR2plQheHRx8iG1E+hyT2YHS91cYkB9vdxiA7CGr7Nq0z&#10;ur8OM5YNlL1YzBPyL3f+GiJP628QvQ40v0b3FV9egkQZZXtr6zRdQWhzsomysWcdo3RxSn0Zxt3I&#10;dF3xRUwQT3ZQH0lYhNO40vciowP8wdlAo1px/30vUHFm3tvYnOkij7N97eC1s7t2hJUEVfHA2cnc&#10;hNN/2DvUbUeZiqSGhXtqaKOT1i+szvRpHFMLzl8nzvu1n6JePvj6JwAAAP//AwBQSwMEFAAGAAgA&#10;AAAhAKvAMXndAAAACQEAAA8AAABkcnMvZG93bnJldi54bWxMj81OwzAQhO9IvIO1SNyokxJFJo1T&#10;oUoIcST8nJ14m0SN7WC7jXl7lhOcdlczmv2m3iczswv6MDkrId9kwND2Tk92kPD+9nQngIWorFaz&#10;syjhGwPsm+urWlXarfYVL20cGIXYUCkJY4xLxXnoRzQqbNyClrSj80ZFOv3AtVcrhZuZb7Os5EZN&#10;lj6MasHDiP2pPRsJX+rhc8X7Y/pIovB599y+mO4g5e1NetwBi5jinxl+8QkdGmLq3NnqwGYJW5FT&#10;l0hLSZMMRSmoSydBFDnwpub/GzQ/AAAA//8DAFBLAQItABQABgAIAAAAIQC2gziS/gAAAOEBAAAT&#10;AAAAAAAAAAAAAAAAAAAAAABbQ29udGVudF9UeXBlc10ueG1sUEsBAi0AFAAGAAgAAAAhADj9If/W&#10;AAAAlAEAAAsAAAAAAAAAAAAAAAAALwEAAF9yZWxzLy5yZWxzUEsBAi0AFAAGAAgAAAAhAJtCzFcQ&#10;AgAAKAQAAA4AAAAAAAAAAAAAAAAALgIAAGRycy9lMm9Eb2MueG1sUEsBAi0AFAAGAAgAAAAhAKvA&#10;MXndAAAACQEAAA8AAAAAAAAAAAAAAAAAagQAAGRycy9kb3ducmV2LnhtbFBLBQYAAAAABAAEAPMA&#10;AAB0BQAAAAA=&#10;" strokeweight=".25pt">
                <v:textbox inset="1pt,1pt,1pt,1pt">
                  <w:txbxContent>
                    <w:p w14:paraId="2301AD3F" w14:textId="77777777" w:rsidR="00B9085A" w:rsidRDefault="00B9085A" w:rsidP="0088085F">
                      <w:pPr>
                        <w:spacing w:after="0"/>
                        <w:ind w:firstLine="0"/>
                        <w:jc w:val="center"/>
                        <w:rPr>
                          <w:rFonts w:ascii="Arial" w:hAnsi="Arial" w:cs="Arial"/>
                          <w:sz w:val="16"/>
                          <w:szCs w:val="16"/>
                          <w:lang w:val="es-ES"/>
                        </w:rPr>
                      </w:pPr>
                    </w:p>
                    <w:p w14:paraId="12601EDC"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Mancomunidades: 62</w:t>
                      </w:r>
                    </w:p>
                  </w:txbxContent>
                </v:textbox>
              </v:rect>
            </w:pict>
          </mc:Fallback>
        </mc:AlternateContent>
      </w:r>
    </w:p>
    <w:p w14:paraId="054DFD24"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76160" behindDoc="1" locked="0" layoutInCell="1" allowOverlap="1" wp14:anchorId="4A069B43" wp14:editId="7A7F2E75">
                <wp:simplePos x="0" y="0"/>
                <wp:positionH relativeFrom="column">
                  <wp:posOffset>3829685</wp:posOffset>
                </wp:positionH>
                <wp:positionV relativeFrom="paragraph">
                  <wp:posOffset>254635</wp:posOffset>
                </wp:positionV>
                <wp:extent cx="0" cy="334800"/>
                <wp:effectExtent l="0" t="0" r="19050" b="2730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480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49AE" id="Line 22"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5pt,20.05pt" to="301.5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LQIAAGoEAAAOAAAAZHJzL2Uyb0RvYy54bWysVMuO2jAU3VfqP1jeQxJIGSYijKoE2sW0&#10;RZrpBxjbIVb9km0IqOq/99owzEy7aFU1C8ePc0/uufc4i7ujkujAnRdG17gY5xhxTQ0Telfjr4/r&#10;0RwjH4hmRBrNa3ziHt8t375ZDLbiE9MbybhDQKJ9Ndga9yHYKss87bkifmws13DYGadIgKXbZcyR&#10;AdiVzCZ5PssG45h1hnLvYbc9H+Jl4u86TsOXrvM8IFljyC2k0aVxG8dsuSDVzhHbC3pJg/xDFooI&#10;DR+9UrUkELR34jcqJagz3nRhTI3KTNcJypMGUFPkv6h56InlSQsUx9trmfz/o6WfDxuHBKvxDUaa&#10;KGjRvdAcTSaxNIP1FSAavXFRHD3qB3tv6DePtGl6onc8pfh4shBXxIjsVUhceAsf2A6fDAMM2QeT&#10;6nTsnEKdFPZjDIzkUAt0TI05XRvDjwHR8yaF3em0nOepZxmpIkOMs86HD9woFCc1lpB94iOHex9i&#10;Rs+QCNdmLaRMbZcaDUBa3LxLAd5IweJhhHm32zbSoQOJxklPkgcnL2HO7DVLZD0nbKUZCqkWGsyO&#10;I7tXGEkOVwMmCReIkH/GQdJSxzygAiDjMjs76vttfruar+blqJzMVqMyb9vR+3VTjmZrkNJO26Zp&#10;ix9RUlFWvWCM66jqyd1F+Xfuudyzsy+v/r6WL3vNnuoMyT69U9LJDLH/ZydtDTttXGxJ9AUYOoEv&#10;ly/emJfrhHr+RSx/AgAA//8DAFBLAwQUAAYACAAAACEAw6E57N4AAAAJAQAADwAAAGRycy9kb3du&#10;cmV2LnhtbEyPTU/DMAyG70j8h8hI3FiyMk2jqzvxMU4IJLZp57QxbbV8VE22FX49RhzgZNl+9Ppx&#10;sRqdFScaYhc8wnSiQJCvg+l8g7DbPt8sQMSkvdE2eEL4pAir8vKi0LkJZ/9Op01qBIf4mGuENqU+&#10;lzLWLTkdJ6Enz7uPMDiduB0aaQZ95nBnZabUXDrdeb7Q6p4eW6oPm6NDeFmrp4ftW9XQK31l687u&#10;Z/tDhnh9Nd4vQSQa0x8MP/qsDiU7VeHoTRQWYa5up4wizBRXBn4HFcJdtgBZFvL/B+U3AAAA//8D&#10;AFBLAQItABQABgAIAAAAIQC2gziS/gAAAOEBAAATAAAAAAAAAAAAAAAAAAAAAABbQ29udGVudF9U&#10;eXBlc10ueG1sUEsBAi0AFAAGAAgAAAAhADj9If/WAAAAlAEAAAsAAAAAAAAAAAAAAAAALwEAAF9y&#10;ZWxzLy5yZWxzUEsBAi0AFAAGAAgAAAAhAHj5X+8tAgAAagQAAA4AAAAAAAAAAAAAAAAALgIAAGRy&#10;cy9lMm9Eb2MueG1sUEsBAi0AFAAGAAgAAAAhAMOhOezeAAAACQEAAA8AAAAAAAAAAAAAAAAAhwQA&#10;AGRycy9kb3ducmV2LnhtbFBLBQYAAAAABAAEAPMAAACSBQAAAAA=&#10;" strokeweight=".25pt">
                <v:stroke startarrowwidth="narrow" startarrowlength="short" endarrowwidth="narrow" endarrowlength="short"/>
              </v:line>
            </w:pict>
          </mc:Fallback>
        </mc:AlternateContent>
      </w:r>
    </w:p>
    <w:p w14:paraId="1BF4F44B"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sidRPr="00B81E61">
        <w:rPr>
          <w:noProof/>
          <w:color w:val="000000" w:themeColor="text1"/>
          <w:lang w:val="es-ES" w:eastAsia="es-ES"/>
        </w:rPr>
        <mc:AlternateContent>
          <mc:Choice Requires="wps">
            <w:drawing>
              <wp:anchor distT="0" distB="0" distL="114300" distR="114300" simplePos="0" relativeHeight="251675136" behindDoc="0" locked="0" layoutInCell="1" allowOverlap="1" wp14:anchorId="7C262587" wp14:editId="5E7AA2F4">
                <wp:simplePos x="0" y="0"/>
                <wp:positionH relativeFrom="column">
                  <wp:posOffset>3267710</wp:posOffset>
                </wp:positionH>
                <wp:positionV relativeFrom="paragraph">
                  <wp:posOffset>250190</wp:posOffset>
                </wp:positionV>
                <wp:extent cx="1409700" cy="345440"/>
                <wp:effectExtent l="0" t="0" r="19050" b="1651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45440"/>
                        </a:xfrm>
                        <a:prstGeom prst="rect">
                          <a:avLst/>
                        </a:prstGeom>
                        <a:solidFill>
                          <a:srgbClr val="FFFFFF"/>
                        </a:solidFill>
                        <a:ln w="3175">
                          <a:solidFill>
                            <a:srgbClr val="000000"/>
                          </a:solidFill>
                          <a:miter lim="800000"/>
                          <a:headEnd/>
                          <a:tailEnd/>
                        </a:ln>
                      </wps:spPr>
                      <wps:txbx>
                        <w:txbxContent>
                          <w:p w14:paraId="07960906" w14:textId="77777777" w:rsidR="00B9085A" w:rsidRDefault="00B9085A" w:rsidP="0088085F">
                            <w:pPr>
                              <w:spacing w:after="0"/>
                              <w:ind w:firstLine="0"/>
                              <w:jc w:val="center"/>
                              <w:rPr>
                                <w:rFonts w:ascii="Arial" w:hAnsi="Arial" w:cs="Arial"/>
                                <w:sz w:val="16"/>
                                <w:szCs w:val="16"/>
                                <w:lang w:val="es-ES"/>
                              </w:rPr>
                            </w:pPr>
                          </w:p>
                          <w:p w14:paraId="21E4E10E"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w:t>
                            </w:r>
                            <w:r>
                              <w:rPr>
                                <w:rFonts w:ascii="Arial Narrow" w:hAnsi="Arial Narrow" w:cs="GillSans Light"/>
                                <w:sz w:val="18"/>
                                <w:szCs w:val="18"/>
                              </w:rPr>
                              <w:t xml:space="preserve"> </w:t>
                            </w:r>
                            <w:r>
                              <w:rPr>
                                <w:rFonts w:ascii="Arial" w:hAnsi="Arial" w:cs="Arial"/>
                                <w:sz w:val="16"/>
                                <w:szCs w:val="16"/>
                                <w:lang w:val="es-ES"/>
                              </w:rPr>
                              <w:t>2</w:t>
                            </w:r>
                          </w:p>
                          <w:p w14:paraId="649AA090" w14:textId="77777777" w:rsidR="00B9085A" w:rsidRPr="000035AC" w:rsidRDefault="00B9085A" w:rsidP="0088085F">
                            <w:pPr>
                              <w:spacing w:after="0"/>
                              <w:ind w:firstLine="0"/>
                              <w:jc w:val="center"/>
                              <w:rPr>
                                <w:rFonts w:ascii="Arial" w:hAnsi="Arial" w:cs="Arial"/>
                                <w:sz w:val="16"/>
                                <w:szCs w:val="16"/>
                                <w:lang w:val="es-E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62587" id="_x0000_s1034" style="position:absolute;left:0;text-align:left;margin-left:257.3pt;margin-top:19.7pt;width:111pt;height:2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gQDwIAACgEAAAOAAAAZHJzL2Uyb0RvYy54bWysU9tu2zAMfR+wfxD0vtjO0rUz4hRFugwD&#10;um5Atw+QZdkWJosapcTuvn6Ukqbe5WmYHgRRlA4PD8n19TQYdlDoNdiKF4ucM2UlNNp2Ff/6Zffq&#10;ijMfhG2EAasq/qg8v968fLEeXamW0INpFDICsb4cXcX7EFyZZV72ahB+AU5ZcraAgwhkYpc1KEZC&#10;H0y2zPM32QjYOASpvKfb26OTbxJ+2yoZPrWtV4GZihO3kHZMex33bLMWZYfC9VqeaIh/YDEIbSno&#10;GepWBMH2qP+AGrRE8NCGhYQhg7bVUqUcKJsi/y2bh144lXIhcbw7y+T/H6y8Pzy4zxipe3cH8ptn&#10;Fra9sJ26QYSxV6KhcEUUKhudL88fouHpK6vHj9BQacU+QNJganGIgJQdm5LUj2ep1RSYpMtilb+9&#10;zKkiknyvVxerVapFJsqn3w59eK9gYPFQcaRSJnRxuPMhshHl05PEHoxudtqYZGBXbw2yg6Cy79JK&#10;CVCS82fGspGiF5cXCfkXn59D5Gn9DWLQgfrX6KHiV+dHooyyvbNN6q4gtDmeibKxJx2jdLFLfRmm&#10;emK6IYAYIN7U0DySsAjHdqXxokMP+IOzkVq14v77XqDizHywsTjLpGSYGzg36rkhrCSoigfOjsdt&#10;OM7D3qHueopUJDUs3FBBW520fmZ1ok/tmEpwGp3Y73M7vXoe8M1PAAAA//8DAFBLAwQUAAYACAAA&#10;ACEAqYV0zN0AAAAJAQAADwAAAGRycy9kb3ducmV2LnhtbEyPwU6EMBCG7ya+QzMm3tyCIAJL2ZhN&#10;jPEo6p4LnQUinSLtLvXtrSf3ODNf/vn+auf1xM642NGQgHgTAUPqjBqpF/Dx/nyXA7NOkpKTIRTw&#10;gxZ29fVVJUtlVnrDc+N6FkLIllLA4Nxccm67AbW0GzMjhdvRLFq6MC49V4tcQ7ie+H0UZVzLkcKH&#10;Qc64H7D7ak5awLcsDismR//p83SJ25fmVbd7IW5v/NMWmEPv/mH40w/qUAen1pxIWTYJeIjTLKAC&#10;kiIFFoDHJAuLVkCR5MDril82qH8BAAD//wMAUEsBAi0AFAAGAAgAAAAhALaDOJL+AAAA4QEAABMA&#10;AAAAAAAAAAAAAAAAAAAAAFtDb250ZW50X1R5cGVzXS54bWxQSwECLQAUAAYACAAAACEAOP0h/9YA&#10;AACUAQAACwAAAAAAAAAAAAAAAAAvAQAAX3JlbHMvLnJlbHNQSwECLQAUAAYACAAAACEAbu9IEA8C&#10;AAAoBAAADgAAAAAAAAAAAAAAAAAuAgAAZHJzL2Uyb0RvYy54bWxQSwECLQAUAAYACAAAACEAqYV0&#10;zN0AAAAJAQAADwAAAAAAAAAAAAAAAABpBAAAZHJzL2Rvd25yZXYueG1sUEsFBgAAAAAEAAQA8wAA&#10;AHMFAAAAAA==&#10;" strokeweight=".25pt">
                <v:textbox inset="1pt,1pt,1pt,1pt">
                  <w:txbxContent>
                    <w:p w14:paraId="07960906" w14:textId="77777777" w:rsidR="00B9085A" w:rsidRDefault="00B9085A" w:rsidP="0088085F">
                      <w:pPr>
                        <w:spacing w:after="0"/>
                        <w:ind w:firstLine="0"/>
                        <w:jc w:val="center"/>
                        <w:rPr>
                          <w:rFonts w:ascii="Arial" w:hAnsi="Arial" w:cs="Arial"/>
                          <w:sz w:val="16"/>
                          <w:szCs w:val="16"/>
                          <w:lang w:val="es-ES"/>
                        </w:rPr>
                      </w:pPr>
                    </w:p>
                    <w:p w14:paraId="21E4E10E"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w:t>
                      </w:r>
                      <w:r>
                        <w:rPr>
                          <w:rFonts w:ascii="Arial Narrow" w:hAnsi="Arial Narrow" w:cs="GillSans Light"/>
                          <w:sz w:val="18"/>
                          <w:szCs w:val="18"/>
                        </w:rPr>
                        <w:t xml:space="preserve"> </w:t>
                      </w:r>
                      <w:r>
                        <w:rPr>
                          <w:rFonts w:ascii="Arial" w:hAnsi="Arial" w:cs="Arial"/>
                          <w:sz w:val="16"/>
                          <w:szCs w:val="16"/>
                          <w:lang w:val="es-ES"/>
                        </w:rPr>
                        <w:t>2</w:t>
                      </w:r>
                    </w:p>
                    <w:p w14:paraId="649AA090" w14:textId="77777777" w:rsidR="00B9085A" w:rsidRPr="000035AC" w:rsidRDefault="00B9085A" w:rsidP="0088085F">
                      <w:pPr>
                        <w:spacing w:after="0"/>
                        <w:ind w:firstLine="0"/>
                        <w:jc w:val="center"/>
                        <w:rPr>
                          <w:rFonts w:ascii="Arial" w:hAnsi="Arial" w:cs="Arial"/>
                          <w:sz w:val="16"/>
                          <w:szCs w:val="16"/>
                          <w:lang w:val="es-ES"/>
                        </w:rPr>
                      </w:pPr>
                    </w:p>
                  </w:txbxContent>
                </v:textbox>
              </v:rect>
            </w:pict>
          </mc:Fallback>
        </mc:AlternateContent>
      </w:r>
      <w:r w:rsidRPr="00B81E61">
        <w:rPr>
          <w:noProof/>
          <w:color w:val="000000" w:themeColor="text1"/>
          <w:lang w:val="es-ES" w:eastAsia="es-ES"/>
        </w:rPr>
        <mc:AlternateContent>
          <mc:Choice Requires="wps">
            <w:drawing>
              <wp:anchor distT="0" distB="0" distL="114300" distR="114300" simplePos="0" relativeHeight="251671040" behindDoc="0" locked="0" layoutInCell="1" allowOverlap="1" wp14:anchorId="21CA4EAC" wp14:editId="6938E2C4">
                <wp:simplePos x="0" y="0"/>
                <wp:positionH relativeFrom="column">
                  <wp:posOffset>1657702</wp:posOffset>
                </wp:positionH>
                <wp:positionV relativeFrom="paragraph">
                  <wp:posOffset>247242</wp:posOffset>
                </wp:positionV>
                <wp:extent cx="1413974" cy="345440"/>
                <wp:effectExtent l="0" t="0" r="15240" b="1651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974" cy="345440"/>
                        </a:xfrm>
                        <a:prstGeom prst="rect">
                          <a:avLst/>
                        </a:prstGeom>
                        <a:solidFill>
                          <a:srgbClr val="FFFFFF"/>
                        </a:solidFill>
                        <a:ln w="3175">
                          <a:solidFill>
                            <a:srgbClr val="000000"/>
                          </a:solidFill>
                          <a:miter lim="800000"/>
                          <a:headEnd/>
                          <a:tailEnd/>
                        </a:ln>
                      </wps:spPr>
                      <wps:txbx>
                        <w:txbxContent>
                          <w:p w14:paraId="1B9ADB5F" w14:textId="77777777" w:rsidR="00B9085A" w:rsidRPr="000035AC" w:rsidRDefault="00B9085A" w:rsidP="0088085F">
                            <w:pPr>
                              <w:spacing w:before="60" w:after="0"/>
                              <w:ind w:firstLine="0"/>
                              <w:jc w:val="center"/>
                              <w:rPr>
                                <w:rFonts w:ascii="Arial" w:hAnsi="Arial" w:cs="Arial"/>
                                <w:sz w:val="16"/>
                                <w:szCs w:val="16"/>
                                <w:lang w:val="es-ES"/>
                              </w:rPr>
                            </w:pPr>
                            <w:r w:rsidRPr="000035AC">
                              <w:rPr>
                                <w:rFonts w:ascii="Arial" w:hAnsi="Arial" w:cs="Arial"/>
                                <w:sz w:val="16"/>
                                <w:szCs w:val="16"/>
                                <w:lang w:val="es-ES"/>
                              </w:rPr>
                              <w:t>Organismos autónomos: 3</w:t>
                            </w:r>
                          </w:p>
                          <w:p w14:paraId="1EDE99AA"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w:t>
                            </w:r>
                            <w:r>
                              <w:rPr>
                                <w:rFonts w:ascii="Arial Narrow" w:hAnsi="Arial Narrow" w:cs="GillSans Light"/>
                                <w:sz w:val="18"/>
                                <w:szCs w:val="18"/>
                              </w:rPr>
                              <w:t xml:space="preserve"> </w:t>
                            </w:r>
                            <w:r w:rsidRPr="000035AC">
                              <w:rPr>
                                <w:rFonts w:ascii="Arial" w:hAnsi="Arial" w:cs="Arial"/>
                                <w:sz w:val="16"/>
                                <w:szCs w:val="16"/>
                                <w:lang w:val="es-ES"/>
                              </w:rPr>
                              <w:t>8</w:t>
                            </w:r>
                          </w:p>
                          <w:p w14:paraId="5CB9D38A" w14:textId="77777777" w:rsidR="00B9085A" w:rsidRPr="00D05EAF" w:rsidRDefault="00B9085A" w:rsidP="0088085F">
                            <w:pPr>
                              <w:spacing w:before="140" w:after="100"/>
                              <w:jc w:val="center"/>
                              <w:rPr>
                                <w:rFonts w:ascii="Gill Sans MT" w:hAnsi="Gill Sans MT" w:cs="GillSans"/>
                                <w:sz w:val="18"/>
                                <w:szCs w:val="18"/>
                              </w:rPr>
                            </w:pPr>
                          </w:p>
                          <w:p w14:paraId="5FF54B98" w14:textId="77777777" w:rsidR="00B9085A" w:rsidRPr="00725B83" w:rsidRDefault="00B9085A" w:rsidP="0088085F">
                            <w:pPr>
                              <w:spacing w:before="140" w:after="100"/>
                              <w:jc w:val="center"/>
                              <w:rPr>
                                <w:rFonts w:ascii="Gill Sans MT" w:hAnsi="Gill Sans MT" w:cs="GillSans"/>
                                <w:sz w:val="16"/>
                                <w:szCs w:val="16"/>
                              </w:rPr>
                            </w:pPr>
                            <w:proofErr w:type="spellStart"/>
                            <w:r w:rsidRPr="00725B83">
                              <w:rPr>
                                <w:rFonts w:ascii="Gill Sans MT" w:hAnsi="Gill Sans MT" w:cs="GillSans"/>
                                <w:sz w:val="14"/>
                                <w:szCs w:val="14"/>
                              </w:rPr>
                              <w:t>Socied</w:t>
                            </w:r>
                            <w:proofErr w:type="spellEnd"/>
                            <w:r w:rsidRPr="00725B83">
                              <w:rPr>
                                <w:rFonts w:ascii="Gill Sans MT" w:hAnsi="Gill Sans MT" w:cs="GillSans"/>
                                <w:sz w:val="14"/>
                                <w:szCs w:val="14"/>
                              </w:rPr>
                              <w:t>. mercantiles: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4EAC" id="Rectangle 20" o:spid="_x0000_s1035" style="position:absolute;left:0;text-align:left;margin-left:130.55pt;margin-top:19.45pt;width:111.35pt;height:2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k/EgIAACgEAAAOAAAAZHJzL2Uyb0RvYy54bWysU9tu2zAMfR+wfxD0vthO07U14hRFugwD&#10;um5Atw+QZdkWJosapcTJvn6Ukqbe5WmYHgRRlA4PD8nl7X4wbKfQa7AVL2Y5Z8pKaLTtKv71y+bN&#10;NWc+CNsIA1ZV/KA8v129frUcXanm0INpFDICsb4cXcX7EFyZZV72ahB+Bk5ZcraAgwhkYpc1KEZC&#10;H0w2z/O32QjYOASpvKfb+6OTrxJ+2yoZPrWtV4GZihO3kHZMex33bLUUZYfC9VqeaIh/YDEIbSno&#10;GepeBMG2qP+AGrRE8NCGmYQhg7bVUqUcKJsi/y2bp144lXIhcbw7y+T/H6x83D25zxipe/cA8ptn&#10;Fta9sJ26Q4SxV6KhcEUUKhudL88fouHpK6vHj9BQacU2QNJg3+IQASk7tk9SH85Sq31gki6LRXFx&#10;c7XgTJLvYnG5WKRaZKJ8/u3Qh/cKBhYPFUcqZUIXuwcfIhtRPj9J7MHoZqONSQZ29dog2wkq+yat&#10;lAAlOX1mLBspenF1mZB/8fkpRJ7W3yAGHah/jR4qfn1+JMoo2zvbpO4KQpvjmSgbe9IxShe71Jdh&#10;X++Zbip+EwPEmxqaAwmLcGxXGi869IA/OBupVSvuv28FKs7MBxuLM7/KY29PDZwa9dQQVhJUxQNn&#10;x+M6HOdh61B3PUUqkhoW7qigrU5av7A60ad2TCU4jU7s96mdXr0M+OonAAAA//8DAFBLAwQUAAYA&#10;CAAAACEAF+Wp+t0AAAAJAQAADwAAAGRycy9kb3ducmV2LnhtbEyPy07DMBBF90j8gzVI7KiTuqqS&#10;EKdClRBiSXisnXiaRMR2sN3G/D3DCpajObr33PqQzMwu6MPkrIR8kwFD2zs92UHC2+vjXQEsRGW1&#10;mp1FCd8Y4NBcX9Wq0m61L3hp48AoxIZKSRhjXCrOQz+iUWHjFrT0OzlvVKTTD1x7tVK4mfk2y/bc&#10;qMlSw6gWPI7Yf7ZnI+FLlR8rilN6T8XO591T+2y6o5S3N+nhHljEFP9g+NUndWjIqXNnqwObJWz3&#10;eU6oBFGUwAjYFYK2dBJKIYA3Nf+/oPkBAAD//wMAUEsBAi0AFAAGAAgAAAAhALaDOJL+AAAA4QEA&#10;ABMAAAAAAAAAAAAAAAAAAAAAAFtDb250ZW50X1R5cGVzXS54bWxQSwECLQAUAAYACAAAACEAOP0h&#10;/9YAAACUAQAACwAAAAAAAAAAAAAAAAAvAQAAX3JlbHMvLnJlbHNQSwECLQAUAAYACAAAACEA+WDZ&#10;PxICAAAoBAAADgAAAAAAAAAAAAAAAAAuAgAAZHJzL2Uyb0RvYy54bWxQSwECLQAUAAYACAAAACEA&#10;F+Wp+t0AAAAJAQAADwAAAAAAAAAAAAAAAABsBAAAZHJzL2Rvd25yZXYueG1sUEsFBgAAAAAEAAQA&#10;8wAAAHYFAAAAAA==&#10;" strokeweight=".25pt">
                <v:textbox inset="1pt,1pt,1pt,1pt">
                  <w:txbxContent>
                    <w:p w14:paraId="1B9ADB5F" w14:textId="77777777" w:rsidR="00B9085A" w:rsidRPr="000035AC" w:rsidRDefault="00B9085A" w:rsidP="0088085F">
                      <w:pPr>
                        <w:spacing w:before="60" w:after="0"/>
                        <w:ind w:firstLine="0"/>
                        <w:jc w:val="center"/>
                        <w:rPr>
                          <w:rFonts w:ascii="Arial" w:hAnsi="Arial" w:cs="Arial"/>
                          <w:sz w:val="16"/>
                          <w:szCs w:val="16"/>
                          <w:lang w:val="es-ES"/>
                        </w:rPr>
                      </w:pPr>
                      <w:r w:rsidRPr="000035AC">
                        <w:rPr>
                          <w:rFonts w:ascii="Arial" w:hAnsi="Arial" w:cs="Arial"/>
                          <w:sz w:val="16"/>
                          <w:szCs w:val="16"/>
                          <w:lang w:val="es-ES"/>
                        </w:rPr>
                        <w:t>Organismos autónomos: 3</w:t>
                      </w:r>
                    </w:p>
                    <w:p w14:paraId="1EDE99AA" w14:textId="77777777" w:rsidR="00B9085A" w:rsidRPr="000035AC" w:rsidRDefault="00B9085A" w:rsidP="0088085F">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w:t>
                      </w:r>
                      <w:r>
                        <w:rPr>
                          <w:rFonts w:ascii="Arial Narrow" w:hAnsi="Arial Narrow" w:cs="GillSans Light"/>
                          <w:sz w:val="18"/>
                          <w:szCs w:val="18"/>
                        </w:rPr>
                        <w:t xml:space="preserve"> </w:t>
                      </w:r>
                      <w:r w:rsidRPr="000035AC">
                        <w:rPr>
                          <w:rFonts w:ascii="Arial" w:hAnsi="Arial" w:cs="Arial"/>
                          <w:sz w:val="16"/>
                          <w:szCs w:val="16"/>
                          <w:lang w:val="es-ES"/>
                        </w:rPr>
                        <w:t>8</w:t>
                      </w:r>
                    </w:p>
                    <w:p w14:paraId="5CB9D38A" w14:textId="77777777" w:rsidR="00B9085A" w:rsidRPr="00D05EAF" w:rsidRDefault="00B9085A" w:rsidP="0088085F">
                      <w:pPr>
                        <w:spacing w:before="140" w:after="100"/>
                        <w:jc w:val="center"/>
                        <w:rPr>
                          <w:rFonts w:ascii="Gill Sans MT" w:hAnsi="Gill Sans MT" w:cs="GillSans"/>
                          <w:sz w:val="18"/>
                          <w:szCs w:val="18"/>
                        </w:rPr>
                      </w:pPr>
                    </w:p>
                    <w:p w14:paraId="5FF54B98" w14:textId="77777777" w:rsidR="00B9085A" w:rsidRPr="00725B83" w:rsidRDefault="00B9085A" w:rsidP="0088085F">
                      <w:pPr>
                        <w:spacing w:before="140" w:after="100"/>
                        <w:jc w:val="center"/>
                        <w:rPr>
                          <w:rFonts w:ascii="Gill Sans MT" w:hAnsi="Gill Sans MT" w:cs="GillSans"/>
                          <w:sz w:val="16"/>
                          <w:szCs w:val="16"/>
                        </w:rPr>
                      </w:pPr>
                      <w:proofErr w:type="spellStart"/>
                      <w:r w:rsidRPr="00725B83">
                        <w:rPr>
                          <w:rFonts w:ascii="Gill Sans MT" w:hAnsi="Gill Sans MT" w:cs="GillSans"/>
                          <w:sz w:val="14"/>
                          <w:szCs w:val="14"/>
                        </w:rPr>
                        <w:t>Socied</w:t>
                      </w:r>
                      <w:proofErr w:type="spellEnd"/>
                      <w:r w:rsidRPr="00725B83">
                        <w:rPr>
                          <w:rFonts w:ascii="Gill Sans MT" w:hAnsi="Gill Sans MT" w:cs="GillSans"/>
                          <w:sz w:val="14"/>
                          <w:szCs w:val="14"/>
                        </w:rPr>
                        <w:t>. mercantiles: 5</w:t>
                      </w:r>
                    </w:p>
                  </w:txbxContent>
                </v:textbox>
              </v:rect>
            </w:pict>
          </mc:Fallback>
        </mc:AlternateContent>
      </w:r>
    </w:p>
    <w:p w14:paraId="1F4CAD27"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p>
    <w:p w14:paraId="5B9B64B8" w14:textId="77777777" w:rsidR="0088085F" w:rsidRPr="00B81E61" w:rsidRDefault="0088085F" w:rsidP="0088085F">
      <w:pPr>
        <w:tabs>
          <w:tab w:val="center" w:pos="2835"/>
          <w:tab w:val="center" w:pos="3969"/>
          <w:tab w:val="center" w:pos="5103"/>
          <w:tab w:val="center" w:pos="6237"/>
          <w:tab w:val="center" w:pos="7371"/>
        </w:tabs>
        <w:suppressAutoHyphens/>
        <w:spacing w:after="100"/>
        <w:ind w:left="-378" w:firstLine="284"/>
        <w:rPr>
          <w:rFonts w:ascii="Gill Sans MT" w:hAnsi="Gill Sans MT"/>
          <w:color w:val="000000" w:themeColor="text1"/>
          <w:spacing w:val="6"/>
          <w:sz w:val="16"/>
          <w:szCs w:val="16"/>
          <w:highlight w:val="yellow"/>
        </w:rPr>
      </w:pPr>
    </w:p>
    <w:p w14:paraId="7373BF7B" w14:textId="77777777" w:rsidR="0088085F" w:rsidRPr="00B81E61" w:rsidRDefault="0088085F" w:rsidP="0088085F">
      <w:pPr>
        <w:spacing w:after="0"/>
        <w:rPr>
          <w:color w:val="000000" w:themeColor="text1"/>
          <w:spacing w:val="6"/>
          <w:sz w:val="26"/>
          <w:szCs w:val="24"/>
        </w:rPr>
      </w:pPr>
    </w:p>
    <w:p w14:paraId="3A85CD51" w14:textId="77777777" w:rsidR="0088085F" w:rsidRPr="00262228" w:rsidRDefault="0088085F" w:rsidP="007E5A67">
      <w:pPr>
        <w:pStyle w:val="texto"/>
        <w:spacing w:after="240"/>
      </w:pPr>
      <w:r w:rsidRPr="00262228">
        <w:t>La población a 1 de enero de 2019 de los 272 municipios de Navarra, 654.214 habitantes según datos del censo oficial, presentaba la siguiente distribución:</w:t>
      </w:r>
    </w:p>
    <w:tbl>
      <w:tblPr>
        <w:tblW w:w="5000" w:type="pct"/>
        <w:jc w:val="center"/>
        <w:tblCellMar>
          <w:left w:w="70" w:type="dxa"/>
          <w:right w:w="70" w:type="dxa"/>
        </w:tblCellMar>
        <w:tblLook w:val="04A0" w:firstRow="1" w:lastRow="0" w:firstColumn="1" w:lastColumn="0" w:noHBand="0" w:noVBand="1"/>
      </w:tblPr>
      <w:tblGrid>
        <w:gridCol w:w="3367"/>
        <w:gridCol w:w="1356"/>
        <w:gridCol w:w="1356"/>
        <w:gridCol w:w="1355"/>
        <w:gridCol w:w="1355"/>
      </w:tblGrid>
      <w:tr w:rsidR="0088085F" w:rsidRPr="00B81E61" w14:paraId="4936B3CE" w14:textId="77777777" w:rsidTr="004540DF">
        <w:trPr>
          <w:trHeight w:val="255"/>
          <w:jc w:val="center"/>
        </w:trPr>
        <w:tc>
          <w:tcPr>
            <w:tcW w:w="1915" w:type="pct"/>
            <w:tcBorders>
              <w:top w:val="single" w:sz="4" w:space="0" w:color="auto"/>
              <w:left w:val="nil"/>
              <w:bottom w:val="single" w:sz="4" w:space="0" w:color="auto"/>
              <w:right w:val="nil"/>
            </w:tcBorders>
            <w:shd w:val="clear" w:color="auto" w:fill="FABF8F" w:themeFill="accent6" w:themeFillTint="99"/>
            <w:vAlign w:val="center"/>
            <w:hideMark/>
          </w:tcPr>
          <w:p w14:paraId="3A226B2D" w14:textId="77777777" w:rsidR="0088085F" w:rsidRPr="00B81E61" w:rsidRDefault="0088085F" w:rsidP="007E5A67">
            <w:pPr>
              <w:pStyle w:val="cuadroCabe"/>
              <w:jc w:val="left"/>
              <w:rPr>
                <w:color w:val="000000" w:themeColor="text1"/>
                <w:lang w:val="es-ES" w:eastAsia="es-ES"/>
              </w:rPr>
            </w:pPr>
            <w:r w:rsidRPr="00B81E61">
              <w:rPr>
                <w:color w:val="000000" w:themeColor="text1"/>
                <w:lang w:eastAsia="es-ES"/>
              </w:rPr>
              <w:t>Tramo de población</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55767384" w14:textId="77777777" w:rsidR="0088085F" w:rsidRPr="00B81E61" w:rsidRDefault="0088085F" w:rsidP="007E5A67">
            <w:pPr>
              <w:pStyle w:val="cuadroCabe"/>
              <w:jc w:val="right"/>
              <w:rPr>
                <w:color w:val="000000" w:themeColor="text1"/>
                <w:lang w:val="es-ES" w:eastAsia="es-ES"/>
              </w:rPr>
            </w:pPr>
            <w:r w:rsidRPr="00B81E61">
              <w:rPr>
                <w:color w:val="000000" w:themeColor="text1"/>
                <w:lang w:eastAsia="es-ES"/>
              </w:rPr>
              <w:t>Número de municipios</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3C3A6472" w14:textId="77777777" w:rsidR="0088085F" w:rsidRPr="00B81E61" w:rsidRDefault="0088085F" w:rsidP="007E5A67">
            <w:pPr>
              <w:pStyle w:val="cuadroCabe"/>
              <w:jc w:val="right"/>
              <w:rPr>
                <w:color w:val="000000" w:themeColor="text1"/>
                <w:lang w:val="es-ES" w:eastAsia="es-ES"/>
              </w:rPr>
            </w:pPr>
            <w:r w:rsidRPr="00B81E61">
              <w:rPr>
                <w:color w:val="000000" w:themeColor="text1"/>
                <w:lang w:eastAsia="es-ES"/>
              </w:rPr>
              <w:t>% municipios sobre total</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272C4CEC" w14:textId="77777777" w:rsidR="0088085F" w:rsidRPr="00B81E61" w:rsidRDefault="0088085F" w:rsidP="007E5A67">
            <w:pPr>
              <w:pStyle w:val="cuadroCabe"/>
              <w:jc w:val="right"/>
              <w:rPr>
                <w:color w:val="000000" w:themeColor="text1"/>
                <w:lang w:val="es-ES" w:eastAsia="es-ES"/>
              </w:rPr>
            </w:pPr>
            <w:r w:rsidRPr="00B81E61">
              <w:rPr>
                <w:color w:val="000000" w:themeColor="text1"/>
                <w:lang w:eastAsia="es-ES"/>
              </w:rPr>
              <w:t>Población</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698FB59A" w14:textId="77777777" w:rsidR="0088085F" w:rsidRPr="00B81E61" w:rsidRDefault="0088085F" w:rsidP="007E5A67">
            <w:pPr>
              <w:pStyle w:val="cuadroCabe"/>
              <w:jc w:val="right"/>
              <w:rPr>
                <w:color w:val="000000" w:themeColor="text1"/>
                <w:lang w:val="es-ES" w:eastAsia="es-ES"/>
              </w:rPr>
            </w:pPr>
            <w:r w:rsidRPr="00B81E61">
              <w:rPr>
                <w:color w:val="000000" w:themeColor="text1"/>
                <w:lang w:eastAsia="es-ES"/>
              </w:rPr>
              <w:t>% población sobre total</w:t>
            </w:r>
          </w:p>
        </w:tc>
      </w:tr>
      <w:tr w:rsidR="0088085F" w:rsidRPr="00B81E61" w14:paraId="7108B438" w14:textId="77777777" w:rsidTr="004540DF">
        <w:trPr>
          <w:trHeight w:val="198"/>
          <w:jc w:val="center"/>
        </w:trPr>
        <w:tc>
          <w:tcPr>
            <w:tcW w:w="1915" w:type="pct"/>
            <w:tcBorders>
              <w:top w:val="single" w:sz="4" w:space="0" w:color="auto"/>
              <w:left w:val="nil"/>
              <w:bottom w:val="single" w:sz="2" w:space="0" w:color="auto"/>
              <w:right w:val="nil"/>
            </w:tcBorders>
            <w:shd w:val="clear" w:color="000000" w:fill="FFFFFF"/>
            <w:vAlign w:val="center"/>
            <w:hideMark/>
          </w:tcPr>
          <w:p w14:paraId="529CBE07"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&lt;101</w:t>
            </w:r>
          </w:p>
        </w:tc>
        <w:tc>
          <w:tcPr>
            <w:tcW w:w="771" w:type="pct"/>
            <w:tcBorders>
              <w:top w:val="single" w:sz="4" w:space="0" w:color="auto"/>
              <w:left w:val="nil"/>
              <w:bottom w:val="single" w:sz="2" w:space="0" w:color="auto"/>
              <w:right w:val="nil"/>
            </w:tcBorders>
            <w:shd w:val="clear" w:color="000000" w:fill="FFFFFF"/>
            <w:vAlign w:val="center"/>
            <w:hideMark/>
          </w:tcPr>
          <w:p w14:paraId="6232E45D"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43</w:t>
            </w:r>
          </w:p>
        </w:tc>
        <w:tc>
          <w:tcPr>
            <w:tcW w:w="771" w:type="pct"/>
            <w:tcBorders>
              <w:top w:val="single" w:sz="4" w:space="0" w:color="auto"/>
              <w:left w:val="nil"/>
              <w:bottom w:val="single" w:sz="2" w:space="0" w:color="auto"/>
              <w:right w:val="nil"/>
            </w:tcBorders>
            <w:shd w:val="clear" w:color="000000" w:fill="FFFFFF"/>
            <w:vAlign w:val="center"/>
            <w:hideMark/>
          </w:tcPr>
          <w:p w14:paraId="556FAB1C"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15</w:t>
            </w:r>
            <w:r w:rsidRPr="00B81E61">
              <w:rPr>
                <w:color w:val="000000" w:themeColor="text1"/>
                <w:lang w:val="es-ES" w:eastAsia="es-ES"/>
              </w:rPr>
              <w:t>,</w:t>
            </w:r>
            <w:r>
              <w:rPr>
                <w:color w:val="000000" w:themeColor="text1"/>
                <w:lang w:val="es-ES" w:eastAsia="es-ES"/>
              </w:rPr>
              <w:t>8</w:t>
            </w:r>
          </w:p>
        </w:tc>
        <w:tc>
          <w:tcPr>
            <w:tcW w:w="771" w:type="pct"/>
            <w:tcBorders>
              <w:top w:val="single" w:sz="4" w:space="0" w:color="auto"/>
              <w:left w:val="nil"/>
              <w:bottom w:val="single" w:sz="2" w:space="0" w:color="auto"/>
              <w:right w:val="nil"/>
            </w:tcBorders>
            <w:shd w:val="clear" w:color="000000" w:fill="FFFFFF"/>
            <w:vAlign w:val="center"/>
            <w:hideMark/>
          </w:tcPr>
          <w:p w14:paraId="38043D85"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2.</w:t>
            </w:r>
            <w:r>
              <w:rPr>
                <w:color w:val="000000" w:themeColor="text1"/>
                <w:lang w:val="es-ES" w:eastAsia="es-ES"/>
              </w:rPr>
              <w:t>485</w:t>
            </w:r>
          </w:p>
        </w:tc>
        <w:tc>
          <w:tcPr>
            <w:tcW w:w="771" w:type="pct"/>
            <w:tcBorders>
              <w:top w:val="single" w:sz="4" w:space="0" w:color="auto"/>
              <w:left w:val="nil"/>
              <w:bottom w:val="single" w:sz="2" w:space="0" w:color="auto"/>
              <w:right w:val="nil"/>
            </w:tcBorders>
            <w:shd w:val="clear" w:color="000000" w:fill="FFFFFF"/>
            <w:vAlign w:val="center"/>
            <w:hideMark/>
          </w:tcPr>
          <w:p w14:paraId="15B8E3D2"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0,4</w:t>
            </w:r>
          </w:p>
        </w:tc>
      </w:tr>
      <w:tr w:rsidR="0088085F" w:rsidRPr="00B81E61" w14:paraId="098E3906"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75F6CCBD"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101-200</w:t>
            </w:r>
          </w:p>
        </w:tc>
        <w:tc>
          <w:tcPr>
            <w:tcW w:w="771" w:type="pct"/>
            <w:tcBorders>
              <w:top w:val="single" w:sz="2" w:space="0" w:color="auto"/>
              <w:left w:val="nil"/>
              <w:bottom w:val="single" w:sz="2" w:space="0" w:color="auto"/>
              <w:right w:val="nil"/>
            </w:tcBorders>
            <w:shd w:val="clear" w:color="000000" w:fill="FFFFFF"/>
            <w:vAlign w:val="center"/>
            <w:hideMark/>
          </w:tcPr>
          <w:p w14:paraId="18196D5E"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52</w:t>
            </w:r>
          </w:p>
        </w:tc>
        <w:tc>
          <w:tcPr>
            <w:tcW w:w="771" w:type="pct"/>
            <w:tcBorders>
              <w:top w:val="single" w:sz="2" w:space="0" w:color="auto"/>
              <w:left w:val="nil"/>
              <w:bottom w:val="single" w:sz="2" w:space="0" w:color="auto"/>
              <w:right w:val="nil"/>
            </w:tcBorders>
            <w:shd w:val="clear" w:color="000000" w:fill="FFFFFF"/>
            <w:vAlign w:val="center"/>
            <w:hideMark/>
          </w:tcPr>
          <w:p w14:paraId="2285689F"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19,1</w:t>
            </w:r>
          </w:p>
        </w:tc>
        <w:tc>
          <w:tcPr>
            <w:tcW w:w="771" w:type="pct"/>
            <w:tcBorders>
              <w:top w:val="single" w:sz="2" w:space="0" w:color="auto"/>
              <w:left w:val="nil"/>
              <w:bottom w:val="single" w:sz="2" w:space="0" w:color="auto"/>
              <w:right w:val="nil"/>
            </w:tcBorders>
            <w:shd w:val="clear" w:color="000000" w:fill="FFFFFF"/>
            <w:vAlign w:val="center"/>
            <w:hideMark/>
          </w:tcPr>
          <w:p w14:paraId="730B5B73"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7.296</w:t>
            </w:r>
          </w:p>
        </w:tc>
        <w:tc>
          <w:tcPr>
            <w:tcW w:w="771" w:type="pct"/>
            <w:tcBorders>
              <w:top w:val="single" w:sz="2" w:space="0" w:color="auto"/>
              <w:left w:val="nil"/>
              <w:bottom w:val="single" w:sz="2" w:space="0" w:color="auto"/>
              <w:right w:val="nil"/>
            </w:tcBorders>
            <w:shd w:val="clear" w:color="000000" w:fill="FFFFFF"/>
            <w:vAlign w:val="center"/>
            <w:hideMark/>
          </w:tcPr>
          <w:p w14:paraId="15C033C1"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1,1</w:t>
            </w:r>
          </w:p>
        </w:tc>
      </w:tr>
      <w:tr w:rsidR="0088085F" w:rsidRPr="00B81E61" w14:paraId="1CFFF6C6"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302E60B7"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201-500</w:t>
            </w:r>
          </w:p>
        </w:tc>
        <w:tc>
          <w:tcPr>
            <w:tcW w:w="771" w:type="pct"/>
            <w:tcBorders>
              <w:top w:val="single" w:sz="2" w:space="0" w:color="auto"/>
              <w:left w:val="nil"/>
              <w:bottom w:val="single" w:sz="2" w:space="0" w:color="auto"/>
              <w:right w:val="nil"/>
            </w:tcBorders>
            <w:shd w:val="clear" w:color="000000" w:fill="FFFFFF"/>
            <w:vAlign w:val="center"/>
            <w:hideMark/>
          </w:tcPr>
          <w:p w14:paraId="7E411588"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58</w:t>
            </w:r>
          </w:p>
        </w:tc>
        <w:tc>
          <w:tcPr>
            <w:tcW w:w="771" w:type="pct"/>
            <w:tcBorders>
              <w:top w:val="single" w:sz="2" w:space="0" w:color="auto"/>
              <w:left w:val="nil"/>
              <w:bottom w:val="single" w:sz="2" w:space="0" w:color="auto"/>
              <w:right w:val="nil"/>
            </w:tcBorders>
            <w:shd w:val="clear" w:color="000000" w:fill="FFFFFF"/>
            <w:vAlign w:val="center"/>
            <w:hideMark/>
          </w:tcPr>
          <w:p w14:paraId="21E4066F"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21,3</w:t>
            </w:r>
          </w:p>
        </w:tc>
        <w:tc>
          <w:tcPr>
            <w:tcW w:w="771" w:type="pct"/>
            <w:tcBorders>
              <w:top w:val="single" w:sz="2" w:space="0" w:color="auto"/>
              <w:left w:val="nil"/>
              <w:bottom w:val="single" w:sz="2" w:space="0" w:color="auto"/>
              <w:right w:val="nil"/>
            </w:tcBorders>
            <w:shd w:val="clear" w:color="000000" w:fill="FFFFFF"/>
            <w:vAlign w:val="center"/>
            <w:hideMark/>
          </w:tcPr>
          <w:p w14:paraId="43D785E6"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18.656</w:t>
            </w:r>
          </w:p>
        </w:tc>
        <w:tc>
          <w:tcPr>
            <w:tcW w:w="771" w:type="pct"/>
            <w:tcBorders>
              <w:top w:val="single" w:sz="2" w:space="0" w:color="auto"/>
              <w:left w:val="nil"/>
              <w:bottom w:val="single" w:sz="2" w:space="0" w:color="auto"/>
              <w:right w:val="nil"/>
            </w:tcBorders>
            <w:shd w:val="clear" w:color="000000" w:fill="FFFFFF"/>
            <w:vAlign w:val="center"/>
            <w:hideMark/>
          </w:tcPr>
          <w:p w14:paraId="3E389D86"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2,9</w:t>
            </w:r>
          </w:p>
        </w:tc>
      </w:tr>
      <w:tr w:rsidR="0088085F" w:rsidRPr="00B81E61" w14:paraId="3F3AA28F"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22AABC49"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501-1.000</w:t>
            </w:r>
          </w:p>
        </w:tc>
        <w:tc>
          <w:tcPr>
            <w:tcW w:w="771" w:type="pct"/>
            <w:tcBorders>
              <w:top w:val="single" w:sz="2" w:space="0" w:color="auto"/>
              <w:left w:val="nil"/>
              <w:bottom w:val="single" w:sz="2" w:space="0" w:color="auto"/>
              <w:right w:val="nil"/>
            </w:tcBorders>
            <w:shd w:val="clear" w:color="000000" w:fill="FFFFFF"/>
            <w:vAlign w:val="center"/>
            <w:hideMark/>
          </w:tcPr>
          <w:p w14:paraId="0B05F266"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36</w:t>
            </w:r>
          </w:p>
        </w:tc>
        <w:tc>
          <w:tcPr>
            <w:tcW w:w="771" w:type="pct"/>
            <w:tcBorders>
              <w:top w:val="single" w:sz="2" w:space="0" w:color="auto"/>
              <w:left w:val="nil"/>
              <w:bottom w:val="single" w:sz="2" w:space="0" w:color="auto"/>
              <w:right w:val="nil"/>
            </w:tcBorders>
            <w:shd w:val="clear" w:color="000000" w:fill="FFFFFF"/>
            <w:vAlign w:val="center"/>
            <w:hideMark/>
          </w:tcPr>
          <w:p w14:paraId="7E30D72B"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13,2</w:t>
            </w:r>
          </w:p>
        </w:tc>
        <w:tc>
          <w:tcPr>
            <w:tcW w:w="771" w:type="pct"/>
            <w:tcBorders>
              <w:top w:val="single" w:sz="2" w:space="0" w:color="auto"/>
              <w:left w:val="nil"/>
              <w:bottom w:val="single" w:sz="2" w:space="0" w:color="auto"/>
              <w:right w:val="nil"/>
            </w:tcBorders>
            <w:shd w:val="clear" w:color="000000" w:fill="FFFFFF"/>
            <w:vAlign w:val="center"/>
            <w:hideMark/>
          </w:tcPr>
          <w:p w14:paraId="32BB7B97"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26.320</w:t>
            </w:r>
          </w:p>
        </w:tc>
        <w:tc>
          <w:tcPr>
            <w:tcW w:w="771" w:type="pct"/>
            <w:tcBorders>
              <w:top w:val="single" w:sz="2" w:space="0" w:color="auto"/>
              <w:left w:val="nil"/>
              <w:bottom w:val="single" w:sz="2" w:space="0" w:color="auto"/>
              <w:right w:val="nil"/>
            </w:tcBorders>
            <w:shd w:val="clear" w:color="000000" w:fill="FFFFFF"/>
            <w:vAlign w:val="center"/>
            <w:hideMark/>
          </w:tcPr>
          <w:p w14:paraId="5D812A25"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4,</w:t>
            </w:r>
            <w:r>
              <w:rPr>
                <w:color w:val="000000" w:themeColor="text1"/>
                <w:lang w:val="es-ES" w:eastAsia="es-ES"/>
              </w:rPr>
              <w:t>0</w:t>
            </w:r>
          </w:p>
        </w:tc>
      </w:tr>
      <w:tr w:rsidR="0088085F" w:rsidRPr="00B81E61" w14:paraId="7EC4948B"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477B2EFA"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1.001-2.000</w:t>
            </w:r>
          </w:p>
        </w:tc>
        <w:tc>
          <w:tcPr>
            <w:tcW w:w="771" w:type="pct"/>
            <w:tcBorders>
              <w:top w:val="single" w:sz="2" w:space="0" w:color="auto"/>
              <w:left w:val="nil"/>
              <w:bottom w:val="single" w:sz="2" w:space="0" w:color="auto"/>
              <w:right w:val="nil"/>
            </w:tcBorders>
            <w:shd w:val="clear" w:color="000000" w:fill="FFFFFF"/>
            <w:vAlign w:val="center"/>
            <w:hideMark/>
          </w:tcPr>
          <w:p w14:paraId="5BC5FD4B"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23</w:t>
            </w:r>
          </w:p>
        </w:tc>
        <w:tc>
          <w:tcPr>
            <w:tcW w:w="771" w:type="pct"/>
            <w:tcBorders>
              <w:top w:val="single" w:sz="2" w:space="0" w:color="auto"/>
              <w:left w:val="nil"/>
              <w:bottom w:val="single" w:sz="2" w:space="0" w:color="auto"/>
              <w:right w:val="nil"/>
            </w:tcBorders>
            <w:shd w:val="clear" w:color="000000" w:fill="FFFFFF"/>
            <w:vAlign w:val="center"/>
            <w:hideMark/>
          </w:tcPr>
          <w:p w14:paraId="5593033B"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8,5</w:t>
            </w:r>
          </w:p>
        </w:tc>
        <w:tc>
          <w:tcPr>
            <w:tcW w:w="771" w:type="pct"/>
            <w:tcBorders>
              <w:top w:val="single" w:sz="2" w:space="0" w:color="auto"/>
              <w:left w:val="nil"/>
              <w:bottom w:val="single" w:sz="2" w:space="0" w:color="auto"/>
              <w:right w:val="nil"/>
            </w:tcBorders>
            <w:shd w:val="clear" w:color="000000" w:fill="FFFFFF"/>
            <w:vAlign w:val="center"/>
            <w:hideMark/>
          </w:tcPr>
          <w:p w14:paraId="03EFD83D"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32.305</w:t>
            </w:r>
          </w:p>
        </w:tc>
        <w:tc>
          <w:tcPr>
            <w:tcW w:w="771" w:type="pct"/>
            <w:tcBorders>
              <w:top w:val="single" w:sz="2" w:space="0" w:color="auto"/>
              <w:left w:val="nil"/>
              <w:bottom w:val="single" w:sz="2" w:space="0" w:color="auto"/>
              <w:right w:val="nil"/>
            </w:tcBorders>
            <w:shd w:val="clear" w:color="000000" w:fill="FFFFFF"/>
            <w:vAlign w:val="center"/>
            <w:hideMark/>
          </w:tcPr>
          <w:p w14:paraId="23473B8F"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4,9</w:t>
            </w:r>
          </w:p>
        </w:tc>
      </w:tr>
      <w:tr w:rsidR="0088085F" w:rsidRPr="00B81E61" w14:paraId="1F14D2C2"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56839028"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2.001-3.000</w:t>
            </w:r>
          </w:p>
        </w:tc>
        <w:tc>
          <w:tcPr>
            <w:tcW w:w="771" w:type="pct"/>
            <w:tcBorders>
              <w:top w:val="single" w:sz="2" w:space="0" w:color="auto"/>
              <w:left w:val="nil"/>
              <w:bottom w:val="single" w:sz="2" w:space="0" w:color="auto"/>
              <w:right w:val="nil"/>
            </w:tcBorders>
            <w:shd w:val="clear" w:color="000000" w:fill="FFFFFF"/>
            <w:vAlign w:val="center"/>
            <w:hideMark/>
          </w:tcPr>
          <w:p w14:paraId="103E2B85"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23</w:t>
            </w:r>
          </w:p>
        </w:tc>
        <w:tc>
          <w:tcPr>
            <w:tcW w:w="771" w:type="pct"/>
            <w:tcBorders>
              <w:top w:val="single" w:sz="2" w:space="0" w:color="auto"/>
              <w:left w:val="nil"/>
              <w:bottom w:val="single" w:sz="2" w:space="0" w:color="auto"/>
              <w:right w:val="nil"/>
            </w:tcBorders>
            <w:shd w:val="clear" w:color="000000" w:fill="FFFFFF"/>
            <w:vAlign w:val="center"/>
            <w:hideMark/>
          </w:tcPr>
          <w:p w14:paraId="3C1850C1"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8,5</w:t>
            </w:r>
          </w:p>
        </w:tc>
        <w:tc>
          <w:tcPr>
            <w:tcW w:w="771" w:type="pct"/>
            <w:tcBorders>
              <w:top w:val="single" w:sz="2" w:space="0" w:color="auto"/>
              <w:left w:val="nil"/>
              <w:bottom w:val="single" w:sz="2" w:space="0" w:color="auto"/>
              <w:right w:val="nil"/>
            </w:tcBorders>
            <w:shd w:val="clear" w:color="000000" w:fill="FFFFFF"/>
            <w:vAlign w:val="center"/>
            <w:hideMark/>
          </w:tcPr>
          <w:p w14:paraId="0BDEC1E0"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57.670</w:t>
            </w:r>
          </w:p>
        </w:tc>
        <w:tc>
          <w:tcPr>
            <w:tcW w:w="771" w:type="pct"/>
            <w:tcBorders>
              <w:top w:val="single" w:sz="2" w:space="0" w:color="auto"/>
              <w:left w:val="nil"/>
              <w:bottom w:val="single" w:sz="2" w:space="0" w:color="auto"/>
              <w:right w:val="nil"/>
            </w:tcBorders>
            <w:shd w:val="clear" w:color="000000" w:fill="FFFFFF"/>
            <w:vAlign w:val="center"/>
            <w:hideMark/>
          </w:tcPr>
          <w:p w14:paraId="7BC065F8"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8,8</w:t>
            </w:r>
          </w:p>
        </w:tc>
      </w:tr>
      <w:tr w:rsidR="0088085F" w:rsidRPr="00B81E61" w14:paraId="1EAEFAF9"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7CE61319"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3.001-5.000</w:t>
            </w:r>
          </w:p>
        </w:tc>
        <w:tc>
          <w:tcPr>
            <w:tcW w:w="771" w:type="pct"/>
            <w:tcBorders>
              <w:top w:val="single" w:sz="2" w:space="0" w:color="auto"/>
              <w:left w:val="nil"/>
              <w:bottom w:val="single" w:sz="2" w:space="0" w:color="auto"/>
              <w:right w:val="nil"/>
            </w:tcBorders>
            <w:shd w:val="clear" w:color="000000" w:fill="FFFFFF"/>
            <w:vAlign w:val="center"/>
            <w:hideMark/>
          </w:tcPr>
          <w:p w14:paraId="21778FE2"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16</w:t>
            </w:r>
          </w:p>
        </w:tc>
        <w:tc>
          <w:tcPr>
            <w:tcW w:w="771" w:type="pct"/>
            <w:tcBorders>
              <w:top w:val="single" w:sz="2" w:space="0" w:color="auto"/>
              <w:left w:val="nil"/>
              <w:bottom w:val="single" w:sz="2" w:space="0" w:color="auto"/>
              <w:right w:val="nil"/>
            </w:tcBorders>
            <w:shd w:val="clear" w:color="000000" w:fill="FFFFFF"/>
            <w:vAlign w:val="center"/>
            <w:hideMark/>
          </w:tcPr>
          <w:p w14:paraId="02D796DD"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5,9</w:t>
            </w:r>
          </w:p>
        </w:tc>
        <w:tc>
          <w:tcPr>
            <w:tcW w:w="771" w:type="pct"/>
            <w:tcBorders>
              <w:top w:val="single" w:sz="2" w:space="0" w:color="auto"/>
              <w:left w:val="nil"/>
              <w:bottom w:val="single" w:sz="2" w:space="0" w:color="auto"/>
              <w:right w:val="nil"/>
            </w:tcBorders>
            <w:shd w:val="clear" w:color="000000" w:fill="FFFFFF"/>
            <w:vAlign w:val="center"/>
            <w:hideMark/>
          </w:tcPr>
          <w:p w14:paraId="23C353E2"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63.571</w:t>
            </w:r>
          </w:p>
        </w:tc>
        <w:tc>
          <w:tcPr>
            <w:tcW w:w="771" w:type="pct"/>
            <w:tcBorders>
              <w:top w:val="single" w:sz="2" w:space="0" w:color="auto"/>
              <w:left w:val="nil"/>
              <w:bottom w:val="single" w:sz="2" w:space="0" w:color="auto"/>
              <w:right w:val="nil"/>
            </w:tcBorders>
            <w:shd w:val="clear" w:color="000000" w:fill="FFFFFF"/>
            <w:vAlign w:val="center"/>
            <w:hideMark/>
          </w:tcPr>
          <w:p w14:paraId="1775D667"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9,7</w:t>
            </w:r>
          </w:p>
        </w:tc>
      </w:tr>
      <w:tr w:rsidR="0088085F" w:rsidRPr="00B81E61" w14:paraId="64CF445C"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39DED5DC"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5.001-10.000</w:t>
            </w:r>
          </w:p>
        </w:tc>
        <w:tc>
          <w:tcPr>
            <w:tcW w:w="771" w:type="pct"/>
            <w:tcBorders>
              <w:top w:val="single" w:sz="2" w:space="0" w:color="auto"/>
              <w:left w:val="nil"/>
              <w:bottom w:val="single" w:sz="2" w:space="0" w:color="auto"/>
              <w:right w:val="nil"/>
            </w:tcBorders>
            <w:shd w:val="clear" w:color="000000" w:fill="FFFFFF"/>
            <w:vAlign w:val="center"/>
            <w:hideMark/>
          </w:tcPr>
          <w:p w14:paraId="34BF23A0"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9</w:t>
            </w:r>
          </w:p>
        </w:tc>
        <w:tc>
          <w:tcPr>
            <w:tcW w:w="771" w:type="pct"/>
            <w:tcBorders>
              <w:top w:val="single" w:sz="2" w:space="0" w:color="auto"/>
              <w:left w:val="nil"/>
              <w:bottom w:val="single" w:sz="2" w:space="0" w:color="auto"/>
              <w:right w:val="nil"/>
            </w:tcBorders>
            <w:shd w:val="clear" w:color="000000" w:fill="FFFFFF"/>
            <w:vAlign w:val="center"/>
            <w:hideMark/>
          </w:tcPr>
          <w:p w14:paraId="23C68EA3"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3,3</w:t>
            </w:r>
          </w:p>
        </w:tc>
        <w:tc>
          <w:tcPr>
            <w:tcW w:w="771" w:type="pct"/>
            <w:tcBorders>
              <w:top w:val="single" w:sz="2" w:space="0" w:color="auto"/>
              <w:left w:val="nil"/>
              <w:bottom w:val="single" w:sz="2" w:space="0" w:color="auto"/>
              <w:right w:val="nil"/>
            </w:tcBorders>
            <w:shd w:val="clear" w:color="000000" w:fill="FFFFFF"/>
            <w:vAlign w:val="center"/>
            <w:hideMark/>
          </w:tcPr>
          <w:p w14:paraId="135AD112"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65.956</w:t>
            </w:r>
          </w:p>
        </w:tc>
        <w:tc>
          <w:tcPr>
            <w:tcW w:w="771" w:type="pct"/>
            <w:tcBorders>
              <w:top w:val="single" w:sz="2" w:space="0" w:color="auto"/>
              <w:left w:val="nil"/>
              <w:bottom w:val="single" w:sz="2" w:space="0" w:color="auto"/>
              <w:right w:val="nil"/>
            </w:tcBorders>
            <w:shd w:val="clear" w:color="000000" w:fill="FFFFFF"/>
            <w:vAlign w:val="center"/>
            <w:hideMark/>
          </w:tcPr>
          <w:p w14:paraId="1E134874"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10,</w:t>
            </w:r>
            <w:r>
              <w:rPr>
                <w:color w:val="000000" w:themeColor="text1"/>
                <w:lang w:val="es-ES" w:eastAsia="es-ES"/>
              </w:rPr>
              <w:t>1</w:t>
            </w:r>
          </w:p>
        </w:tc>
      </w:tr>
      <w:tr w:rsidR="0088085F" w:rsidRPr="00B81E61" w14:paraId="19CE4ADB"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7E7E5C6D"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10.001-20.000</w:t>
            </w:r>
          </w:p>
        </w:tc>
        <w:tc>
          <w:tcPr>
            <w:tcW w:w="771" w:type="pct"/>
            <w:tcBorders>
              <w:top w:val="single" w:sz="2" w:space="0" w:color="auto"/>
              <w:left w:val="nil"/>
              <w:bottom w:val="single" w:sz="2" w:space="0" w:color="auto"/>
              <w:right w:val="nil"/>
            </w:tcBorders>
            <w:shd w:val="clear" w:color="000000" w:fill="FFFFFF"/>
            <w:vAlign w:val="center"/>
            <w:hideMark/>
          </w:tcPr>
          <w:p w14:paraId="50ACCE16"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8</w:t>
            </w:r>
          </w:p>
        </w:tc>
        <w:tc>
          <w:tcPr>
            <w:tcW w:w="771" w:type="pct"/>
            <w:tcBorders>
              <w:top w:val="single" w:sz="2" w:space="0" w:color="auto"/>
              <w:left w:val="nil"/>
              <w:bottom w:val="single" w:sz="2" w:space="0" w:color="auto"/>
              <w:right w:val="nil"/>
            </w:tcBorders>
            <w:shd w:val="clear" w:color="000000" w:fill="FFFFFF"/>
            <w:vAlign w:val="center"/>
            <w:hideMark/>
          </w:tcPr>
          <w:p w14:paraId="106B1203"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2,9</w:t>
            </w:r>
          </w:p>
        </w:tc>
        <w:tc>
          <w:tcPr>
            <w:tcW w:w="771" w:type="pct"/>
            <w:tcBorders>
              <w:top w:val="single" w:sz="2" w:space="0" w:color="auto"/>
              <w:left w:val="nil"/>
              <w:bottom w:val="single" w:sz="2" w:space="0" w:color="auto"/>
              <w:right w:val="nil"/>
            </w:tcBorders>
            <w:shd w:val="clear" w:color="000000" w:fill="FFFFFF"/>
            <w:vAlign w:val="center"/>
            <w:hideMark/>
          </w:tcPr>
          <w:p w14:paraId="769EC5C4"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100.717</w:t>
            </w:r>
          </w:p>
        </w:tc>
        <w:tc>
          <w:tcPr>
            <w:tcW w:w="771" w:type="pct"/>
            <w:tcBorders>
              <w:top w:val="single" w:sz="2" w:space="0" w:color="auto"/>
              <w:left w:val="nil"/>
              <w:bottom w:val="single" w:sz="2" w:space="0" w:color="auto"/>
              <w:right w:val="nil"/>
            </w:tcBorders>
            <w:shd w:val="clear" w:color="000000" w:fill="FFFFFF"/>
            <w:vAlign w:val="center"/>
            <w:hideMark/>
          </w:tcPr>
          <w:p w14:paraId="4415F7C0"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15,4</w:t>
            </w:r>
          </w:p>
        </w:tc>
      </w:tr>
      <w:tr w:rsidR="0088085F" w:rsidRPr="00B81E61" w14:paraId="4801F08E"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1A1A7FB0"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20.001-30.000</w:t>
            </w:r>
          </w:p>
        </w:tc>
        <w:tc>
          <w:tcPr>
            <w:tcW w:w="771" w:type="pct"/>
            <w:tcBorders>
              <w:top w:val="single" w:sz="2" w:space="0" w:color="auto"/>
              <w:left w:val="nil"/>
              <w:bottom w:val="single" w:sz="2" w:space="0" w:color="auto"/>
              <w:right w:val="nil"/>
            </w:tcBorders>
            <w:shd w:val="clear" w:color="000000" w:fill="FFFFFF"/>
            <w:vAlign w:val="center"/>
            <w:hideMark/>
          </w:tcPr>
          <w:p w14:paraId="05A14B66"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2</w:t>
            </w:r>
          </w:p>
        </w:tc>
        <w:tc>
          <w:tcPr>
            <w:tcW w:w="771" w:type="pct"/>
            <w:tcBorders>
              <w:top w:val="single" w:sz="2" w:space="0" w:color="auto"/>
              <w:left w:val="nil"/>
              <w:bottom w:val="single" w:sz="2" w:space="0" w:color="auto"/>
              <w:right w:val="nil"/>
            </w:tcBorders>
            <w:shd w:val="clear" w:color="000000" w:fill="FFFFFF"/>
            <w:vAlign w:val="center"/>
            <w:hideMark/>
          </w:tcPr>
          <w:p w14:paraId="17D62DF9"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0,7</w:t>
            </w:r>
          </w:p>
        </w:tc>
        <w:tc>
          <w:tcPr>
            <w:tcW w:w="771" w:type="pct"/>
            <w:tcBorders>
              <w:top w:val="single" w:sz="2" w:space="0" w:color="auto"/>
              <w:left w:val="nil"/>
              <w:bottom w:val="single" w:sz="2" w:space="0" w:color="auto"/>
              <w:right w:val="nil"/>
            </w:tcBorders>
            <w:shd w:val="clear" w:color="000000" w:fill="FFFFFF"/>
            <w:vAlign w:val="center"/>
            <w:hideMark/>
          </w:tcPr>
          <w:p w14:paraId="0EAE597D"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41.327</w:t>
            </w:r>
          </w:p>
        </w:tc>
        <w:tc>
          <w:tcPr>
            <w:tcW w:w="771" w:type="pct"/>
            <w:tcBorders>
              <w:top w:val="single" w:sz="2" w:space="0" w:color="auto"/>
              <w:left w:val="nil"/>
              <w:bottom w:val="single" w:sz="2" w:space="0" w:color="auto"/>
              <w:right w:val="nil"/>
            </w:tcBorders>
            <w:shd w:val="clear" w:color="000000" w:fill="FFFFFF"/>
            <w:vAlign w:val="center"/>
            <w:hideMark/>
          </w:tcPr>
          <w:p w14:paraId="51ABD472"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6,3</w:t>
            </w:r>
          </w:p>
        </w:tc>
      </w:tr>
      <w:tr w:rsidR="0088085F" w:rsidRPr="00B81E61" w14:paraId="27829409"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0D765AF2"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30.001-50.000</w:t>
            </w:r>
          </w:p>
        </w:tc>
        <w:tc>
          <w:tcPr>
            <w:tcW w:w="771" w:type="pct"/>
            <w:tcBorders>
              <w:top w:val="single" w:sz="2" w:space="0" w:color="auto"/>
              <w:left w:val="nil"/>
              <w:bottom w:val="single" w:sz="2" w:space="0" w:color="auto"/>
              <w:right w:val="nil"/>
            </w:tcBorders>
            <w:shd w:val="clear" w:color="000000" w:fill="FFFFFF"/>
            <w:vAlign w:val="center"/>
            <w:hideMark/>
          </w:tcPr>
          <w:p w14:paraId="108BA3D9"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1</w:t>
            </w:r>
          </w:p>
        </w:tc>
        <w:tc>
          <w:tcPr>
            <w:tcW w:w="771" w:type="pct"/>
            <w:tcBorders>
              <w:top w:val="single" w:sz="2" w:space="0" w:color="auto"/>
              <w:left w:val="nil"/>
              <w:bottom w:val="single" w:sz="2" w:space="0" w:color="auto"/>
              <w:right w:val="nil"/>
            </w:tcBorders>
            <w:shd w:val="clear" w:color="000000" w:fill="FFFFFF"/>
            <w:vAlign w:val="center"/>
            <w:hideMark/>
          </w:tcPr>
          <w:p w14:paraId="58197C92"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0,4</w:t>
            </w:r>
          </w:p>
        </w:tc>
        <w:tc>
          <w:tcPr>
            <w:tcW w:w="771" w:type="pct"/>
            <w:tcBorders>
              <w:top w:val="single" w:sz="2" w:space="0" w:color="auto"/>
              <w:left w:val="nil"/>
              <w:bottom w:val="single" w:sz="2" w:space="0" w:color="auto"/>
              <w:right w:val="nil"/>
            </w:tcBorders>
            <w:shd w:val="clear" w:color="000000" w:fill="FFFFFF"/>
            <w:vAlign w:val="center"/>
            <w:hideMark/>
          </w:tcPr>
          <w:p w14:paraId="64CCC47A"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36.258</w:t>
            </w:r>
          </w:p>
        </w:tc>
        <w:tc>
          <w:tcPr>
            <w:tcW w:w="771" w:type="pct"/>
            <w:tcBorders>
              <w:top w:val="single" w:sz="2" w:space="0" w:color="auto"/>
              <w:left w:val="nil"/>
              <w:bottom w:val="single" w:sz="2" w:space="0" w:color="auto"/>
              <w:right w:val="nil"/>
            </w:tcBorders>
            <w:shd w:val="clear" w:color="000000" w:fill="FFFFFF"/>
            <w:vAlign w:val="center"/>
            <w:hideMark/>
          </w:tcPr>
          <w:p w14:paraId="1E9A7B8D"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5,</w:t>
            </w:r>
            <w:r>
              <w:rPr>
                <w:color w:val="000000" w:themeColor="text1"/>
                <w:lang w:val="es-ES" w:eastAsia="es-ES"/>
              </w:rPr>
              <w:t>5</w:t>
            </w:r>
          </w:p>
        </w:tc>
      </w:tr>
      <w:tr w:rsidR="0088085F" w:rsidRPr="00B81E61" w14:paraId="723DF665" w14:textId="77777777" w:rsidTr="004540DF">
        <w:trPr>
          <w:trHeight w:val="198"/>
          <w:jc w:val="center"/>
        </w:trPr>
        <w:tc>
          <w:tcPr>
            <w:tcW w:w="1915" w:type="pct"/>
            <w:tcBorders>
              <w:top w:val="single" w:sz="2" w:space="0" w:color="auto"/>
              <w:left w:val="nil"/>
              <w:bottom w:val="single" w:sz="4" w:space="0" w:color="auto"/>
              <w:right w:val="nil"/>
            </w:tcBorders>
            <w:shd w:val="clear" w:color="000000" w:fill="FFFFFF"/>
            <w:vAlign w:val="center"/>
            <w:hideMark/>
          </w:tcPr>
          <w:p w14:paraId="5775DF81" w14:textId="77777777" w:rsidR="0088085F" w:rsidRPr="00B81E61" w:rsidRDefault="0088085F" w:rsidP="007E5A67">
            <w:pPr>
              <w:pStyle w:val="cuatexto"/>
              <w:jc w:val="left"/>
              <w:rPr>
                <w:color w:val="000000" w:themeColor="text1"/>
                <w:lang w:val="es-ES" w:eastAsia="es-ES"/>
              </w:rPr>
            </w:pPr>
            <w:r w:rsidRPr="00B81E61">
              <w:rPr>
                <w:color w:val="000000" w:themeColor="text1"/>
                <w:lang w:val="es-ES" w:eastAsia="es-ES"/>
              </w:rPr>
              <w:t>Más de 50.000</w:t>
            </w:r>
          </w:p>
        </w:tc>
        <w:tc>
          <w:tcPr>
            <w:tcW w:w="771" w:type="pct"/>
            <w:tcBorders>
              <w:top w:val="single" w:sz="2" w:space="0" w:color="auto"/>
              <w:left w:val="nil"/>
              <w:bottom w:val="single" w:sz="4" w:space="0" w:color="auto"/>
              <w:right w:val="nil"/>
            </w:tcBorders>
            <w:shd w:val="clear" w:color="000000" w:fill="FFFFFF"/>
            <w:vAlign w:val="center"/>
            <w:hideMark/>
          </w:tcPr>
          <w:p w14:paraId="600C4794"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1</w:t>
            </w:r>
          </w:p>
        </w:tc>
        <w:tc>
          <w:tcPr>
            <w:tcW w:w="771" w:type="pct"/>
            <w:tcBorders>
              <w:top w:val="single" w:sz="2" w:space="0" w:color="auto"/>
              <w:left w:val="nil"/>
              <w:bottom w:val="single" w:sz="4" w:space="0" w:color="auto"/>
              <w:right w:val="nil"/>
            </w:tcBorders>
            <w:shd w:val="clear" w:color="000000" w:fill="FFFFFF"/>
            <w:vAlign w:val="center"/>
            <w:hideMark/>
          </w:tcPr>
          <w:p w14:paraId="5222F24C"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0,4</w:t>
            </w:r>
          </w:p>
        </w:tc>
        <w:tc>
          <w:tcPr>
            <w:tcW w:w="771" w:type="pct"/>
            <w:tcBorders>
              <w:top w:val="single" w:sz="2" w:space="0" w:color="auto"/>
              <w:left w:val="nil"/>
              <w:bottom w:val="single" w:sz="4" w:space="0" w:color="auto"/>
              <w:right w:val="nil"/>
            </w:tcBorders>
            <w:shd w:val="clear" w:color="000000" w:fill="FFFFFF"/>
            <w:vAlign w:val="center"/>
            <w:hideMark/>
          </w:tcPr>
          <w:p w14:paraId="21B63F47" w14:textId="77777777" w:rsidR="0088085F" w:rsidRPr="00B81E61" w:rsidRDefault="0088085F" w:rsidP="007E5A67">
            <w:pPr>
              <w:pStyle w:val="cuatexto"/>
              <w:jc w:val="right"/>
              <w:rPr>
                <w:color w:val="000000" w:themeColor="text1"/>
                <w:lang w:val="es-ES" w:eastAsia="es-ES"/>
              </w:rPr>
            </w:pPr>
            <w:r>
              <w:rPr>
                <w:color w:val="000000" w:themeColor="text1"/>
                <w:lang w:val="es-ES" w:eastAsia="es-ES"/>
              </w:rPr>
              <w:t>201.653</w:t>
            </w:r>
          </w:p>
        </w:tc>
        <w:tc>
          <w:tcPr>
            <w:tcW w:w="771" w:type="pct"/>
            <w:tcBorders>
              <w:top w:val="single" w:sz="2" w:space="0" w:color="auto"/>
              <w:left w:val="nil"/>
              <w:bottom w:val="single" w:sz="4" w:space="0" w:color="auto"/>
              <w:right w:val="nil"/>
            </w:tcBorders>
            <w:shd w:val="clear" w:color="000000" w:fill="FFFFFF"/>
            <w:vAlign w:val="center"/>
            <w:hideMark/>
          </w:tcPr>
          <w:p w14:paraId="67A64F52" w14:textId="77777777" w:rsidR="0088085F" w:rsidRPr="00B81E61" w:rsidRDefault="0088085F" w:rsidP="007E5A67">
            <w:pPr>
              <w:pStyle w:val="cuatexto"/>
              <w:jc w:val="right"/>
              <w:rPr>
                <w:color w:val="000000" w:themeColor="text1"/>
                <w:lang w:val="es-ES" w:eastAsia="es-ES"/>
              </w:rPr>
            </w:pPr>
            <w:r w:rsidRPr="00B81E61">
              <w:rPr>
                <w:color w:val="000000" w:themeColor="text1"/>
                <w:lang w:val="es-ES" w:eastAsia="es-ES"/>
              </w:rPr>
              <w:t>30,</w:t>
            </w:r>
            <w:r>
              <w:rPr>
                <w:color w:val="000000" w:themeColor="text1"/>
                <w:lang w:val="es-ES" w:eastAsia="es-ES"/>
              </w:rPr>
              <w:t>8</w:t>
            </w:r>
          </w:p>
        </w:tc>
      </w:tr>
      <w:tr w:rsidR="0088085F" w:rsidRPr="00B81E61" w14:paraId="4784BE32" w14:textId="77777777" w:rsidTr="004540DF">
        <w:trPr>
          <w:trHeight w:val="284"/>
          <w:jc w:val="center"/>
        </w:trPr>
        <w:tc>
          <w:tcPr>
            <w:tcW w:w="1915" w:type="pct"/>
            <w:tcBorders>
              <w:top w:val="single" w:sz="4" w:space="0" w:color="auto"/>
              <w:left w:val="nil"/>
              <w:bottom w:val="single" w:sz="4" w:space="0" w:color="auto"/>
              <w:right w:val="nil"/>
            </w:tcBorders>
            <w:shd w:val="clear" w:color="auto" w:fill="FABF8F" w:themeFill="accent6" w:themeFillTint="99"/>
            <w:vAlign w:val="center"/>
            <w:hideMark/>
          </w:tcPr>
          <w:p w14:paraId="4E227953" w14:textId="77777777" w:rsidR="0088085F" w:rsidRPr="00B81E61" w:rsidRDefault="0088085F" w:rsidP="007E5A67">
            <w:pPr>
              <w:pStyle w:val="cuadroCabe"/>
              <w:jc w:val="left"/>
              <w:rPr>
                <w:lang w:val="es-ES" w:eastAsia="es-ES"/>
              </w:rPr>
            </w:pPr>
            <w:r w:rsidRPr="00B81E61">
              <w:rPr>
                <w:lang w:eastAsia="es-ES"/>
              </w:rPr>
              <w:t>Total</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1B955014" w14:textId="77777777" w:rsidR="0088085F" w:rsidRPr="00B81E61" w:rsidRDefault="0088085F" w:rsidP="007E5A67">
            <w:pPr>
              <w:pStyle w:val="cuadroCabe"/>
              <w:jc w:val="right"/>
              <w:rPr>
                <w:lang w:val="es-ES" w:eastAsia="es-ES"/>
              </w:rPr>
            </w:pPr>
            <w:r w:rsidRPr="00B81E61">
              <w:rPr>
                <w:lang w:eastAsia="es-ES"/>
              </w:rPr>
              <w:t>272</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4A2DCA75" w14:textId="77777777" w:rsidR="0088085F" w:rsidRPr="00B81E61" w:rsidRDefault="0088085F" w:rsidP="007E5A67">
            <w:pPr>
              <w:pStyle w:val="cuadroCabe"/>
              <w:jc w:val="right"/>
              <w:rPr>
                <w:lang w:val="es-ES" w:eastAsia="es-ES"/>
              </w:rPr>
            </w:pPr>
            <w:r w:rsidRPr="00B81E61">
              <w:rPr>
                <w:lang w:eastAsia="es-ES"/>
              </w:rPr>
              <w:t>100</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59BCD760" w14:textId="77777777" w:rsidR="0088085F" w:rsidRPr="00B81E61" w:rsidRDefault="0088085F" w:rsidP="007E5A67">
            <w:pPr>
              <w:pStyle w:val="cuadroCabe"/>
              <w:jc w:val="right"/>
              <w:rPr>
                <w:lang w:val="es-ES" w:eastAsia="es-ES"/>
              </w:rPr>
            </w:pPr>
            <w:r>
              <w:rPr>
                <w:lang w:val="es-ES" w:eastAsia="es-ES"/>
              </w:rPr>
              <w:t>654.214</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3C9F54CB" w14:textId="77777777" w:rsidR="0088085F" w:rsidRPr="00B81E61" w:rsidRDefault="0088085F" w:rsidP="007E5A67">
            <w:pPr>
              <w:pStyle w:val="cuadroCabe"/>
              <w:jc w:val="right"/>
              <w:rPr>
                <w:lang w:val="es-ES" w:eastAsia="es-ES"/>
              </w:rPr>
            </w:pPr>
            <w:r w:rsidRPr="00B81E61">
              <w:rPr>
                <w:lang w:eastAsia="es-ES"/>
              </w:rPr>
              <w:t>100</w:t>
            </w:r>
          </w:p>
        </w:tc>
      </w:tr>
    </w:tbl>
    <w:p w14:paraId="4A8164D2" w14:textId="77777777" w:rsidR="0088085F" w:rsidRPr="00262228" w:rsidRDefault="0088085F" w:rsidP="007E5A67">
      <w:pPr>
        <w:pStyle w:val="texto"/>
        <w:spacing w:before="220"/>
      </w:pPr>
      <w:r w:rsidRPr="00262228">
        <w:t>De los datos anteriores destacamos que el 69 por ciento de los municipios de Navarra (189 municipios) tiene menos de 1.000 habitantes y representan en conjunto el ocho por ciento de la población. Asimismo, Pamplona y los once ayuntamientos superiores a 10.000 habitantes, suponen el 58 por ciento de la población navarra.</w:t>
      </w:r>
    </w:p>
    <w:p w14:paraId="6105B244" w14:textId="77777777" w:rsidR="0088085F" w:rsidRPr="00262228" w:rsidRDefault="0088085F" w:rsidP="00752A05">
      <w:pPr>
        <w:pStyle w:val="texto"/>
        <w:spacing w:after="320"/>
      </w:pPr>
      <w:r w:rsidRPr="00262228">
        <w:t xml:space="preserve">Tal y como viene reiterando esta Cámara en sus informes, la reducida dimensión poblacional suele conllevar unos recursos limitados, humanos y financieros </w:t>
      </w:r>
      <w:r w:rsidRPr="00262228">
        <w:lastRenderedPageBreak/>
        <w:t>y la ausencia de una estructura administrativa adecuada y suficiente para la gestión de sus competencias, lo cual dificulta la prestación de servicios con eficiencia, economía, eficacia y calidad.</w:t>
      </w:r>
    </w:p>
    <w:p w14:paraId="3294BCB6" w14:textId="77777777" w:rsidR="0088085F" w:rsidRPr="00B81E61" w:rsidRDefault="0088085F" w:rsidP="0088085F">
      <w:pPr>
        <w:pStyle w:val="atitulo2"/>
        <w:rPr>
          <w:color w:val="000000" w:themeColor="text1"/>
        </w:rPr>
      </w:pPr>
      <w:bookmarkStart w:id="28" w:name="_Toc399916261"/>
      <w:bookmarkStart w:id="29" w:name="_Toc465686684"/>
      <w:bookmarkStart w:id="30" w:name="_Toc529773878"/>
      <w:bookmarkStart w:id="31" w:name="_Toc24100138"/>
      <w:bookmarkStart w:id="32" w:name="_Toc52348286"/>
      <w:bookmarkStart w:id="33" w:name="_Toc89161263"/>
      <w:bookmarkStart w:id="34" w:name="_Toc90969142"/>
      <w:r w:rsidRPr="00B81E61">
        <w:rPr>
          <w:color w:val="000000" w:themeColor="text1"/>
        </w:rPr>
        <w:t>II.2. Medidas legislativas planteadas para la racionalización del sector público local</w:t>
      </w:r>
      <w:bookmarkEnd w:id="28"/>
      <w:bookmarkEnd w:id="29"/>
      <w:bookmarkEnd w:id="30"/>
      <w:bookmarkEnd w:id="31"/>
      <w:bookmarkEnd w:id="32"/>
      <w:bookmarkEnd w:id="33"/>
      <w:bookmarkEnd w:id="34"/>
      <w:r w:rsidRPr="00B81E61">
        <w:rPr>
          <w:color w:val="000000" w:themeColor="text1"/>
        </w:rPr>
        <w:t xml:space="preserve"> </w:t>
      </w:r>
    </w:p>
    <w:p w14:paraId="0F185C13" w14:textId="77777777" w:rsidR="0088085F" w:rsidRPr="00262228" w:rsidRDefault="0088085F" w:rsidP="0088085F">
      <w:pPr>
        <w:pStyle w:val="texto"/>
      </w:pPr>
      <w:r w:rsidRPr="00262228">
        <w:t>Se mantienen vigentes los antecedentes que sobre esta cuestión se incluían en el informe de esta Cámara sobre el Sector Público Local de 201</w:t>
      </w:r>
      <w:r w:rsidR="005B091A">
        <w:t>4</w:t>
      </w:r>
      <w:r w:rsidRPr="00262228">
        <w:t xml:space="preserve"> al que nos remitimos. </w:t>
      </w:r>
    </w:p>
    <w:p w14:paraId="34910318" w14:textId="77777777" w:rsidR="0088085F" w:rsidRPr="00262228" w:rsidRDefault="0088085F" w:rsidP="0088085F">
      <w:pPr>
        <w:pStyle w:val="texto"/>
      </w:pPr>
      <w:r w:rsidRPr="00262228">
        <w:t>En febrero de 2019, se aprobó la Ley Foral 4/2019, de 4 de febrero, de Reforma de la Administración Local de Navarra.</w:t>
      </w:r>
    </w:p>
    <w:p w14:paraId="3A30806B" w14:textId="77777777" w:rsidR="0088085F" w:rsidRPr="0064097E" w:rsidRDefault="0088085F" w:rsidP="0088085F">
      <w:pPr>
        <w:pStyle w:val="texto"/>
        <w:rPr>
          <w:spacing w:val="4"/>
        </w:rPr>
      </w:pPr>
      <w:r w:rsidRPr="0064097E">
        <w:rPr>
          <w:spacing w:val="4"/>
        </w:rPr>
        <w:t>Dicha ley foral concreta una nueva planta local en la que aparecen nuevos tipos de entidades locales y desaparecen otros existentes hasta el momento. En cualquier caso, esta norma contiene varias disposiciones transitorias y finales que establecen diferentes mandatos para la Administración de la Comunidad Foral de Navarra (ACFN), que irán concretando la forma definitiva de esta reforma local.</w:t>
      </w:r>
      <w:r w:rsidR="004868B2">
        <w:rPr>
          <w:spacing w:val="4"/>
        </w:rPr>
        <w:t xml:space="preserve"> El plazo para la creación de las comarcas a instancias de la ACFN venció en agosto de 2020.</w:t>
      </w:r>
      <w:r w:rsidRPr="0064097E">
        <w:rPr>
          <w:spacing w:val="4"/>
        </w:rPr>
        <w:t xml:space="preserve"> </w:t>
      </w:r>
    </w:p>
    <w:p w14:paraId="71BB5465" w14:textId="77777777" w:rsidR="0088085F" w:rsidRPr="00262228" w:rsidRDefault="0088085F" w:rsidP="00752A05">
      <w:pPr>
        <w:pStyle w:val="texto"/>
        <w:spacing w:after="320"/>
      </w:pPr>
      <w:r w:rsidRPr="00262228">
        <w:t xml:space="preserve">La disposición que establecía el envío al Parlamento de Navarra de una propuesta de financiación, a efectos de sustituir progresivamente las actuales subvenciones finalistas por los módulos de financiación previstos en el artículo 123 de la Ley Foral de Haciendas Locales, finalizó el 31 de diciembre de 2019. La presentación al Parlamento de la nueva propuesta de financiación está prevista para </w:t>
      </w:r>
      <w:r w:rsidR="00F41308">
        <w:t>enero de 2022.</w:t>
      </w:r>
    </w:p>
    <w:p w14:paraId="3AA1AA7E" w14:textId="77777777" w:rsidR="0088085F" w:rsidRPr="00930F7C" w:rsidRDefault="0088085F" w:rsidP="0088085F">
      <w:pPr>
        <w:pStyle w:val="atitulo2"/>
        <w:rPr>
          <w:color w:val="auto"/>
        </w:rPr>
      </w:pPr>
      <w:bookmarkStart w:id="35" w:name="_Toc24100139"/>
      <w:bookmarkStart w:id="36" w:name="_Toc52348287"/>
      <w:bookmarkStart w:id="37" w:name="_Toc89161264"/>
      <w:bookmarkStart w:id="38" w:name="_Toc90969143"/>
      <w:r w:rsidRPr="00930F7C">
        <w:rPr>
          <w:color w:val="auto"/>
        </w:rPr>
        <w:t>II.3. Normativa aprobada en 201</w:t>
      </w:r>
      <w:bookmarkEnd w:id="35"/>
      <w:bookmarkEnd w:id="36"/>
      <w:r w:rsidRPr="00930F7C">
        <w:rPr>
          <w:color w:val="auto"/>
        </w:rPr>
        <w:t>9</w:t>
      </w:r>
      <w:bookmarkEnd w:id="37"/>
      <w:bookmarkEnd w:id="38"/>
    </w:p>
    <w:p w14:paraId="67166ABA" w14:textId="77777777" w:rsidR="0088085F" w:rsidRPr="00262228" w:rsidRDefault="0088085F" w:rsidP="0088085F">
      <w:pPr>
        <w:pStyle w:val="texto"/>
      </w:pPr>
      <w:r w:rsidRPr="00262228">
        <w:t>La normativa aplicable a las entidades que componen el sector público local de Navarra consta en el Anexo 1 que acompaña a este informe. A continuación, detallamos las normas más significativas aprobadas en 2019 aplicables a este sector.</w:t>
      </w:r>
    </w:p>
    <w:p w14:paraId="6209624C"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Ley Foral 3/2019, de 24 enero, por la que se modifica la Ley Foral 2/1995, de 10 de marzo, de Haciendas Locales de Navarra.</w:t>
      </w:r>
    </w:p>
    <w:p w14:paraId="1D0CD9B3"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Ley Foral 4/2019, de 4 de febrero, de Reforma de la Administración Local de Navarra.</w:t>
      </w:r>
    </w:p>
    <w:p w14:paraId="11086493"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Ley Foral 6/2019, de 7 de febrero, por la que se modifica el Decreto Foral Legislativo 251/1993, de 30 de agosto, que establece el Texto Refundido del Estatuto del Personal al servicio de las Administraciones Públicas de Navarra.</w:t>
      </w:r>
    </w:p>
    <w:p w14:paraId="0A0705E4"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lastRenderedPageBreak/>
        <w:t>Ley Foral 7/2019, de 18 de febrero, por la que se modifica la Ley Foral 10/2003, de 5 de marzo, sobre régimen transitorio de los derechos pasivos del personal funcionario de los Montepíos de las Administraciones Públicas de Navarra.</w:t>
      </w:r>
    </w:p>
    <w:p w14:paraId="4A79AEEE"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Ley Foral 8/2019, de 28 de febrero, por la que se modifica la Ley Foral 8/2005, de 1 de julio, de Protección Civil y Atención de Emergencias de Navarra.</w:t>
      </w:r>
    </w:p>
    <w:p w14:paraId="3938B5A8"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Ley Foral 12/2019, de 22 de marzo, de Participación Democrática de Navarra.</w:t>
      </w:r>
    </w:p>
    <w:p w14:paraId="4F9DB5A9"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Ley Foral 15/2019, de 26 de marzo, de modificación de la Ley Foral 2/2018, de 3 de abril, de Contratos Públicos.</w:t>
      </w:r>
    </w:p>
    <w:p w14:paraId="704F071B"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Ley Foral 17/2019, de 4 de abril, de Igualdad entre mujeres y hombres.</w:t>
      </w:r>
    </w:p>
    <w:p w14:paraId="22D09A89"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Ley Foral 20/2019, de 4 de abril, por la que se modifica la Ley Foral 6/1990, de 2 de julio, de la Administración Local de Navarra y la Ley Foral 4/2019, de 4 de febrero, de Reforma de la Administración Local de Navarra.</w:t>
      </w:r>
    </w:p>
    <w:p w14:paraId="37C539D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Decreto-Ley Foral 4/2019, de 23 de octubre, por el que se aprueban medidas urgentes en materia de personal al servicio de las Administraciones Públicas de Navarra. </w:t>
      </w:r>
    </w:p>
    <w:p w14:paraId="244885D5"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Decreto Foral 74/2019, de 26 de junio, por el que se regula la Junta de Contratación Pública.</w:t>
      </w:r>
    </w:p>
    <w:p w14:paraId="0D4313F9"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Decreto Foral 253/2019, de 16 de octubre, por el que se regula el Registro de Planeamiento de Navarra y el formato de presentación de los instrumentos de planificación urbanística y territorial de Navarra. </w:t>
      </w:r>
    </w:p>
    <w:p w14:paraId="6161F7E5" w14:textId="77777777" w:rsidR="0088085F" w:rsidRPr="00360A6A" w:rsidRDefault="0088085F" w:rsidP="0088085F">
      <w:pPr>
        <w:rPr>
          <w:spacing w:val="6"/>
          <w:sz w:val="26"/>
          <w:szCs w:val="26"/>
        </w:rPr>
      </w:pPr>
      <w:r w:rsidRPr="00360A6A">
        <w:rPr>
          <w:szCs w:val="26"/>
        </w:rPr>
        <w:br w:type="page"/>
      </w:r>
    </w:p>
    <w:p w14:paraId="066FEE20" w14:textId="77777777" w:rsidR="0088085F" w:rsidRPr="00B81E61" w:rsidRDefault="0088085F" w:rsidP="0088085F">
      <w:pPr>
        <w:pStyle w:val="atitulo1"/>
        <w:rPr>
          <w:color w:val="000000" w:themeColor="text1"/>
        </w:rPr>
      </w:pPr>
      <w:bookmarkStart w:id="39" w:name="_Toc217455261"/>
      <w:bookmarkStart w:id="40" w:name="_Toc527634608"/>
      <w:bookmarkStart w:id="41" w:name="_Toc529773875"/>
      <w:bookmarkStart w:id="42" w:name="_Toc531088341"/>
      <w:bookmarkStart w:id="43" w:name="_Toc24100140"/>
      <w:bookmarkStart w:id="44" w:name="_Toc52348288"/>
      <w:bookmarkStart w:id="45" w:name="_Toc89161265"/>
      <w:bookmarkStart w:id="46" w:name="_Toc90969144"/>
      <w:bookmarkStart w:id="47" w:name="_Toc121292759"/>
      <w:bookmarkStart w:id="48" w:name="_Toc121293082"/>
      <w:bookmarkStart w:id="49" w:name="_Toc291067875"/>
      <w:bookmarkStart w:id="50" w:name="_Toc399916258"/>
      <w:bookmarkStart w:id="51" w:name="_Toc465686681"/>
      <w:r w:rsidRPr="00B81E61">
        <w:rPr>
          <w:color w:val="000000" w:themeColor="text1"/>
        </w:rPr>
        <w:lastRenderedPageBreak/>
        <w:t>III. Objetivo</w:t>
      </w:r>
      <w:bookmarkEnd w:id="39"/>
      <w:r w:rsidRPr="00B81E61">
        <w:rPr>
          <w:color w:val="000000" w:themeColor="text1"/>
        </w:rPr>
        <w:t>, alcance y limitaciones</w:t>
      </w:r>
      <w:bookmarkEnd w:id="40"/>
      <w:bookmarkEnd w:id="41"/>
      <w:bookmarkEnd w:id="42"/>
      <w:bookmarkEnd w:id="43"/>
      <w:bookmarkEnd w:id="44"/>
      <w:bookmarkEnd w:id="45"/>
      <w:bookmarkEnd w:id="46"/>
      <w:r w:rsidRPr="00B81E61">
        <w:rPr>
          <w:color w:val="000000" w:themeColor="text1"/>
        </w:rPr>
        <w:t xml:space="preserve"> </w:t>
      </w:r>
    </w:p>
    <w:p w14:paraId="0F0F049D" w14:textId="77777777" w:rsidR="0088085F" w:rsidRPr="00262228" w:rsidRDefault="0088085F" w:rsidP="0088085F">
      <w:pPr>
        <w:pStyle w:val="texto"/>
      </w:pPr>
      <w:r w:rsidRPr="00262228">
        <w:t>Los objetivos de este trabajo han sido:</w:t>
      </w:r>
    </w:p>
    <w:p w14:paraId="4E30BD59"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Presentar un resumen de las actuaciones de fiscalización que esta Cámara realizó en el ámbito de las entidades locales de Navarra en relación con el ejercicio 2019.</w:t>
      </w:r>
    </w:p>
    <w:p w14:paraId="3EDCCFA8"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Ofrecer al Parlamento, a las Administraciones Públicas y a la sociedad navarra una visión de la organización y de la situación financiera de las entidades locales de Navarra en el año 2019.</w:t>
      </w:r>
    </w:p>
    <w:p w14:paraId="38172F15"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Proponer al Parlamento, al Gobierno y a los entes locales de Navarra recomendaciones para mejorar la gestión de las entidades locales.</w:t>
      </w:r>
    </w:p>
    <w:p w14:paraId="6C76044E"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Describir la contratación realizada por las entidades locales de Navarra en 2019.</w:t>
      </w:r>
    </w:p>
    <w:p w14:paraId="06900FB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Realizar una comparativa de un conjunto de indicadores entre los ayuntamientos de Navarra, País Vasco y los del resto del Estado.</w:t>
      </w:r>
    </w:p>
    <w:p w14:paraId="5FB777D5" w14:textId="77777777" w:rsidR="0088085F" w:rsidRPr="00262228" w:rsidRDefault="0088085F" w:rsidP="00262228">
      <w:pPr>
        <w:pStyle w:val="texto"/>
      </w:pPr>
      <w:r w:rsidRPr="00262228">
        <w:t>El alcance del trabajo es la Cuenta General del ejercicio 2019 de las entidades                           locales, integrada por:</w:t>
      </w:r>
    </w:p>
    <w:p w14:paraId="1C7D017F" w14:textId="77777777" w:rsidR="0088085F" w:rsidRPr="00A72008" w:rsidRDefault="0088085F" w:rsidP="00A72008">
      <w:pPr>
        <w:numPr>
          <w:ilvl w:val="0"/>
          <w:numId w:val="2"/>
        </w:numPr>
        <w:tabs>
          <w:tab w:val="clear" w:pos="502"/>
          <w:tab w:val="left" w:pos="480"/>
          <w:tab w:val="num" w:pos="720"/>
          <w:tab w:val="num" w:pos="6597"/>
        </w:tabs>
        <w:ind w:left="0" w:firstLine="289"/>
        <w:rPr>
          <w:spacing w:val="6"/>
          <w:sz w:val="26"/>
          <w:szCs w:val="26"/>
        </w:rPr>
      </w:pPr>
      <w:r w:rsidRPr="00A72008">
        <w:rPr>
          <w:spacing w:val="6"/>
          <w:sz w:val="26"/>
          <w:szCs w:val="26"/>
        </w:rPr>
        <w:t>La de la propia entidad (municipio, concejo o mancomunidad), así como la de sus organismos autónomos.</w:t>
      </w:r>
    </w:p>
    <w:p w14:paraId="02AF13D2" w14:textId="77777777" w:rsidR="0088085F" w:rsidRPr="00A72008" w:rsidRDefault="0088085F" w:rsidP="00A72008">
      <w:pPr>
        <w:numPr>
          <w:ilvl w:val="0"/>
          <w:numId w:val="2"/>
        </w:numPr>
        <w:tabs>
          <w:tab w:val="clear" w:pos="502"/>
          <w:tab w:val="left" w:pos="480"/>
          <w:tab w:val="num" w:pos="720"/>
          <w:tab w:val="num" w:pos="6597"/>
        </w:tabs>
        <w:ind w:left="0" w:firstLine="289"/>
        <w:rPr>
          <w:spacing w:val="6"/>
          <w:sz w:val="26"/>
          <w:szCs w:val="26"/>
        </w:rPr>
      </w:pPr>
      <w:r w:rsidRPr="00A72008">
        <w:rPr>
          <w:spacing w:val="6"/>
          <w:sz w:val="26"/>
          <w:szCs w:val="26"/>
        </w:rPr>
        <w:t>La de las sociedades mercantiles de capital íntegramente propiedad de la entidad local.</w:t>
      </w:r>
    </w:p>
    <w:p w14:paraId="119818FD" w14:textId="77777777" w:rsidR="009F4235" w:rsidRPr="00A72008" w:rsidRDefault="009F4235" w:rsidP="00A72008">
      <w:pPr>
        <w:numPr>
          <w:ilvl w:val="0"/>
          <w:numId w:val="2"/>
        </w:numPr>
        <w:tabs>
          <w:tab w:val="clear" w:pos="502"/>
          <w:tab w:val="left" w:pos="480"/>
          <w:tab w:val="num" w:pos="720"/>
          <w:tab w:val="num" w:pos="6597"/>
        </w:tabs>
        <w:ind w:left="0" w:firstLine="289"/>
        <w:rPr>
          <w:spacing w:val="6"/>
          <w:sz w:val="26"/>
          <w:szCs w:val="26"/>
        </w:rPr>
      </w:pPr>
      <w:r w:rsidRPr="00A72008">
        <w:rPr>
          <w:spacing w:val="6"/>
          <w:sz w:val="26"/>
          <w:szCs w:val="26"/>
        </w:rPr>
        <w:t>Los anexos</w:t>
      </w:r>
      <w:r w:rsidR="00C965E4">
        <w:rPr>
          <w:spacing w:val="6"/>
          <w:sz w:val="26"/>
          <w:szCs w:val="26"/>
        </w:rPr>
        <w:t>.</w:t>
      </w:r>
    </w:p>
    <w:p w14:paraId="13035025" w14:textId="77777777" w:rsidR="0088085F" w:rsidRPr="00262228" w:rsidRDefault="0088085F" w:rsidP="009F4235">
      <w:pPr>
        <w:pStyle w:val="texto"/>
        <w:spacing w:after="120"/>
      </w:pPr>
      <w:r w:rsidRPr="00262228">
        <w:t>Asimismo, se revisará el informe sobre la situación financiera elaborado por el Departamento de Cohesión Territorial.</w:t>
      </w:r>
    </w:p>
    <w:p w14:paraId="012668B2" w14:textId="77777777" w:rsidR="0088085F" w:rsidRPr="00262228" w:rsidRDefault="0088085F" w:rsidP="0088085F">
      <w:pPr>
        <w:pStyle w:val="texto"/>
      </w:pPr>
      <w:r w:rsidRPr="00262228">
        <w:t xml:space="preserve">En el análisis de la situación financiera del sector público local, ha supuesto una limitación a nuestro trabajo la falta de información económico-financiera y presupuestaria sobre los entes locales que no habían remitido la Cuenta General </w:t>
      </w:r>
      <w:r w:rsidR="00874B65">
        <w:t xml:space="preserve">ni la Liquidación </w:t>
      </w:r>
      <w:r w:rsidRPr="00262228">
        <w:t>del ejercicio 2019 a la Dirección General de Administración Local y Despoblación a finales de junio de 2021, que son:</w:t>
      </w:r>
    </w:p>
    <w:p w14:paraId="398B328E" w14:textId="77777777" w:rsidR="0088085F" w:rsidRPr="00CE5750" w:rsidRDefault="009F4235" w:rsidP="00CE5750">
      <w:pPr>
        <w:numPr>
          <w:ilvl w:val="0"/>
          <w:numId w:val="2"/>
        </w:numPr>
        <w:tabs>
          <w:tab w:val="clear" w:pos="502"/>
          <w:tab w:val="left" w:pos="480"/>
          <w:tab w:val="num" w:pos="720"/>
          <w:tab w:val="num" w:pos="6597"/>
        </w:tabs>
        <w:ind w:left="0" w:firstLine="289"/>
        <w:rPr>
          <w:spacing w:val="6"/>
          <w:sz w:val="26"/>
          <w:szCs w:val="26"/>
        </w:rPr>
      </w:pPr>
      <w:r>
        <w:rPr>
          <w:spacing w:val="6"/>
          <w:sz w:val="26"/>
          <w:szCs w:val="26"/>
        </w:rPr>
        <w:t>Siete</w:t>
      </w:r>
      <w:r w:rsidR="0088085F" w:rsidRPr="00CE5750">
        <w:rPr>
          <w:spacing w:val="6"/>
          <w:sz w:val="26"/>
          <w:szCs w:val="26"/>
        </w:rPr>
        <w:t xml:space="preserve"> de los 272 municipios: </w:t>
      </w:r>
      <w:proofErr w:type="spellStart"/>
      <w:r w:rsidR="0088085F" w:rsidRPr="00CE5750">
        <w:rPr>
          <w:spacing w:val="6"/>
          <w:sz w:val="26"/>
          <w:szCs w:val="26"/>
        </w:rPr>
        <w:t>Eratsun</w:t>
      </w:r>
      <w:proofErr w:type="spellEnd"/>
      <w:r w:rsidR="0088085F" w:rsidRPr="00CE5750">
        <w:rPr>
          <w:spacing w:val="6"/>
          <w:sz w:val="26"/>
          <w:szCs w:val="26"/>
        </w:rPr>
        <w:t xml:space="preserve">, </w:t>
      </w:r>
      <w:proofErr w:type="spellStart"/>
      <w:r w:rsidR="0088085F" w:rsidRPr="00CE5750">
        <w:rPr>
          <w:spacing w:val="6"/>
          <w:sz w:val="26"/>
          <w:szCs w:val="26"/>
        </w:rPr>
        <w:t>Ezkurra</w:t>
      </w:r>
      <w:proofErr w:type="spellEnd"/>
      <w:r w:rsidR="0088085F" w:rsidRPr="00CE5750">
        <w:rPr>
          <w:spacing w:val="6"/>
          <w:sz w:val="26"/>
          <w:szCs w:val="26"/>
        </w:rPr>
        <w:t xml:space="preserve">, </w:t>
      </w:r>
      <w:proofErr w:type="spellStart"/>
      <w:r w:rsidR="0088085F" w:rsidRPr="00CE5750">
        <w:rPr>
          <w:spacing w:val="6"/>
          <w:sz w:val="26"/>
          <w:szCs w:val="26"/>
        </w:rPr>
        <w:t>Imotz</w:t>
      </w:r>
      <w:proofErr w:type="spellEnd"/>
      <w:r w:rsidR="0088085F" w:rsidRPr="00CE5750">
        <w:rPr>
          <w:spacing w:val="6"/>
          <w:sz w:val="26"/>
          <w:szCs w:val="26"/>
        </w:rPr>
        <w:t>, Izalzu-</w:t>
      </w:r>
      <w:proofErr w:type="spellStart"/>
      <w:r w:rsidR="0088085F" w:rsidRPr="00CE5750">
        <w:rPr>
          <w:spacing w:val="6"/>
          <w:sz w:val="26"/>
          <w:szCs w:val="26"/>
        </w:rPr>
        <w:t>Itzaltzu</w:t>
      </w:r>
      <w:proofErr w:type="spellEnd"/>
      <w:r w:rsidR="0088085F" w:rsidRPr="00CE5750">
        <w:rPr>
          <w:spacing w:val="6"/>
          <w:sz w:val="26"/>
          <w:szCs w:val="26"/>
        </w:rPr>
        <w:t xml:space="preserve">, </w:t>
      </w:r>
      <w:proofErr w:type="spellStart"/>
      <w:r w:rsidR="0088085F" w:rsidRPr="00CE5750">
        <w:rPr>
          <w:spacing w:val="6"/>
          <w:sz w:val="26"/>
          <w:szCs w:val="26"/>
        </w:rPr>
        <w:t>Orkoien</w:t>
      </w:r>
      <w:proofErr w:type="spellEnd"/>
      <w:r w:rsidR="0088085F" w:rsidRPr="00CE5750">
        <w:rPr>
          <w:spacing w:val="6"/>
          <w:sz w:val="26"/>
          <w:szCs w:val="26"/>
        </w:rPr>
        <w:t xml:space="preserve">, Saldías y Zúñiga. La población de estos municipios asciende a 5.048 habitantes y representa el uno por ciento de la población total. </w:t>
      </w:r>
    </w:p>
    <w:p w14:paraId="2C1F4CC7"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Un total de 48 de los 346 concejos existentes en 2019: </w:t>
      </w:r>
      <w:proofErr w:type="spellStart"/>
      <w:r w:rsidRPr="00CE5750">
        <w:rPr>
          <w:spacing w:val="6"/>
          <w:sz w:val="26"/>
          <w:szCs w:val="26"/>
        </w:rPr>
        <w:t>Aizpún</w:t>
      </w:r>
      <w:proofErr w:type="spellEnd"/>
      <w:r w:rsidRPr="00CE5750">
        <w:rPr>
          <w:spacing w:val="6"/>
          <w:sz w:val="26"/>
          <w:szCs w:val="26"/>
        </w:rPr>
        <w:t xml:space="preserve">, Albiasu, </w:t>
      </w:r>
      <w:proofErr w:type="spellStart"/>
      <w:r w:rsidRPr="00CE5750">
        <w:rPr>
          <w:spacing w:val="6"/>
          <w:sz w:val="26"/>
          <w:szCs w:val="26"/>
        </w:rPr>
        <w:t>Arboniés</w:t>
      </w:r>
      <w:proofErr w:type="spellEnd"/>
      <w:r w:rsidRPr="00CE5750">
        <w:rPr>
          <w:spacing w:val="6"/>
          <w:sz w:val="26"/>
          <w:szCs w:val="26"/>
        </w:rPr>
        <w:t>, Arlegui, Arribe-</w:t>
      </w:r>
      <w:proofErr w:type="spellStart"/>
      <w:r w:rsidRPr="00CE5750">
        <w:rPr>
          <w:spacing w:val="6"/>
          <w:sz w:val="26"/>
          <w:szCs w:val="26"/>
        </w:rPr>
        <w:t>Atallu</w:t>
      </w:r>
      <w:proofErr w:type="spellEnd"/>
      <w:r w:rsidRPr="00CE5750">
        <w:rPr>
          <w:spacing w:val="6"/>
          <w:sz w:val="26"/>
          <w:szCs w:val="26"/>
        </w:rPr>
        <w:t xml:space="preserve">, Arrieta, </w:t>
      </w:r>
      <w:proofErr w:type="spellStart"/>
      <w:r w:rsidRPr="00CE5750">
        <w:rPr>
          <w:spacing w:val="6"/>
          <w:sz w:val="26"/>
          <w:szCs w:val="26"/>
        </w:rPr>
        <w:t>Astráin</w:t>
      </w:r>
      <w:proofErr w:type="spellEnd"/>
      <w:r w:rsidRPr="00CE5750">
        <w:rPr>
          <w:spacing w:val="6"/>
          <w:sz w:val="26"/>
          <w:szCs w:val="26"/>
        </w:rPr>
        <w:t xml:space="preserve">, </w:t>
      </w:r>
      <w:proofErr w:type="spellStart"/>
      <w:r w:rsidRPr="00CE5750">
        <w:rPr>
          <w:spacing w:val="6"/>
          <w:sz w:val="26"/>
          <w:szCs w:val="26"/>
        </w:rPr>
        <w:t>Azkarate</w:t>
      </w:r>
      <w:proofErr w:type="spellEnd"/>
      <w:r w:rsidRPr="00CE5750">
        <w:rPr>
          <w:spacing w:val="6"/>
          <w:sz w:val="26"/>
          <w:szCs w:val="26"/>
        </w:rPr>
        <w:t xml:space="preserve">, Beruete, </w:t>
      </w:r>
      <w:proofErr w:type="spellStart"/>
      <w:r w:rsidRPr="00CE5750">
        <w:rPr>
          <w:spacing w:val="6"/>
          <w:sz w:val="26"/>
          <w:szCs w:val="26"/>
        </w:rPr>
        <w:t>Bigüezal</w:t>
      </w:r>
      <w:proofErr w:type="spellEnd"/>
      <w:r w:rsidRPr="00CE5750">
        <w:rPr>
          <w:spacing w:val="6"/>
          <w:sz w:val="26"/>
          <w:szCs w:val="26"/>
        </w:rPr>
        <w:t xml:space="preserve">, Cizur Menor, Eraso, </w:t>
      </w:r>
      <w:proofErr w:type="spellStart"/>
      <w:r w:rsidRPr="00CE5750">
        <w:rPr>
          <w:spacing w:val="6"/>
          <w:sz w:val="26"/>
          <w:szCs w:val="26"/>
        </w:rPr>
        <w:t>Esténoz</w:t>
      </w:r>
      <w:proofErr w:type="spellEnd"/>
      <w:r w:rsidRPr="00CE5750">
        <w:rPr>
          <w:spacing w:val="6"/>
          <w:sz w:val="26"/>
          <w:szCs w:val="26"/>
        </w:rPr>
        <w:t xml:space="preserve">, </w:t>
      </w:r>
      <w:proofErr w:type="spellStart"/>
      <w:r w:rsidRPr="00CE5750">
        <w:rPr>
          <w:spacing w:val="6"/>
          <w:sz w:val="26"/>
          <w:szCs w:val="26"/>
        </w:rPr>
        <w:t>Etxaleku</w:t>
      </w:r>
      <w:proofErr w:type="spellEnd"/>
      <w:r w:rsidRPr="00CE5750">
        <w:rPr>
          <w:spacing w:val="6"/>
          <w:sz w:val="26"/>
          <w:szCs w:val="26"/>
        </w:rPr>
        <w:t xml:space="preserve">, </w:t>
      </w:r>
      <w:proofErr w:type="spellStart"/>
      <w:r w:rsidRPr="00CE5750">
        <w:rPr>
          <w:spacing w:val="6"/>
          <w:sz w:val="26"/>
          <w:szCs w:val="26"/>
        </w:rPr>
        <w:t>Gaintza</w:t>
      </w:r>
      <w:proofErr w:type="spellEnd"/>
      <w:r w:rsidRPr="00CE5750">
        <w:rPr>
          <w:spacing w:val="6"/>
          <w:sz w:val="26"/>
          <w:szCs w:val="26"/>
        </w:rPr>
        <w:t xml:space="preserve">, </w:t>
      </w:r>
      <w:proofErr w:type="spellStart"/>
      <w:r w:rsidRPr="00CE5750">
        <w:rPr>
          <w:spacing w:val="6"/>
          <w:sz w:val="26"/>
          <w:szCs w:val="26"/>
        </w:rPr>
        <w:t>Gartzaron</w:t>
      </w:r>
      <w:proofErr w:type="spellEnd"/>
      <w:r w:rsidRPr="00CE5750">
        <w:rPr>
          <w:spacing w:val="6"/>
          <w:sz w:val="26"/>
          <w:szCs w:val="26"/>
        </w:rPr>
        <w:t xml:space="preserve">, </w:t>
      </w:r>
      <w:proofErr w:type="spellStart"/>
      <w:r w:rsidRPr="00CE5750">
        <w:rPr>
          <w:spacing w:val="6"/>
          <w:sz w:val="26"/>
          <w:szCs w:val="26"/>
        </w:rPr>
        <w:t>Gazólaz</w:t>
      </w:r>
      <w:proofErr w:type="spellEnd"/>
      <w:r w:rsidRPr="00CE5750">
        <w:rPr>
          <w:spacing w:val="6"/>
          <w:sz w:val="26"/>
          <w:szCs w:val="26"/>
        </w:rPr>
        <w:t xml:space="preserve">, </w:t>
      </w:r>
      <w:proofErr w:type="spellStart"/>
      <w:r w:rsidRPr="00CE5750">
        <w:rPr>
          <w:spacing w:val="6"/>
          <w:sz w:val="26"/>
          <w:szCs w:val="26"/>
        </w:rPr>
        <w:t>Goldaratz</w:t>
      </w:r>
      <w:proofErr w:type="spellEnd"/>
      <w:r w:rsidRPr="00CE5750">
        <w:rPr>
          <w:spacing w:val="6"/>
          <w:sz w:val="26"/>
          <w:szCs w:val="26"/>
        </w:rPr>
        <w:t xml:space="preserve">, Guembe, </w:t>
      </w:r>
      <w:proofErr w:type="spellStart"/>
      <w:r w:rsidRPr="00CE5750">
        <w:rPr>
          <w:spacing w:val="6"/>
          <w:sz w:val="26"/>
          <w:szCs w:val="26"/>
        </w:rPr>
        <w:t>Igoa</w:t>
      </w:r>
      <w:proofErr w:type="spellEnd"/>
      <w:r w:rsidRPr="00CE5750">
        <w:rPr>
          <w:spacing w:val="6"/>
          <w:sz w:val="26"/>
          <w:szCs w:val="26"/>
        </w:rPr>
        <w:t xml:space="preserve">, </w:t>
      </w:r>
      <w:proofErr w:type="spellStart"/>
      <w:r w:rsidRPr="00CE5750">
        <w:rPr>
          <w:spacing w:val="6"/>
          <w:sz w:val="26"/>
          <w:szCs w:val="26"/>
        </w:rPr>
        <w:t>Ihaben</w:t>
      </w:r>
      <w:proofErr w:type="spellEnd"/>
      <w:r w:rsidRPr="00CE5750">
        <w:rPr>
          <w:spacing w:val="6"/>
          <w:sz w:val="26"/>
          <w:szCs w:val="26"/>
        </w:rPr>
        <w:t xml:space="preserve">, </w:t>
      </w:r>
      <w:proofErr w:type="spellStart"/>
      <w:r w:rsidRPr="00CE5750">
        <w:rPr>
          <w:spacing w:val="6"/>
          <w:sz w:val="26"/>
          <w:szCs w:val="26"/>
        </w:rPr>
        <w:t>Inbuluzketa</w:t>
      </w:r>
      <w:proofErr w:type="spellEnd"/>
      <w:r w:rsidRPr="00CE5750">
        <w:rPr>
          <w:spacing w:val="6"/>
          <w:sz w:val="26"/>
          <w:szCs w:val="26"/>
        </w:rPr>
        <w:t xml:space="preserve">, </w:t>
      </w:r>
      <w:proofErr w:type="spellStart"/>
      <w:r w:rsidRPr="00CE5750">
        <w:rPr>
          <w:spacing w:val="6"/>
          <w:sz w:val="26"/>
          <w:szCs w:val="26"/>
        </w:rPr>
        <w:t>Intza</w:t>
      </w:r>
      <w:proofErr w:type="spellEnd"/>
      <w:r w:rsidRPr="00CE5750">
        <w:rPr>
          <w:spacing w:val="6"/>
          <w:sz w:val="26"/>
          <w:szCs w:val="26"/>
        </w:rPr>
        <w:t xml:space="preserve">, Itsaso, Iturgoyen, Labeaga, Larraya, </w:t>
      </w:r>
      <w:proofErr w:type="spellStart"/>
      <w:r w:rsidRPr="00CE5750">
        <w:rPr>
          <w:spacing w:val="6"/>
          <w:sz w:val="26"/>
          <w:szCs w:val="26"/>
        </w:rPr>
        <w:t>Larráyoz</w:t>
      </w:r>
      <w:proofErr w:type="spellEnd"/>
      <w:r w:rsidRPr="00CE5750">
        <w:rPr>
          <w:spacing w:val="6"/>
          <w:sz w:val="26"/>
          <w:szCs w:val="26"/>
        </w:rPr>
        <w:t xml:space="preserve">, Latasa, Lizaso, </w:t>
      </w:r>
      <w:proofErr w:type="spellStart"/>
      <w:r w:rsidRPr="00CE5750">
        <w:rPr>
          <w:spacing w:val="6"/>
          <w:sz w:val="26"/>
          <w:szCs w:val="26"/>
        </w:rPr>
        <w:t>Muez</w:t>
      </w:r>
      <w:proofErr w:type="spellEnd"/>
      <w:r w:rsidRPr="00CE5750">
        <w:rPr>
          <w:spacing w:val="6"/>
          <w:sz w:val="26"/>
          <w:szCs w:val="26"/>
        </w:rPr>
        <w:t xml:space="preserve">, </w:t>
      </w:r>
      <w:proofErr w:type="spellStart"/>
      <w:r w:rsidRPr="00CE5750">
        <w:rPr>
          <w:spacing w:val="6"/>
          <w:sz w:val="26"/>
          <w:szCs w:val="26"/>
        </w:rPr>
        <w:t>Muru-Astráin</w:t>
      </w:r>
      <w:proofErr w:type="spellEnd"/>
      <w:r w:rsidRPr="00CE5750">
        <w:rPr>
          <w:spacing w:val="6"/>
          <w:sz w:val="26"/>
          <w:szCs w:val="26"/>
        </w:rPr>
        <w:t xml:space="preserve">, Murugarren, </w:t>
      </w:r>
      <w:proofErr w:type="spellStart"/>
      <w:r w:rsidRPr="00CE5750">
        <w:rPr>
          <w:spacing w:val="6"/>
          <w:sz w:val="26"/>
          <w:szCs w:val="26"/>
        </w:rPr>
        <w:t>Muskitz</w:t>
      </w:r>
      <w:proofErr w:type="spellEnd"/>
      <w:r w:rsidRPr="00CE5750">
        <w:rPr>
          <w:spacing w:val="6"/>
          <w:sz w:val="26"/>
          <w:szCs w:val="26"/>
        </w:rPr>
        <w:t xml:space="preserve">, Olóriz,  </w:t>
      </w:r>
      <w:proofErr w:type="spellStart"/>
      <w:r w:rsidRPr="00CE5750">
        <w:rPr>
          <w:spacing w:val="6"/>
          <w:sz w:val="26"/>
          <w:szCs w:val="26"/>
        </w:rPr>
        <w:lastRenderedPageBreak/>
        <w:t>Oskotz</w:t>
      </w:r>
      <w:proofErr w:type="spellEnd"/>
      <w:r w:rsidRPr="00CE5750">
        <w:rPr>
          <w:spacing w:val="6"/>
          <w:sz w:val="26"/>
          <w:szCs w:val="26"/>
        </w:rPr>
        <w:t xml:space="preserve">, </w:t>
      </w:r>
      <w:proofErr w:type="spellStart"/>
      <w:r w:rsidRPr="00CE5750">
        <w:rPr>
          <w:spacing w:val="6"/>
          <w:sz w:val="26"/>
          <w:szCs w:val="26"/>
        </w:rPr>
        <w:t>Paternáin</w:t>
      </w:r>
      <w:proofErr w:type="spellEnd"/>
      <w:r w:rsidRPr="00CE5750">
        <w:rPr>
          <w:spacing w:val="6"/>
          <w:sz w:val="26"/>
          <w:szCs w:val="26"/>
        </w:rPr>
        <w:t>, Salinas</w:t>
      </w:r>
      <w:r w:rsidR="00874B65">
        <w:rPr>
          <w:spacing w:val="6"/>
          <w:sz w:val="26"/>
          <w:szCs w:val="26"/>
        </w:rPr>
        <w:t xml:space="preserve"> de Pamplona, Senosiain, Soraur</w:t>
      </w:r>
      <w:r w:rsidRPr="00CE5750">
        <w:rPr>
          <w:spacing w:val="6"/>
          <w:sz w:val="26"/>
          <w:szCs w:val="26"/>
        </w:rPr>
        <w:t xml:space="preserve">en, Udabe-Beramendi, </w:t>
      </w:r>
      <w:proofErr w:type="spellStart"/>
      <w:r w:rsidRPr="00CE5750">
        <w:rPr>
          <w:spacing w:val="6"/>
          <w:sz w:val="26"/>
          <w:szCs w:val="26"/>
        </w:rPr>
        <w:t>Undiano</w:t>
      </w:r>
      <w:proofErr w:type="spellEnd"/>
      <w:r w:rsidRPr="00CE5750">
        <w:rPr>
          <w:spacing w:val="6"/>
          <w:sz w:val="26"/>
          <w:szCs w:val="26"/>
        </w:rPr>
        <w:t xml:space="preserve">, </w:t>
      </w:r>
      <w:proofErr w:type="spellStart"/>
      <w:r w:rsidRPr="00CE5750">
        <w:rPr>
          <w:spacing w:val="6"/>
          <w:sz w:val="26"/>
          <w:szCs w:val="26"/>
        </w:rPr>
        <w:t>Unzu</w:t>
      </w:r>
      <w:proofErr w:type="spellEnd"/>
      <w:r w:rsidRPr="00CE5750">
        <w:rPr>
          <w:spacing w:val="6"/>
          <w:sz w:val="26"/>
          <w:szCs w:val="26"/>
        </w:rPr>
        <w:t xml:space="preserve">, </w:t>
      </w:r>
      <w:proofErr w:type="spellStart"/>
      <w:r w:rsidRPr="00CE5750">
        <w:rPr>
          <w:spacing w:val="6"/>
          <w:sz w:val="26"/>
          <w:szCs w:val="26"/>
        </w:rPr>
        <w:t>Úriz</w:t>
      </w:r>
      <w:proofErr w:type="spellEnd"/>
      <w:r w:rsidRPr="00CE5750">
        <w:rPr>
          <w:spacing w:val="6"/>
          <w:sz w:val="26"/>
          <w:szCs w:val="26"/>
        </w:rPr>
        <w:t xml:space="preserve">, </w:t>
      </w:r>
      <w:proofErr w:type="spellStart"/>
      <w:r w:rsidRPr="00CE5750">
        <w:rPr>
          <w:spacing w:val="6"/>
          <w:sz w:val="26"/>
          <w:szCs w:val="26"/>
        </w:rPr>
        <w:t>Urritza</w:t>
      </w:r>
      <w:proofErr w:type="spellEnd"/>
      <w:r w:rsidRPr="00CE5750">
        <w:rPr>
          <w:spacing w:val="6"/>
          <w:sz w:val="26"/>
          <w:szCs w:val="26"/>
        </w:rPr>
        <w:t xml:space="preserve">, </w:t>
      </w:r>
      <w:proofErr w:type="spellStart"/>
      <w:r w:rsidRPr="00CE5750">
        <w:rPr>
          <w:spacing w:val="6"/>
          <w:sz w:val="26"/>
          <w:szCs w:val="26"/>
        </w:rPr>
        <w:t>Uztegi</w:t>
      </w:r>
      <w:proofErr w:type="spellEnd"/>
      <w:r w:rsidRPr="00CE5750">
        <w:rPr>
          <w:spacing w:val="6"/>
          <w:sz w:val="26"/>
          <w:szCs w:val="26"/>
        </w:rPr>
        <w:t xml:space="preserve">, Zariquiegui y </w:t>
      </w:r>
      <w:proofErr w:type="spellStart"/>
      <w:r w:rsidRPr="00CE5750">
        <w:rPr>
          <w:spacing w:val="6"/>
          <w:sz w:val="26"/>
          <w:szCs w:val="26"/>
        </w:rPr>
        <w:t>Zarrantz</w:t>
      </w:r>
      <w:proofErr w:type="spellEnd"/>
      <w:r w:rsidRPr="00CE5750">
        <w:rPr>
          <w:spacing w:val="6"/>
          <w:sz w:val="26"/>
          <w:szCs w:val="26"/>
        </w:rPr>
        <w:t>. La población de estos concejos es de 6.628 personas y representa el uno por ciento de la población total de Navarra.</w:t>
      </w:r>
    </w:p>
    <w:p w14:paraId="47D12F68" w14:textId="77777777" w:rsidR="0088085F" w:rsidRPr="00262228" w:rsidRDefault="0088085F" w:rsidP="00262228">
      <w:pPr>
        <w:pStyle w:val="texto"/>
      </w:pPr>
      <w:r w:rsidRPr="00262228">
        <w:t xml:space="preserve">Destaca la falta de rendición de cuentas de los ocho concejos del municipio compuesto de Cizur, cuya población asciende a 3.888 </w:t>
      </w:r>
      <w:r w:rsidRPr="009A521B">
        <w:rPr>
          <w:color w:val="000000" w:themeColor="text1"/>
        </w:rPr>
        <w:t>habitantes</w:t>
      </w:r>
      <w:r w:rsidR="005B091A" w:rsidRPr="009A521B">
        <w:rPr>
          <w:color w:val="000000" w:themeColor="text1"/>
        </w:rPr>
        <w:t xml:space="preserve">, la de los cinco concejos del Valle de </w:t>
      </w:r>
      <w:proofErr w:type="spellStart"/>
      <w:r w:rsidR="005B091A" w:rsidRPr="009A521B">
        <w:rPr>
          <w:color w:val="000000" w:themeColor="text1"/>
        </w:rPr>
        <w:t>Araitz</w:t>
      </w:r>
      <w:proofErr w:type="spellEnd"/>
      <w:r w:rsidR="005B091A" w:rsidRPr="009A521B">
        <w:rPr>
          <w:color w:val="000000" w:themeColor="text1"/>
        </w:rPr>
        <w:t xml:space="preserve"> que suman 512 habitantes</w:t>
      </w:r>
      <w:r w:rsidRPr="009A521B">
        <w:rPr>
          <w:color w:val="000000" w:themeColor="text1"/>
        </w:rPr>
        <w:t xml:space="preserve"> y la de l</w:t>
      </w:r>
      <w:r w:rsidRPr="00262228">
        <w:t xml:space="preserve">os ocho concejos del Valle de </w:t>
      </w:r>
      <w:proofErr w:type="spellStart"/>
      <w:r w:rsidRPr="00262228">
        <w:t>Imotz</w:t>
      </w:r>
      <w:proofErr w:type="spellEnd"/>
      <w:r w:rsidRPr="00262228">
        <w:t xml:space="preserve"> cuyas poblaciones suman 423 habitantes.</w:t>
      </w:r>
    </w:p>
    <w:p w14:paraId="3F147CB4"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De un total de 84 mancomunidades y agrupaciones, nueve entidades que son: Agrupación de Ayuntamientos de Burgui, </w:t>
      </w:r>
      <w:proofErr w:type="spellStart"/>
      <w:r w:rsidRPr="00CE5750">
        <w:rPr>
          <w:spacing w:val="6"/>
          <w:sz w:val="26"/>
          <w:szCs w:val="26"/>
        </w:rPr>
        <w:t>Vidángoz</w:t>
      </w:r>
      <w:proofErr w:type="spellEnd"/>
      <w:r w:rsidRPr="00CE5750">
        <w:rPr>
          <w:spacing w:val="6"/>
          <w:sz w:val="26"/>
          <w:szCs w:val="26"/>
        </w:rPr>
        <w:t xml:space="preserve"> y Garde, Unión de </w:t>
      </w:r>
      <w:proofErr w:type="spellStart"/>
      <w:r w:rsidRPr="00CE5750">
        <w:rPr>
          <w:spacing w:val="6"/>
          <w:sz w:val="26"/>
          <w:szCs w:val="26"/>
        </w:rPr>
        <w:t>Aralar</w:t>
      </w:r>
      <w:proofErr w:type="spellEnd"/>
      <w:r w:rsidRPr="00CE5750">
        <w:rPr>
          <w:spacing w:val="6"/>
          <w:sz w:val="26"/>
          <w:szCs w:val="26"/>
        </w:rPr>
        <w:t>/</w:t>
      </w:r>
      <w:proofErr w:type="spellStart"/>
      <w:r w:rsidRPr="00CE5750">
        <w:rPr>
          <w:spacing w:val="6"/>
          <w:sz w:val="26"/>
          <w:szCs w:val="26"/>
        </w:rPr>
        <w:t>Aralarko</w:t>
      </w:r>
      <w:proofErr w:type="spellEnd"/>
      <w:r w:rsidRPr="00CE5750">
        <w:rPr>
          <w:spacing w:val="6"/>
          <w:sz w:val="26"/>
          <w:szCs w:val="26"/>
        </w:rPr>
        <w:t xml:space="preserve"> </w:t>
      </w:r>
      <w:proofErr w:type="spellStart"/>
      <w:r w:rsidRPr="00CE5750">
        <w:rPr>
          <w:spacing w:val="6"/>
          <w:sz w:val="26"/>
          <w:szCs w:val="26"/>
        </w:rPr>
        <w:t>Elkartea</w:t>
      </w:r>
      <w:proofErr w:type="spellEnd"/>
      <w:r w:rsidRPr="00CE5750">
        <w:rPr>
          <w:spacing w:val="6"/>
          <w:sz w:val="26"/>
          <w:szCs w:val="26"/>
        </w:rPr>
        <w:t xml:space="preserve">, Mancomunidad de </w:t>
      </w:r>
      <w:proofErr w:type="spellStart"/>
      <w:r w:rsidRPr="00CE5750">
        <w:rPr>
          <w:spacing w:val="6"/>
          <w:sz w:val="26"/>
          <w:szCs w:val="26"/>
        </w:rPr>
        <w:t>Leitza</w:t>
      </w:r>
      <w:proofErr w:type="spellEnd"/>
      <w:r w:rsidRPr="00CE5750">
        <w:rPr>
          <w:spacing w:val="6"/>
          <w:sz w:val="26"/>
          <w:szCs w:val="26"/>
        </w:rPr>
        <w:t xml:space="preserve">, Goizueta, </w:t>
      </w:r>
      <w:proofErr w:type="spellStart"/>
      <w:r w:rsidRPr="00CE5750">
        <w:rPr>
          <w:spacing w:val="6"/>
          <w:sz w:val="26"/>
          <w:szCs w:val="26"/>
        </w:rPr>
        <w:t>Areso</w:t>
      </w:r>
      <w:proofErr w:type="spellEnd"/>
      <w:r w:rsidRPr="00CE5750">
        <w:rPr>
          <w:spacing w:val="6"/>
          <w:sz w:val="26"/>
          <w:szCs w:val="26"/>
        </w:rPr>
        <w:t xml:space="preserve"> y Arano para la Gestión del Servicio Social de Base, Mancomunidad de Servicios de la Comarca de Sangüesa, Mancomunidad de Servicios Sociales de Base </w:t>
      </w:r>
      <w:proofErr w:type="spellStart"/>
      <w:r w:rsidRPr="00CE5750">
        <w:rPr>
          <w:spacing w:val="6"/>
          <w:sz w:val="26"/>
          <w:szCs w:val="26"/>
        </w:rPr>
        <w:t>Ancín</w:t>
      </w:r>
      <w:proofErr w:type="spellEnd"/>
      <w:r w:rsidRPr="00CE5750">
        <w:rPr>
          <w:spacing w:val="6"/>
          <w:sz w:val="26"/>
          <w:szCs w:val="26"/>
        </w:rPr>
        <w:t>/</w:t>
      </w:r>
      <w:proofErr w:type="spellStart"/>
      <w:r w:rsidRPr="00CE5750">
        <w:rPr>
          <w:spacing w:val="6"/>
          <w:sz w:val="26"/>
          <w:szCs w:val="26"/>
        </w:rPr>
        <w:t>Améscoa</w:t>
      </w:r>
      <w:proofErr w:type="spellEnd"/>
      <w:r w:rsidRPr="00CE5750">
        <w:rPr>
          <w:spacing w:val="6"/>
          <w:sz w:val="26"/>
          <w:szCs w:val="26"/>
        </w:rPr>
        <w:t xml:space="preserve">, Mancomunidad del Alto </w:t>
      </w:r>
      <w:proofErr w:type="spellStart"/>
      <w:r w:rsidRPr="00CE5750">
        <w:rPr>
          <w:spacing w:val="6"/>
          <w:sz w:val="26"/>
          <w:szCs w:val="26"/>
        </w:rPr>
        <w:t>Araxes</w:t>
      </w:r>
      <w:proofErr w:type="spellEnd"/>
      <w:r w:rsidRPr="00CE5750">
        <w:rPr>
          <w:spacing w:val="6"/>
          <w:sz w:val="26"/>
          <w:szCs w:val="26"/>
        </w:rPr>
        <w:t xml:space="preserve">, Mancomunidad del Norte de Navarra para la Gestión del Euskara, Mancomunidad Deportiva Orreaga y Mancomunidad de Personal de </w:t>
      </w:r>
      <w:proofErr w:type="spellStart"/>
      <w:r w:rsidRPr="00CE5750">
        <w:rPr>
          <w:spacing w:val="6"/>
          <w:sz w:val="26"/>
          <w:szCs w:val="26"/>
        </w:rPr>
        <w:t>Ezcabarte-Olaibar</w:t>
      </w:r>
      <w:proofErr w:type="spellEnd"/>
      <w:r w:rsidRPr="00CE5750">
        <w:rPr>
          <w:spacing w:val="6"/>
          <w:sz w:val="26"/>
          <w:szCs w:val="26"/>
        </w:rPr>
        <w:t xml:space="preserve">. </w:t>
      </w:r>
    </w:p>
    <w:p w14:paraId="1000C9A7" w14:textId="77777777" w:rsidR="0088085F" w:rsidRPr="00262228" w:rsidRDefault="0088085F" w:rsidP="0088085F">
      <w:pPr>
        <w:pStyle w:val="texto"/>
      </w:pPr>
      <w:r w:rsidRPr="00262228">
        <w:t>Por otra parte, conviene precisar que el análisis de la situación financiera se elabora con los datos presupuestarios consolidados de las entidades locales y sus organismos autónomos. No se incluye información sobre las sociedades públicas, exceptuando el caso de la Sociedad Servicios de la Comarca de Pamplona, S.A. que se consolida por primera vez en este informe. No se consolidan las fundaciones públicas y los consorcios. En el análisis del endeudamiento, sí se incluyen los datos correspondientes a las sociedades dependientes de municipios y mancomunidades.</w:t>
      </w:r>
    </w:p>
    <w:p w14:paraId="0944D15B" w14:textId="77777777" w:rsidR="0088085F" w:rsidRPr="00262228" w:rsidRDefault="0088085F" w:rsidP="0088085F">
      <w:pPr>
        <w:pStyle w:val="texto"/>
      </w:pPr>
      <w:r w:rsidRPr="00262228">
        <w:t>Si bien ha existido esta limitación al alcance por falta de información, consideramos que las conclusiones alcanzadas en nuestro trabajo, en caso de haber dispuesto de esos datos, no habrían variado significativamente.</w:t>
      </w:r>
    </w:p>
    <w:p w14:paraId="302040B0" w14:textId="77777777" w:rsidR="0088085F" w:rsidRPr="00B81E61" w:rsidRDefault="0088085F" w:rsidP="0088085F">
      <w:pPr>
        <w:rPr>
          <w:rFonts w:cs="Arial"/>
          <w:color w:val="000000" w:themeColor="text1"/>
          <w:spacing w:val="6"/>
          <w:sz w:val="26"/>
          <w:szCs w:val="24"/>
        </w:rPr>
      </w:pPr>
      <w:r w:rsidRPr="00B81E61">
        <w:rPr>
          <w:color w:val="000000" w:themeColor="text1"/>
        </w:rPr>
        <w:br w:type="page"/>
      </w:r>
      <w:bookmarkEnd w:id="47"/>
      <w:bookmarkEnd w:id="48"/>
      <w:bookmarkEnd w:id="49"/>
      <w:bookmarkEnd w:id="50"/>
      <w:bookmarkEnd w:id="51"/>
    </w:p>
    <w:p w14:paraId="605E755B" w14:textId="77777777" w:rsidR="0088085F" w:rsidRPr="00B81E61" w:rsidRDefault="0088085F" w:rsidP="0088085F">
      <w:pPr>
        <w:pStyle w:val="atitulo1"/>
        <w:rPr>
          <w:color w:val="000000" w:themeColor="text1"/>
        </w:rPr>
      </w:pPr>
      <w:bookmarkStart w:id="52" w:name="_Toc399916263"/>
      <w:bookmarkStart w:id="53" w:name="_Toc465686686"/>
      <w:bookmarkStart w:id="54" w:name="_Toc529773880"/>
      <w:bookmarkStart w:id="55" w:name="_Toc24100141"/>
      <w:bookmarkStart w:id="56" w:name="_Toc52348289"/>
      <w:bookmarkStart w:id="57" w:name="_Toc89161266"/>
      <w:bookmarkStart w:id="58" w:name="_Toc90969145"/>
      <w:r w:rsidRPr="00B81E61">
        <w:rPr>
          <w:color w:val="000000" w:themeColor="text1"/>
        </w:rPr>
        <w:lastRenderedPageBreak/>
        <w:t>IV. Memoria-resumen de las actuaciones de fiscalización de entes locales</w:t>
      </w:r>
      <w:bookmarkEnd w:id="52"/>
      <w:bookmarkEnd w:id="53"/>
      <w:bookmarkEnd w:id="54"/>
      <w:bookmarkEnd w:id="55"/>
      <w:bookmarkEnd w:id="56"/>
      <w:bookmarkEnd w:id="57"/>
      <w:bookmarkEnd w:id="58"/>
    </w:p>
    <w:p w14:paraId="22C90099" w14:textId="77777777" w:rsidR="0088085F" w:rsidRPr="00262228" w:rsidRDefault="0088085F" w:rsidP="0088085F">
      <w:pPr>
        <w:pStyle w:val="texto"/>
      </w:pPr>
      <w:r w:rsidRPr="00262228">
        <w:t>La Cámara de Comptos realizó la fiscalización de regularidad (financiera y de legalidad) de la Cuenta General del año 2019 de los Ayuntamientos de Pamplona y del Valle de Egüés.</w:t>
      </w:r>
    </w:p>
    <w:p w14:paraId="1428AD93" w14:textId="77777777" w:rsidR="0088085F" w:rsidRPr="00262228" w:rsidRDefault="0088085F" w:rsidP="007E5A67">
      <w:pPr>
        <w:pStyle w:val="texto"/>
        <w:spacing w:after="240"/>
      </w:pPr>
      <w:r w:rsidRPr="00262228">
        <w:t>A continuación, se muestran algunos datos de estos entes locales:</w:t>
      </w:r>
    </w:p>
    <w:tbl>
      <w:tblPr>
        <w:tblW w:w="5305" w:type="pct"/>
        <w:jc w:val="center"/>
        <w:tblLayout w:type="fixed"/>
        <w:tblCellMar>
          <w:left w:w="70" w:type="dxa"/>
          <w:right w:w="70" w:type="dxa"/>
        </w:tblCellMar>
        <w:tblLook w:val="04A0" w:firstRow="1" w:lastRow="0" w:firstColumn="1" w:lastColumn="0" w:noHBand="0" w:noVBand="1"/>
      </w:tblPr>
      <w:tblGrid>
        <w:gridCol w:w="1877"/>
        <w:gridCol w:w="992"/>
        <w:gridCol w:w="166"/>
        <w:gridCol w:w="914"/>
        <w:gridCol w:w="101"/>
        <w:gridCol w:w="1167"/>
        <w:gridCol w:w="112"/>
        <w:gridCol w:w="985"/>
        <w:gridCol w:w="125"/>
        <w:gridCol w:w="994"/>
        <w:gridCol w:w="155"/>
        <w:gridCol w:w="505"/>
        <w:gridCol w:w="125"/>
        <w:gridCol w:w="444"/>
        <w:gridCol w:w="117"/>
        <w:gridCol w:w="546"/>
      </w:tblGrid>
      <w:tr w:rsidR="00310031" w:rsidRPr="009A521B" w14:paraId="174D9F19" w14:textId="77777777" w:rsidTr="008579E5">
        <w:trPr>
          <w:trHeight w:val="170"/>
          <w:jc w:val="center"/>
        </w:trPr>
        <w:tc>
          <w:tcPr>
            <w:tcW w:w="1006" w:type="pct"/>
            <w:vMerge w:val="restart"/>
            <w:tcBorders>
              <w:top w:val="single" w:sz="4" w:space="0" w:color="auto"/>
              <w:left w:val="nil"/>
              <w:bottom w:val="single" w:sz="4" w:space="0" w:color="auto"/>
              <w:right w:val="nil"/>
            </w:tcBorders>
            <w:shd w:val="clear" w:color="000000" w:fill="FABF8F"/>
            <w:vAlign w:val="center"/>
            <w:hideMark/>
          </w:tcPr>
          <w:p w14:paraId="77979885" w14:textId="77777777" w:rsidR="0088085F" w:rsidRPr="009A521B" w:rsidRDefault="0088085F" w:rsidP="00310031">
            <w:pPr>
              <w:pStyle w:val="cuadroCabe"/>
              <w:jc w:val="left"/>
              <w:rPr>
                <w:sz w:val="16"/>
                <w:szCs w:val="15"/>
                <w:lang w:val="es-ES" w:eastAsia="es-ES"/>
              </w:rPr>
            </w:pPr>
            <w:r w:rsidRPr="009A521B">
              <w:rPr>
                <w:sz w:val="16"/>
                <w:szCs w:val="15"/>
                <w:lang w:val="es-ES" w:eastAsia="es-ES"/>
              </w:rPr>
              <w:t>Entidad local</w:t>
            </w:r>
          </w:p>
        </w:tc>
        <w:tc>
          <w:tcPr>
            <w:tcW w:w="531" w:type="pct"/>
            <w:vMerge w:val="restart"/>
            <w:tcBorders>
              <w:top w:val="single" w:sz="4" w:space="0" w:color="auto"/>
              <w:left w:val="nil"/>
              <w:bottom w:val="single" w:sz="4" w:space="0" w:color="auto"/>
              <w:right w:val="nil"/>
            </w:tcBorders>
            <w:shd w:val="clear" w:color="000000" w:fill="FABF8F"/>
            <w:vAlign w:val="center"/>
            <w:hideMark/>
          </w:tcPr>
          <w:p w14:paraId="0DC32865" w14:textId="77777777" w:rsidR="0088085F" w:rsidRPr="009A521B" w:rsidRDefault="0088085F" w:rsidP="0025084B">
            <w:pPr>
              <w:pStyle w:val="cuadroCabe"/>
              <w:ind w:left="-130" w:right="-99"/>
              <w:jc w:val="right"/>
              <w:rPr>
                <w:sz w:val="16"/>
                <w:szCs w:val="15"/>
                <w:lang w:val="es-ES" w:eastAsia="es-ES"/>
              </w:rPr>
            </w:pPr>
            <w:r w:rsidRPr="009A521B">
              <w:rPr>
                <w:sz w:val="16"/>
                <w:szCs w:val="15"/>
                <w:lang w:val="es-ES" w:eastAsia="es-ES"/>
              </w:rPr>
              <w:t>Fecha emisión informe</w:t>
            </w:r>
          </w:p>
        </w:tc>
        <w:tc>
          <w:tcPr>
            <w:tcW w:w="579" w:type="pct"/>
            <w:gridSpan w:val="2"/>
            <w:vMerge w:val="restart"/>
            <w:tcBorders>
              <w:top w:val="single" w:sz="4" w:space="0" w:color="auto"/>
              <w:left w:val="nil"/>
              <w:bottom w:val="single" w:sz="4" w:space="0" w:color="auto"/>
              <w:right w:val="nil"/>
            </w:tcBorders>
            <w:shd w:val="clear" w:color="000000" w:fill="FABF8F"/>
            <w:vAlign w:val="center"/>
            <w:hideMark/>
          </w:tcPr>
          <w:p w14:paraId="12F16AC2" w14:textId="77777777" w:rsidR="0088085F" w:rsidRPr="009A521B" w:rsidRDefault="00310031" w:rsidP="00310031">
            <w:pPr>
              <w:pStyle w:val="cuadroCabe"/>
              <w:ind w:right="-92"/>
              <w:jc w:val="right"/>
              <w:rPr>
                <w:sz w:val="16"/>
                <w:szCs w:val="15"/>
                <w:lang w:val="es-ES" w:eastAsia="es-ES"/>
              </w:rPr>
            </w:pPr>
            <w:r>
              <w:rPr>
                <w:sz w:val="16"/>
                <w:szCs w:val="15"/>
                <w:lang w:val="es-ES" w:eastAsia="es-ES"/>
              </w:rPr>
              <w:t xml:space="preserve"> </w:t>
            </w:r>
            <w:r w:rsidR="0088085F" w:rsidRPr="009A521B">
              <w:rPr>
                <w:sz w:val="16"/>
                <w:szCs w:val="15"/>
                <w:lang w:val="es-ES" w:eastAsia="es-ES"/>
              </w:rPr>
              <w:t>Población  01/01/2019</w:t>
            </w:r>
          </w:p>
        </w:tc>
        <w:tc>
          <w:tcPr>
            <w:tcW w:w="680" w:type="pct"/>
            <w:gridSpan w:val="2"/>
            <w:vMerge w:val="restart"/>
            <w:tcBorders>
              <w:top w:val="single" w:sz="4" w:space="0" w:color="auto"/>
              <w:left w:val="nil"/>
              <w:bottom w:val="single" w:sz="4" w:space="0" w:color="auto"/>
              <w:right w:val="nil"/>
            </w:tcBorders>
            <w:shd w:val="clear" w:color="000000" w:fill="FABF8F"/>
            <w:vAlign w:val="center"/>
            <w:hideMark/>
          </w:tcPr>
          <w:p w14:paraId="52995391" w14:textId="77777777" w:rsidR="0088085F" w:rsidRPr="009A521B" w:rsidRDefault="0088085F" w:rsidP="00310031">
            <w:pPr>
              <w:pStyle w:val="cuadroCabe"/>
              <w:ind w:right="-30"/>
              <w:jc w:val="right"/>
              <w:rPr>
                <w:sz w:val="16"/>
                <w:szCs w:val="15"/>
                <w:lang w:val="es-ES" w:eastAsia="es-ES"/>
              </w:rPr>
            </w:pPr>
            <w:r w:rsidRPr="009A521B">
              <w:rPr>
                <w:sz w:val="16"/>
                <w:szCs w:val="15"/>
                <w:lang w:val="es-ES" w:eastAsia="es-ES"/>
              </w:rPr>
              <w:t>Obligaciones reconocidas</w:t>
            </w:r>
          </w:p>
        </w:tc>
        <w:tc>
          <w:tcPr>
            <w:tcW w:w="588" w:type="pct"/>
            <w:gridSpan w:val="2"/>
            <w:vMerge w:val="restart"/>
            <w:tcBorders>
              <w:top w:val="single" w:sz="4" w:space="0" w:color="auto"/>
              <w:left w:val="nil"/>
              <w:bottom w:val="single" w:sz="4" w:space="0" w:color="auto"/>
              <w:right w:val="nil"/>
            </w:tcBorders>
            <w:shd w:val="clear" w:color="000000" w:fill="FABF8F"/>
            <w:vAlign w:val="center"/>
            <w:hideMark/>
          </w:tcPr>
          <w:p w14:paraId="5F27B944" w14:textId="77777777" w:rsidR="0088085F" w:rsidRPr="009A521B" w:rsidRDefault="0088085F" w:rsidP="00310031">
            <w:pPr>
              <w:pStyle w:val="cuadroCabe"/>
              <w:jc w:val="right"/>
              <w:rPr>
                <w:sz w:val="16"/>
                <w:szCs w:val="15"/>
                <w:lang w:val="es-ES" w:eastAsia="es-ES"/>
              </w:rPr>
            </w:pPr>
            <w:r w:rsidRPr="009A521B">
              <w:rPr>
                <w:sz w:val="16"/>
                <w:szCs w:val="15"/>
                <w:lang w:val="es-ES" w:eastAsia="es-ES"/>
              </w:rPr>
              <w:t>Derechos    reconocidos</w:t>
            </w:r>
          </w:p>
        </w:tc>
        <w:tc>
          <w:tcPr>
            <w:tcW w:w="600" w:type="pct"/>
            <w:gridSpan w:val="2"/>
            <w:vMerge w:val="restart"/>
            <w:tcBorders>
              <w:top w:val="single" w:sz="4" w:space="0" w:color="auto"/>
              <w:left w:val="nil"/>
              <w:bottom w:val="single" w:sz="4" w:space="0" w:color="auto"/>
              <w:right w:val="nil"/>
            </w:tcBorders>
            <w:shd w:val="clear" w:color="000000" w:fill="FABF8F"/>
            <w:vAlign w:val="center"/>
            <w:hideMark/>
          </w:tcPr>
          <w:p w14:paraId="11FB4C82" w14:textId="77777777" w:rsidR="0088085F" w:rsidRPr="009A521B" w:rsidRDefault="0088085F" w:rsidP="00310031">
            <w:pPr>
              <w:pStyle w:val="cuadroCabe"/>
              <w:jc w:val="right"/>
              <w:rPr>
                <w:sz w:val="16"/>
                <w:szCs w:val="15"/>
                <w:lang w:val="es-ES" w:eastAsia="es-ES"/>
              </w:rPr>
            </w:pPr>
            <w:r w:rsidRPr="009A521B">
              <w:rPr>
                <w:sz w:val="16"/>
                <w:szCs w:val="15"/>
                <w:lang w:val="es-ES" w:eastAsia="es-ES"/>
              </w:rPr>
              <w:t>Personal a 31/12/2019</w:t>
            </w:r>
          </w:p>
        </w:tc>
        <w:tc>
          <w:tcPr>
            <w:tcW w:w="1014" w:type="pct"/>
            <w:gridSpan w:val="6"/>
            <w:tcBorders>
              <w:top w:val="single" w:sz="4" w:space="0" w:color="auto"/>
              <w:left w:val="nil"/>
              <w:bottom w:val="single" w:sz="4" w:space="0" w:color="auto"/>
              <w:right w:val="nil"/>
            </w:tcBorders>
            <w:shd w:val="clear" w:color="000000" w:fill="FABF8F"/>
            <w:vAlign w:val="center"/>
            <w:hideMark/>
          </w:tcPr>
          <w:p w14:paraId="70B2D2CB" w14:textId="77777777" w:rsidR="0088085F" w:rsidRPr="009A521B" w:rsidRDefault="0088085F" w:rsidP="00310031">
            <w:pPr>
              <w:pStyle w:val="cuadroCabe"/>
              <w:jc w:val="center"/>
              <w:rPr>
                <w:sz w:val="16"/>
                <w:szCs w:val="15"/>
                <w:lang w:val="es-ES" w:eastAsia="es-ES"/>
              </w:rPr>
            </w:pPr>
            <w:r w:rsidRPr="009A521B">
              <w:rPr>
                <w:sz w:val="16"/>
                <w:szCs w:val="15"/>
                <w:lang w:val="es-ES" w:eastAsia="es-ES"/>
              </w:rPr>
              <w:t>Entes dependientes</w:t>
            </w:r>
          </w:p>
        </w:tc>
      </w:tr>
      <w:tr w:rsidR="006D0C4A" w:rsidRPr="009A521B" w14:paraId="000B2296" w14:textId="77777777" w:rsidTr="008579E5">
        <w:trPr>
          <w:trHeight w:val="170"/>
          <w:jc w:val="center"/>
        </w:trPr>
        <w:tc>
          <w:tcPr>
            <w:tcW w:w="1006" w:type="pct"/>
            <w:vMerge/>
            <w:tcBorders>
              <w:top w:val="single" w:sz="4" w:space="0" w:color="auto"/>
              <w:left w:val="nil"/>
              <w:bottom w:val="single" w:sz="4" w:space="0" w:color="auto"/>
              <w:right w:val="nil"/>
            </w:tcBorders>
            <w:vAlign w:val="center"/>
            <w:hideMark/>
          </w:tcPr>
          <w:p w14:paraId="17DD448C" w14:textId="77777777" w:rsidR="0088085F" w:rsidRPr="009A521B" w:rsidRDefault="0088085F" w:rsidP="00310031">
            <w:pPr>
              <w:pStyle w:val="cuadroCabe"/>
              <w:jc w:val="left"/>
              <w:rPr>
                <w:sz w:val="16"/>
                <w:szCs w:val="16"/>
                <w:lang w:val="es-ES" w:eastAsia="es-ES"/>
              </w:rPr>
            </w:pPr>
          </w:p>
        </w:tc>
        <w:tc>
          <w:tcPr>
            <w:tcW w:w="531" w:type="pct"/>
            <w:vMerge/>
            <w:tcBorders>
              <w:top w:val="single" w:sz="4" w:space="0" w:color="auto"/>
              <w:left w:val="nil"/>
              <w:bottom w:val="single" w:sz="4" w:space="0" w:color="auto"/>
              <w:right w:val="nil"/>
            </w:tcBorders>
            <w:vAlign w:val="center"/>
            <w:hideMark/>
          </w:tcPr>
          <w:p w14:paraId="1E9B66C2" w14:textId="77777777" w:rsidR="0088085F" w:rsidRPr="009A521B" w:rsidRDefault="0088085F" w:rsidP="00310031">
            <w:pPr>
              <w:pStyle w:val="cuadroCabe"/>
              <w:jc w:val="right"/>
              <w:rPr>
                <w:sz w:val="16"/>
                <w:szCs w:val="16"/>
                <w:lang w:val="es-ES" w:eastAsia="es-ES"/>
              </w:rPr>
            </w:pPr>
          </w:p>
        </w:tc>
        <w:tc>
          <w:tcPr>
            <w:tcW w:w="579" w:type="pct"/>
            <w:gridSpan w:val="2"/>
            <w:vMerge/>
            <w:tcBorders>
              <w:top w:val="single" w:sz="4" w:space="0" w:color="auto"/>
              <w:left w:val="nil"/>
              <w:bottom w:val="single" w:sz="4" w:space="0" w:color="auto"/>
              <w:right w:val="nil"/>
            </w:tcBorders>
            <w:vAlign w:val="center"/>
            <w:hideMark/>
          </w:tcPr>
          <w:p w14:paraId="4AC1E749" w14:textId="77777777" w:rsidR="0088085F" w:rsidRPr="009A521B" w:rsidRDefault="0088085F" w:rsidP="00310031">
            <w:pPr>
              <w:pStyle w:val="cuadroCabe"/>
              <w:jc w:val="right"/>
              <w:rPr>
                <w:sz w:val="16"/>
                <w:szCs w:val="16"/>
                <w:lang w:val="es-ES" w:eastAsia="es-ES"/>
              </w:rPr>
            </w:pPr>
          </w:p>
        </w:tc>
        <w:tc>
          <w:tcPr>
            <w:tcW w:w="680" w:type="pct"/>
            <w:gridSpan w:val="2"/>
            <w:vMerge/>
            <w:tcBorders>
              <w:top w:val="single" w:sz="4" w:space="0" w:color="auto"/>
              <w:left w:val="nil"/>
              <w:bottom w:val="single" w:sz="4" w:space="0" w:color="auto"/>
              <w:right w:val="nil"/>
            </w:tcBorders>
            <w:vAlign w:val="center"/>
            <w:hideMark/>
          </w:tcPr>
          <w:p w14:paraId="0BD2A7F3" w14:textId="77777777" w:rsidR="0088085F" w:rsidRPr="009A521B" w:rsidRDefault="0088085F" w:rsidP="00310031">
            <w:pPr>
              <w:pStyle w:val="cuadroCabe"/>
              <w:jc w:val="right"/>
              <w:rPr>
                <w:sz w:val="16"/>
                <w:szCs w:val="16"/>
                <w:lang w:val="es-ES" w:eastAsia="es-ES"/>
              </w:rPr>
            </w:pPr>
          </w:p>
        </w:tc>
        <w:tc>
          <w:tcPr>
            <w:tcW w:w="588" w:type="pct"/>
            <w:gridSpan w:val="2"/>
            <w:vMerge/>
            <w:tcBorders>
              <w:top w:val="single" w:sz="4" w:space="0" w:color="auto"/>
              <w:left w:val="nil"/>
              <w:bottom w:val="single" w:sz="4" w:space="0" w:color="auto"/>
              <w:right w:val="nil"/>
            </w:tcBorders>
            <w:vAlign w:val="center"/>
            <w:hideMark/>
          </w:tcPr>
          <w:p w14:paraId="2B81D33F" w14:textId="77777777" w:rsidR="0088085F" w:rsidRPr="009A521B" w:rsidRDefault="0088085F" w:rsidP="00310031">
            <w:pPr>
              <w:pStyle w:val="cuadroCabe"/>
              <w:jc w:val="right"/>
              <w:rPr>
                <w:sz w:val="16"/>
                <w:szCs w:val="16"/>
                <w:lang w:val="es-ES" w:eastAsia="es-ES"/>
              </w:rPr>
            </w:pPr>
          </w:p>
        </w:tc>
        <w:tc>
          <w:tcPr>
            <w:tcW w:w="600" w:type="pct"/>
            <w:gridSpan w:val="2"/>
            <w:vMerge/>
            <w:tcBorders>
              <w:top w:val="single" w:sz="4" w:space="0" w:color="auto"/>
              <w:left w:val="nil"/>
              <w:bottom w:val="single" w:sz="4" w:space="0" w:color="auto"/>
              <w:right w:val="nil"/>
            </w:tcBorders>
            <w:vAlign w:val="center"/>
            <w:hideMark/>
          </w:tcPr>
          <w:p w14:paraId="2E91D3AE" w14:textId="77777777" w:rsidR="0088085F" w:rsidRPr="009A521B" w:rsidRDefault="0088085F" w:rsidP="00310031">
            <w:pPr>
              <w:pStyle w:val="cuadroCabe"/>
              <w:jc w:val="right"/>
              <w:rPr>
                <w:sz w:val="16"/>
                <w:szCs w:val="16"/>
                <w:lang w:val="es-ES" w:eastAsia="es-ES"/>
              </w:rPr>
            </w:pPr>
          </w:p>
        </w:tc>
        <w:tc>
          <w:tcPr>
            <w:tcW w:w="354" w:type="pct"/>
            <w:gridSpan w:val="2"/>
            <w:tcBorders>
              <w:top w:val="nil"/>
              <w:left w:val="nil"/>
              <w:bottom w:val="single" w:sz="4" w:space="0" w:color="auto"/>
              <w:right w:val="nil"/>
            </w:tcBorders>
            <w:shd w:val="clear" w:color="000000" w:fill="FABF8F"/>
            <w:vAlign w:val="center"/>
            <w:hideMark/>
          </w:tcPr>
          <w:p w14:paraId="2B72921A" w14:textId="77777777" w:rsidR="0088085F" w:rsidRPr="009A521B" w:rsidRDefault="0088085F" w:rsidP="006D0C4A">
            <w:pPr>
              <w:pStyle w:val="cuadroCabe"/>
              <w:ind w:right="-27"/>
              <w:jc w:val="right"/>
              <w:rPr>
                <w:sz w:val="16"/>
                <w:szCs w:val="16"/>
                <w:lang w:val="es-ES" w:eastAsia="es-ES"/>
              </w:rPr>
            </w:pPr>
            <w:r w:rsidRPr="009A521B">
              <w:rPr>
                <w:sz w:val="16"/>
                <w:szCs w:val="16"/>
                <w:lang w:val="es-ES" w:eastAsia="es-ES"/>
              </w:rPr>
              <w:t>OOAA</w:t>
            </w:r>
          </w:p>
        </w:tc>
        <w:tc>
          <w:tcPr>
            <w:tcW w:w="305" w:type="pct"/>
            <w:gridSpan w:val="2"/>
            <w:tcBorders>
              <w:top w:val="nil"/>
              <w:left w:val="nil"/>
              <w:bottom w:val="single" w:sz="4" w:space="0" w:color="auto"/>
              <w:right w:val="nil"/>
            </w:tcBorders>
            <w:shd w:val="clear" w:color="000000" w:fill="FABF8F"/>
            <w:vAlign w:val="center"/>
            <w:hideMark/>
          </w:tcPr>
          <w:p w14:paraId="655BCBC1" w14:textId="77777777" w:rsidR="0088085F" w:rsidRPr="009A521B" w:rsidRDefault="0088085F" w:rsidP="00310031">
            <w:pPr>
              <w:pStyle w:val="cuadroCabe"/>
              <w:ind w:right="-71"/>
              <w:jc w:val="right"/>
              <w:rPr>
                <w:sz w:val="16"/>
                <w:szCs w:val="16"/>
                <w:lang w:val="es-ES" w:eastAsia="es-ES"/>
              </w:rPr>
            </w:pPr>
            <w:r w:rsidRPr="009A521B">
              <w:rPr>
                <w:sz w:val="16"/>
                <w:szCs w:val="16"/>
                <w:lang w:val="es-ES" w:eastAsia="es-ES"/>
              </w:rPr>
              <w:t>Empresa</w:t>
            </w:r>
          </w:p>
        </w:tc>
        <w:tc>
          <w:tcPr>
            <w:tcW w:w="355" w:type="pct"/>
            <w:gridSpan w:val="2"/>
            <w:tcBorders>
              <w:top w:val="nil"/>
              <w:left w:val="nil"/>
              <w:bottom w:val="single" w:sz="4" w:space="0" w:color="auto"/>
              <w:right w:val="nil"/>
            </w:tcBorders>
            <w:shd w:val="clear" w:color="000000" w:fill="FABF8F"/>
            <w:vAlign w:val="center"/>
            <w:hideMark/>
          </w:tcPr>
          <w:p w14:paraId="0DA4A2ED" w14:textId="77777777" w:rsidR="0088085F" w:rsidRPr="009A521B" w:rsidRDefault="0088085F" w:rsidP="00310031">
            <w:pPr>
              <w:pStyle w:val="cuadroCabe"/>
              <w:jc w:val="right"/>
              <w:rPr>
                <w:sz w:val="16"/>
                <w:szCs w:val="16"/>
                <w:lang w:val="es-ES" w:eastAsia="es-ES"/>
              </w:rPr>
            </w:pPr>
            <w:proofErr w:type="spellStart"/>
            <w:r w:rsidRPr="009A521B">
              <w:rPr>
                <w:sz w:val="16"/>
                <w:szCs w:val="16"/>
                <w:lang w:val="es-ES" w:eastAsia="es-ES"/>
              </w:rPr>
              <w:t>Fundac</w:t>
            </w:r>
            <w:proofErr w:type="spellEnd"/>
            <w:r w:rsidRPr="009A521B">
              <w:rPr>
                <w:sz w:val="16"/>
                <w:szCs w:val="16"/>
                <w:lang w:val="es-ES" w:eastAsia="es-ES"/>
              </w:rPr>
              <w:t>.</w:t>
            </w:r>
          </w:p>
        </w:tc>
      </w:tr>
      <w:tr w:rsidR="006D0C4A" w:rsidRPr="00310031" w14:paraId="75174F6B" w14:textId="77777777" w:rsidTr="008579E5">
        <w:trPr>
          <w:trHeight w:val="255"/>
          <w:jc w:val="center"/>
        </w:trPr>
        <w:tc>
          <w:tcPr>
            <w:tcW w:w="1006" w:type="pct"/>
            <w:tcBorders>
              <w:top w:val="single" w:sz="4" w:space="0" w:color="auto"/>
              <w:left w:val="nil"/>
              <w:bottom w:val="single" w:sz="2" w:space="0" w:color="auto"/>
              <w:right w:val="nil"/>
            </w:tcBorders>
            <w:shd w:val="clear" w:color="auto" w:fill="auto"/>
            <w:vAlign w:val="center"/>
            <w:hideMark/>
          </w:tcPr>
          <w:p w14:paraId="463A88B8" w14:textId="77777777" w:rsidR="0088085F" w:rsidRPr="00310031" w:rsidRDefault="0088085F" w:rsidP="00310031">
            <w:pPr>
              <w:pStyle w:val="cuatexto"/>
              <w:jc w:val="left"/>
              <w:rPr>
                <w:color w:val="000000" w:themeColor="text1"/>
                <w:sz w:val="17"/>
                <w:szCs w:val="17"/>
                <w:lang w:val="es-ES" w:eastAsia="es-ES"/>
              </w:rPr>
            </w:pPr>
            <w:r w:rsidRPr="00310031">
              <w:rPr>
                <w:color w:val="000000" w:themeColor="text1"/>
                <w:sz w:val="17"/>
                <w:szCs w:val="17"/>
                <w:lang w:val="es-ES" w:eastAsia="es-ES"/>
              </w:rPr>
              <w:t>Pamplona</w:t>
            </w:r>
          </w:p>
        </w:tc>
        <w:tc>
          <w:tcPr>
            <w:tcW w:w="621" w:type="pct"/>
            <w:gridSpan w:val="2"/>
            <w:tcBorders>
              <w:top w:val="single" w:sz="4" w:space="0" w:color="auto"/>
              <w:left w:val="nil"/>
              <w:bottom w:val="single" w:sz="2" w:space="0" w:color="auto"/>
              <w:right w:val="nil"/>
            </w:tcBorders>
            <w:shd w:val="clear" w:color="auto" w:fill="auto"/>
            <w:noWrap/>
            <w:vAlign w:val="center"/>
            <w:hideMark/>
          </w:tcPr>
          <w:p w14:paraId="4E9BC579" w14:textId="77777777" w:rsidR="0088085F" w:rsidRPr="00310031" w:rsidRDefault="00C21108" w:rsidP="00C21108">
            <w:pPr>
              <w:pStyle w:val="cuatexto"/>
              <w:ind w:right="-96"/>
              <w:rPr>
                <w:color w:val="000000" w:themeColor="text1"/>
                <w:sz w:val="17"/>
                <w:szCs w:val="17"/>
                <w:lang w:val="es-ES" w:eastAsia="es-ES"/>
              </w:rPr>
            </w:pPr>
            <w:r>
              <w:rPr>
                <w:color w:val="000000" w:themeColor="text1"/>
                <w:sz w:val="17"/>
                <w:szCs w:val="17"/>
                <w:lang w:val="es-ES" w:eastAsia="es-ES"/>
              </w:rPr>
              <w:t xml:space="preserve">    </w:t>
            </w:r>
            <w:r w:rsidR="0088085F" w:rsidRPr="00310031">
              <w:rPr>
                <w:color w:val="000000" w:themeColor="text1"/>
                <w:sz w:val="17"/>
                <w:szCs w:val="17"/>
                <w:lang w:val="es-ES" w:eastAsia="es-ES"/>
              </w:rPr>
              <w:t>15/12/2020</w:t>
            </w:r>
          </w:p>
        </w:tc>
        <w:tc>
          <w:tcPr>
            <w:tcW w:w="544" w:type="pct"/>
            <w:gridSpan w:val="2"/>
            <w:tcBorders>
              <w:top w:val="single" w:sz="4" w:space="0" w:color="auto"/>
              <w:left w:val="nil"/>
              <w:bottom w:val="single" w:sz="2" w:space="0" w:color="auto"/>
              <w:right w:val="nil"/>
            </w:tcBorders>
            <w:shd w:val="clear" w:color="auto" w:fill="auto"/>
            <w:noWrap/>
            <w:vAlign w:val="center"/>
            <w:hideMark/>
          </w:tcPr>
          <w:p w14:paraId="48F39723" w14:textId="77777777" w:rsidR="0088085F" w:rsidRPr="00310031" w:rsidRDefault="0088085F" w:rsidP="00310031">
            <w:pPr>
              <w:pStyle w:val="cuatexto"/>
              <w:ind w:right="56"/>
              <w:jc w:val="right"/>
              <w:rPr>
                <w:color w:val="000000" w:themeColor="text1"/>
                <w:sz w:val="17"/>
                <w:szCs w:val="17"/>
                <w:lang w:val="es-ES" w:eastAsia="es-ES"/>
              </w:rPr>
            </w:pPr>
            <w:r w:rsidRPr="00310031">
              <w:rPr>
                <w:color w:val="000000" w:themeColor="text1"/>
                <w:sz w:val="17"/>
                <w:szCs w:val="17"/>
                <w:lang w:val="es-ES" w:eastAsia="es-ES"/>
              </w:rPr>
              <w:t>201.653</w:t>
            </w:r>
          </w:p>
        </w:tc>
        <w:tc>
          <w:tcPr>
            <w:tcW w:w="685" w:type="pct"/>
            <w:gridSpan w:val="2"/>
            <w:tcBorders>
              <w:top w:val="single" w:sz="4" w:space="0" w:color="auto"/>
              <w:left w:val="nil"/>
              <w:bottom w:val="single" w:sz="2" w:space="0" w:color="auto"/>
              <w:right w:val="nil"/>
            </w:tcBorders>
            <w:shd w:val="clear" w:color="auto" w:fill="auto"/>
            <w:noWrap/>
            <w:vAlign w:val="center"/>
            <w:hideMark/>
          </w:tcPr>
          <w:p w14:paraId="43F9EDEF" w14:textId="77777777" w:rsidR="0088085F" w:rsidRPr="00310031" w:rsidRDefault="00310031" w:rsidP="00310031">
            <w:pPr>
              <w:pStyle w:val="cuatexto"/>
              <w:jc w:val="center"/>
              <w:rPr>
                <w:color w:val="000000" w:themeColor="text1"/>
                <w:sz w:val="17"/>
                <w:szCs w:val="17"/>
                <w:lang w:val="es-ES" w:eastAsia="es-ES"/>
              </w:rPr>
            </w:pPr>
            <w:r w:rsidRPr="00310031">
              <w:rPr>
                <w:color w:val="000000" w:themeColor="text1"/>
                <w:sz w:val="17"/>
                <w:szCs w:val="17"/>
                <w:lang w:val="es-ES" w:eastAsia="es-ES"/>
              </w:rPr>
              <w:t xml:space="preserve">  </w:t>
            </w:r>
            <w:r w:rsidR="0088085F" w:rsidRPr="00310031">
              <w:rPr>
                <w:color w:val="000000" w:themeColor="text1"/>
                <w:sz w:val="17"/>
                <w:szCs w:val="17"/>
                <w:lang w:val="es-ES" w:eastAsia="es-ES"/>
              </w:rPr>
              <w:t>204.328.890</w:t>
            </w:r>
          </w:p>
        </w:tc>
        <w:tc>
          <w:tcPr>
            <w:tcW w:w="595" w:type="pct"/>
            <w:gridSpan w:val="2"/>
            <w:tcBorders>
              <w:top w:val="single" w:sz="4" w:space="0" w:color="auto"/>
              <w:left w:val="nil"/>
              <w:bottom w:val="single" w:sz="2" w:space="0" w:color="auto"/>
              <w:right w:val="nil"/>
            </w:tcBorders>
            <w:shd w:val="clear" w:color="auto" w:fill="auto"/>
            <w:vAlign w:val="center"/>
            <w:hideMark/>
          </w:tcPr>
          <w:p w14:paraId="6629C9F5" w14:textId="77777777" w:rsidR="0088085F" w:rsidRPr="00310031" w:rsidRDefault="00310031" w:rsidP="00310031">
            <w:pPr>
              <w:pStyle w:val="cuatexto"/>
              <w:ind w:left="-211"/>
              <w:jc w:val="center"/>
              <w:rPr>
                <w:color w:val="000000" w:themeColor="text1"/>
                <w:sz w:val="17"/>
                <w:szCs w:val="17"/>
                <w:lang w:val="es-ES" w:eastAsia="es-ES"/>
              </w:rPr>
            </w:pPr>
            <w:r w:rsidRPr="00310031">
              <w:rPr>
                <w:color w:val="000000" w:themeColor="text1"/>
                <w:sz w:val="17"/>
                <w:szCs w:val="17"/>
                <w:lang w:val="es-ES" w:eastAsia="es-ES"/>
              </w:rPr>
              <w:t xml:space="preserve">    </w:t>
            </w:r>
            <w:r w:rsidR="0088085F" w:rsidRPr="00310031">
              <w:rPr>
                <w:color w:val="000000" w:themeColor="text1"/>
                <w:sz w:val="17"/>
                <w:szCs w:val="17"/>
                <w:lang w:val="es-ES" w:eastAsia="es-ES"/>
              </w:rPr>
              <w:t>215.880.872</w:t>
            </w:r>
          </w:p>
        </w:tc>
        <w:tc>
          <w:tcPr>
            <w:tcW w:w="616" w:type="pct"/>
            <w:gridSpan w:val="2"/>
            <w:tcBorders>
              <w:top w:val="single" w:sz="4" w:space="0" w:color="auto"/>
              <w:left w:val="nil"/>
              <w:bottom w:val="single" w:sz="2" w:space="0" w:color="auto"/>
              <w:right w:val="nil"/>
            </w:tcBorders>
            <w:shd w:val="clear" w:color="auto" w:fill="auto"/>
            <w:vAlign w:val="center"/>
            <w:hideMark/>
          </w:tcPr>
          <w:p w14:paraId="6C359790" w14:textId="77777777" w:rsidR="0088085F" w:rsidRPr="00310031" w:rsidRDefault="00310031" w:rsidP="00310031">
            <w:pPr>
              <w:pStyle w:val="cuatexto"/>
              <w:ind w:left="-87"/>
              <w:jc w:val="center"/>
              <w:rPr>
                <w:color w:val="000000" w:themeColor="text1"/>
                <w:sz w:val="17"/>
                <w:szCs w:val="17"/>
                <w:lang w:val="es-ES" w:eastAsia="es-ES"/>
              </w:rPr>
            </w:pPr>
            <w:r>
              <w:rPr>
                <w:color w:val="000000" w:themeColor="text1"/>
                <w:sz w:val="17"/>
                <w:szCs w:val="17"/>
                <w:lang w:val="es-ES" w:eastAsia="es-ES"/>
              </w:rPr>
              <w:t xml:space="preserve">       </w:t>
            </w:r>
            <w:r w:rsidR="0088085F" w:rsidRPr="00310031">
              <w:rPr>
                <w:color w:val="000000" w:themeColor="text1"/>
                <w:sz w:val="17"/>
                <w:szCs w:val="17"/>
                <w:lang w:val="es-ES" w:eastAsia="es-ES"/>
              </w:rPr>
              <w:t>1.656</w:t>
            </w:r>
          </w:p>
        </w:tc>
        <w:tc>
          <w:tcPr>
            <w:tcW w:w="338" w:type="pct"/>
            <w:gridSpan w:val="2"/>
            <w:tcBorders>
              <w:top w:val="single" w:sz="4" w:space="0" w:color="auto"/>
              <w:left w:val="nil"/>
              <w:bottom w:val="single" w:sz="2" w:space="0" w:color="auto"/>
              <w:right w:val="nil"/>
            </w:tcBorders>
            <w:shd w:val="clear" w:color="auto" w:fill="auto"/>
            <w:vAlign w:val="center"/>
            <w:hideMark/>
          </w:tcPr>
          <w:p w14:paraId="5F046E2A" w14:textId="77777777" w:rsidR="0088085F" w:rsidRPr="00310031" w:rsidRDefault="00310031" w:rsidP="00310031">
            <w:pPr>
              <w:pStyle w:val="cuatexto"/>
              <w:jc w:val="center"/>
              <w:rPr>
                <w:color w:val="000000" w:themeColor="text1"/>
                <w:sz w:val="17"/>
                <w:szCs w:val="17"/>
                <w:lang w:val="es-ES" w:eastAsia="es-ES"/>
              </w:rPr>
            </w:pPr>
            <w:r>
              <w:rPr>
                <w:color w:val="000000" w:themeColor="text1"/>
                <w:sz w:val="17"/>
                <w:szCs w:val="17"/>
                <w:lang w:val="es-ES" w:eastAsia="es-ES"/>
              </w:rPr>
              <w:t xml:space="preserve">    </w:t>
            </w:r>
            <w:r w:rsidR="0088085F" w:rsidRPr="00310031">
              <w:rPr>
                <w:color w:val="000000" w:themeColor="text1"/>
                <w:sz w:val="17"/>
                <w:szCs w:val="17"/>
                <w:lang w:val="es-ES" w:eastAsia="es-ES"/>
              </w:rPr>
              <w:t>2</w:t>
            </w:r>
          </w:p>
        </w:tc>
        <w:tc>
          <w:tcPr>
            <w:tcW w:w="301" w:type="pct"/>
            <w:gridSpan w:val="2"/>
            <w:tcBorders>
              <w:top w:val="single" w:sz="4" w:space="0" w:color="auto"/>
              <w:left w:val="nil"/>
              <w:bottom w:val="single" w:sz="2" w:space="0" w:color="auto"/>
              <w:right w:val="nil"/>
            </w:tcBorders>
            <w:shd w:val="clear" w:color="auto" w:fill="auto"/>
            <w:vAlign w:val="center"/>
            <w:hideMark/>
          </w:tcPr>
          <w:p w14:paraId="48032F07" w14:textId="77777777" w:rsidR="0088085F" w:rsidRPr="00310031" w:rsidRDefault="00310031" w:rsidP="00310031">
            <w:pPr>
              <w:pStyle w:val="cuatexto"/>
              <w:jc w:val="center"/>
              <w:rPr>
                <w:color w:val="000000" w:themeColor="text1"/>
                <w:sz w:val="17"/>
                <w:szCs w:val="17"/>
                <w:lang w:val="es-ES" w:eastAsia="es-ES"/>
              </w:rPr>
            </w:pPr>
            <w:r>
              <w:rPr>
                <w:color w:val="000000" w:themeColor="text1"/>
                <w:sz w:val="17"/>
                <w:szCs w:val="17"/>
                <w:lang w:val="es-ES" w:eastAsia="es-ES"/>
              </w:rPr>
              <w:t xml:space="preserve">      </w:t>
            </w:r>
            <w:r w:rsidR="0088085F" w:rsidRPr="00310031">
              <w:rPr>
                <w:color w:val="000000" w:themeColor="text1"/>
                <w:sz w:val="17"/>
                <w:szCs w:val="17"/>
                <w:lang w:val="es-ES" w:eastAsia="es-ES"/>
              </w:rPr>
              <w:t>5</w:t>
            </w:r>
          </w:p>
        </w:tc>
        <w:tc>
          <w:tcPr>
            <w:tcW w:w="293" w:type="pct"/>
            <w:tcBorders>
              <w:top w:val="single" w:sz="4" w:space="0" w:color="auto"/>
              <w:left w:val="nil"/>
              <w:bottom w:val="single" w:sz="2" w:space="0" w:color="auto"/>
              <w:right w:val="nil"/>
            </w:tcBorders>
            <w:shd w:val="clear" w:color="auto" w:fill="auto"/>
            <w:vAlign w:val="center"/>
            <w:hideMark/>
          </w:tcPr>
          <w:p w14:paraId="3D2FFD5B" w14:textId="77777777" w:rsidR="0088085F" w:rsidRPr="00310031" w:rsidRDefault="0088085F" w:rsidP="00310031">
            <w:pPr>
              <w:pStyle w:val="cuatexto"/>
              <w:jc w:val="right"/>
              <w:rPr>
                <w:color w:val="000000" w:themeColor="text1"/>
                <w:sz w:val="17"/>
                <w:szCs w:val="17"/>
                <w:lang w:val="es-ES" w:eastAsia="es-ES"/>
              </w:rPr>
            </w:pPr>
            <w:r w:rsidRPr="00310031">
              <w:rPr>
                <w:color w:val="000000" w:themeColor="text1"/>
                <w:sz w:val="17"/>
                <w:szCs w:val="17"/>
                <w:lang w:val="es-ES" w:eastAsia="es-ES"/>
              </w:rPr>
              <w:t>1</w:t>
            </w:r>
          </w:p>
        </w:tc>
      </w:tr>
      <w:tr w:rsidR="006D0C4A" w:rsidRPr="00310031" w14:paraId="4412E5ED" w14:textId="77777777" w:rsidTr="008579E5">
        <w:trPr>
          <w:trHeight w:val="255"/>
          <w:jc w:val="center"/>
        </w:trPr>
        <w:tc>
          <w:tcPr>
            <w:tcW w:w="1006" w:type="pct"/>
            <w:tcBorders>
              <w:top w:val="single" w:sz="2" w:space="0" w:color="auto"/>
              <w:left w:val="nil"/>
              <w:bottom w:val="single" w:sz="4" w:space="0" w:color="auto"/>
              <w:right w:val="nil"/>
            </w:tcBorders>
            <w:shd w:val="clear" w:color="auto" w:fill="auto"/>
            <w:vAlign w:val="center"/>
            <w:hideMark/>
          </w:tcPr>
          <w:p w14:paraId="1A4EA107" w14:textId="77777777" w:rsidR="0088085F" w:rsidRPr="00310031" w:rsidRDefault="0088085F" w:rsidP="00310031">
            <w:pPr>
              <w:pStyle w:val="cuatexto"/>
              <w:jc w:val="left"/>
              <w:rPr>
                <w:color w:val="000000" w:themeColor="text1"/>
                <w:sz w:val="17"/>
                <w:szCs w:val="17"/>
                <w:lang w:val="es-ES" w:eastAsia="es-ES"/>
              </w:rPr>
            </w:pPr>
            <w:r w:rsidRPr="00310031">
              <w:rPr>
                <w:color w:val="000000" w:themeColor="text1"/>
                <w:sz w:val="17"/>
                <w:szCs w:val="17"/>
                <w:lang w:val="es-ES" w:eastAsia="es-ES"/>
              </w:rPr>
              <w:t>Valle de Egüés</w:t>
            </w:r>
          </w:p>
        </w:tc>
        <w:tc>
          <w:tcPr>
            <w:tcW w:w="621" w:type="pct"/>
            <w:gridSpan w:val="2"/>
            <w:tcBorders>
              <w:top w:val="single" w:sz="2" w:space="0" w:color="auto"/>
              <w:left w:val="nil"/>
              <w:bottom w:val="single" w:sz="4" w:space="0" w:color="auto"/>
              <w:right w:val="nil"/>
            </w:tcBorders>
            <w:shd w:val="clear" w:color="auto" w:fill="auto"/>
            <w:noWrap/>
            <w:vAlign w:val="center"/>
            <w:hideMark/>
          </w:tcPr>
          <w:p w14:paraId="55844569" w14:textId="77777777" w:rsidR="0088085F" w:rsidRPr="00310031" w:rsidRDefault="00C21108" w:rsidP="00C21108">
            <w:pPr>
              <w:pStyle w:val="cuatexto"/>
              <w:ind w:right="-96"/>
              <w:rPr>
                <w:color w:val="000000" w:themeColor="text1"/>
                <w:sz w:val="17"/>
                <w:szCs w:val="17"/>
                <w:lang w:val="es-ES" w:eastAsia="es-ES"/>
              </w:rPr>
            </w:pPr>
            <w:r>
              <w:rPr>
                <w:color w:val="000000" w:themeColor="text1"/>
                <w:sz w:val="17"/>
                <w:szCs w:val="17"/>
                <w:lang w:val="es-ES" w:eastAsia="es-ES"/>
              </w:rPr>
              <w:t xml:space="preserve">    </w:t>
            </w:r>
            <w:r w:rsidR="0088085F" w:rsidRPr="00310031">
              <w:rPr>
                <w:color w:val="000000" w:themeColor="text1"/>
                <w:sz w:val="17"/>
                <w:szCs w:val="17"/>
                <w:lang w:val="es-ES" w:eastAsia="es-ES"/>
              </w:rPr>
              <w:t>04/09/2020</w:t>
            </w:r>
          </w:p>
        </w:tc>
        <w:tc>
          <w:tcPr>
            <w:tcW w:w="544" w:type="pct"/>
            <w:gridSpan w:val="2"/>
            <w:tcBorders>
              <w:top w:val="single" w:sz="2" w:space="0" w:color="auto"/>
              <w:left w:val="nil"/>
              <w:bottom w:val="single" w:sz="4" w:space="0" w:color="auto"/>
              <w:right w:val="nil"/>
            </w:tcBorders>
            <w:shd w:val="clear" w:color="auto" w:fill="auto"/>
            <w:noWrap/>
            <w:vAlign w:val="center"/>
            <w:hideMark/>
          </w:tcPr>
          <w:p w14:paraId="4E67AC01" w14:textId="77777777" w:rsidR="0088085F" w:rsidRPr="00310031" w:rsidRDefault="0088085F" w:rsidP="00310031">
            <w:pPr>
              <w:pStyle w:val="cuatexto"/>
              <w:ind w:right="56"/>
              <w:jc w:val="right"/>
              <w:rPr>
                <w:color w:val="000000" w:themeColor="text1"/>
                <w:sz w:val="17"/>
                <w:szCs w:val="17"/>
                <w:lang w:val="es-ES" w:eastAsia="es-ES"/>
              </w:rPr>
            </w:pPr>
            <w:r w:rsidRPr="00310031">
              <w:rPr>
                <w:color w:val="000000" w:themeColor="text1"/>
                <w:sz w:val="17"/>
                <w:szCs w:val="17"/>
                <w:lang w:val="es-ES" w:eastAsia="es-ES"/>
              </w:rPr>
              <w:t>21.128</w:t>
            </w:r>
          </w:p>
        </w:tc>
        <w:tc>
          <w:tcPr>
            <w:tcW w:w="685" w:type="pct"/>
            <w:gridSpan w:val="2"/>
            <w:tcBorders>
              <w:top w:val="single" w:sz="2" w:space="0" w:color="auto"/>
              <w:left w:val="nil"/>
              <w:bottom w:val="single" w:sz="4" w:space="0" w:color="auto"/>
              <w:right w:val="nil"/>
            </w:tcBorders>
            <w:shd w:val="clear" w:color="auto" w:fill="auto"/>
            <w:noWrap/>
            <w:vAlign w:val="center"/>
            <w:hideMark/>
          </w:tcPr>
          <w:p w14:paraId="7A3E7A8D" w14:textId="77777777" w:rsidR="0088085F" w:rsidRPr="00310031" w:rsidRDefault="00310031" w:rsidP="00310031">
            <w:pPr>
              <w:pStyle w:val="cuatexto"/>
              <w:jc w:val="center"/>
              <w:rPr>
                <w:color w:val="000000" w:themeColor="text1"/>
                <w:sz w:val="17"/>
                <w:szCs w:val="17"/>
                <w:lang w:val="es-ES" w:eastAsia="es-ES"/>
              </w:rPr>
            </w:pPr>
            <w:r>
              <w:rPr>
                <w:color w:val="000000" w:themeColor="text1"/>
                <w:sz w:val="17"/>
                <w:szCs w:val="17"/>
                <w:lang w:val="es-ES" w:eastAsia="es-ES"/>
              </w:rPr>
              <w:t xml:space="preserve">    </w:t>
            </w:r>
            <w:r w:rsidR="0088085F" w:rsidRPr="00310031">
              <w:rPr>
                <w:color w:val="000000" w:themeColor="text1"/>
                <w:sz w:val="17"/>
                <w:szCs w:val="17"/>
                <w:lang w:val="es-ES" w:eastAsia="es-ES"/>
              </w:rPr>
              <w:t>14.770.534</w:t>
            </w:r>
          </w:p>
        </w:tc>
        <w:tc>
          <w:tcPr>
            <w:tcW w:w="595" w:type="pct"/>
            <w:gridSpan w:val="2"/>
            <w:tcBorders>
              <w:top w:val="single" w:sz="2" w:space="0" w:color="auto"/>
              <w:left w:val="nil"/>
              <w:bottom w:val="single" w:sz="4" w:space="0" w:color="auto"/>
              <w:right w:val="nil"/>
            </w:tcBorders>
            <w:shd w:val="clear" w:color="auto" w:fill="auto"/>
            <w:noWrap/>
            <w:vAlign w:val="center"/>
            <w:hideMark/>
          </w:tcPr>
          <w:p w14:paraId="49F06B68" w14:textId="77777777" w:rsidR="0088085F" w:rsidRPr="00310031" w:rsidRDefault="00310031" w:rsidP="00310031">
            <w:pPr>
              <w:pStyle w:val="cuatexto"/>
              <w:ind w:left="-211"/>
              <w:jc w:val="center"/>
              <w:rPr>
                <w:color w:val="000000" w:themeColor="text1"/>
                <w:sz w:val="17"/>
                <w:szCs w:val="17"/>
                <w:lang w:val="es-ES" w:eastAsia="es-ES"/>
              </w:rPr>
            </w:pPr>
            <w:r w:rsidRPr="00310031">
              <w:rPr>
                <w:color w:val="000000" w:themeColor="text1"/>
                <w:sz w:val="17"/>
                <w:szCs w:val="17"/>
                <w:lang w:val="es-ES" w:eastAsia="es-ES"/>
              </w:rPr>
              <w:t xml:space="preserve">      </w:t>
            </w:r>
            <w:r w:rsidR="0088085F" w:rsidRPr="00310031">
              <w:rPr>
                <w:color w:val="000000" w:themeColor="text1"/>
                <w:sz w:val="17"/>
                <w:szCs w:val="17"/>
                <w:lang w:val="es-ES" w:eastAsia="es-ES"/>
              </w:rPr>
              <w:t>14.595.647</w:t>
            </w:r>
          </w:p>
        </w:tc>
        <w:tc>
          <w:tcPr>
            <w:tcW w:w="616" w:type="pct"/>
            <w:gridSpan w:val="2"/>
            <w:tcBorders>
              <w:top w:val="single" w:sz="2" w:space="0" w:color="auto"/>
              <w:left w:val="nil"/>
              <w:bottom w:val="single" w:sz="4" w:space="0" w:color="auto"/>
              <w:right w:val="nil"/>
            </w:tcBorders>
            <w:shd w:val="clear" w:color="auto" w:fill="auto"/>
            <w:vAlign w:val="center"/>
            <w:hideMark/>
          </w:tcPr>
          <w:p w14:paraId="27555C1C" w14:textId="77777777" w:rsidR="0088085F" w:rsidRPr="00310031" w:rsidRDefault="00310031" w:rsidP="00310031">
            <w:pPr>
              <w:pStyle w:val="cuatexto"/>
              <w:ind w:left="-87"/>
              <w:jc w:val="center"/>
              <w:rPr>
                <w:color w:val="000000" w:themeColor="text1"/>
                <w:sz w:val="17"/>
                <w:szCs w:val="17"/>
                <w:lang w:val="es-ES" w:eastAsia="es-ES"/>
              </w:rPr>
            </w:pPr>
            <w:r>
              <w:rPr>
                <w:color w:val="000000" w:themeColor="text1"/>
                <w:sz w:val="17"/>
                <w:szCs w:val="17"/>
                <w:lang w:val="es-ES" w:eastAsia="es-ES"/>
              </w:rPr>
              <w:t xml:space="preserve">          </w:t>
            </w:r>
            <w:r w:rsidR="0088085F" w:rsidRPr="00310031">
              <w:rPr>
                <w:color w:val="000000" w:themeColor="text1"/>
                <w:sz w:val="17"/>
                <w:szCs w:val="17"/>
                <w:lang w:val="es-ES" w:eastAsia="es-ES"/>
              </w:rPr>
              <w:t>119</w:t>
            </w:r>
          </w:p>
        </w:tc>
        <w:tc>
          <w:tcPr>
            <w:tcW w:w="338" w:type="pct"/>
            <w:gridSpan w:val="2"/>
            <w:tcBorders>
              <w:top w:val="single" w:sz="2" w:space="0" w:color="auto"/>
              <w:left w:val="nil"/>
              <w:bottom w:val="single" w:sz="4" w:space="0" w:color="auto"/>
              <w:right w:val="nil"/>
            </w:tcBorders>
            <w:shd w:val="clear" w:color="auto" w:fill="auto"/>
            <w:vAlign w:val="center"/>
            <w:hideMark/>
          </w:tcPr>
          <w:p w14:paraId="10BB6428" w14:textId="77777777" w:rsidR="0088085F" w:rsidRPr="00310031" w:rsidRDefault="00310031" w:rsidP="00310031">
            <w:pPr>
              <w:pStyle w:val="cuatexto"/>
              <w:jc w:val="center"/>
              <w:rPr>
                <w:color w:val="000000" w:themeColor="text1"/>
                <w:sz w:val="17"/>
                <w:szCs w:val="17"/>
                <w:lang w:val="es-ES" w:eastAsia="es-ES"/>
              </w:rPr>
            </w:pPr>
            <w:r>
              <w:rPr>
                <w:color w:val="000000" w:themeColor="text1"/>
                <w:sz w:val="17"/>
                <w:szCs w:val="17"/>
                <w:lang w:val="es-ES" w:eastAsia="es-ES"/>
              </w:rPr>
              <w:t xml:space="preserve">    </w:t>
            </w:r>
            <w:r w:rsidR="0088085F" w:rsidRPr="00310031">
              <w:rPr>
                <w:color w:val="000000" w:themeColor="text1"/>
                <w:sz w:val="17"/>
                <w:szCs w:val="17"/>
                <w:lang w:val="es-ES" w:eastAsia="es-ES"/>
              </w:rPr>
              <w:t>0</w:t>
            </w:r>
          </w:p>
        </w:tc>
        <w:tc>
          <w:tcPr>
            <w:tcW w:w="301" w:type="pct"/>
            <w:gridSpan w:val="2"/>
            <w:tcBorders>
              <w:top w:val="single" w:sz="2" w:space="0" w:color="auto"/>
              <w:left w:val="nil"/>
              <w:bottom w:val="single" w:sz="4" w:space="0" w:color="auto"/>
              <w:right w:val="nil"/>
            </w:tcBorders>
            <w:shd w:val="clear" w:color="auto" w:fill="auto"/>
            <w:vAlign w:val="center"/>
            <w:hideMark/>
          </w:tcPr>
          <w:p w14:paraId="7FFE1F08" w14:textId="77777777" w:rsidR="0088085F" w:rsidRPr="00310031" w:rsidRDefault="00310031" w:rsidP="00310031">
            <w:pPr>
              <w:pStyle w:val="cuatexto"/>
              <w:jc w:val="center"/>
              <w:rPr>
                <w:color w:val="000000" w:themeColor="text1"/>
                <w:sz w:val="17"/>
                <w:szCs w:val="17"/>
                <w:lang w:val="es-ES" w:eastAsia="es-ES"/>
              </w:rPr>
            </w:pPr>
            <w:r>
              <w:rPr>
                <w:color w:val="000000" w:themeColor="text1"/>
                <w:sz w:val="17"/>
                <w:szCs w:val="17"/>
                <w:lang w:val="es-ES" w:eastAsia="es-ES"/>
              </w:rPr>
              <w:t xml:space="preserve">      </w:t>
            </w:r>
            <w:r w:rsidR="0088085F" w:rsidRPr="00310031">
              <w:rPr>
                <w:color w:val="000000" w:themeColor="text1"/>
                <w:sz w:val="17"/>
                <w:szCs w:val="17"/>
                <w:lang w:val="es-ES" w:eastAsia="es-ES"/>
              </w:rPr>
              <w:t>1</w:t>
            </w:r>
          </w:p>
        </w:tc>
        <w:tc>
          <w:tcPr>
            <w:tcW w:w="293" w:type="pct"/>
            <w:tcBorders>
              <w:top w:val="single" w:sz="2" w:space="0" w:color="auto"/>
              <w:left w:val="nil"/>
              <w:bottom w:val="single" w:sz="4" w:space="0" w:color="auto"/>
              <w:right w:val="nil"/>
            </w:tcBorders>
            <w:shd w:val="clear" w:color="auto" w:fill="auto"/>
            <w:vAlign w:val="center"/>
            <w:hideMark/>
          </w:tcPr>
          <w:p w14:paraId="52F96134" w14:textId="77777777" w:rsidR="0088085F" w:rsidRPr="00310031" w:rsidRDefault="0088085F" w:rsidP="00310031">
            <w:pPr>
              <w:pStyle w:val="cuatexto"/>
              <w:jc w:val="right"/>
              <w:rPr>
                <w:color w:val="000000" w:themeColor="text1"/>
                <w:sz w:val="17"/>
                <w:szCs w:val="17"/>
                <w:lang w:val="es-ES" w:eastAsia="es-ES"/>
              </w:rPr>
            </w:pPr>
            <w:r w:rsidRPr="00310031">
              <w:rPr>
                <w:color w:val="000000" w:themeColor="text1"/>
                <w:sz w:val="17"/>
                <w:szCs w:val="17"/>
                <w:lang w:val="es-ES" w:eastAsia="es-ES"/>
              </w:rPr>
              <w:t>-</w:t>
            </w:r>
          </w:p>
        </w:tc>
      </w:tr>
      <w:tr w:rsidR="006D0C4A" w:rsidRPr="00310031" w14:paraId="7EE8FAE7" w14:textId="77777777" w:rsidTr="008579E5">
        <w:trPr>
          <w:trHeight w:val="284"/>
          <w:jc w:val="center"/>
        </w:trPr>
        <w:tc>
          <w:tcPr>
            <w:tcW w:w="1538"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14:paraId="240B8D5D" w14:textId="77777777" w:rsidR="0088085F" w:rsidRPr="00310031" w:rsidRDefault="0088085F" w:rsidP="00310031">
            <w:pPr>
              <w:pStyle w:val="cuadroCabe"/>
              <w:jc w:val="left"/>
              <w:rPr>
                <w:color w:val="000000" w:themeColor="text1"/>
                <w:sz w:val="16"/>
                <w:szCs w:val="16"/>
                <w:lang w:val="es-ES" w:eastAsia="es-ES"/>
              </w:rPr>
            </w:pPr>
            <w:r w:rsidRPr="00310031">
              <w:rPr>
                <w:color w:val="000000" w:themeColor="text1"/>
                <w:sz w:val="16"/>
                <w:szCs w:val="16"/>
                <w:lang w:val="es-ES" w:eastAsia="es-ES"/>
              </w:rPr>
              <w:t>Total EELL fiscalizados</w:t>
            </w:r>
          </w:p>
        </w:tc>
        <w:tc>
          <w:tcPr>
            <w:tcW w:w="579" w:type="pct"/>
            <w:gridSpan w:val="2"/>
            <w:tcBorders>
              <w:top w:val="nil"/>
              <w:left w:val="nil"/>
              <w:bottom w:val="single" w:sz="4" w:space="0" w:color="auto"/>
              <w:right w:val="nil"/>
            </w:tcBorders>
            <w:shd w:val="clear" w:color="auto" w:fill="FABF8F" w:themeFill="accent6" w:themeFillTint="99"/>
            <w:noWrap/>
            <w:vAlign w:val="center"/>
            <w:hideMark/>
          </w:tcPr>
          <w:p w14:paraId="6A3B0193" w14:textId="77777777" w:rsidR="0088085F" w:rsidRPr="00310031" w:rsidRDefault="0088085F" w:rsidP="00310031">
            <w:pPr>
              <w:pStyle w:val="cuadroCabe"/>
              <w:ind w:right="-61"/>
              <w:jc w:val="right"/>
              <w:rPr>
                <w:color w:val="000000" w:themeColor="text1"/>
                <w:sz w:val="16"/>
                <w:szCs w:val="16"/>
                <w:lang w:val="es-ES" w:eastAsia="es-ES"/>
              </w:rPr>
            </w:pPr>
            <w:r w:rsidRPr="00310031">
              <w:rPr>
                <w:color w:val="000000" w:themeColor="text1"/>
                <w:sz w:val="16"/>
                <w:szCs w:val="16"/>
                <w:lang w:val="es-ES" w:eastAsia="es-ES"/>
              </w:rPr>
              <w:t xml:space="preserve">  222.781</w:t>
            </w:r>
          </w:p>
        </w:tc>
        <w:tc>
          <w:tcPr>
            <w:tcW w:w="740" w:type="pct"/>
            <w:gridSpan w:val="3"/>
            <w:tcBorders>
              <w:top w:val="nil"/>
              <w:left w:val="nil"/>
              <w:bottom w:val="single" w:sz="4" w:space="0" w:color="auto"/>
              <w:right w:val="nil"/>
            </w:tcBorders>
            <w:shd w:val="clear" w:color="auto" w:fill="FABF8F" w:themeFill="accent6" w:themeFillTint="99"/>
            <w:noWrap/>
            <w:vAlign w:val="center"/>
            <w:hideMark/>
          </w:tcPr>
          <w:p w14:paraId="74B8479B" w14:textId="77777777" w:rsidR="0088085F" w:rsidRPr="00310031" w:rsidRDefault="00310031" w:rsidP="00310031">
            <w:pPr>
              <w:pStyle w:val="cuadroCabe"/>
              <w:ind w:left="64" w:hanging="64"/>
              <w:jc w:val="center"/>
              <w:rPr>
                <w:color w:val="000000" w:themeColor="text1"/>
                <w:sz w:val="16"/>
                <w:szCs w:val="16"/>
                <w:lang w:val="es-ES" w:eastAsia="es-ES"/>
              </w:rPr>
            </w:pPr>
            <w:r>
              <w:rPr>
                <w:color w:val="000000" w:themeColor="text1"/>
                <w:sz w:val="16"/>
                <w:szCs w:val="16"/>
                <w:lang w:val="es-ES" w:eastAsia="es-ES"/>
              </w:rPr>
              <w:t xml:space="preserve">   </w:t>
            </w:r>
            <w:r w:rsidR="0088085F" w:rsidRPr="00310031">
              <w:rPr>
                <w:color w:val="000000" w:themeColor="text1"/>
                <w:sz w:val="16"/>
                <w:szCs w:val="16"/>
                <w:lang w:val="es-ES" w:eastAsia="es-ES"/>
              </w:rPr>
              <w:t>219.099.424</w:t>
            </w:r>
          </w:p>
        </w:tc>
        <w:tc>
          <w:tcPr>
            <w:tcW w:w="595" w:type="pct"/>
            <w:gridSpan w:val="2"/>
            <w:tcBorders>
              <w:top w:val="nil"/>
              <w:left w:val="nil"/>
              <w:bottom w:val="single" w:sz="4" w:space="0" w:color="auto"/>
              <w:right w:val="nil"/>
            </w:tcBorders>
            <w:shd w:val="clear" w:color="auto" w:fill="FABF8F" w:themeFill="accent6" w:themeFillTint="99"/>
            <w:noWrap/>
            <w:vAlign w:val="center"/>
            <w:hideMark/>
          </w:tcPr>
          <w:p w14:paraId="5C9FF207" w14:textId="77777777" w:rsidR="0088085F" w:rsidRPr="00310031" w:rsidRDefault="00310031" w:rsidP="00310031">
            <w:pPr>
              <w:pStyle w:val="cuadroCabe"/>
              <w:ind w:left="-211"/>
              <w:jc w:val="center"/>
              <w:rPr>
                <w:color w:val="000000" w:themeColor="text1"/>
                <w:sz w:val="16"/>
                <w:szCs w:val="16"/>
                <w:lang w:val="es-ES" w:eastAsia="es-ES"/>
              </w:rPr>
            </w:pPr>
            <w:r>
              <w:rPr>
                <w:color w:val="000000" w:themeColor="text1"/>
                <w:sz w:val="16"/>
                <w:szCs w:val="16"/>
                <w:lang w:val="es-ES" w:eastAsia="es-ES"/>
              </w:rPr>
              <w:t xml:space="preserve">     </w:t>
            </w:r>
            <w:r w:rsidR="0088085F" w:rsidRPr="00310031">
              <w:rPr>
                <w:color w:val="000000" w:themeColor="text1"/>
                <w:sz w:val="16"/>
                <w:szCs w:val="16"/>
                <w:lang w:val="es-ES" w:eastAsia="es-ES"/>
              </w:rPr>
              <w:t>230.476.519</w:t>
            </w:r>
          </w:p>
        </w:tc>
        <w:tc>
          <w:tcPr>
            <w:tcW w:w="616" w:type="pct"/>
            <w:gridSpan w:val="2"/>
            <w:tcBorders>
              <w:top w:val="nil"/>
              <w:left w:val="nil"/>
              <w:bottom w:val="single" w:sz="4" w:space="0" w:color="auto"/>
              <w:right w:val="nil"/>
            </w:tcBorders>
            <w:shd w:val="clear" w:color="auto" w:fill="FABF8F" w:themeFill="accent6" w:themeFillTint="99"/>
            <w:noWrap/>
            <w:vAlign w:val="center"/>
            <w:hideMark/>
          </w:tcPr>
          <w:p w14:paraId="7F14E5F5" w14:textId="77777777" w:rsidR="0088085F" w:rsidRPr="00310031" w:rsidRDefault="00310031" w:rsidP="00310031">
            <w:pPr>
              <w:pStyle w:val="cuadroCabe"/>
              <w:ind w:left="-87"/>
              <w:jc w:val="center"/>
              <w:rPr>
                <w:color w:val="000000" w:themeColor="text1"/>
                <w:sz w:val="16"/>
                <w:szCs w:val="16"/>
                <w:lang w:val="es-ES" w:eastAsia="es-ES"/>
              </w:rPr>
            </w:pPr>
            <w:r>
              <w:rPr>
                <w:color w:val="000000" w:themeColor="text1"/>
                <w:sz w:val="16"/>
                <w:szCs w:val="16"/>
                <w:lang w:val="es-ES" w:eastAsia="es-ES"/>
              </w:rPr>
              <w:t xml:space="preserve">      </w:t>
            </w:r>
            <w:r w:rsidR="0088085F" w:rsidRPr="00310031">
              <w:rPr>
                <w:color w:val="000000" w:themeColor="text1"/>
                <w:sz w:val="16"/>
                <w:szCs w:val="16"/>
                <w:lang w:val="es-ES" w:eastAsia="es-ES"/>
              </w:rPr>
              <w:t>1.775</w:t>
            </w:r>
          </w:p>
        </w:tc>
        <w:tc>
          <w:tcPr>
            <w:tcW w:w="338" w:type="pct"/>
            <w:gridSpan w:val="2"/>
            <w:tcBorders>
              <w:top w:val="nil"/>
              <w:left w:val="nil"/>
              <w:bottom w:val="single" w:sz="4" w:space="0" w:color="auto"/>
              <w:right w:val="nil"/>
            </w:tcBorders>
            <w:shd w:val="clear" w:color="auto" w:fill="FABF8F" w:themeFill="accent6" w:themeFillTint="99"/>
            <w:noWrap/>
            <w:vAlign w:val="center"/>
            <w:hideMark/>
          </w:tcPr>
          <w:p w14:paraId="5FC6EC07" w14:textId="77777777" w:rsidR="0088085F" w:rsidRPr="00310031" w:rsidRDefault="00310031" w:rsidP="00310031">
            <w:pPr>
              <w:pStyle w:val="cuadroCabe"/>
              <w:ind w:left="-87"/>
              <w:jc w:val="center"/>
              <w:rPr>
                <w:color w:val="000000" w:themeColor="text1"/>
                <w:sz w:val="16"/>
                <w:szCs w:val="16"/>
                <w:lang w:val="es-ES" w:eastAsia="es-ES"/>
              </w:rPr>
            </w:pPr>
            <w:r>
              <w:rPr>
                <w:color w:val="000000" w:themeColor="text1"/>
                <w:sz w:val="16"/>
                <w:szCs w:val="16"/>
                <w:lang w:val="es-ES" w:eastAsia="es-ES"/>
              </w:rPr>
              <w:t xml:space="preserve">     </w:t>
            </w:r>
            <w:r w:rsidR="0088085F" w:rsidRPr="00310031">
              <w:rPr>
                <w:color w:val="000000" w:themeColor="text1"/>
                <w:sz w:val="16"/>
                <w:szCs w:val="16"/>
                <w:lang w:val="es-ES" w:eastAsia="es-ES"/>
              </w:rPr>
              <w:t>2</w:t>
            </w:r>
          </w:p>
        </w:tc>
        <w:tc>
          <w:tcPr>
            <w:tcW w:w="301" w:type="pct"/>
            <w:gridSpan w:val="2"/>
            <w:tcBorders>
              <w:top w:val="nil"/>
              <w:left w:val="nil"/>
              <w:bottom w:val="single" w:sz="4" w:space="0" w:color="auto"/>
              <w:right w:val="nil"/>
            </w:tcBorders>
            <w:shd w:val="clear" w:color="auto" w:fill="FABF8F" w:themeFill="accent6" w:themeFillTint="99"/>
            <w:noWrap/>
            <w:vAlign w:val="center"/>
            <w:hideMark/>
          </w:tcPr>
          <w:p w14:paraId="6D59A47A" w14:textId="77777777" w:rsidR="0088085F" w:rsidRPr="00310031" w:rsidRDefault="00310031" w:rsidP="00310031">
            <w:pPr>
              <w:pStyle w:val="cuadroCabe"/>
              <w:jc w:val="center"/>
              <w:rPr>
                <w:color w:val="000000" w:themeColor="text1"/>
                <w:sz w:val="16"/>
                <w:szCs w:val="16"/>
                <w:lang w:val="es-ES" w:eastAsia="es-ES"/>
              </w:rPr>
            </w:pPr>
            <w:r>
              <w:rPr>
                <w:color w:val="000000" w:themeColor="text1"/>
                <w:sz w:val="16"/>
                <w:szCs w:val="16"/>
                <w:lang w:val="es-ES" w:eastAsia="es-ES"/>
              </w:rPr>
              <w:t xml:space="preserve">      </w:t>
            </w:r>
            <w:r w:rsidR="0088085F" w:rsidRPr="00310031">
              <w:rPr>
                <w:color w:val="000000" w:themeColor="text1"/>
                <w:sz w:val="16"/>
                <w:szCs w:val="16"/>
                <w:lang w:val="es-ES" w:eastAsia="es-ES"/>
              </w:rPr>
              <w:t>6</w:t>
            </w:r>
          </w:p>
        </w:tc>
        <w:tc>
          <w:tcPr>
            <w:tcW w:w="293" w:type="pct"/>
            <w:tcBorders>
              <w:top w:val="nil"/>
              <w:left w:val="nil"/>
              <w:bottom w:val="single" w:sz="4" w:space="0" w:color="auto"/>
              <w:right w:val="nil"/>
            </w:tcBorders>
            <w:shd w:val="clear" w:color="auto" w:fill="FABF8F" w:themeFill="accent6" w:themeFillTint="99"/>
            <w:noWrap/>
            <w:vAlign w:val="center"/>
            <w:hideMark/>
          </w:tcPr>
          <w:p w14:paraId="2307D7A8" w14:textId="77777777" w:rsidR="0088085F" w:rsidRPr="00310031" w:rsidRDefault="0088085F" w:rsidP="00310031">
            <w:pPr>
              <w:pStyle w:val="cuadroCabe"/>
              <w:jc w:val="right"/>
              <w:rPr>
                <w:color w:val="000000" w:themeColor="text1"/>
                <w:sz w:val="16"/>
                <w:szCs w:val="16"/>
                <w:lang w:val="es-ES" w:eastAsia="es-ES"/>
              </w:rPr>
            </w:pPr>
            <w:r w:rsidRPr="00310031">
              <w:rPr>
                <w:color w:val="000000" w:themeColor="text1"/>
                <w:sz w:val="16"/>
                <w:szCs w:val="16"/>
                <w:lang w:val="es-ES" w:eastAsia="es-ES"/>
              </w:rPr>
              <w:t>1</w:t>
            </w:r>
          </w:p>
        </w:tc>
      </w:tr>
    </w:tbl>
    <w:p w14:paraId="4AEE7CEF" w14:textId="77777777" w:rsidR="0088085F" w:rsidRPr="00262228" w:rsidRDefault="0088085F" w:rsidP="007E5A67">
      <w:pPr>
        <w:pStyle w:val="texto"/>
        <w:spacing w:before="220"/>
      </w:pPr>
      <w:r w:rsidRPr="00262228">
        <w:t>Si relacionamos los principales datos relativos a las entidades fiscalizadas con el conjunto del sector público local de Navarra los resultados son:</w:t>
      </w:r>
    </w:p>
    <w:p w14:paraId="3A3BB0F8" w14:textId="77777777" w:rsidR="0088085F" w:rsidRPr="009A521B" w:rsidRDefault="0088085F" w:rsidP="00CE5750">
      <w:pPr>
        <w:numPr>
          <w:ilvl w:val="0"/>
          <w:numId w:val="2"/>
        </w:numPr>
        <w:tabs>
          <w:tab w:val="clear" w:pos="502"/>
          <w:tab w:val="left" w:pos="480"/>
          <w:tab w:val="num" w:pos="720"/>
          <w:tab w:val="num" w:pos="6597"/>
        </w:tabs>
        <w:ind w:left="0" w:firstLine="289"/>
        <w:rPr>
          <w:color w:val="000000" w:themeColor="text1"/>
          <w:spacing w:val="6"/>
          <w:sz w:val="26"/>
          <w:szCs w:val="26"/>
        </w:rPr>
      </w:pPr>
      <w:r w:rsidRPr="009A521B">
        <w:rPr>
          <w:color w:val="000000" w:themeColor="text1"/>
          <w:spacing w:val="6"/>
          <w:sz w:val="26"/>
          <w:szCs w:val="26"/>
        </w:rPr>
        <w:t>L</w:t>
      </w:r>
      <w:r w:rsidR="005B091A" w:rsidRPr="009A521B">
        <w:rPr>
          <w:color w:val="000000" w:themeColor="text1"/>
          <w:spacing w:val="6"/>
          <w:sz w:val="26"/>
          <w:szCs w:val="26"/>
        </w:rPr>
        <w:t>a población de l</w:t>
      </w:r>
      <w:r w:rsidRPr="009A521B">
        <w:rPr>
          <w:color w:val="000000" w:themeColor="text1"/>
          <w:spacing w:val="6"/>
          <w:sz w:val="26"/>
          <w:szCs w:val="26"/>
        </w:rPr>
        <w:t xml:space="preserve">os </w:t>
      </w:r>
      <w:r w:rsidR="005B091A" w:rsidRPr="009A521B">
        <w:rPr>
          <w:color w:val="000000" w:themeColor="text1"/>
          <w:spacing w:val="6"/>
          <w:sz w:val="26"/>
          <w:szCs w:val="26"/>
        </w:rPr>
        <w:t xml:space="preserve">dos </w:t>
      </w:r>
      <w:r w:rsidRPr="009A521B">
        <w:rPr>
          <w:color w:val="000000" w:themeColor="text1"/>
          <w:spacing w:val="6"/>
          <w:sz w:val="26"/>
          <w:szCs w:val="26"/>
        </w:rPr>
        <w:t xml:space="preserve">entes </w:t>
      </w:r>
      <w:r w:rsidR="005B091A" w:rsidRPr="009A521B">
        <w:rPr>
          <w:color w:val="000000" w:themeColor="text1"/>
          <w:spacing w:val="6"/>
          <w:sz w:val="26"/>
          <w:szCs w:val="26"/>
        </w:rPr>
        <w:t xml:space="preserve">locales </w:t>
      </w:r>
      <w:r w:rsidRPr="009A521B">
        <w:rPr>
          <w:color w:val="000000" w:themeColor="text1"/>
          <w:spacing w:val="6"/>
          <w:sz w:val="26"/>
          <w:szCs w:val="26"/>
        </w:rPr>
        <w:t xml:space="preserve">fiscalizados </w:t>
      </w:r>
      <w:r w:rsidR="005B091A" w:rsidRPr="009A521B">
        <w:rPr>
          <w:color w:val="000000" w:themeColor="text1"/>
          <w:spacing w:val="6"/>
          <w:sz w:val="26"/>
          <w:szCs w:val="26"/>
        </w:rPr>
        <w:t>supone el 34 por ciento del total de población de los 272 municipios.</w:t>
      </w:r>
    </w:p>
    <w:p w14:paraId="1F00F343"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Los ingresos y los gastos de las entidades auditadas representan el 26 y el 25 por ciento respectivamente, del total de ingresos y gastos del sector público local de Navarra.</w:t>
      </w:r>
    </w:p>
    <w:p w14:paraId="02810AAA"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 Los entes dependientes de estos municipios fiscalizados representan el 8,3 por ciento del total de los mismos sin tener en cuenta a los consorcios.</w:t>
      </w:r>
    </w:p>
    <w:p w14:paraId="2B82CD83" w14:textId="77777777" w:rsidR="005B091A" w:rsidRDefault="0088085F" w:rsidP="0088085F">
      <w:pPr>
        <w:pStyle w:val="texto"/>
      </w:pPr>
      <w:r w:rsidRPr="00262228">
        <w:t xml:space="preserve"> Además de las auditorías citadas se realiz</w:t>
      </w:r>
      <w:r w:rsidR="005B091A">
        <w:t>aron los siguientes trabajos:</w:t>
      </w:r>
    </w:p>
    <w:p w14:paraId="5412E572" w14:textId="77777777" w:rsidR="00707B7B" w:rsidRDefault="002548FC" w:rsidP="002548FC">
      <w:pPr>
        <w:pStyle w:val="texto"/>
      </w:pPr>
      <w:r w:rsidRPr="002548FC">
        <w:t xml:space="preserve">a) </w:t>
      </w:r>
      <w:r w:rsidR="005B091A" w:rsidRPr="002548FC">
        <w:t>F</w:t>
      </w:r>
      <w:r w:rsidR="0088085F" w:rsidRPr="002548FC">
        <w:t xml:space="preserve">iscalización horizontal sobre </w:t>
      </w:r>
      <w:r w:rsidR="00707B7B" w:rsidRPr="002548FC">
        <w:t xml:space="preserve">cumplimiento de legalidad en la </w:t>
      </w:r>
      <w:r w:rsidR="0088085F" w:rsidRPr="002548FC">
        <w:t xml:space="preserve">contratación </w:t>
      </w:r>
      <w:r w:rsidR="0088085F" w:rsidRPr="00262228">
        <w:t>de personal de la Mancomunidad de Montejurra y de los ayuntamientos de Lekunberri, Lodosa, Ribaforada y Sangüesa del periodo 2015-2020.</w:t>
      </w:r>
    </w:p>
    <w:p w14:paraId="73F92280" w14:textId="77777777" w:rsidR="0088085F" w:rsidRDefault="002548FC" w:rsidP="002548FC">
      <w:pPr>
        <w:pStyle w:val="texto"/>
      </w:pPr>
      <w:r>
        <w:t xml:space="preserve">b) </w:t>
      </w:r>
      <w:r w:rsidR="00707B7B">
        <w:t>I</w:t>
      </w:r>
      <w:r w:rsidR="0088085F" w:rsidRPr="00262228">
        <w:t>nforme sobre acuerdos y resoluciones contrarios a reparos formulados por l</w:t>
      </w:r>
      <w:r w:rsidR="005C6682">
        <w:t xml:space="preserve">a </w:t>
      </w:r>
      <w:r w:rsidR="005C6682" w:rsidRPr="00707B7B">
        <w:t>Intervención local</w:t>
      </w:r>
      <w:r w:rsidR="0088085F" w:rsidRPr="00707B7B">
        <w:t xml:space="preserve"> </w:t>
      </w:r>
      <w:r w:rsidR="0088085F" w:rsidRPr="00262228">
        <w:t>de Navarra y anomalías detectadas en materia de ingresos, 2018 y 2019.</w:t>
      </w:r>
    </w:p>
    <w:p w14:paraId="37AD6B68" w14:textId="77777777" w:rsidR="00707B7B" w:rsidRDefault="002548FC" w:rsidP="002548FC">
      <w:pPr>
        <w:pStyle w:val="texto"/>
      </w:pPr>
      <w:r>
        <w:t xml:space="preserve">c) </w:t>
      </w:r>
      <w:r w:rsidR="00707B7B">
        <w:t xml:space="preserve">Informe </w:t>
      </w:r>
      <w:r w:rsidR="00707B7B" w:rsidRPr="00262228">
        <w:t xml:space="preserve">sobre el servicio de abastecimiento y saneamiento del agua en el Ayuntamiento de Lekunberri, que analiza </w:t>
      </w:r>
      <w:r w:rsidR="00707B7B">
        <w:t xml:space="preserve">los </w:t>
      </w:r>
      <w:r w:rsidR="00707B7B" w:rsidRPr="00707B7B">
        <w:t>ejercicios 2015 a 2020.</w:t>
      </w:r>
    </w:p>
    <w:p w14:paraId="12FE45A2" w14:textId="77777777" w:rsidR="00707B7B" w:rsidRPr="00262228" w:rsidRDefault="00707B7B" w:rsidP="00707B7B">
      <w:pPr>
        <w:pStyle w:val="texto"/>
      </w:pPr>
      <w:r w:rsidRPr="00262228">
        <w:t>Los resultados de las fiscalizaciones se recogieron en los correspondientes informes que se publicaron en el Boletín Oficial del Parlamento de Navarra y en la página web de esta Cámara.</w:t>
      </w:r>
    </w:p>
    <w:p w14:paraId="3FC20AF4" w14:textId="77777777" w:rsidR="0088085F" w:rsidRPr="00262228" w:rsidRDefault="0088085F" w:rsidP="0088085F">
      <w:pPr>
        <w:pStyle w:val="texto"/>
      </w:pPr>
      <w:r w:rsidRPr="00262228">
        <w:t>El objetivo de las fiscalizaciones financieras y de legalidad fue emitir una opinión acerca de:</w:t>
      </w:r>
    </w:p>
    <w:p w14:paraId="122B07D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Opinión de auditoría financiera: si la Cuenta General expresaba, en todos los aspectos significativos, la imagen fiel del patrimonio, de la liquidación de sus </w:t>
      </w:r>
      <w:r w:rsidRPr="00CE5750">
        <w:rPr>
          <w:spacing w:val="6"/>
          <w:sz w:val="26"/>
          <w:szCs w:val="26"/>
        </w:rPr>
        <w:lastRenderedPageBreak/>
        <w:t>presupuestos y de la situación financiera de la entidad local a 31 de diciembre de 2019; así como de sus resultados económicos y presupuestarios correspondientes al ejercicio anual terminado en dicha fecha, de conformidad con el marco normativo de información financiera pública aplicable, y, en particular, con los principios y criterios contables contenidos en el mismo.</w:t>
      </w:r>
    </w:p>
    <w:p w14:paraId="17D86460"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Opinión sobre cumplimiento de legalidad: si las actividades, operaciones presupuestarias y financieras y la información reflejada en los estados financieros de la entidad local, correspondientes al ejercicio 2019, resultaban conformes, en todos los aspectos significativos, con la normativa aplicable a la gestión de los fondos públicos.</w:t>
      </w:r>
    </w:p>
    <w:p w14:paraId="638F833A" w14:textId="77777777" w:rsidR="0088085F" w:rsidRPr="00262228" w:rsidRDefault="0088085F" w:rsidP="0088085F">
      <w:pPr>
        <w:pStyle w:val="texto"/>
      </w:pPr>
      <w:r w:rsidRPr="00262228">
        <w:t>Los resultados de las fiscalizaciones se recogieron en los correspondientes informes que se publicaron en el Boletín Oficial del Parlamento de Navarra y en la página web de esta Cámara.</w:t>
      </w:r>
    </w:p>
    <w:p w14:paraId="13AA256F" w14:textId="77777777" w:rsidR="0088085F" w:rsidRPr="00262228" w:rsidRDefault="0088085F" w:rsidP="0088085F">
      <w:pPr>
        <w:pStyle w:val="texto"/>
      </w:pPr>
      <w:r w:rsidRPr="00262228">
        <w:t>En cuanto a la opinión de estos informes, los resultados fueron los siguientes:</w:t>
      </w:r>
    </w:p>
    <w:p w14:paraId="016AD33E" w14:textId="77777777" w:rsidR="00707B7B" w:rsidRPr="009A521B" w:rsidRDefault="0088085F" w:rsidP="00707B7B">
      <w:pPr>
        <w:pStyle w:val="texto"/>
        <w:numPr>
          <w:ilvl w:val="0"/>
          <w:numId w:val="11"/>
        </w:numPr>
        <w:tabs>
          <w:tab w:val="clear" w:pos="2835"/>
          <w:tab w:val="clear" w:pos="3969"/>
          <w:tab w:val="clear" w:pos="5103"/>
          <w:tab w:val="clear" w:pos="6237"/>
          <w:tab w:val="clear" w:pos="7371"/>
          <w:tab w:val="left" w:pos="602"/>
        </w:tabs>
        <w:ind w:left="0" w:firstLine="284"/>
        <w:rPr>
          <w:color w:val="000000" w:themeColor="text1"/>
          <w:szCs w:val="26"/>
        </w:rPr>
      </w:pPr>
      <w:r w:rsidRPr="00B81E61">
        <w:rPr>
          <w:color w:val="000000" w:themeColor="text1"/>
        </w:rPr>
        <w:t xml:space="preserve">La opinión de auditoría financiera fue favorable </w:t>
      </w:r>
      <w:r>
        <w:rPr>
          <w:color w:val="000000" w:themeColor="text1"/>
        </w:rPr>
        <w:t xml:space="preserve">en el Ayuntamiento del </w:t>
      </w:r>
      <w:r w:rsidRPr="009A521B">
        <w:rPr>
          <w:color w:val="000000" w:themeColor="text1"/>
        </w:rPr>
        <w:t>valle de Egüés y favorable con</w:t>
      </w:r>
      <w:r w:rsidR="00707B7B" w:rsidRPr="009A521B">
        <w:rPr>
          <w:color w:val="000000" w:themeColor="text1"/>
        </w:rPr>
        <w:t xml:space="preserve"> la salvedad de que no están contabilizadas las obligaciones actuariales derivadas de las pensiones del personal </w:t>
      </w:r>
      <w:r w:rsidR="00707B7B" w:rsidRPr="009A521B">
        <w:rPr>
          <w:color w:val="000000" w:themeColor="text1"/>
          <w:szCs w:val="26"/>
        </w:rPr>
        <w:t>perteneciente al montepío municipal</w:t>
      </w:r>
      <w:r w:rsidR="00707B7B" w:rsidRPr="009A521B">
        <w:rPr>
          <w:color w:val="000000" w:themeColor="text1"/>
        </w:rPr>
        <w:t xml:space="preserve"> en el Ayuntamiento de Pamplona.</w:t>
      </w:r>
      <w:r w:rsidR="00707B7B" w:rsidRPr="009A521B">
        <w:rPr>
          <w:color w:val="000000" w:themeColor="text1"/>
          <w:szCs w:val="26"/>
        </w:rPr>
        <w:t xml:space="preserve"> </w:t>
      </w:r>
    </w:p>
    <w:p w14:paraId="7A36A2AC" w14:textId="77777777" w:rsidR="0088085F" w:rsidRPr="009A521B" w:rsidRDefault="0088085F" w:rsidP="0088085F">
      <w:pPr>
        <w:pStyle w:val="texto"/>
        <w:numPr>
          <w:ilvl w:val="0"/>
          <w:numId w:val="11"/>
        </w:numPr>
        <w:tabs>
          <w:tab w:val="clear" w:pos="2835"/>
          <w:tab w:val="clear" w:pos="3969"/>
          <w:tab w:val="clear" w:pos="5103"/>
          <w:tab w:val="clear" w:pos="6237"/>
          <w:tab w:val="clear" w:pos="7371"/>
          <w:tab w:val="left" w:pos="602"/>
        </w:tabs>
        <w:ind w:left="0" w:firstLine="284"/>
        <w:rPr>
          <w:color w:val="000000" w:themeColor="text1"/>
        </w:rPr>
      </w:pPr>
      <w:r w:rsidRPr="009A521B">
        <w:rPr>
          <w:color w:val="000000" w:themeColor="text1"/>
        </w:rPr>
        <w:t>La opinión de auditoría de cumplimiento de legalidad fue favorable con salvedades en s</w:t>
      </w:r>
      <w:r w:rsidR="00707B7B" w:rsidRPr="009A521B">
        <w:rPr>
          <w:color w:val="000000" w:themeColor="text1"/>
        </w:rPr>
        <w:t>eis</w:t>
      </w:r>
      <w:r w:rsidRPr="009A521B">
        <w:rPr>
          <w:color w:val="000000" w:themeColor="text1"/>
        </w:rPr>
        <w:t xml:space="preserve"> ayuntamientos</w:t>
      </w:r>
      <w:r w:rsidR="00707B7B" w:rsidRPr="009A521B">
        <w:rPr>
          <w:color w:val="000000" w:themeColor="text1"/>
        </w:rPr>
        <w:t xml:space="preserve"> y una mancomunidad</w:t>
      </w:r>
      <w:r w:rsidRPr="009A521B">
        <w:rPr>
          <w:color w:val="000000" w:themeColor="text1"/>
        </w:rPr>
        <w:t>. En este caso, las principales salvedades fueron:</w:t>
      </w:r>
    </w:p>
    <w:p w14:paraId="1D0BA6AF"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Abono de gastos por servicios y suministros sin soporte contractual por haber superado el plazo máximo de vigencia de los contratos.</w:t>
      </w:r>
    </w:p>
    <w:p w14:paraId="630652E0"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El Pleno acordó la conversión de personal laboral temporal a personal laboral fijo de tres empleados que estaban cubriendo tres plazas de laborales fijos, incumpliéndose los principios de igualdad, mérito y capacidad.</w:t>
      </w:r>
    </w:p>
    <w:p w14:paraId="04A64A4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No se han cumplido los principios de igualdad, mérito y capacidad en tres procesos de contratación revisados.</w:t>
      </w:r>
    </w:p>
    <w:p w14:paraId="7A7C0C4F" w14:textId="77777777" w:rsidR="0088085F"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La plantilla orgánica no recoge los puestos de trabajo correspondientes a las necesidades estructurales y permanentes y se han utilizado de forma recurrente las contrataciones temporales para cubrir dichas necesidades, lo que ha motivado que el ayuntamiento cuente con 21 empleados con la condición de indefinido no fijo.</w:t>
      </w:r>
    </w:p>
    <w:p w14:paraId="03F12B56" w14:textId="77777777" w:rsidR="00707B7B" w:rsidRPr="00CE5750" w:rsidRDefault="00707B7B" w:rsidP="00707B7B">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No se han incluido en nómina los conceptos retributivos de gastos de kilometraje a indemnizaciones percibidas</w:t>
      </w:r>
      <w:r w:rsidR="00502251">
        <w:rPr>
          <w:spacing w:val="6"/>
          <w:sz w:val="26"/>
          <w:szCs w:val="26"/>
        </w:rPr>
        <w:t xml:space="preserve"> por los empleados</w:t>
      </w:r>
      <w:r w:rsidRPr="00CE5750">
        <w:rPr>
          <w:spacing w:val="6"/>
          <w:sz w:val="26"/>
          <w:szCs w:val="26"/>
        </w:rPr>
        <w:t>.</w:t>
      </w:r>
    </w:p>
    <w:p w14:paraId="561846CD"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Los contratos eventuales por circunstancias de la producción realizados al personal de un organismo autónomo, no se adecúan a la naturaleza de la actividad realizada, que se caracteriza por suponer una</w:t>
      </w:r>
      <w:r w:rsidR="00502251">
        <w:rPr>
          <w:spacing w:val="6"/>
          <w:sz w:val="26"/>
          <w:szCs w:val="26"/>
        </w:rPr>
        <w:t xml:space="preserve"> necesidad permanente y cíclica</w:t>
      </w:r>
      <w:r w:rsidRPr="00CE5750">
        <w:rPr>
          <w:spacing w:val="6"/>
          <w:sz w:val="26"/>
          <w:szCs w:val="26"/>
        </w:rPr>
        <w:t>.</w:t>
      </w:r>
    </w:p>
    <w:p w14:paraId="7C610807" w14:textId="77777777" w:rsidR="0088085F" w:rsidRPr="00262228" w:rsidRDefault="0088085F" w:rsidP="00262228">
      <w:pPr>
        <w:pStyle w:val="texto"/>
      </w:pPr>
      <w:r w:rsidRPr="00262228">
        <w:lastRenderedPageBreak/>
        <w:t>Las principales recomendaciones que esta Cámara incluyó en sus informes de fiscalización de estas entidades fueron las siguientes:</w:t>
      </w:r>
    </w:p>
    <w:p w14:paraId="317DE16A"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Realizar la fiscalización previa de la nómina previamente a su pago.</w:t>
      </w:r>
    </w:p>
    <w:p w14:paraId="453D7680"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Incluir en la plantilla orgánica todos los puestos que tengan carácter p</w:t>
      </w:r>
      <w:r w:rsidR="000874DF">
        <w:rPr>
          <w:i/>
          <w:spacing w:val="6"/>
          <w:sz w:val="26"/>
          <w:szCs w:val="26"/>
        </w:rPr>
        <w:t>ermanente y estructural</w:t>
      </w:r>
      <w:r w:rsidRPr="00CE5750">
        <w:rPr>
          <w:i/>
          <w:spacing w:val="6"/>
          <w:sz w:val="26"/>
          <w:szCs w:val="26"/>
        </w:rPr>
        <w:t>.</w:t>
      </w:r>
    </w:p>
    <w:p w14:paraId="61F7E1EB"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Convocar las plazas conforme a los procedimientos previstos garantizando en todo caso los principios de igualdad, mérito y capacidad en el ac</w:t>
      </w:r>
      <w:r w:rsidR="000874DF">
        <w:rPr>
          <w:i/>
          <w:spacing w:val="6"/>
          <w:sz w:val="26"/>
          <w:szCs w:val="26"/>
        </w:rPr>
        <w:t>ceso al empleo público</w:t>
      </w:r>
      <w:r w:rsidRPr="00CE5750">
        <w:rPr>
          <w:i/>
          <w:spacing w:val="6"/>
          <w:sz w:val="26"/>
          <w:szCs w:val="26"/>
        </w:rPr>
        <w:t>.</w:t>
      </w:r>
    </w:p>
    <w:p w14:paraId="7DA2D0E7"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Regularizar la situación del personal temporal, convocando dentro del actual contexto normativo las plazas vacantes.</w:t>
      </w:r>
    </w:p>
    <w:p w14:paraId="6A353AA2"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Justificar en el expediente el cumplimiento de los requisitos establecidos en la Ley de Presupuestos Generales del Estado de las plazas incluidas en las ofertas públicas de empleo, tanto de tasa de reposición como de estabilización de empleo temporal.</w:t>
      </w:r>
    </w:p>
    <w:p w14:paraId="1717377D"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Establecer una adecuada planificación temporal de los procedimientos de licitación de los contratos con el fin de evitar la superación del plazo máximo de vigencia de los mismos.</w:t>
      </w:r>
    </w:p>
    <w:p w14:paraId="70B879B1"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Proceder en todos los casos a la comprobación del cumplimiento de las condiciones especiales de ejecuc</w:t>
      </w:r>
      <w:r w:rsidR="000874DF">
        <w:rPr>
          <w:i/>
          <w:spacing w:val="6"/>
          <w:sz w:val="26"/>
          <w:szCs w:val="26"/>
        </w:rPr>
        <w:t>ión establecidas en los pliegos</w:t>
      </w:r>
      <w:r w:rsidRPr="00CE5750">
        <w:rPr>
          <w:i/>
          <w:spacing w:val="6"/>
          <w:sz w:val="26"/>
          <w:szCs w:val="26"/>
        </w:rPr>
        <w:t>.</w:t>
      </w:r>
    </w:p>
    <w:p w14:paraId="70217FD9"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Establecer en los pliegos fórmulas de valoración económica linealmente proporcionales, de forma que la puntuación obtenida por los licitantes sea directamente proporcional a la reducción del precio.</w:t>
      </w:r>
    </w:p>
    <w:p w14:paraId="50328E1C"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Aprobar un Plan de Inversiones que permita realizar una adecuada planificación, así como su seguimiento y control y evaluación posterior.</w:t>
      </w:r>
    </w:p>
    <w:p w14:paraId="3E829FC3"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Aprobar el Plan Estratégi</w:t>
      </w:r>
      <w:r w:rsidR="000874DF">
        <w:rPr>
          <w:i/>
          <w:spacing w:val="6"/>
          <w:sz w:val="26"/>
          <w:szCs w:val="26"/>
        </w:rPr>
        <w:t>co de subvenciones</w:t>
      </w:r>
      <w:r w:rsidRPr="00CE5750">
        <w:rPr>
          <w:i/>
          <w:spacing w:val="6"/>
          <w:sz w:val="26"/>
          <w:szCs w:val="26"/>
        </w:rPr>
        <w:t>.</w:t>
      </w:r>
    </w:p>
    <w:p w14:paraId="3437E2A4"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Continuar con el proceso de elaboración del estudio de costes con el fin de implantarlo y establecer las tasas y precios públicos en función</w:t>
      </w:r>
      <w:r w:rsidR="000874DF">
        <w:rPr>
          <w:i/>
          <w:spacing w:val="6"/>
          <w:sz w:val="26"/>
          <w:szCs w:val="26"/>
        </w:rPr>
        <w:t xml:space="preserve"> de los costes de los servicios</w:t>
      </w:r>
      <w:r w:rsidRPr="00CE5750">
        <w:rPr>
          <w:i/>
          <w:spacing w:val="6"/>
          <w:sz w:val="26"/>
          <w:szCs w:val="26"/>
        </w:rPr>
        <w:t>.</w:t>
      </w:r>
    </w:p>
    <w:p w14:paraId="5EFE8F82" w14:textId="77777777" w:rsidR="0088085F" w:rsidRPr="00262228" w:rsidRDefault="0088085F" w:rsidP="00262228">
      <w:pPr>
        <w:pStyle w:val="texto"/>
      </w:pPr>
      <w:r w:rsidRPr="00262228">
        <w:t xml:space="preserve">Respecto a la estabilidad presupuestaria y sostenibilidad financiera, solamente </w:t>
      </w:r>
      <w:r w:rsidRPr="009A521B">
        <w:rPr>
          <w:color w:val="000000" w:themeColor="text1"/>
        </w:rPr>
        <w:t xml:space="preserve">se ha fiscalizado </w:t>
      </w:r>
      <w:r w:rsidR="000874DF" w:rsidRPr="009A521B">
        <w:rPr>
          <w:color w:val="000000" w:themeColor="text1"/>
        </w:rPr>
        <w:t>su cumplimiento</w:t>
      </w:r>
      <w:r w:rsidRPr="009A521B">
        <w:rPr>
          <w:color w:val="000000" w:themeColor="text1"/>
        </w:rPr>
        <w:t xml:space="preserve"> en el Ayuntamiento de Pamplona y en el Ayun</w:t>
      </w:r>
      <w:r w:rsidRPr="00262228">
        <w:t xml:space="preserve">tamiento del Valle de Egüés. En general las entidades cumplieron con las reglas fiscales, salvo en los siguientes casos: el Ayuntamiento del Valle de Egüés no cumplió la regla de gasto y tampoco aprobó el correspondiente plan económico financiero. En el caso del Ayuntamiento de Pamplona cumplía las tres reglas fiscales según su informe, si bien el cálculo realizado por esta Cámara determinó que se había incumplido la regla de gasto. </w:t>
      </w:r>
    </w:p>
    <w:p w14:paraId="66D45793" w14:textId="77777777" w:rsidR="0088085F" w:rsidRPr="00262228" w:rsidRDefault="0088085F" w:rsidP="0088085F">
      <w:pPr>
        <w:pStyle w:val="texto"/>
      </w:pPr>
      <w:r w:rsidRPr="00262228">
        <w:lastRenderedPageBreak/>
        <w:t xml:space="preserve">En relación a la auditoría de regularidad y operativa del servicio de abastecimiento y saneamiento del agua del Ayuntamiento de Lekunberri se concluía </w:t>
      </w:r>
      <w:proofErr w:type="gramStart"/>
      <w:r w:rsidRPr="00262228">
        <w:t>que  es</w:t>
      </w:r>
      <w:proofErr w:type="gramEnd"/>
      <w:r w:rsidRPr="00262228">
        <w:t xml:space="preserve"> necesaria una reestructuración del servicio unificando la explotación y mantenimiento de todas las infraestructuras para conseguir una mayor eficacia y eficiencia en el servicio prestado. Se requiere la actualización y adaptación de los </w:t>
      </w:r>
      <w:r w:rsidRPr="009A521B">
        <w:rPr>
          <w:color w:val="000000" w:themeColor="text1"/>
        </w:rPr>
        <w:t xml:space="preserve">Estatutos del </w:t>
      </w:r>
      <w:r w:rsidR="000874DF" w:rsidRPr="009A521B">
        <w:rPr>
          <w:color w:val="000000" w:themeColor="text1"/>
        </w:rPr>
        <w:t xml:space="preserve">Consorcio, </w:t>
      </w:r>
      <w:r w:rsidRPr="009A521B">
        <w:rPr>
          <w:color w:val="000000" w:themeColor="text1"/>
        </w:rPr>
        <w:t>responsable del servicio</w:t>
      </w:r>
      <w:r w:rsidR="000874DF" w:rsidRPr="009A521B">
        <w:rPr>
          <w:color w:val="000000" w:themeColor="text1"/>
        </w:rPr>
        <w:t>,</w:t>
      </w:r>
      <w:r w:rsidRPr="009A521B">
        <w:rPr>
          <w:color w:val="000000" w:themeColor="text1"/>
        </w:rPr>
        <w:t xml:space="preserve"> a las disposiciones contempla</w:t>
      </w:r>
      <w:r w:rsidRPr="00262228">
        <w:t xml:space="preserve">das en la Ley 40/2015, de 1 de octubre, de Régimen Jurídico del Sector </w:t>
      </w:r>
      <w:r w:rsidRPr="00262228">
        <w:br/>
        <w:t xml:space="preserve">Público que le son de aplicación, así como establecer de forma clara todos los </w:t>
      </w:r>
      <w:r w:rsidRPr="00262228">
        <w:br/>
        <w:t>gastos computables y los criterios de reparto entre los consorciados.</w:t>
      </w:r>
    </w:p>
    <w:p w14:paraId="7B308B13" w14:textId="77777777" w:rsidR="0088085F" w:rsidRDefault="0088085F" w:rsidP="0088085F">
      <w:pPr>
        <w:spacing w:after="0"/>
        <w:ind w:firstLine="0"/>
        <w:jc w:val="left"/>
        <w:rPr>
          <w:rFonts w:cs="Arial"/>
          <w:color w:val="000000" w:themeColor="text1"/>
          <w:spacing w:val="6"/>
          <w:sz w:val="26"/>
          <w:szCs w:val="24"/>
        </w:rPr>
      </w:pPr>
      <w:r>
        <w:rPr>
          <w:rFonts w:cs="Arial"/>
          <w:color w:val="000000" w:themeColor="text1"/>
        </w:rPr>
        <w:br w:type="page"/>
      </w:r>
    </w:p>
    <w:p w14:paraId="10544E98" w14:textId="77777777" w:rsidR="0088085F" w:rsidRPr="00B81E61" w:rsidRDefault="0088085F" w:rsidP="0088085F">
      <w:pPr>
        <w:pStyle w:val="atitulo1"/>
        <w:rPr>
          <w:color w:val="000000" w:themeColor="text1"/>
        </w:rPr>
      </w:pPr>
      <w:bookmarkStart w:id="59" w:name="_Toc24100142"/>
      <w:bookmarkStart w:id="60" w:name="_Toc52348290"/>
      <w:bookmarkStart w:id="61" w:name="_Toc89161267"/>
      <w:bookmarkStart w:id="62" w:name="_Toc90969146"/>
      <w:r w:rsidRPr="00B81E61">
        <w:rPr>
          <w:color w:val="000000" w:themeColor="text1"/>
        </w:rPr>
        <w:lastRenderedPageBreak/>
        <w:t>V. Situación financiera del sector público local</w:t>
      </w:r>
      <w:bookmarkEnd w:id="59"/>
      <w:bookmarkEnd w:id="60"/>
      <w:bookmarkEnd w:id="61"/>
      <w:bookmarkEnd w:id="62"/>
    </w:p>
    <w:p w14:paraId="0D57C5E9" w14:textId="77777777" w:rsidR="0088085F" w:rsidRPr="00262228" w:rsidRDefault="0088085F" w:rsidP="00262228">
      <w:pPr>
        <w:pStyle w:val="texto"/>
      </w:pPr>
      <w:r w:rsidRPr="00262228">
        <w:t xml:space="preserve">En el informe del sector público local del año 2019 que adjuntamos en el Anexo 2 de este informe se presenta la información consolidada de los entes locales (municipios, concejos, mancomunidades y agrupaciones tradicionales y municipales) con sus organismos autónomos. </w:t>
      </w:r>
    </w:p>
    <w:p w14:paraId="7B5020F5" w14:textId="77777777" w:rsidR="0088085F" w:rsidRPr="00262228" w:rsidRDefault="0088085F" w:rsidP="00262228">
      <w:pPr>
        <w:pStyle w:val="texto"/>
      </w:pPr>
      <w:r w:rsidRPr="00262228">
        <w:t>No obstante, en dicho informe se presenta por primera vez un apartado de datos consolidados con la sociedad pública Servicios de la Comarca de Pamplona, S.A. (SCPSA), dependiente de la Mancomunidad de la Comarca de Pamplona. El gasto que representa esta sociedad en el conjunto de las sociedades públicas que gestionan servicios mancomunados se sitúa en torno al 80 por ciento del gasto total.</w:t>
      </w:r>
    </w:p>
    <w:p w14:paraId="4C0D4260" w14:textId="77777777" w:rsidR="0088085F" w:rsidRPr="00122347" w:rsidRDefault="0088085F" w:rsidP="0088085F">
      <w:pPr>
        <w:pStyle w:val="atitulo2"/>
        <w:spacing w:before="200" w:after="120"/>
        <w:rPr>
          <w:bCs w:val="0"/>
          <w:iCs w:val="0"/>
          <w:color w:val="000000" w:themeColor="text1"/>
        </w:rPr>
      </w:pPr>
      <w:bookmarkStart w:id="63" w:name="_Toc465686688"/>
      <w:bookmarkStart w:id="64" w:name="_Toc529773882"/>
      <w:bookmarkStart w:id="65" w:name="_Toc24100143"/>
      <w:bookmarkStart w:id="66" w:name="_Toc52348291"/>
      <w:bookmarkStart w:id="67" w:name="_Toc89161268"/>
      <w:bookmarkStart w:id="68" w:name="_Toc90969147"/>
      <w:r w:rsidRPr="00122347">
        <w:rPr>
          <w:bCs w:val="0"/>
          <w:iCs w:val="0"/>
          <w:color w:val="000000" w:themeColor="text1"/>
        </w:rPr>
        <w:t>V.1. Ingresos</w:t>
      </w:r>
      <w:bookmarkEnd w:id="63"/>
      <w:bookmarkEnd w:id="64"/>
      <w:bookmarkEnd w:id="65"/>
      <w:bookmarkEnd w:id="66"/>
      <w:bookmarkEnd w:id="67"/>
      <w:bookmarkEnd w:id="68"/>
    </w:p>
    <w:p w14:paraId="33B841F4" w14:textId="77777777" w:rsidR="0088085F" w:rsidRPr="00FF78F4" w:rsidRDefault="0088085F" w:rsidP="0085586A">
      <w:pPr>
        <w:pStyle w:val="texto"/>
        <w:spacing w:after="120"/>
        <w:rPr>
          <w:sz w:val="18"/>
          <w:szCs w:val="18"/>
        </w:rPr>
      </w:pPr>
      <w:r w:rsidRPr="00262228">
        <w:t>Se muestra a continuación la ejecución presupuestaria de los ingresos del sector público local:</w:t>
      </w:r>
    </w:p>
    <w:p w14:paraId="3EC708C1" w14:textId="77777777" w:rsidR="0088085F" w:rsidRPr="00FF78F4" w:rsidRDefault="0088085F" w:rsidP="00327081">
      <w:pPr>
        <w:pStyle w:val="texto"/>
        <w:tabs>
          <w:tab w:val="center" w:pos="9072"/>
        </w:tabs>
        <w:spacing w:before="120" w:after="60"/>
        <w:ind w:right="-284"/>
        <w:rPr>
          <w:rFonts w:ascii="Arial" w:hAnsi="Arial" w:cs="Arial"/>
          <w:color w:val="000000" w:themeColor="text1"/>
          <w:sz w:val="17"/>
          <w:szCs w:val="17"/>
        </w:rPr>
      </w:pPr>
      <w:r w:rsidRPr="00FF78F4">
        <w:rPr>
          <w:rFonts w:ascii="Arial" w:hAnsi="Arial" w:cs="Arial"/>
          <w:color w:val="000000" w:themeColor="text1"/>
          <w:sz w:val="17"/>
          <w:szCs w:val="17"/>
        </w:rPr>
        <w:t xml:space="preserve">                 </w:t>
      </w:r>
      <w:r w:rsidR="00FF78F4" w:rsidRPr="00FF78F4">
        <w:rPr>
          <w:rFonts w:ascii="Arial" w:hAnsi="Arial" w:cs="Arial"/>
          <w:color w:val="000000" w:themeColor="text1"/>
          <w:sz w:val="17"/>
          <w:szCs w:val="17"/>
        </w:rPr>
        <w:t xml:space="preserve">                                   </w:t>
      </w:r>
      <w:r w:rsidRPr="00FF78F4">
        <w:rPr>
          <w:rFonts w:ascii="Arial" w:hAnsi="Arial" w:cs="Arial"/>
          <w:color w:val="000000" w:themeColor="text1"/>
          <w:sz w:val="17"/>
          <w:szCs w:val="17"/>
        </w:rPr>
        <w:t xml:space="preserve">                                      </w:t>
      </w:r>
      <w:r w:rsidR="00FF78F4">
        <w:rPr>
          <w:rFonts w:ascii="Arial" w:hAnsi="Arial" w:cs="Arial"/>
          <w:color w:val="000000" w:themeColor="text1"/>
          <w:sz w:val="17"/>
          <w:szCs w:val="17"/>
        </w:rPr>
        <w:t xml:space="preserve">        </w:t>
      </w:r>
      <w:r w:rsidRPr="00FF78F4">
        <w:rPr>
          <w:rFonts w:ascii="Arial" w:hAnsi="Arial" w:cs="Arial"/>
          <w:color w:val="000000" w:themeColor="text1"/>
          <w:sz w:val="17"/>
          <w:szCs w:val="17"/>
        </w:rPr>
        <w:t xml:space="preserve">                             </w:t>
      </w:r>
      <w:r w:rsidR="00FF78F4" w:rsidRPr="00FF78F4">
        <w:rPr>
          <w:rFonts w:ascii="Arial" w:hAnsi="Arial" w:cs="Arial"/>
          <w:color w:val="000000" w:themeColor="text1"/>
          <w:sz w:val="17"/>
          <w:szCs w:val="17"/>
        </w:rPr>
        <w:t xml:space="preserve">    </w:t>
      </w:r>
      <w:r w:rsidRPr="00FF78F4">
        <w:rPr>
          <w:rFonts w:ascii="Arial" w:hAnsi="Arial" w:cs="Arial"/>
          <w:color w:val="000000" w:themeColor="text1"/>
          <w:sz w:val="17"/>
          <w:szCs w:val="17"/>
        </w:rPr>
        <w:t xml:space="preserve">   </w:t>
      </w:r>
      <w:r w:rsidR="005434E5">
        <w:rPr>
          <w:rFonts w:ascii="Arial" w:hAnsi="Arial" w:cs="Arial"/>
          <w:color w:val="000000" w:themeColor="text1"/>
          <w:sz w:val="17"/>
          <w:szCs w:val="17"/>
        </w:rPr>
        <w:t xml:space="preserve">  </w:t>
      </w:r>
      <w:r w:rsidRPr="00FF78F4">
        <w:rPr>
          <w:rFonts w:ascii="Arial" w:hAnsi="Arial" w:cs="Arial"/>
          <w:color w:val="000000" w:themeColor="text1"/>
          <w:sz w:val="17"/>
          <w:szCs w:val="17"/>
        </w:rPr>
        <w:t>(en millones) (</w:t>
      </w:r>
      <w:r w:rsidRPr="00FF78F4">
        <w:rPr>
          <w:rStyle w:val="Refdenotaalpie"/>
          <w:rFonts w:ascii="Arial" w:hAnsi="Arial" w:cs="Arial"/>
          <w:color w:val="000000" w:themeColor="text1"/>
          <w:sz w:val="17"/>
          <w:szCs w:val="17"/>
        </w:rPr>
        <w:footnoteReference w:id="1"/>
      </w:r>
      <w:r w:rsidRPr="00FF78F4">
        <w:rPr>
          <w:rFonts w:ascii="Arial" w:hAnsi="Arial" w:cs="Arial"/>
          <w:color w:val="000000" w:themeColor="text1"/>
          <w:sz w:val="17"/>
          <w:szCs w:val="17"/>
        </w:rPr>
        <w:t>)</w:t>
      </w:r>
    </w:p>
    <w:tbl>
      <w:tblPr>
        <w:tblW w:w="5072" w:type="pct"/>
        <w:jc w:val="center"/>
        <w:tblLayout w:type="fixed"/>
        <w:tblCellMar>
          <w:left w:w="70" w:type="dxa"/>
          <w:right w:w="70" w:type="dxa"/>
        </w:tblCellMar>
        <w:tblLook w:val="04A0" w:firstRow="1" w:lastRow="0" w:firstColumn="1" w:lastColumn="0" w:noHBand="0" w:noVBand="1"/>
      </w:tblPr>
      <w:tblGrid>
        <w:gridCol w:w="3275"/>
        <w:gridCol w:w="1038"/>
        <w:gridCol w:w="826"/>
        <w:gridCol w:w="956"/>
        <w:gridCol w:w="997"/>
        <w:gridCol w:w="986"/>
        <w:gridCol w:w="838"/>
      </w:tblGrid>
      <w:tr w:rsidR="009B216E" w:rsidRPr="009B216E" w14:paraId="05410929" w14:textId="77777777" w:rsidTr="005434E5">
        <w:trPr>
          <w:trHeight w:val="255"/>
          <w:jc w:val="center"/>
        </w:trPr>
        <w:tc>
          <w:tcPr>
            <w:tcW w:w="1837" w:type="pct"/>
            <w:tcBorders>
              <w:top w:val="single" w:sz="4" w:space="0" w:color="000000"/>
              <w:left w:val="nil"/>
              <w:bottom w:val="single" w:sz="4" w:space="0" w:color="000000"/>
              <w:right w:val="nil"/>
            </w:tcBorders>
            <w:shd w:val="clear" w:color="auto" w:fill="FABF8F" w:themeFill="accent6" w:themeFillTint="99"/>
            <w:vAlign w:val="center"/>
            <w:hideMark/>
          </w:tcPr>
          <w:p w14:paraId="74A7A927" w14:textId="77777777" w:rsidR="0088085F" w:rsidRPr="009B216E" w:rsidRDefault="0088085F" w:rsidP="005434E5">
            <w:pPr>
              <w:pStyle w:val="cuadroCabe"/>
              <w:jc w:val="left"/>
              <w:rPr>
                <w:color w:val="000000" w:themeColor="text1"/>
                <w:sz w:val="16"/>
                <w:szCs w:val="16"/>
                <w:lang w:val="es-ES" w:eastAsia="es-ES"/>
              </w:rPr>
            </w:pPr>
            <w:r w:rsidRPr="009B216E">
              <w:rPr>
                <w:color w:val="000000" w:themeColor="text1"/>
                <w:sz w:val="16"/>
                <w:szCs w:val="16"/>
                <w:lang w:val="es-ES" w:eastAsia="es-ES"/>
              </w:rPr>
              <w:t>Capítulo</w:t>
            </w:r>
          </w:p>
        </w:tc>
        <w:tc>
          <w:tcPr>
            <w:tcW w:w="582" w:type="pct"/>
            <w:tcBorders>
              <w:top w:val="single" w:sz="4" w:space="0" w:color="000000"/>
              <w:left w:val="nil"/>
              <w:bottom w:val="single" w:sz="4" w:space="0" w:color="000000"/>
              <w:right w:val="nil"/>
            </w:tcBorders>
            <w:shd w:val="clear" w:color="auto" w:fill="FABF8F" w:themeFill="accent6" w:themeFillTint="99"/>
            <w:vAlign w:val="center"/>
            <w:hideMark/>
          </w:tcPr>
          <w:p w14:paraId="5F114396" w14:textId="77777777" w:rsidR="0088085F" w:rsidRPr="009B216E" w:rsidRDefault="0088085F" w:rsidP="005434E5">
            <w:pPr>
              <w:pStyle w:val="cuadroCabe"/>
              <w:tabs>
                <w:tab w:val="clear" w:pos="2835"/>
                <w:tab w:val="right" w:pos="1065"/>
              </w:tabs>
              <w:ind w:left="67" w:hanging="67"/>
              <w:jc w:val="right"/>
              <w:rPr>
                <w:color w:val="000000" w:themeColor="text1"/>
                <w:sz w:val="16"/>
                <w:szCs w:val="16"/>
                <w:lang w:val="es-ES" w:eastAsia="es-ES"/>
              </w:rPr>
            </w:pPr>
            <w:proofErr w:type="spellStart"/>
            <w:r w:rsidRPr="009B216E">
              <w:rPr>
                <w:color w:val="000000" w:themeColor="text1"/>
                <w:sz w:val="16"/>
                <w:szCs w:val="16"/>
                <w:lang w:val="es-ES" w:eastAsia="es-ES"/>
              </w:rPr>
              <w:t>Prev</w:t>
            </w:r>
            <w:proofErr w:type="spellEnd"/>
            <w:r w:rsidRPr="009B216E">
              <w:rPr>
                <w:color w:val="000000" w:themeColor="text1"/>
                <w:sz w:val="16"/>
                <w:szCs w:val="16"/>
                <w:lang w:val="es-ES" w:eastAsia="es-ES"/>
              </w:rPr>
              <w:t xml:space="preserve">. </w:t>
            </w:r>
            <w:r w:rsidR="005434E5">
              <w:rPr>
                <w:color w:val="000000" w:themeColor="text1"/>
                <w:sz w:val="16"/>
                <w:szCs w:val="16"/>
                <w:lang w:val="es-ES" w:eastAsia="es-ES"/>
              </w:rPr>
              <w:t xml:space="preserve">    </w:t>
            </w:r>
            <w:r w:rsidRPr="009B216E">
              <w:rPr>
                <w:color w:val="000000" w:themeColor="text1"/>
                <w:sz w:val="16"/>
                <w:szCs w:val="16"/>
                <w:lang w:val="es-ES" w:eastAsia="es-ES"/>
              </w:rPr>
              <w:t>definitivas</w:t>
            </w:r>
          </w:p>
        </w:tc>
        <w:tc>
          <w:tcPr>
            <w:tcW w:w="463" w:type="pct"/>
            <w:tcBorders>
              <w:top w:val="single" w:sz="4" w:space="0" w:color="000000"/>
              <w:left w:val="nil"/>
              <w:bottom w:val="single" w:sz="4" w:space="0" w:color="000000"/>
              <w:right w:val="nil"/>
            </w:tcBorders>
            <w:shd w:val="clear" w:color="auto" w:fill="FABF8F" w:themeFill="accent6" w:themeFillTint="99"/>
            <w:vAlign w:val="center"/>
            <w:hideMark/>
          </w:tcPr>
          <w:p w14:paraId="345ACC9A" w14:textId="77777777" w:rsidR="0088085F" w:rsidRPr="009B216E" w:rsidRDefault="0088085F" w:rsidP="005434E5">
            <w:pPr>
              <w:pStyle w:val="cuadroCabe"/>
              <w:jc w:val="right"/>
              <w:rPr>
                <w:color w:val="000000" w:themeColor="text1"/>
                <w:sz w:val="16"/>
                <w:szCs w:val="16"/>
                <w:lang w:val="es-ES" w:eastAsia="es-ES"/>
              </w:rPr>
            </w:pPr>
            <w:r w:rsidRPr="009B216E">
              <w:rPr>
                <w:color w:val="000000" w:themeColor="text1"/>
                <w:sz w:val="16"/>
                <w:szCs w:val="16"/>
                <w:lang w:val="es-ES" w:eastAsia="es-ES"/>
              </w:rPr>
              <w:t>DRN 2019</w:t>
            </w:r>
          </w:p>
        </w:tc>
        <w:tc>
          <w:tcPr>
            <w:tcW w:w="536" w:type="pct"/>
            <w:tcBorders>
              <w:top w:val="single" w:sz="4" w:space="0" w:color="000000"/>
              <w:left w:val="nil"/>
              <w:bottom w:val="single" w:sz="4" w:space="0" w:color="000000"/>
              <w:right w:val="nil"/>
            </w:tcBorders>
            <w:shd w:val="clear" w:color="auto" w:fill="FABF8F" w:themeFill="accent6" w:themeFillTint="99"/>
            <w:vAlign w:val="center"/>
            <w:hideMark/>
          </w:tcPr>
          <w:p w14:paraId="1A67F422" w14:textId="77777777" w:rsidR="0088085F" w:rsidRPr="009B216E" w:rsidRDefault="0088085F" w:rsidP="005434E5">
            <w:pPr>
              <w:pStyle w:val="cuadroCabe"/>
              <w:jc w:val="right"/>
              <w:rPr>
                <w:color w:val="000000" w:themeColor="text1"/>
                <w:sz w:val="16"/>
                <w:szCs w:val="16"/>
                <w:lang w:val="es-ES" w:eastAsia="es-ES"/>
              </w:rPr>
            </w:pPr>
            <w:r w:rsidRPr="009B216E">
              <w:rPr>
                <w:color w:val="000000" w:themeColor="text1"/>
                <w:sz w:val="16"/>
                <w:szCs w:val="16"/>
                <w:lang w:val="es-ES" w:eastAsia="es-ES"/>
              </w:rPr>
              <w:t xml:space="preserve"> % s/ total ingresos</w:t>
            </w:r>
          </w:p>
        </w:tc>
        <w:tc>
          <w:tcPr>
            <w:tcW w:w="559" w:type="pct"/>
            <w:tcBorders>
              <w:top w:val="single" w:sz="4" w:space="0" w:color="000000"/>
              <w:left w:val="nil"/>
              <w:bottom w:val="single" w:sz="4" w:space="0" w:color="000000"/>
              <w:right w:val="nil"/>
            </w:tcBorders>
            <w:shd w:val="clear" w:color="auto" w:fill="FABF8F" w:themeFill="accent6" w:themeFillTint="99"/>
            <w:vAlign w:val="center"/>
            <w:hideMark/>
          </w:tcPr>
          <w:p w14:paraId="210D7B12" w14:textId="77777777" w:rsidR="0088085F" w:rsidRPr="009B216E" w:rsidRDefault="0088085F" w:rsidP="005434E5">
            <w:pPr>
              <w:pStyle w:val="cuadroCabe"/>
              <w:jc w:val="right"/>
              <w:rPr>
                <w:color w:val="000000" w:themeColor="text1"/>
                <w:sz w:val="16"/>
                <w:szCs w:val="16"/>
                <w:lang w:val="es-ES" w:eastAsia="es-ES"/>
              </w:rPr>
            </w:pPr>
            <w:r w:rsidRPr="009B216E">
              <w:rPr>
                <w:color w:val="000000" w:themeColor="text1"/>
                <w:sz w:val="16"/>
                <w:szCs w:val="16"/>
                <w:lang w:val="es-ES" w:eastAsia="es-ES"/>
              </w:rPr>
              <w:t>%</w:t>
            </w:r>
            <w:r w:rsidRPr="009B216E">
              <w:rPr>
                <w:color w:val="000000" w:themeColor="text1"/>
                <w:sz w:val="16"/>
                <w:szCs w:val="16"/>
                <w:lang w:val="es-ES" w:eastAsia="es-ES"/>
              </w:rPr>
              <w:br/>
              <w:t>Ejecución</w:t>
            </w:r>
          </w:p>
        </w:tc>
        <w:tc>
          <w:tcPr>
            <w:tcW w:w="553" w:type="pct"/>
            <w:tcBorders>
              <w:top w:val="single" w:sz="4" w:space="0" w:color="000000"/>
              <w:left w:val="nil"/>
              <w:bottom w:val="single" w:sz="4" w:space="0" w:color="000000"/>
              <w:right w:val="nil"/>
            </w:tcBorders>
            <w:shd w:val="clear" w:color="auto" w:fill="FABF8F" w:themeFill="accent6" w:themeFillTint="99"/>
            <w:vAlign w:val="center"/>
            <w:hideMark/>
          </w:tcPr>
          <w:p w14:paraId="1D37164B" w14:textId="77777777" w:rsidR="0088085F" w:rsidRPr="009B216E" w:rsidRDefault="0088085F" w:rsidP="005434E5">
            <w:pPr>
              <w:pStyle w:val="cuadroCabe"/>
              <w:jc w:val="right"/>
              <w:rPr>
                <w:rFonts w:cs="Arial"/>
                <w:color w:val="000000" w:themeColor="text1"/>
                <w:sz w:val="16"/>
                <w:szCs w:val="16"/>
                <w:lang w:val="es-ES" w:eastAsia="es-ES"/>
              </w:rPr>
            </w:pPr>
            <w:r w:rsidRPr="009B216E">
              <w:rPr>
                <w:rFonts w:cs="Arial"/>
                <w:color w:val="000000" w:themeColor="text1"/>
                <w:sz w:val="16"/>
                <w:szCs w:val="16"/>
                <w:lang w:val="es-ES" w:eastAsia="es-ES"/>
              </w:rPr>
              <w:t xml:space="preserve">% </w:t>
            </w:r>
            <w:proofErr w:type="spellStart"/>
            <w:r w:rsidRPr="009B216E">
              <w:rPr>
                <w:rFonts w:cs="Arial"/>
                <w:color w:val="000000" w:themeColor="text1"/>
                <w:sz w:val="16"/>
                <w:szCs w:val="16"/>
                <w:lang w:val="es-ES" w:eastAsia="es-ES"/>
              </w:rPr>
              <w:t>var</w:t>
            </w:r>
            <w:proofErr w:type="spellEnd"/>
            <w:r w:rsidRPr="009B216E">
              <w:rPr>
                <w:rFonts w:cs="Arial"/>
                <w:color w:val="000000" w:themeColor="text1"/>
                <w:sz w:val="16"/>
                <w:szCs w:val="16"/>
                <w:lang w:val="es-ES" w:eastAsia="es-ES"/>
              </w:rPr>
              <w:t>. 2019/2018</w:t>
            </w:r>
          </w:p>
        </w:tc>
        <w:tc>
          <w:tcPr>
            <w:tcW w:w="471" w:type="pct"/>
            <w:tcBorders>
              <w:top w:val="single" w:sz="4" w:space="0" w:color="000000"/>
              <w:left w:val="nil"/>
              <w:bottom w:val="single" w:sz="4" w:space="0" w:color="000000"/>
              <w:right w:val="nil"/>
            </w:tcBorders>
            <w:shd w:val="clear" w:color="auto" w:fill="FABF8F" w:themeFill="accent6" w:themeFillTint="99"/>
            <w:vAlign w:val="center"/>
          </w:tcPr>
          <w:p w14:paraId="655EE9ED" w14:textId="77777777" w:rsidR="0088085F" w:rsidRPr="009B216E" w:rsidRDefault="0088085F" w:rsidP="005434E5">
            <w:pPr>
              <w:pStyle w:val="cuadroCabe"/>
              <w:jc w:val="right"/>
              <w:rPr>
                <w:color w:val="000000" w:themeColor="text1"/>
                <w:sz w:val="16"/>
                <w:szCs w:val="16"/>
                <w:lang w:val="es-ES" w:eastAsia="es-ES"/>
              </w:rPr>
            </w:pPr>
            <w:r w:rsidRPr="009B216E">
              <w:rPr>
                <w:color w:val="000000" w:themeColor="text1"/>
                <w:sz w:val="16"/>
                <w:szCs w:val="16"/>
                <w:lang w:val="es-ES" w:eastAsia="es-ES"/>
              </w:rPr>
              <w:t xml:space="preserve">DRN </w:t>
            </w:r>
            <w:r w:rsidR="009B216E">
              <w:rPr>
                <w:color w:val="000000" w:themeColor="text1"/>
                <w:sz w:val="16"/>
                <w:szCs w:val="16"/>
                <w:lang w:val="es-ES" w:eastAsia="es-ES"/>
              </w:rPr>
              <w:t xml:space="preserve"> </w:t>
            </w:r>
            <w:r w:rsidRPr="009B216E">
              <w:rPr>
                <w:color w:val="000000" w:themeColor="text1"/>
                <w:sz w:val="16"/>
                <w:szCs w:val="16"/>
                <w:lang w:val="es-ES" w:eastAsia="es-ES"/>
              </w:rPr>
              <w:t>2019 (*)</w:t>
            </w:r>
          </w:p>
        </w:tc>
      </w:tr>
      <w:tr w:rsidR="009B216E" w:rsidRPr="009B216E" w14:paraId="188F3EFD" w14:textId="77777777" w:rsidTr="005434E5">
        <w:trPr>
          <w:trHeight w:hRule="exact" w:val="238"/>
          <w:jc w:val="center"/>
        </w:trPr>
        <w:tc>
          <w:tcPr>
            <w:tcW w:w="1837" w:type="pct"/>
            <w:tcBorders>
              <w:top w:val="single" w:sz="4" w:space="0" w:color="000000"/>
              <w:left w:val="nil"/>
              <w:bottom w:val="single" w:sz="2" w:space="0" w:color="000000"/>
              <w:right w:val="nil"/>
            </w:tcBorders>
            <w:shd w:val="clear" w:color="auto" w:fill="auto"/>
            <w:vAlign w:val="center"/>
            <w:hideMark/>
          </w:tcPr>
          <w:p w14:paraId="2B091820" w14:textId="77777777" w:rsidR="0088085F" w:rsidRPr="009B216E" w:rsidRDefault="0088085F" w:rsidP="005434E5">
            <w:pPr>
              <w:pStyle w:val="cuatexto"/>
              <w:jc w:val="left"/>
              <w:rPr>
                <w:sz w:val="19"/>
                <w:szCs w:val="19"/>
                <w:lang w:val="es-ES" w:eastAsia="es-ES"/>
              </w:rPr>
            </w:pPr>
            <w:r w:rsidRPr="009B216E">
              <w:rPr>
                <w:sz w:val="19"/>
                <w:szCs w:val="19"/>
                <w:lang w:val="es-ES" w:eastAsia="es-ES"/>
              </w:rPr>
              <w:t>1   Impuestos directos</w:t>
            </w:r>
          </w:p>
        </w:tc>
        <w:tc>
          <w:tcPr>
            <w:tcW w:w="582" w:type="pct"/>
            <w:tcBorders>
              <w:top w:val="single" w:sz="4" w:space="0" w:color="000000"/>
              <w:left w:val="nil"/>
              <w:bottom w:val="single" w:sz="2" w:space="0" w:color="000000"/>
              <w:right w:val="nil"/>
            </w:tcBorders>
            <w:shd w:val="clear" w:color="auto" w:fill="auto"/>
            <w:vAlign w:val="center"/>
            <w:hideMark/>
          </w:tcPr>
          <w:p w14:paraId="16EF603D" w14:textId="77777777" w:rsidR="0088085F" w:rsidRPr="009B216E" w:rsidRDefault="0088085F" w:rsidP="005434E5">
            <w:pPr>
              <w:pStyle w:val="cuatexto"/>
              <w:jc w:val="right"/>
              <w:rPr>
                <w:rFonts w:cs="Calibri"/>
                <w:color w:val="000000"/>
                <w:sz w:val="19"/>
                <w:szCs w:val="19"/>
                <w:lang w:val="es-ES" w:eastAsia="es-ES"/>
              </w:rPr>
            </w:pPr>
            <w:r w:rsidRPr="009B216E">
              <w:rPr>
                <w:rFonts w:cs="Calibri"/>
                <w:color w:val="000000"/>
                <w:sz w:val="19"/>
                <w:szCs w:val="19"/>
              </w:rPr>
              <w:t>189,62</w:t>
            </w:r>
          </w:p>
        </w:tc>
        <w:tc>
          <w:tcPr>
            <w:tcW w:w="463" w:type="pct"/>
            <w:tcBorders>
              <w:top w:val="single" w:sz="4" w:space="0" w:color="000000"/>
              <w:left w:val="nil"/>
              <w:bottom w:val="single" w:sz="2" w:space="0" w:color="000000"/>
              <w:right w:val="nil"/>
            </w:tcBorders>
            <w:shd w:val="clear" w:color="auto" w:fill="auto"/>
            <w:vAlign w:val="center"/>
            <w:hideMark/>
          </w:tcPr>
          <w:p w14:paraId="784BCB1D" w14:textId="77777777" w:rsidR="0088085F" w:rsidRPr="009B216E" w:rsidRDefault="0088085F" w:rsidP="005434E5">
            <w:pPr>
              <w:pStyle w:val="cuatexto"/>
              <w:jc w:val="right"/>
              <w:rPr>
                <w:rFonts w:cs="Calibri"/>
                <w:color w:val="000000"/>
                <w:sz w:val="19"/>
                <w:szCs w:val="19"/>
                <w:lang w:val="es-ES" w:eastAsia="es-ES"/>
              </w:rPr>
            </w:pPr>
            <w:r w:rsidRPr="009B216E">
              <w:rPr>
                <w:rFonts w:cs="Calibri"/>
                <w:color w:val="000000"/>
                <w:sz w:val="19"/>
                <w:szCs w:val="19"/>
              </w:rPr>
              <w:t>199,26</w:t>
            </w:r>
          </w:p>
        </w:tc>
        <w:tc>
          <w:tcPr>
            <w:tcW w:w="536" w:type="pct"/>
            <w:tcBorders>
              <w:top w:val="single" w:sz="4" w:space="0" w:color="000000"/>
              <w:left w:val="nil"/>
              <w:bottom w:val="single" w:sz="2" w:space="0" w:color="000000"/>
              <w:right w:val="nil"/>
            </w:tcBorders>
            <w:shd w:val="clear" w:color="auto" w:fill="auto"/>
            <w:vAlign w:val="center"/>
            <w:hideMark/>
          </w:tcPr>
          <w:p w14:paraId="0EBC1844" w14:textId="77777777" w:rsidR="0088085F" w:rsidRPr="009B216E" w:rsidRDefault="0088085F" w:rsidP="005434E5">
            <w:pPr>
              <w:pStyle w:val="cuatexto"/>
              <w:jc w:val="right"/>
              <w:rPr>
                <w:rFonts w:cs="Calibri"/>
                <w:sz w:val="19"/>
                <w:szCs w:val="19"/>
                <w:lang w:val="es-ES" w:eastAsia="es-ES"/>
              </w:rPr>
            </w:pPr>
            <w:r w:rsidRPr="009B216E">
              <w:rPr>
                <w:rFonts w:cs="Calibri"/>
                <w:sz w:val="19"/>
                <w:szCs w:val="19"/>
              </w:rPr>
              <w:t>22,4</w:t>
            </w:r>
          </w:p>
        </w:tc>
        <w:tc>
          <w:tcPr>
            <w:tcW w:w="559" w:type="pct"/>
            <w:tcBorders>
              <w:top w:val="single" w:sz="4" w:space="0" w:color="000000"/>
              <w:left w:val="nil"/>
              <w:bottom w:val="single" w:sz="2" w:space="0" w:color="000000"/>
              <w:right w:val="nil"/>
            </w:tcBorders>
            <w:shd w:val="clear" w:color="auto" w:fill="auto"/>
            <w:vAlign w:val="center"/>
            <w:hideMark/>
          </w:tcPr>
          <w:p w14:paraId="60FB9E93" w14:textId="77777777" w:rsidR="0088085F" w:rsidRPr="009B216E" w:rsidRDefault="0088085F" w:rsidP="005434E5">
            <w:pPr>
              <w:pStyle w:val="cuatexto"/>
              <w:jc w:val="right"/>
              <w:rPr>
                <w:rFonts w:cs="Calibri"/>
                <w:sz w:val="19"/>
                <w:szCs w:val="19"/>
                <w:lang w:val="es-ES" w:eastAsia="es-ES"/>
              </w:rPr>
            </w:pPr>
            <w:r w:rsidRPr="009B216E">
              <w:rPr>
                <w:rFonts w:cs="Calibri"/>
                <w:sz w:val="19"/>
                <w:szCs w:val="19"/>
              </w:rPr>
              <w:t>105</w:t>
            </w:r>
          </w:p>
        </w:tc>
        <w:tc>
          <w:tcPr>
            <w:tcW w:w="553" w:type="pct"/>
            <w:tcBorders>
              <w:top w:val="single" w:sz="4" w:space="0" w:color="000000"/>
              <w:left w:val="nil"/>
              <w:bottom w:val="single" w:sz="2" w:space="0" w:color="000000"/>
              <w:right w:val="nil"/>
            </w:tcBorders>
            <w:shd w:val="clear" w:color="auto" w:fill="auto"/>
            <w:noWrap/>
            <w:vAlign w:val="center"/>
            <w:hideMark/>
          </w:tcPr>
          <w:p w14:paraId="2FFF5E3F" w14:textId="77777777" w:rsidR="0088085F" w:rsidRPr="009B216E" w:rsidRDefault="0088085F" w:rsidP="005434E5">
            <w:pPr>
              <w:pStyle w:val="cuatexto"/>
              <w:jc w:val="right"/>
              <w:rPr>
                <w:rFonts w:cs="Calibri"/>
                <w:color w:val="000000"/>
                <w:sz w:val="19"/>
                <w:szCs w:val="19"/>
                <w:lang w:val="es-ES" w:eastAsia="es-ES"/>
              </w:rPr>
            </w:pPr>
            <w:r w:rsidRPr="009B216E">
              <w:rPr>
                <w:rFonts w:cs="Calibri"/>
                <w:color w:val="000000"/>
                <w:sz w:val="19"/>
                <w:szCs w:val="19"/>
              </w:rPr>
              <w:t>3</w:t>
            </w:r>
          </w:p>
        </w:tc>
        <w:tc>
          <w:tcPr>
            <w:tcW w:w="471" w:type="pct"/>
            <w:tcBorders>
              <w:top w:val="single" w:sz="4" w:space="0" w:color="000000"/>
              <w:left w:val="nil"/>
              <w:bottom w:val="single" w:sz="2" w:space="0" w:color="000000"/>
              <w:right w:val="nil"/>
            </w:tcBorders>
            <w:vAlign w:val="center"/>
          </w:tcPr>
          <w:p w14:paraId="72CF5F7D" w14:textId="77777777" w:rsidR="0088085F" w:rsidRPr="009B216E" w:rsidRDefault="0088085F" w:rsidP="005434E5">
            <w:pPr>
              <w:pStyle w:val="cuatexto"/>
              <w:jc w:val="right"/>
              <w:rPr>
                <w:rFonts w:cs="Calibri"/>
                <w:color w:val="000000"/>
                <w:sz w:val="19"/>
                <w:szCs w:val="19"/>
                <w:lang w:val="es-ES" w:eastAsia="es-ES"/>
              </w:rPr>
            </w:pPr>
            <w:r w:rsidRPr="009B216E">
              <w:rPr>
                <w:rFonts w:cs="Calibri"/>
                <w:color w:val="000000"/>
                <w:sz w:val="19"/>
                <w:szCs w:val="19"/>
              </w:rPr>
              <w:t>199,26</w:t>
            </w:r>
          </w:p>
        </w:tc>
      </w:tr>
      <w:tr w:rsidR="009B216E" w:rsidRPr="009B216E" w14:paraId="7E5B1A39" w14:textId="77777777" w:rsidTr="005434E5">
        <w:trPr>
          <w:trHeight w:hRule="exact" w:val="238"/>
          <w:jc w:val="center"/>
        </w:trPr>
        <w:tc>
          <w:tcPr>
            <w:tcW w:w="1837" w:type="pct"/>
            <w:tcBorders>
              <w:top w:val="single" w:sz="2" w:space="0" w:color="000000"/>
              <w:left w:val="nil"/>
              <w:bottom w:val="single" w:sz="2" w:space="0" w:color="000000"/>
              <w:right w:val="nil"/>
            </w:tcBorders>
            <w:shd w:val="clear" w:color="auto" w:fill="auto"/>
            <w:vAlign w:val="center"/>
            <w:hideMark/>
          </w:tcPr>
          <w:p w14:paraId="4A703E0F" w14:textId="77777777" w:rsidR="0088085F" w:rsidRPr="009B216E" w:rsidRDefault="0088085F" w:rsidP="005434E5">
            <w:pPr>
              <w:pStyle w:val="cuatexto"/>
              <w:jc w:val="left"/>
              <w:rPr>
                <w:sz w:val="19"/>
                <w:szCs w:val="19"/>
                <w:lang w:val="es-ES" w:eastAsia="es-ES"/>
              </w:rPr>
            </w:pPr>
            <w:r w:rsidRPr="009B216E">
              <w:rPr>
                <w:sz w:val="19"/>
                <w:szCs w:val="19"/>
                <w:lang w:val="es-ES" w:eastAsia="es-ES"/>
              </w:rPr>
              <w:t>2   Impuestos indirectos</w:t>
            </w:r>
          </w:p>
        </w:tc>
        <w:tc>
          <w:tcPr>
            <w:tcW w:w="582" w:type="pct"/>
            <w:tcBorders>
              <w:top w:val="single" w:sz="2" w:space="0" w:color="000000"/>
              <w:left w:val="nil"/>
              <w:bottom w:val="single" w:sz="2" w:space="0" w:color="000000"/>
              <w:right w:val="nil"/>
            </w:tcBorders>
            <w:shd w:val="clear" w:color="auto" w:fill="auto"/>
            <w:vAlign w:val="center"/>
            <w:hideMark/>
          </w:tcPr>
          <w:p w14:paraId="4F09B099"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22,51</w:t>
            </w:r>
          </w:p>
        </w:tc>
        <w:tc>
          <w:tcPr>
            <w:tcW w:w="463" w:type="pct"/>
            <w:tcBorders>
              <w:top w:val="single" w:sz="2" w:space="0" w:color="000000"/>
              <w:left w:val="nil"/>
              <w:bottom w:val="single" w:sz="2" w:space="0" w:color="000000"/>
              <w:right w:val="nil"/>
            </w:tcBorders>
            <w:shd w:val="clear" w:color="auto" w:fill="auto"/>
            <w:vAlign w:val="center"/>
            <w:hideMark/>
          </w:tcPr>
          <w:p w14:paraId="41C8ADAE"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33,88</w:t>
            </w:r>
          </w:p>
        </w:tc>
        <w:tc>
          <w:tcPr>
            <w:tcW w:w="536" w:type="pct"/>
            <w:tcBorders>
              <w:top w:val="single" w:sz="2" w:space="0" w:color="000000"/>
              <w:left w:val="nil"/>
              <w:bottom w:val="single" w:sz="2" w:space="0" w:color="000000"/>
              <w:right w:val="nil"/>
            </w:tcBorders>
            <w:shd w:val="clear" w:color="auto" w:fill="auto"/>
            <w:vAlign w:val="center"/>
            <w:hideMark/>
          </w:tcPr>
          <w:p w14:paraId="4ABBCCB8" w14:textId="77777777" w:rsidR="0088085F" w:rsidRPr="009B216E" w:rsidRDefault="0088085F" w:rsidP="005434E5">
            <w:pPr>
              <w:pStyle w:val="cuatexto"/>
              <w:jc w:val="right"/>
              <w:rPr>
                <w:rFonts w:cs="Calibri"/>
                <w:sz w:val="19"/>
                <w:szCs w:val="19"/>
              </w:rPr>
            </w:pPr>
            <w:r w:rsidRPr="009B216E">
              <w:rPr>
                <w:rFonts w:cs="Calibri"/>
                <w:sz w:val="19"/>
                <w:szCs w:val="19"/>
              </w:rPr>
              <w:t>3,8</w:t>
            </w:r>
          </w:p>
        </w:tc>
        <w:tc>
          <w:tcPr>
            <w:tcW w:w="559" w:type="pct"/>
            <w:tcBorders>
              <w:top w:val="single" w:sz="2" w:space="0" w:color="000000"/>
              <w:left w:val="nil"/>
              <w:bottom w:val="single" w:sz="2" w:space="0" w:color="000000"/>
              <w:right w:val="nil"/>
            </w:tcBorders>
            <w:shd w:val="clear" w:color="auto" w:fill="auto"/>
            <w:vAlign w:val="center"/>
            <w:hideMark/>
          </w:tcPr>
          <w:p w14:paraId="21A986E3" w14:textId="77777777" w:rsidR="0088085F" w:rsidRPr="009B216E" w:rsidRDefault="0088085F" w:rsidP="005434E5">
            <w:pPr>
              <w:pStyle w:val="cuatexto"/>
              <w:jc w:val="right"/>
              <w:rPr>
                <w:rFonts w:cs="Calibri"/>
                <w:sz w:val="19"/>
                <w:szCs w:val="19"/>
              </w:rPr>
            </w:pPr>
            <w:r w:rsidRPr="009B216E">
              <w:rPr>
                <w:rFonts w:cs="Calibri"/>
                <w:sz w:val="19"/>
                <w:szCs w:val="19"/>
              </w:rPr>
              <w:t>150</w:t>
            </w:r>
          </w:p>
        </w:tc>
        <w:tc>
          <w:tcPr>
            <w:tcW w:w="553" w:type="pct"/>
            <w:tcBorders>
              <w:top w:val="single" w:sz="2" w:space="0" w:color="000000"/>
              <w:left w:val="nil"/>
              <w:bottom w:val="single" w:sz="2" w:space="0" w:color="000000"/>
              <w:right w:val="nil"/>
            </w:tcBorders>
            <w:shd w:val="clear" w:color="auto" w:fill="auto"/>
            <w:noWrap/>
            <w:vAlign w:val="center"/>
            <w:hideMark/>
          </w:tcPr>
          <w:p w14:paraId="7FA87659"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17</w:t>
            </w:r>
          </w:p>
        </w:tc>
        <w:tc>
          <w:tcPr>
            <w:tcW w:w="471" w:type="pct"/>
            <w:tcBorders>
              <w:top w:val="single" w:sz="2" w:space="0" w:color="000000"/>
              <w:left w:val="nil"/>
              <w:bottom w:val="single" w:sz="2" w:space="0" w:color="000000"/>
              <w:right w:val="nil"/>
            </w:tcBorders>
            <w:vAlign w:val="center"/>
          </w:tcPr>
          <w:p w14:paraId="7CD123E6"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33,88</w:t>
            </w:r>
          </w:p>
        </w:tc>
      </w:tr>
      <w:tr w:rsidR="009B216E" w:rsidRPr="009B216E" w14:paraId="3B838328" w14:textId="77777777" w:rsidTr="005434E5">
        <w:trPr>
          <w:trHeight w:hRule="exact" w:val="238"/>
          <w:jc w:val="center"/>
        </w:trPr>
        <w:tc>
          <w:tcPr>
            <w:tcW w:w="1837" w:type="pct"/>
            <w:tcBorders>
              <w:top w:val="single" w:sz="2" w:space="0" w:color="000000"/>
              <w:left w:val="nil"/>
              <w:bottom w:val="single" w:sz="2" w:space="0" w:color="000000"/>
              <w:right w:val="nil"/>
            </w:tcBorders>
            <w:shd w:val="clear" w:color="auto" w:fill="auto"/>
            <w:vAlign w:val="center"/>
            <w:hideMark/>
          </w:tcPr>
          <w:p w14:paraId="0809FDAA" w14:textId="77777777" w:rsidR="0088085F" w:rsidRPr="009B216E" w:rsidRDefault="0088085F" w:rsidP="005434E5">
            <w:pPr>
              <w:pStyle w:val="cuatexto"/>
              <w:jc w:val="left"/>
              <w:rPr>
                <w:sz w:val="19"/>
                <w:szCs w:val="19"/>
                <w:lang w:val="es-ES" w:eastAsia="es-ES"/>
              </w:rPr>
            </w:pPr>
            <w:r w:rsidRPr="009B216E">
              <w:rPr>
                <w:sz w:val="19"/>
                <w:szCs w:val="19"/>
                <w:lang w:val="es-ES" w:eastAsia="es-ES"/>
              </w:rPr>
              <w:t xml:space="preserve">3  Tasas, precios </w:t>
            </w:r>
            <w:proofErr w:type="spellStart"/>
            <w:r w:rsidRPr="009B216E">
              <w:rPr>
                <w:sz w:val="19"/>
                <w:szCs w:val="19"/>
                <w:lang w:val="es-ES" w:eastAsia="es-ES"/>
              </w:rPr>
              <w:t>púbcos</w:t>
            </w:r>
            <w:proofErr w:type="spellEnd"/>
            <w:r w:rsidRPr="009B216E">
              <w:rPr>
                <w:sz w:val="19"/>
                <w:szCs w:val="19"/>
                <w:lang w:val="es-ES" w:eastAsia="es-ES"/>
              </w:rPr>
              <w:t xml:space="preserve"> y otros ingresos</w:t>
            </w:r>
          </w:p>
        </w:tc>
        <w:tc>
          <w:tcPr>
            <w:tcW w:w="582" w:type="pct"/>
            <w:tcBorders>
              <w:top w:val="single" w:sz="2" w:space="0" w:color="000000"/>
              <w:left w:val="nil"/>
              <w:bottom w:val="single" w:sz="2" w:space="0" w:color="000000"/>
              <w:right w:val="nil"/>
            </w:tcBorders>
            <w:shd w:val="clear" w:color="auto" w:fill="auto"/>
            <w:vAlign w:val="center"/>
            <w:hideMark/>
          </w:tcPr>
          <w:p w14:paraId="0255071A"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158,10</w:t>
            </w:r>
          </w:p>
        </w:tc>
        <w:tc>
          <w:tcPr>
            <w:tcW w:w="463" w:type="pct"/>
            <w:tcBorders>
              <w:top w:val="single" w:sz="2" w:space="0" w:color="000000"/>
              <w:left w:val="nil"/>
              <w:bottom w:val="single" w:sz="2" w:space="0" w:color="000000"/>
              <w:right w:val="nil"/>
            </w:tcBorders>
            <w:shd w:val="clear" w:color="auto" w:fill="auto"/>
            <w:vAlign w:val="center"/>
            <w:hideMark/>
          </w:tcPr>
          <w:p w14:paraId="12FE2798"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168,95</w:t>
            </w:r>
          </w:p>
        </w:tc>
        <w:tc>
          <w:tcPr>
            <w:tcW w:w="536" w:type="pct"/>
            <w:tcBorders>
              <w:top w:val="single" w:sz="2" w:space="0" w:color="000000"/>
              <w:left w:val="nil"/>
              <w:bottom w:val="single" w:sz="2" w:space="0" w:color="000000"/>
              <w:right w:val="nil"/>
            </w:tcBorders>
            <w:shd w:val="clear" w:color="auto" w:fill="auto"/>
            <w:vAlign w:val="center"/>
            <w:hideMark/>
          </w:tcPr>
          <w:p w14:paraId="3B41C012" w14:textId="77777777" w:rsidR="0088085F" w:rsidRPr="009B216E" w:rsidRDefault="0088085F" w:rsidP="005434E5">
            <w:pPr>
              <w:pStyle w:val="cuatexto"/>
              <w:jc w:val="right"/>
              <w:rPr>
                <w:rFonts w:cs="Calibri"/>
                <w:sz w:val="19"/>
                <w:szCs w:val="19"/>
              </w:rPr>
            </w:pPr>
            <w:r w:rsidRPr="009B216E">
              <w:rPr>
                <w:rFonts w:cs="Calibri"/>
                <w:sz w:val="19"/>
                <w:szCs w:val="19"/>
              </w:rPr>
              <w:t>19,0</w:t>
            </w:r>
          </w:p>
        </w:tc>
        <w:tc>
          <w:tcPr>
            <w:tcW w:w="559" w:type="pct"/>
            <w:tcBorders>
              <w:top w:val="single" w:sz="2" w:space="0" w:color="000000"/>
              <w:left w:val="nil"/>
              <w:bottom w:val="single" w:sz="2" w:space="0" w:color="000000"/>
              <w:right w:val="nil"/>
            </w:tcBorders>
            <w:shd w:val="clear" w:color="auto" w:fill="auto"/>
            <w:vAlign w:val="center"/>
            <w:hideMark/>
          </w:tcPr>
          <w:p w14:paraId="647258D0" w14:textId="77777777" w:rsidR="0088085F" w:rsidRPr="009B216E" w:rsidRDefault="0088085F" w:rsidP="005434E5">
            <w:pPr>
              <w:pStyle w:val="cuatexto"/>
              <w:jc w:val="right"/>
              <w:rPr>
                <w:rFonts w:cs="Calibri"/>
                <w:sz w:val="19"/>
                <w:szCs w:val="19"/>
              </w:rPr>
            </w:pPr>
            <w:r w:rsidRPr="009B216E">
              <w:rPr>
                <w:rFonts w:cs="Calibri"/>
                <w:sz w:val="19"/>
                <w:szCs w:val="19"/>
              </w:rPr>
              <w:t>107</w:t>
            </w:r>
          </w:p>
        </w:tc>
        <w:tc>
          <w:tcPr>
            <w:tcW w:w="553" w:type="pct"/>
            <w:tcBorders>
              <w:top w:val="single" w:sz="2" w:space="0" w:color="000000"/>
              <w:left w:val="nil"/>
              <w:bottom w:val="single" w:sz="2" w:space="0" w:color="000000"/>
              <w:right w:val="nil"/>
            </w:tcBorders>
            <w:shd w:val="clear" w:color="auto" w:fill="auto"/>
            <w:noWrap/>
            <w:vAlign w:val="center"/>
            <w:hideMark/>
          </w:tcPr>
          <w:p w14:paraId="11C62172"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4</w:t>
            </w:r>
          </w:p>
        </w:tc>
        <w:tc>
          <w:tcPr>
            <w:tcW w:w="471" w:type="pct"/>
            <w:tcBorders>
              <w:top w:val="single" w:sz="2" w:space="0" w:color="000000"/>
              <w:left w:val="nil"/>
              <w:bottom w:val="single" w:sz="2" w:space="0" w:color="000000"/>
              <w:right w:val="nil"/>
            </w:tcBorders>
            <w:vAlign w:val="center"/>
          </w:tcPr>
          <w:p w14:paraId="78FDCBE2"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230,71</w:t>
            </w:r>
          </w:p>
        </w:tc>
      </w:tr>
      <w:tr w:rsidR="009B216E" w:rsidRPr="009B216E" w14:paraId="6A2294E1" w14:textId="77777777" w:rsidTr="005434E5">
        <w:trPr>
          <w:trHeight w:hRule="exact" w:val="238"/>
          <w:jc w:val="center"/>
        </w:trPr>
        <w:tc>
          <w:tcPr>
            <w:tcW w:w="1837" w:type="pct"/>
            <w:tcBorders>
              <w:top w:val="single" w:sz="2" w:space="0" w:color="000000"/>
              <w:left w:val="nil"/>
              <w:bottom w:val="single" w:sz="2" w:space="0" w:color="000000"/>
              <w:right w:val="nil"/>
            </w:tcBorders>
            <w:shd w:val="clear" w:color="auto" w:fill="auto"/>
            <w:vAlign w:val="center"/>
            <w:hideMark/>
          </w:tcPr>
          <w:p w14:paraId="3F4B584B" w14:textId="77777777" w:rsidR="0088085F" w:rsidRPr="009B216E" w:rsidRDefault="0088085F" w:rsidP="005434E5">
            <w:pPr>
              <w:pStyle w:val="cuatexto"/>
              <w:jc w:val="left"/>
              <w:rPr>
                <w:sz w:val="19"/>
                <w:szCs w:val="19"/>
                <w:lang w:val="es-ES" w:eastAsia="es-ES"/>
              </w:rPr>
            </w:pPr>
            <w:r w:rsidRPr="009B216E">
              <w:rPr>
                <w:sz w:val="19"/>
                <w:szCs w:val="19"/>
                <w:lang w:val="es-ES" w:eastAsia="es-ES"/>
              </w:rPr>
              <w:t>4   Transferencias corrientes</w:t>
            </w:r>
          </w:p>
        </w:tc>
        <w:tc>
          <w:tcPr>
            <w:tcW w:w="582" w:type="pct"/>
            <w:tcBorders>
              <w:top w:val="single" w:sz="2" w:space="0" w:color="000000"/>
              <w:left w:val="nil"/>
              <w:bottom w:val="single" w:sz="2" w:space="0" w:color="000000"/>
              <w:right w:val="nil"/>
            </w:tcBorders>
            <w:shd w:val="clear" w:color="auto" w:fill="auto"/>
            <w:vAlign w:val="center"/>
            <w:hideMark/>
          </w:tcPr>
          <w:p w14:paraId="48870904"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338,90</w:t>
            </w:r>
          </w:p>
        </w:tc>
        <w:tc>
          <w:tcPr>
            <w:tcW w:w="463" w:type="pct"/>
            <w:tcBorders>
              <w:top w:val="single" w:sz="2" w:space="0" w:color="000000"/>
              <w:left w:val="nil"/>
              <w:bottom w:val="single" w:sz="2" w:space="0" w:color="000000"/>
              <w:right w:val="nil"/>
            </w:tcBorders>
            <w:shd w:val="clear" w:color="auto" w:fill="auto"/>
            <w:vAlign w:val="center"/>
            <w:hideMark/>
          </w:tcPr>
          <w:p w14:paraId="7F71BB23"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340,59</w:t>
            </w:r>
          </w:p>
        </w:tc>
        <w:tc>
          <w:tcPr>
            <w:tcW w:w="536" w:type="pct"/>
            <w:tcBorders>
              <w:top w:val="single" w:sz="2" w:space="0" w:color="000000"/>
              <w:left w:val="nil"/>
              <w:bottom w:val="single" w:sz="2" w:space="0" w:color="000000"/>
              <w:right w:val="nil"/>
            </w:tcBorders>
            <w:shd w:val="clear" w:color="auto" w:fill="auto"/>
            <w:vAlign w:val="center"/>
            <w:hideMark/>
          </w:tcPr>
          <w:p w14:paraId="49252201" w14:textId="77777777" w:rsidR="0088085F" w:rsidRPr="009B216E" w:rsidRDefault="0088085F" w:rsidP="005434E5">
            <w:pPr>
              <w:pStyle w:val="cuatexto"/>
              <w:jc w:val="right"/>
              <w:rPr>
                <w:rFonts w:cs="Calibri"/>
                <w:sz w:val="19"/>
                <w:szCs w:val="19"/>
              </w:rPr>
            </w:pPr>
            <w:r w:rsidRPr="009B216E">
              <w:rPr>
                <w:rFonts w:cs="Calibri"/>
                <w:sz w:val="19"/>
                <w:szCs w:val="19"/>
              </w:rPr>
              <w:t>38,2</w:t>
            </w:r>
          </w:p>
        </w:tc>
        <w:tc>
          <w:tcPr>
            <w:tcW w:w="559" w:type="pct"/>
            <w:tcBorders>
              <w:top w:val="single" w:sz="2" w:space="0" w:color="000000"/>
              <w:left w:val="nil"/>
              <w:bottom w:val="single" w:sz="2" w:space="0" w:color="000000"/>
              <w:right w:val="nil"/>
            </w:tcBorders>
            <w:shd w:val="clear" w:color="auto" w:fill="auto"/>
            <w:vAlign w:val="center"/>
            <w:hideMark/>
          </w:tcPr>
          <w:p w14:paraId="3096569B" w14:textId="77777777" w:rsidR="0088085F" w:rsidRPr="009B216E" w:rsidRDefault="0088085F" w:rsidP="005434E5">
            <w:pPr>
              <w:pStyle w:val="cuatexto"/>
              <w:jc w:val="right"/>
              <w:rPr>
                <w:rFonts w:cs="Calibri"/>
                <w:sz w:val="19"/>
                <w:szCs w:val="19"/>
              </w:rPr>
            </w:pPr>
            <w:r w:rsidRPr="009B216E">
              <w:rPr>
                <w:rFonts w:cs="Calibri"/>
                <w:sz w:val="19"/>
                <w:szCs w:val="19"/>
              </w:rPr>
              <w:t>100</w:t>
            </w:r>
          </w:p>
        </w:tc>
        <w:tc>
          <w:tcPr>
            <w:tcW w:w="553" w:type="pct"/>
            <w:tcBorders>
              <w:top w:val="single" w:sz="2" w:space="0" w:color="000000"/>
              <w:left w:val="nil"/>
              <w:bottom w:val="single" w:sz="2" w:space="0" w:color="000000"/>
              <w:right w:val="nil"/>
            </w:tcBorders>
            <w:shd w:val="clear" w:color="auto" w:fill="auto"/>
            <w:noWrap/>
            <w:vAlign w:val="center"/>
            <w:hideMark/>
          </w:tcPr>
          <w:p w14:paraId="128554C6"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5</w:t>
            </w:r>
          </w:p>
        </w:tc>
        <w:tc>
          <w:tcPr>
            <w:tcW w:w="471" w:type="pct"/>
            <w:tcBorders>
              <w:top w:val="single" w:sz="2" w:space="0" w:color="000000"/>
              <w:left w:val="nil"/>
              <w:bottom w:val="single" w:sz="2" w:space="0" w:color="000000"/>
              <w:right w:val="nil"/>
            </w:tcBorders>
            <w:vAlign w:val="center"/>
          </w:tcPr>
          <w:p w14:paraId="2011E8F4"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347,59</w:t>
            </w:r>
          </w:p>
        </w:tc>
      </w:tr>
      <w:tr w:rsidR="009B216E" w:rsidRPr="009B216E" w14:paraId="4EE6F961" w14:textId="77777777" w:rsidTr="005434E5">
        <w:trPr>
          <w:trHeight w:hRule="exact" w:val="238"/>
          <w:jc w:val="center"/>
        </w:trPr>
        <w:tc>
          <w:tcPr>
            <w:tcW w:w="1837" w:type="pct"/>
            <w:tcBorders>
              <w:top w:val="single" w:sz="2" w:space="0" w:color="000000"/>
              <w:left w:val="nil"/>
              <w:bottom w:val="single" w:sz="4" w:space="0" w:color="000000"/>
              <w:right w:val="nil"/>
            </w:tcBorders>
            <w:shd w:val="clear" w:color="auto" w:fill="auto"/>
            <w:vAlign w:val="center"/>
            <w:hideMark/>
          </w:tcPr>
          <w:p w14:paraId="4BB67D70" w14:textId="77777777" w:rsidR="0088085F" w:rsidRPr="009B216E" w:rsidRDefault="0088085F" w:rsidP="005434E5">
            <w:pPr>
              <w:pStyle w:val="cuatexto"/>
              <w:jc w:val="left"/>
              <w:rPr>
                <w:sz w:val="19"/>
                <w:szCs w:val="19"/>
                <w:lang w:val="es-ES" w:eastAsia="es-ES"/>
              </w:rPr>
            </w:pPr>
            <w:r w:rsidRPr="009B216E">
              <w:rPr>
                <w:sz w:val="19"/>
                <w:szCs w:val="19"/>
                <w:lang w:val="es-ES" w:eastAsia="es-ES"/>
              </w:rPr>
              <w:t>5   Ingresos  patrimoniales  y aprovechamientos comunales</w:t>
            </w:r>
          </w:p>
        </w:tc>
        <w:tc>
          <w:tcPr>
            <w:tcW w:w="582" w:type="pct"/>
            <w:tcBorders>
              <w:top w:val="single" w:sz="2" w:space="0" w:color="000000"/>
              <w:left w:val="nil"/>
              <w:bottom w:val="single" w:sz="4" w:space="0" w:color="000000"/>
              <w:right w:val="nil"/>
            </w:tcBorders>
            <w:shd w:val="clear" w:color="auto" w:fill="auto"/>
            <w:vAlign w:val="center"/>
            <w:hideMark/>
          </w:tcPr>
          <w:p w14:paraId="32F71BA3"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51,35</w:t>
            </w:r>
          </w:p>
        </w:tc>
        <w:tc>
          <w:tcPr>
            <w:tcW w:w="463" w:type="pct"/>
            <w:tcBorders>
              <w:top w:val="single" w:sz="2" w:space="0" w:color="000000"/>
              <w:left w:val="nil"/>
              <w:bottom w:val="single" w:sz="4" w:space="0" w:color="000000"/>
              <w:right w:val="nil"/>
            </w:tcBorders>
            <w:shd w:val="clear" w:color="auto" w:fill="auto"/>
            <w:vAlign w:val="center"/>
            <w:hideMark/>
          </w:tcPr>
          <w:p w14:paraId="4CEC0FE9"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48,92</w:t>
            </w:r>
          </w:p>
        </w:tc>
        <w:tc>
          <w:tcPr>
            <w:tcW w:w="536" w:type="pct"/>
            <w:tcBorders>
              <w:top w:val="single" w:sz="2" w:space="0" w:color="000000"/>
              <w:left w:val="nil"/>
              <w:bottom w:val="single" w:sz="4" w:space="0" w:color="000000"/>
              <w:right w:val="nil"/>
            </w:tcBorders>
            <w:shd w:val="clear" w:color="auto" w:fill="auto"/>
            <w:vAlign w:val="center"/>
            <w:hideMark/>
          </w:tcPr>
          <w:p w14:paraId="172B335E" w14:textId="77777777" w:rsidR="0088085F" w:rsidRPr="009B216E" w:rsidRDefault="0088085F" w:rsidP="005434E5">
            <w:pPr>
              <w:pStyle w:val="cuatexto"/>
              <w:jc w:val="right"/>
              <w:rPr>
                <w:rFonts w:cs="Calibri"/>
                <w:sz w:val="19"/>
                <w:szCs w:val="19"/>
              </w:rPr>
            </w:pPr>
            <w:r w:rsidRPr="009B216E">
              <w:rPr>
                <w:rFonts w:cs="Calibri"/>
                <w:sz w:val="19"/>
                <w:szCs w:val="19"/>
              </w:rPr>
              <w:t>5,5</w:t>
            </w:r>
          </w:p>
        </w:tc>
        <w:tc>
          <w:tcPr>
            <w:tcW w:w="559" w:type="pct"/>
            <w:tcBorders>
              <w:top w:val="single" w:sz="2" w:space="0" w:color="000000"/>
              <w:left w:val="nil"/>
              <w:bottom w:val="single" w:sz="4" w:space="0" w:color="000000"/>
              <w:right w:val="nil"/>
            </w:tcBorders>
            <w:shd w:val="clear" w:color="auto" w:fill="auto"/>
            <w:vAlign w:val="center"/>
            <w:hideMark/>
          </w:tcPr>
          <w:p w14:paraId="6F5E48D4" w14:textId="77777777" w:rsidR="0088085F" w:rsidRPr="009B216E" w:rsidRDefault="0088085F" w:rsidP="005434E5">
            <w:pPr>
              <w:pStyle w:val="cuatexto"/>
              <w:jc w:val="right"/>
              <w:rPr>
                <w:rFonts w:cs="Calibri"/>
                <w:sz w:val="19"/>
                <w:szCs w:val="19"/>
              </w:rPr>
            </w:pPr>
            <w:r w:rsidRPr="009B216E">
              <w:rPr>
                <w:rFonts w:cs="Calibri"/>
                <w:sz w:val="19"/>
                <w:szCs w:val="19"/>
              </w:rPr>
              <w:t>95</w:t>
            </w:r>
          </w:p>
        </w:tc>
        <w:tc>
          <w:tcPr>
            <w:tcW w:w="553" w:type="pct"/>
            <w:tcBorders>
              <w:top w:val="single" w:sz="2" w:space="0" w:color="000000"/>
              <w:left w:val="nil"/>
              <w:bottom w:val="single" w:sz="4" w:space="0" w:color="000000"/>
              <w:right w:val="nil"/>
            </w:tcBorders>
            <w:shd w:val="clear" w:color="auto" w:fill="auto"/>
            <w:noWrap/>
            <w:vAlign w:val="center"/>
            <w:hideMark/>
          </w:tcPr>
          <w:p w14:paraId="0F1CE940"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10</w:t>
            </w:r>
          </w:p>
        </w:tc>
        <w:tc>
          <w:tcPr>
            <w:tcW w:w="471" w:type="pct"/>
            <w:tcBorders>
              <w:top w:val="single" w:sz="2" w:space="0" w:color="000000"/>
              <w:left w:val="nil"/>
              <w:bottom w:val="single" w:sz="4" w:space="0" w:color="000000"/>
              <w:right w:val="nil"/>
            </w:tcBorders>
            <w:vAlign w:val="center"/>
          </w:tcPr>
          <w:p w14:paraId="632CF605"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48,97</w:t>
            </w:r>
          </w:p>
        </w:tc>
      </w:tr>
      <w:tr w:rsidR="009B216E" w:rsidRPr="005434E5" w14:paraId="1002EA6F" w14:textId="77777777" w:rsidTr="005434E5">
        <w:trPr>
          <w:trHeight w:hRule="exact" w:val="238"/>
          <w:jc w:val="center"/>
        </w:trPr>
        <w:tc>
          <w:tcPr>
            <w:tcW w:w="1837" w:type="pct"/>
            <w:tcBorders>
              <w:top w:val="single" w:sz="4" w:space="0" w:color="000000"/>
              <w:left w:val="nil"/>
              <w:bottom w:val="single" w:sz="4" w:space="0" w:color="000000"/>
              <w:right w:val="nil"/>
            </w:tcBorders>
            <w:shd w:val="clear" w:color="auto" w:fill="auto"/>
            <w:vAlign w:val="center"/>
            <w:hideMark/>
          </w:tcPr>
          <w:p w14:paraId="0DF9D6BB" w14:textId="77777777" w:rsidR="0088085F" w:rsidRPr="005434E5" w:rsidRDefault="0088085F" w:rsidP="005434E5">
            <w:pPr>
              <w:pStyle w:val="cuatexto"/>
              <w:jc w:val="left"/>
              <w:rPr>
                <w:b/>
                <w:iCs/>
                <w:sz w:val="19"/>
                <w:szCs w:val="19"/>
                <w:lang w:val="es-ES" w:eastAsia="es-ES"/>
              </w:rPr>
            </w:pPr>
            <w:r w:rsidRPr="005434E5">
              <w:rPr>
                <w:b/>
                <w:iCs/>
                <w:sz w:val="19"/>
                <w:szCs w:val="19"/>
                <w:lang w:val="es-ES" w:eastAsia="es-ES"/>
              </w:rPr>
              <w:t xml:space="preserve">     Ingresos corrientes</w:t>
            </w:r>
          </w:p>
        </w:tc>
        <w:tc>
          <w:tcPr>
            <w:tcW w:w="582" w:type="pct"/>
            <w:tcBorders>
              <w:top w:val="single" w:sz="4" w:space="0" w:color="000000"/>
              <w:left w:val="nil"/>
              <w:bottom w:val="single" w:sz="4" w:space="0" w:color="000000"/>
              <w:right w:val="nil"/>
            </w:tcBorders>
            <w:shd w:val="clear" w:color="auto" w:fill="auto"/>
            <w:vAlign w:val="center"/>
            <w:hideMark/>
          </w:tcPr>
          <w:p w14:paraId="44AF8B44"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760,48</w:t>
            </w:r>
          </w:p>
        </w:tc>
        <w:tc>
          <w:tcPr>
            <w:tcW w:w="463" w:type="pct"/>
            <w:tcBorders>
              <w:top w:val="single" w:sz="4" w:space="0" w:color="000000"/>
              <w:left w:val="nil"/>
              <w:bottom w:val="single" w:sz="4" w:space="0" w:color="000000"/>
              <w:right w:val="nil"/>
            </w:tcBorders>
            <w:shd w:val="clear" w:color="auto" w:fill="auto"/>
            <w:vAlign w:val="center"/>
            <w:hideMark/>
          </w:tcPr>
          <w:p w14:paraId="1D7E868C"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791,59</w:t>
            </w:r>
          </w:p>
        </w:tc>
        <w:tc>
          <w:tcPr>
            <w:tcW w:w="536" w:type="pct"/>
            <w:tcBorders>
              <w:top w:val="single" w:sz="4" w:space="0" w:color="000000"/>
              <w:left w:val="nil"/>
              <w:bottom w:val="single" w:sz="4" w:space="0" w:color="000000"/>
              <w:right w:val="nil"/>
            </w:tcBorders>
            <w:shd w:val="clear" w:color="auto" w:fill="auto"/>
            <w:vAlign w:val="center"/>
            <w:hideMark/>
          </w:tcPr>
          <w:p w14:paraId="19FC7058" w14:textId="77777777" w:rsidR="0088085F" w:rsidRPr="005434E5" w:rsidRDefault="0088085F" w:rsidP="005434E5">
            <w:pPr>
              <w:pStyle w:val="cuatexto"/>
              <w:jc w:val="right"/>
              <w:rPr>
                <w:rFonts w:cs="Calibri"/>
                <w:b/>
                <w:bCs/>
                <w:iCs/>
                <w:sz w:val="19"/>
                <w:szCs w:val="19"/>
              </w:rPr>
            </w:pPr>
            <w:r w:rsidRPr="005434E5">
              <w:rPr>
                <w:rFonts w:cs="Calibri"/>
                <w:b/>
                <w:bCs/>
                <w:iCs/>
                <w:sz w:val="19"/>
                <w:szCs w:val="19"/>
              </w:rPr>
              <w:t>88,8</w:t>
            </w:r>
          </w:p>
        </w:tc>
        <w:tc>
          <w:tcPr>
            <w:tcW w:w="559" w:type="pct"/>
            <w:tcBorders>
              <w:top w:val="single" w:sz="4" w:space="0" w:color="000000"/>
              <w:left w:val="nil"/>
              <w:bottom w:val="single" w:sz="4" w:space="0" w:color="000000"/>
              <w:right w:val="nil"/>
            </w:tcBorders>
            <w:shd w:val="clear" w:color="auto" w:fill="auto"/>
            <w:vAlign w:val="center"/>
            <w:hideMark/>
          </w:tcPr>
          <w:p w14:paraId="046E9E63" w14:textId="77777777" w:rsidR="0088085F" w:rsidRPr="005434E5" w:rsidRDefault="0088085F" w:rsidP="005434E5">
            <w:pPr>
              <w:pStyle w:val="cuatexto"/>
              <w:jc w:val="right"/>
              <w:rPr>
                <w:rFonts w:cs="Calibri"/>
                <w:b/>
                <w:bCs/>
                <w:iCs/>
                <w:sz w:val="19"/>
                <w:szCs w:val="19"/>
              </w:rPr>
            </w:pPr>
            <w:r w:rsidRPr="005434E5">
              <w:rPr>
                <w:rFonts w:cs="Calibri"/>
                <w:b/>
                <w:bCs/>
                <w:iCs/>
                <w:sz w:val="19"/>
                <w:szCs w:val="19"/>
              </w:rPr>
              <w:t>104</w:t>
            </w:r>
          </w:p>
        </w:tc>
        <w:tc>
          <w:tcPr>
            <w:tcW w:w="553" w:type="pct"/>
            <w:tcBorders>
              <w:top w:val="single" w:sz="4" w:space="0" w:color="000000"/>
              <w:left w:val="nil"/>
              <w:bottom w:val="single" w:sz="4" w:space="0" w:color="000000"/>
              <w:right w:val="nil"/>
            </w:tcBorders>
            <w:shd w:val="clear" w:color="auto" w:fill="auto"/>
            <w:noWrap/>
            <w:vAlign w:val="center"/>
            <w:hideMark/>
          </w:tcPr>
          <w:p w14:paraId="22BEFB35"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5</w:t>
            </w:r>
          </w:p>
        </w:tc>
        <w:tc>
          <w:tcPr>
            <w:tcW w:w="471" w:type="pct"/>
            <w:tcBorders>
              <w:top w:val="single" w:sz="4" w:space="0" w:color="000000"/>
              <w:left w:val="nil"/>
              <w:bottom w:val="single" w:sz="4" w:space="0" w:color="000000"/>
              <w:right w:val="nil"/>
            </w:tcBorders>
            <w:vAlign w:val="center"/>
          </w:tcPr>
          <w:p w14:paraId="13B7DF6C"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860,41</w:t>
            </w:r>
          </w:p>
        </w:tc>
      </w:tr>
      <w:tr w:rsidR="009B216E" w:rsidRPr="009B216E" w14:paraId="56D15926" w14:textId="77777777" w:rsidTr="005434E5">
        <w:trPr>
          <w:trHeight w:hRule="exact" w:val="238"/>
          <w:jc w:val="center"/>
        </w:trPr>
        <w:tc>
          <w:tcPr>
            <w:tcW w:w="1837" w:type="pct"/>
            <w:tcBorders>
              <w:top w:val="single" w:sz="4" w:space="0" w:color="000000"/>
              <w:left w:val="nil"/>
              <w:bottom w:val="single" w:sz="2" w:space="0" w:color="000000"/>
              <w:right w:val="nil"/>
            </w:tcBorders>
            <w:shd w:val="clear" w:color="auto" w:fill="auto"/>
            <w:vAlign w:val="center"/>
            <w:hideMark/>
          </w:tcPr>
          <w:p w14:paraId="5AE860A4" w14:textId="77777777" w:rsidR="0088085F" w:rsidRPr="009B216E" w:rsidRDefault="0088085F" w:rsidP="005434E5">
            <w:pPr>
              <w:pStyle w:val="cuatexto"/>
              <w:jc w:val="left"/>
              <w:rPr>
                <w:sz w:val="19"/>
                <w:szCs w:val="19"/>
                <w:lang w:val="es-ES" w:eastAsia="es-ES"/>
              </w:rPr>
            </w:pPr>
            <w:r w:rsidRPr="009B216E">
              <w:rPr>
                <w:sz w:val="19"/>
                <w:szCs w:val="19"/>
                <w:lang w:val="es-ES" w:eastAsia="es-ES"/>
              </w:rPr>
              <w:t>6  Enajenación de inversiones reales</w:t>
            </w:r>
          </w:p>
        </w:tc>
        <w:tc>
          <w:tcPr>
            <w:tcW w:w="582" w:type="pct"/>
            <w:tcBorders>
              <w:top w:val="single" w:sz="4" w:space="0" w:color="000000"/>
              <w:left w:val="nil"/>
              <w:bottom w:val="single" w:sz="2" w:space="0" w:color="000000"/>
              <w:right w:val="nil"/>
            </w:tcBorders>
            <w:shd w:val="clear" w:color="auto" w:fill="auto"/>
            <w:vAlign w:val="center"/>
            <w:hideMark/>
          </w:tcPr>
          <w:p w14:paraId="1FD055E3"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13,62</w:t>
            </w:r>
          </w:p>
        </w:tc>
        <w:tc>
          <w:tcPr>
            <w:tcW w:w="463" w:type="pct"/>
            <w:tcBorders>
              <w:top w:val="single" w:sz="4" w:space="0" w:color="000000"/>
              <w:left w:val="nil"/>
              <w:bottom w:val="single" w:sz="2" w:space="0" w:color="000000"/>
              <w:right w:val="nil"/>
            </w:tcBorders>
            <w:shd w:val="clear" w:color="auto" w:fill="auto"/>
            <w:vAlign w:val="center"/>
            <w:hideMark/>
          </w:tcPr>
          <w:p w14:paraId="167BA4EF"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11,02</w:t>
            </w:r>
          </w:p>
        </w:tc>
        <w:tc>
          <w:tcPr>
            <w:tcW w:w="536" w:type="pct"/>
            <w:tcBorders>
              <w:top w:val="single" w:sz="4" w:space="0" w:color="000000"/>
              <w:left w:val="nil"/>
              <w:bottom w:val="single" w:sz="2" w:space="0" w:color="000000"/>
              <w:right w:val="nil"/>
            </w:tcBorders>
            <w:shd w:val="clear" w:color="auto" w:fill="auto"/>
            <w:vAlign w:val="center"/>
            <w:hideMark/>
          </w:tcPr>
          <w:p w14:paraId="20731288" w14:textId="77777777" w:rsidR="0088085F" w:rsidRPr="009B216E" w:rsidRDefault="0088085F" w:rsidP="005434E5">
            <w:pPr>
              <w:pStyle w:val="cuatexto"/>
              <w:jc w:val="right"/>
              <w:rPr>
                <w:rFonts w:cs="Calibri"/>
                <w:sz w:val="19"/>
                <w:szCs w:val="19"/>
              </w:rPr>
            </w:pPr>
            <w:r w:rsidRPr="009B216E">
              <w:rPr>
                <w:rFonts w:cs="Calibri"/>
                <w:sz w:val="19"/>
                <w:szCs w:val="19"/>
              </w:rPr>
              <w:t>1,2</w:t>
            </w:r>
          </w:p>
        </w:tc>
        <w:tc>
          <w:tcPr>
            <w:tcW w:w="559" w:type="pct"/>
            <w:tcBorders>
              <w:top w:val="single" w:sz="4" w:space="0" w:color="000000"/>
              <w:left w:val="nil"/>
              <w:bottom w:val="single" w:sz="2" w:space="0" w:color="000000"/>
              <w:right w:val="nil"/>
            </w:tcBorders>
            <w:shd w:val="clear" w:color="auto" w:fill="auto"/>
            <w:vAlign w:val="center"/>
            <w:hideMark/>
          </w:tcPr>
          <w:p w14:paraId="799ABD99" w14:textId="77777777" w:rsidR="0088085F" w:rsidRPr="009B216E" w:rsidRDefault="0088085F" w:rsidP="005434E5">
            <w:pPr>
              <w:pStyle w:val="cuatexto"/>
              <w:jc w:val="right"/>
              <w:rPr>
                <w:rFonts w:cs="Calibri"/>
                <w:sz w:val="19"/>
                <w:szCs w:val="19"/>
              </w:rPr>
            </w:pPr>
            <w:r w:rsidRPr="009B216E">
              <w:rPr>
                <w:rFonts w:cs="Calibri"/>
                <w:sz w:val="19"/>
                <w:szCs w:val="19"/>
              </w:rPr>
              <w:t>81</w:t>
            </w:r>
          </w:p>
        </w:tc>
        <w:tc>
          <w:tcPr>
            <w:tcW w:w="553" w:type="pct"/>
            <w:tcBorders>
              <w:top w:val="single" w:sz="4" w:space="0" w:color="000000"/>
              <w:left w:val="nil"/>
              <w:bottom w:val="single" w:sz="2" w:space="0" w:color="000000"/>
              <w:right w:val="nil"/>
            </w:tcBorders>
            <w:shd w:val="clear" w:color="auto" w:fill="auto"/>
            <w:noWrap/>
            <w:vAlign w:val="center"/>
            <w:hideMark/>
          </w:tcPr>
          <w:p w14:paraId="4068A0C0"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25</w:t>
            </w:r>
          </w:p>
        </w:tc>
        <w:tc>
          <w:tcPr>
            <w:tcW w:w="471" w:type="pct"/>
            <w:tcBorders>
              <w:top w:val="single" w:sz="4" w:space="0" w:color="000000"/>
              <w:left w:val="nil"/>
              <w:bottom w:val="single" w:sz="2" w:space="0" w:color="000000"/>
              <w:right w:val="nil"/>
            </w:tcBorders>
            <w:vAlign w:val="center"/>
          </w:tcPr>
          <w:p w14:paraId="08EBBD7F"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11,07</w:t>
            </w:r>
          </w:p>
        </w:tc>
      </w:tr>
      <w:tr w:rsidR="009B216E" w:rsidRPr="009B216E" w14:paraId="294D8C3E" w14:textId="77777777" w:rsidTr="005434E5">
        <w:trPr>
          <w:trHeight w:hRule="exact" w:val="238"/>
          <w:jc w:val="center"/>
        </w:trPr>
        <w:tc>
          <w:tcPr>
            <w:tcW w:w="1837" w:type="pct"/>
            <w:tcBorders>
              <w:top w:val="single" w:sz="2" w:space="0" w:color="000000"/>
              <w:left w:val="nil"/>
              <w:bottom w:val="single" w:sz="4" w:space="0" w:color="000000"/>
              <w:right w:val="nil"/>
            </w:tcBorders>
            <w:shd w:val="clear" w:color="auto" w:fill="auto"/>
            <w:vAlign w:val="center"/>
            <w:hideMark/>
          </w:tcPr>
          <w:p w14:paraId="3855E07F" w14:textId="77777777" w:rsidR="0088085F" w:rsidRPr="009B216E" w:rsidRDefault="0088085F" w:rsidP="005434E5">
            <w:pPr>
              <w:pStyle w:val="cuatexto"/>
              <w:jc w:val="left"/>
              <w:rPr>
                <w:sz w:val="19"/>
                <w:szCs w:val="19"/>
                <w:lang w:val="es-ES" w:eastAsia="es-ES"/>
              </w:rPr>
            </w:pPr>
            <w:r w:rsidRPr="009B216E">
              <w:rPr>
                <w:sz w:val="19"/>
                <w:szCs w:val="19"/>
                <w:lang w:val="es-ES" w:eastAsia="es-ES"/>
              </w:rPr>
              <w:t>7  Transferencias de capital</w:t>
            </w:r>
          </w:p>
        </w:tc>
        <w:tc>
          <w:tcPr>
            <w:tcW w:w="582" w:type="pct"/>
            <w:tcBorders>
              <w:top w:val="single" w:sz="2" w:space="0" w:color="000000"/>
              <w:left w:val="nil"/>
              <w:bottom w:val="single" w:sz="4" w:space="0" w:color="000000"/>
              <w:right w:val="nil"/>
            </w:tcBorders>
            <w:shd w:val="clear" w:color="auto" w:fill="auto"/>
            <w:vAlign w:val="center"/>
            <w:hideMark/>
          </w:tcPr>
          <w:p w14:paraId="51922BDF"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122,65</w:t>
            </w:r>
          </w:p>
        </w:tc>
        <w:tc>
          <w:tcPr>
            <w:tcW w:w="463" w:type="pct"/>
            <w:tcBorders>
              <w:top w:val="single" w:sz="2" w:space="0" w:color="000000"/>
              <w:left w:val="nil"/>
              <w:bottom w:val="single" w:sz="4" w:space="0" w:color="000000"/>
              <w:right w:val="nil"/>
            </w:tcBorders>
            <w:shd w:val="clear" w:color="auto" w:fill="auto"/>
            <w:vAlign w:val="center"/>
            <w:hideMark/>
          </w:tcPr>
          <w:p w14:paraId="6FA9EBA4"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83,51</w:t>
            </w:r>
          </w:p>
        </w:tc>
        <w:tc>
          <w:tcPr>
            <w:tcW w:w="536" w:type="pct"/>
            <w:tcBorders>
              <w:top w:val="single" w:sz="2" w:space="0" w:color="000000"/>
              <w:left w:val="nil"/>
              <w:bottom w:val="single" w:sz="4" w:space="0" w:color="000000"/>
              <w:right w:val="nil"/>
            </w:tcBorders>
            <w:shd w:val="clear" w:color="auto" w:fill="auto"/>
            <w:vAlign w:val="center"/>
            <w:hideMark/>
          </w:tcPr>
          <w:p w14:paraId="64C1E66A" w14:textId="77777777" w:rsidR="0088085F" w:rsidRPr="009B216E" w:rsidRDefault="0088085F" w:rsidP="005434E5">
            <w:pPr>
              <w:pStyle w:val="cuatexto"/>
              <w:jc w:val="right"/>
              <w:rPr>
                <w:rFonts w:cs="Calibri"/>
                <w:sz w:val="19"/>
                <w:szCs w:val="19"/>
              </w:rPr>
            </w:pPr>
            <w:r w:rsidRPr="009B216E">
              <w:rPr>
                <w:rFonts w:cs="Calibri"/>
                <w:sz w:val="19"/>
                <w:szCs w:val="19"/>
              </w:rPr>
              <w:t>9,4</w:t>
            </w:r>
          </w:p>
        </w:tc>
        <w:tc>
          <w:tcPr>
            <w:tcW w:w="559" w:type="pct"/>
            <w:tcBorders>
              <w:top w:val="single" w:sz="2" w:space="0" w:color="000000"/>
              <w:left w:val="nil"/>
              <w:bottom w:val="single" w:sz="4" w:space="0" w:color="000000"/>
              <w:right w:val="nil"/>
            </w:tcBorders>
            <w:shd w:val="clear" w:color="auto" w:fill="auto"/>
            <w:vAlign w:val="center"/>
            <w:hideMark/>
          </w:tcPr>
          <w:p w14:paraId="7DB169D0" w14:textId="77777777" w:rsidR="0088085F" w:rsidRPr="009B216E" w:rsidRDefault="0088085F" w:rsidP="005434E5">
            <w:pPr>
              <w:pStyle w:val="cuatexto"/>
              <w:jc w:val="right"/>
              <w:rPr>
                <w:rFonts w:cs="Calibri"/>
                <w:sz w:val="19"/>
                <w:szCs w:val="19"/>
              </w:rPr>
            </w:pPr>
            <w:r w:rsidRPr="009B216E">
              <w:rPr>
                <w:rFonts w:cs="Calibri"/>
                <w:sz w:val="19"/>
                <w:szCs w:val="19"/>
              </w:rPr>
              <w:t>68</w:t>
            </w:r>
          </w:p>
        </w:tc>
        <w:tc>
          <w:tcPr>
            <w:tcW w:w="553" w:type="pct"/>
            <w:tcBorders>
              <w:top w:val="single" w:sz="2" w:space="0" w:color="000000"/>
              <w:left w:val="nil"/>
              <w:bottom w:val="single" w:sz="4" w:space="0" w:color="000000"/>
              <w:right w:val="nil"/>
            </w:tcBorders>
            <w:shd w:val="clear" w:color="auto" w:fill="auto"/>
            <w:noWrap/>
            <w:vAlign w:val="center"/>
            <w:hideMark/>
          </w:tcPr>
          <w:p w14:paraId="1A3553B1"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24</w:t>
            </w:r>
          </w:p>
        </w:tc>
        <w:tc>
          <w:tcPr>
            <w:tcW w:w="471" w:type="pct"/>
            <w:tcBorders>
              <w:top w:val="single" w:sz="2" w:space="0" w:color="000000"/>
              <w:left w:val="nil"/>
              <w:bottom w:val="single" w:sz="4" w:space="0" w:color="000000"/>
              <w:right w:val="nil"/>
            </w:tcBorders>
            <w:vAlign w:val="center"/>
          </w:tcPr>
          <w:p w14:paraId="0AD85BFC"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87,87</w:t>
            </w:r>
          </w:p>
        </w:tc>
      </w:tr>
      <w:tr w:rsidR="009B216E" w:rsidRPr="005434E5" w14:paraId="09159F6C" w14:textId="77777777" w:rsidTr="005434E5">
        <w:trPr>
          <w:trHeight w:hRule="exact" w:val="238"/>
          <w:jc w:val="center"/>
        </w:trPr>
        <w:tc>
          <w:tcPr>
            <w:tcW w:w="1837" w:type="pct"/>
            <w:tcBorders>
              <w:top w:val="single" w:sz="4" w:space="0" w:color="000000"/>
              <w:left w:val="nil"/>
              <w:bottom w:val="single" w:sz="4" w:space="0" w:color="000000"/>
              <w:right w:val="nil"/>
            </w:tcBorders>
            <w:shd w:val="clear" w:color="auto" w:fill="auto"/>
            <w:vAlign w:val="center"/>
            <w:hideMark/>
          </w:tcPr>
          <w:p w14:paraId="1F09FB1F" w14:textId="77777777" w:rsidR="0088085F" w:rsidRPr="005434E5" w:rsidRDefault="0088085F" w:rsidP="005434E5">
            <w:pPr>
              <w:pStyle w:val="cuatexto"/>
              <w:jc w:val="left"/>
              <w:rPr>
                <w:b/>
                <w:iCs/>
                <w:sz w:val="19"/>
                <w:szCs w:val="19"/>
                <w:lang w:val="es-ES" w:eastAsia="es-ES"/>
              </w:rPr>
            </w:pPr>
            <w:r w:rsidRPr="005434E5">
              <w:rPr>
                <w:b/>
                <w:iCs/>
                <w:sz w:val="19"/>
                <w:szCs w:val="19"/>
                <w:lang w:val="es-ES" w:eastAsia="es-ES"/>
              </w:rPr>
              <w:t xml:space="preserve">     Ingresos de capital</w:t>
            </w:r>
          </w:p>
        </w:tc>
        <w:tc>
          <w:tcPr>
            <w:tcW w:w="582" w:type="pct"/>
            <w:tcBorders>
              <w:top w:val="single" w:sz="4" w:space="0" w:color="000000"/>
              <w:left w:val="nil"/>
              <w:bottom w:val="single" w:sz="4" w:space="0" w:color="000000"/>
              <w:right w:val="nil"/>
            </w:tcBorders>
            <w:shd w:val="clear" w:color="auto" w:fill="auto"/>
            <w:vAlign w:val="center"/>
            <w:hideMark/>
          </w:tcPr>
          <w:p w14:paraId="5CF38A82"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136,27</w:t>
            </w:r>
          </w:p>
        </w:tc>
        <w:tc>
          <w:tcPr>
            <w:tcW w:w="463" w:type="pct"/>
            <w:tcBorders>
              <w:top w:val="single" w:sz="4" w:space="0" w:color="000000"/>
              <w:left w:val="nil"/>
              <w:bottom w:val="single" w:sz="4" w:space="0" w:color="000000"/>
              <w:right w:val="nil"/>
            </w:tcBorders>
            <w:shd w:val="clear" w:color="auto" w:fill="auto"/>
            <w:vAlign w:val="center"/>
            <w:hideMark/>
          </w:tcPr>
          <w:p w14:paraId="06158A8D"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94,53</w:t>
            </w:r>
          </w:p>
        </w:tc>
        <w:tc>
          <w:tcPr>
            <w:tcW w:w="536" w:type="pct"/>
            <w:tcBorders>
              <w:top w:val="single" w:sz="4" w:space="0" w:color="000000"/>
              <w:left w:val="nil"/>
              <w:bottom w:val="single" w:sz="4" w:space="0" w:color="000000"/>
              <w:right w:val="nil"/>
            </w:tcBorders>
            <w:shd w:val="clear" w:color="auto" w:fill="auto"/>
            <w:vAlign w:val="center"/>
            <w:hideMark/>
          </w:tcPr>
          <w:p w14:paraId="0370F73A" w14:textId="77777777" w:rsidR="0088085F" w:rsidRPr="005434E5" w:rsidRDefault="0088085F" w:rsidP="005434E5">
            <w:pPr>
              <w:pStyle w:val="cuatexto"/>
              <w:jc w:val="right"/>
              <w:rPr>
                <w:rFonts w:cs="Calibri"/>
                <w:b/>
                <w:bCs/>
                <w:iCs/>
                <w:sz w:val="19"/>
                <w:szCs w:val="19"/>
              </w:rPr>
            </w:pPr>
            <w:r w:rsidRPr="005434E5">
              <w:rPr>
                <w:rFonts w:cs="Calibri"/>
                <w:b/>
                <w:bCs/>
                <w:iCs/>
                <w:sz w:val="19"/>
                <w:szCs w:val="19"/>
              </w:rPr>
              <w:t>10,6</w:t>
            </w:r>
          </w:p>
        </w:tc>
        <w:tc>
          <w:tcPr>
            <w:tcW w:w="559" w:type="pct"/>
            <w:tcBorders>
              <w:top w:val="single" w:sz="4" w:space="0" w:color="000000"/>
              <w:left w:val="nil"/>
              <w:bottom w:val="single" w:sz="4" w:space="0" w:color="000000"/>
              <w:right w:val="nil"/>
            </w:tcBorders>
            <w:shd w:val="clear" w:color="auto" w:fill="auto"/>
            <w:vAlign w:val="center"/>
            <w:hideMark/>
          </w:tcPr>
          <w:p w14:paraId="1FC921CC" w14:textId="77777777" w:rsidR="0088085F" w:rsidRPr="005434E5" w:rsidRDefault="0088085F" w:rsidP="005434E5">
            <w:pPr>
              <w:pStyle w:val="cuatexto"/>
              <w:jc w:val="right"/>
              <w:rPr>
                <w:rFonts w:cs="Calibri"/>
                <w:b/>
                <w:bCs/>
                <w:iCs/>
                <w:sz w:val="19"/>
                <w:szCs w:val="19"/>
              </w:rPr>
            </w:pPr>
            <w:r w:rsidRPr="005434E5">
              <w:rPr>
                <w:rFonts w:cs="Calibri"/>
                <w:b/>
                <w:bCs/>
                <w:iCs/>
                <w:sz w:val="19"/>
                <w:szCs w:val="19"/>
              </w:rPr>
              <w:t>69</w:t>
            </w:r>
          </w:p>
        </w:tc>
        <w:tc>
          <w:tcPr>
            <w:tcW w:w="553" w:type="pct"/>
            <w:tcBorders>
              <w:top w:val="single" w:sz="4" w:space="0" w:color="000000"/>
              <w:left w:val="nil"/>
              <w:bottom w:val="single" w:sz="4" w:space="0" w:color="000000"/>
              <w:right w:val="nil"/>
            </w:tcBorders>
            <w:shd w:val="clear" w:color="auto" w:fill="auto"/>
            <w:noWrap/>
            <w:vAlign w:val="center"/>
            <w:hideMark/>
          </w:tcPr>
          <w:p w14:paraId="02224BA8"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15</w:t>
            </w:r>
          </w:p>
        </w:tc>
        <w:tc>
          <w:tcPr>
            <w:tcW w:w="471" w:type="pct"/>
            <w:tcBorders>
              <w:top w:val="single" w:sz="4" w:space="0" w:color="000000"/>
              <w:left w:val="nil"/>
              <w:bottom w:val="single" w:sz="4" w:space="0" w:color="000000"/>
              <w:right w:val="nil"/>
            </w:tcBorders>
            <w:vAlign w:val="center"/>
          </w:tcPr>
          <w:p w14:paraId="78BD1683"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98,94</w:t>
            </w:r>
          </w:p>
        </w:tc>
      </w:tr>
      <w:tr w:rsidR="009B216E" w:rsidRPr="009B216E" w14:paraId="3E43C592" w14:textId="77777777" w:rsidTr="005434E5">
        <w:trPr>
          <w:trHeight w:hRule="exact" w:val="238"/>
          <w:jc w:val="center"/>
        </w:trPr>
        <w:tc>
          <w:tcPr>
            <w:tcW w:w="1837" w:type="pct"/>
            <w:tcBorders>
              <w:top w:val="single" w:sz="4" w:space="0" w:color="000000"/>
              <w:left w:val="nil"/>
              <w:bottom w:val="single" w:sz="2" w:space="0" w:color="000000"/>
              <w:right w:val="nil"/>
            </w:tcBorders>
            <w:shd w:val="clear" w:color="auto" w:fill="auto"/>
            <w:vAlign w:val="center"/>
            <w:hideMark/>
          </w:tcPr>
          <w:p w14:paraId="1D91B825" w14:textId="77777777" w:rsidR="0088085F" w:rsidRPr="009B216E" w:rsidRDefault="0088085F" w:rsidP="005434E5">
            <w:pPr>
              <w:pStyle w:val="cuatexto"/>
              <w:jc w:val="left"/>
              <w:rPr>
                <w:sz w:val="19"/>
                <w:szCs w:val="19"/>
                <w:lang w:val="es-ES" w:eastAsia="es-ES"/>
              </w:rPr>
            </w:pPr>
            <w:r w:rsidRPr="009B216E">
              <w:rPr>
                <w:sz w:val="19"/>
                <w:szCs w:val="19"/>
                <w:lang w:val="es-ES" w:eastAsia="es-ES"/>
              </w:rPr>
              <w:t>8   Activos financieros</w:t>
            </w:r>
          </w:p>
        </w:tc>
        <w:tc>
          <w:tcPr>
            <w:tcW w:w="582" w:type="pct"/>
            <w:tcBorders>
              <w:top w:val="single" w:sz="4" w:space="0" w:color="000000"/>
              <w:left w:val="nil"/>
              <w:bottom w:val="single" w:sz="2" w:space="0" w:color="000000"/>
              <w:right w:val="nil"/>
            </w:tcBorders>
            <w:shd w:val="clear" w:color="auto" w:fill="auto"/>
            <w:vAlign w:val="center"/>
            <w:hideMark/>
          </w:tcPr>
          <w:p w14:paraId="7A5228F9"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135,66</w:t>
            </w:r>
          </w:p>
        </w:tc>
        <w:tc>
          <w:tcPr>
            <w:tcW w:w="463" w:type="pct"/>
            <w:tcBorders>
              <w:top w:val="single" w:sz="4" w:space="0" w:color="000000"/>
              <w:left w:val="nil"/>
              <w:bottom w:val="single" w:sz="2" w:space="0" w:color="000000"/>
              <w:right w:val="nil"/>
            </w:tcBorders>
            <w:shd w:val="clear" w:color="auto" w:fill="auto"/>
            <w:vAlign w:val="center"/>
            <w:hideMark/>
          </w:tcPr>
          <w:p w14:paraId="3CFAC7E0"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2,34</w:t>
            </w:r>
          </w:p>
        </w:tc>
        <w:tc>
          <w:tcPr>
            <w:tcW w:w="536" w:type="pct"/>
            <w:tcBorders>
              <w:top w:val="single" w:sz="4" w:space="0" w:color="000000"/>
              <w:left w:val="nil"/>
              <w:bottom w:val="single" w:sz="2" w:space="0" w:color="000000"/>
              <w:right w:val="nil"/>
            </w:tcBorders>
            <w:shd w:val="clear" w:color="auto" w:fill="auto"/>
            <w:vAlign w:val="center"/>
            <w:hideMark/>
          </w:tcPr>
          <w:p w14:paraId="7BD2BA1B" w14:textId="77777777" w:rsidR="0088085F" w:rsidRPr="009B216E" w:rsidRDefault="0088085F" w:rsidP="005434E5">
            <w:pPr>
              <w:pStyle w:val="cuatexto"/>
              <w:jc w:val="right"/>
              <w:rPr>
                <w:rFonts w:cs="Calibri"/>
                <w:sz w:val="19"/>
                <w:szCs w:val="19"/>
              </w:rPr>
            </w:pPr>
            <w:r w:rsidRPr="009B216E">
              <w:rPr>
                <w:rFonts w:cs="Calibri"/>
                <w:sz w:val="19"/>
                <w:szCs w:val="19"/>
              </w:rPr>
              <w:t>0,3</w:t>
            </w:r>
          </w:p>
        </w:tc>
        <w:tc>
          <w:tcPr>
            <w:tcW w:w="559" w:type="pct"/>
            <w:tcBorders>
              <w:top w:val="single" w:sz="4" w:space="0" w:color="000000"/>
              <w:left w:val="nil"/>
              <w:bottom w:val="single" w:sz="2" w:space="0" w:color="000000"/>
              <w:right w:val="nil"/>
            </w:tcBorders>
            <w:shd w:val="clear" w:color="auto" w:fill="auto"/>
            <w:vAlign w:val="center"/>
            <w:hideMark/>
          </w:tcPr>
          <w:p w14:paraId="5E3AA6ED" w14:textId="77777777" w:rsidR="0088085F" w:rsidRPr="009B216E" w:rsidRDefault="0088085F" w:rsidP="005434E5">
            <w:pPr>
              <w:pStyle w:val="cuatexto"/>
              <w:jc w:val="right"/>
              <w:rPr>
                <w:rFonts w:cs="Calibri"/>
                <w:sz w:val="19"/>
                <w:szCs w:val="19"/>
              </w:rPr>
            </w:pPr>
            <w:r w:rsidRPr="009B216E">
              <w:rPr>
                <w:rFonts w:cs="Calibri"/>
                <w:sz w:val="19"/>
                <w:szCs w:val="19"/>
              </w:rPr>
              <w:t>2</w:t>
            </w:r>
          </w:p>
        </w:tc>
        <w:tc>
          <w:tcPr>
            <w:tcW w:w="553" w:type="pct"/>
            <w:tcBorders>
              <w:top w:val="single" w:sz="4" w:space="0" w:color="000000"/>
              <w:left w:val="nil"/>
              <w:bottom w:val="single" w:sz="2" w:space="0" w:color="000000"/>
              <w:right w:val="nil"/>
            </w:tcBorders>
            <w:shd w:val="clear" w:color="auto" w:fill="auto"/>
            <w:noWrap/>
            <w:vAlign w:val="center"/>
            <w:hideMark/>
          </w:tcPr>
          <w:p w14:paraId="0B22BB86"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207</w:t>
            </w:r>
          </w:p>
        </w:tc>
        <w:tc>
          <w:tcPr>
            <w:tcW w:w="471" w:type="pct"/>
            <w:tcBorders>
              <w:top w:val="single" w:sz="4" w:space="0" w:color="000000"/>
              <w:left w:val="nil"/>
              <w:bottom w:val="single" w:sz="2" w:space="0" w:color="000000"/>
              <w:right w:val="nil"/>
            </w:tcBorders>
            <w:vAlign w:val="center"/>
          </w:tcPr>
          <w:p w14:paraId="4E80CCF6"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2,34</w:t>
            </w:r>
          </w:p>
        </w:tc>
      </w:tr>
      <w:tr w:rsidR="009B216E" w:rsidRPr="009B216E" w14:paraId="5ABB69D9" w14:textId="77777777" w:rsidTr="005434E5">
        <w:trPr>
          <w:trHeight w:hRule="exact" w:val="238"/>
          <w:jc w:val="center"/>
        </w:trPr>
        <w:tc>
          <w:tcPr>
            <w:tcW w:w="1837" w:type="pct"/>
            <w:tcBorders>
              <w:top w:val="single" w:sz="2" w:space="0" w:color="000000"/>
              <w:left w:val="nil"/>
              <w:bottom w:val="single" w:sz="4" w:space="0" w:color="000000"/>
              <w:right w:val="nil"/>
            </w:tcBorders>
            <w:shd w:val="clear" w:color="auto" w:fill="auto"/>
            <w:vAlign w:val="center"/>
            <w:hideMark/>
          </w:tcPr>
          <w:p w14:paraId="48FF4176" w14:textId="77777777" w:rsidR="0088085F" w:rsidRPr="009B216E" w:rsidRDefault="0088085F" w:rsidP="005434E5">
            <w:pPr>
              <w:pStyle w:val="cuatexto"/>
              <w:jc w:val="left"/>
              <w:rPr>
                <w:sz w:val="19"/>
                <w:szCs w:val="19"/>
                <w:lang w:val="es-ES" w:eastAsia="es-ES"/>
              </w:rPr>
            </w:pPr>
            <w:r w:rsidRPr="009B216E">
              <w:rPr>
                <w:sz w:val="19"/>
                <w:szCs w:val="19"/>
                <w:lang w:val="es-ES" w:eastAsia="es-ES"/>
              </w:rPr>
              <w:t>9   Pasivos financieros</w:t>
            </w:r>
          </w:p>
        </w:tc>
        <w:tc>
          <w:tcPr>
            <w:tcW w:w="582" w:type="pct"/>
            <w:tcBorders>
              <w:top w:val="single" w:sz="2" w:space="0" w:color="000000"/>
              <w:left w:val="nil"/>
              <w:bottom w:val="single" w:sz="4" w:space="0" w:color="000000"/>
              <w:right w:val="nil"/>
            </w:tcBorders>
            <w:shd w:val="clear" w:color="auto" w:fill="auto"/>
            <w:vAlign w:val="center"/>
            <w:hideMark/>
          </w:tcPr>
          <w:p w14:paraId="037F3A64"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21,45</w:t>
            </w:r>
          </w:p>
        </w:tc>
        <w:tc>
          <w:tcPr>
            <w:tcW w:w="463" w:type="pct"/>
            <w:tcBorders>
              <w:top w:val="single" w:sz="2" w:space="0" w:color="000000"/>
              <w:left w:val="nil"/>
              <w:bottom w:val="single" w:sz="4" w:space="0" w:color="000000"/>
              <w:right w:val="nil"/>
            </w:tcBorders>
            <w:shd w:val="clear" w:color="auto" w:fill="auto"/>
            <w:vAlign w:val="center"/>
            <w:hideMark/>
          </w:tcPr>
          <w:p w14:paraId="42EFBEBB"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2,94</w:t>
            </w:r>
          </w:p>
        </w:tc>
        <w:tc>
          <w:tcPr>
            <w:tcW w:w="536" w:type="pct"/>
            <w:tcBorders>
              <w:top w:val="single" w:sz="2" w:space="0" w:color="000000"/>
              <w:left w:val="nil"/>
              <w:bottom w:val="single" w:sz="4" w:space="0" w:color="000000"/>
              <w:right w:val="nil"/>
            </w:tcBorders>
            <w:shd w:val="clear" w:color="auto" w:fill="auto"/>
            <w:vAlign w:val="center"/>
            <w:hideMark/>
          </w:tcPr>
          <w:p w14:paraId="0274F2D0" w14:textId="77777777" w:rsidR="0088085F" w:rsidRPr="009B216E" w:rsidRDefault="0088085F" w:rsidP="005434E5">
            <w:pPr>
              <w:pStyle w:val="cuatexto"/>
              <w:jc w:val="right"/>
              <w:rPr>
                <w:rFonts w:cs="Calibri"/>
                <w:sz w:val="19"/>
                <w:szCs w:val="19"/>
              </w:rPr>
            </w:pPr>
            <w:r w:rsidRPr="009B216E">
              <w:rPr>
                <w:rFonts w:cs="Calibri"/>
                <w:sz w:val="19"/>
                <w:szCs w:val="19"/>
              </w:rPr>
              <w:t>0,3</w:t>
            </w:r>
          </w:p>
        </w:tc>
        <w:tc>
          <w:tcPr>
            <w:tcW w:w="559" w:type="pct"/>
            <w:tcBorders>
              <w:top w:val="single" w:sz="2" w:space="0" w:color="000000"/>
              <w:left w:val="nil"/>
              <w:bottom w:val="single" w:sz="4" w:space="0" w:color="000000"/>
              <w:right w:val="nil"/>
            </w:tcBorders>
            <w:shd w:val="clear" w:color="auto" w:fill="auto"/>
            <w:vAlign w:val="center"/>
            <w:hideMark/>
          </w:tcPr>
          <w:p w14:paraId="5B93D819" w14:textId="77777777" w:rsidR="0088085F" w:rsidRPr="009B216E" w:rsidRDefault="0088085F" w:rsidP="005434E5">
            <w:pPr>
              <w:pStyle w:val="cuatexto"/>
              <w:jc w:val="right"/>
              <w:rPr>
                <w:rFonts w:cs="Calibri"/>
                <w:sz w:val="19"/>
                <w:szCs w:val="19"/>
              </w:rPr>
            </w:pPr>
            <w:r w:rsidRPr="009B216E">
              <w:rPr>
                <w:rFonts w:cs="Calibri"/>
                <w:sz w:val="19"/>
                <w:szCs w:val="19"/>
              </w:rPr>
              <w:t>14</w:t>
            </w:r>
          </w:p>
        </w:tc>
        <w:tc>
          <w:tcPr>
            <w:tcW w:w="553" w:type="pct"/>
            <w:tcBorders>
              <w:top w:val="single" w:sz="2" w:space="0" w:color="000000"/>
              <w:left w:val="nil"/>
              <w:bottom w:val="single" w:sz="4" w:space="0" w:color="000000"/>
              <w:right w:val="nil"/>
            </w:tcBorders>
            <w:shd w:val="clear" w:color="auto" w:fill="auto"/>
            <w:noWrap/>
            <w:vAlign w:val="center"/>
            <w:hideMark/>
          </w:tcPr>
          <w:p w14:paraId="51D61C50"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29</w:t>
            </w:r>
          </w:p>
        </w:tc>
        <w:tc>
          <w:tcPr>
            <w:tcW w:w="471" w:type="pct"/>
            <w:tcBorders>
              <w:top w:val="single" w:sz="2" w:space="0" w:color="000000"/>
              <w:left w:val="nil"/>
              <w:bottom w:val="single" w:sz="4" w:space="0" w:color="000000"/>
              <w:right w:val="nil"/>
            </w:tcBorders>
            <w:vAlign w:val="center"/>
          </w:tcPr>
          <w:p w14:paraId="1E0902C1" w14:textId="77777777" w:rsidR="0088085F" w:rsidRPr="009B216E" w:rsidRDefault="0088085F" w:rsidP="005434E5">
            <w:pPr>
              <w:pStyle w:val="cuatexto"/>
              <w:jc w:val="right"/>
              <w:rPr>
                <w:rFonts w:cs="Calibri"/>
                <w:color w:val="000000"/>
                <w:sz w:val="19"/>
                <w:szCs w:val="19"/>
              </w:rPr>
            </w:pPr>
            <w:r w:rsidRPr="009B216E">
              <w:rPr>
                <w:rFonts w:cs="Calibri"/>
                <w:color w:val="000000"/>
                <w:sz w:val="19"/>
                <w:szCs w:val="19"/>
              </w:rPr>
              <w:t>2,94</w:t>
            </w:r>
          </w:p>
        </w:tc>
      </w:tr>
      <w:tr w:rsidR="009B216E" w:rsidRPr="005434E5" w14:paraId="26B34E98" w14:textId="77777777" w:rsidTr="005434E5">
        <w:trPr>
          <w:trHeight w:hRule="exact" w:val="238"/>
          <w:jc w:val="center"/>
        </w:trPr>
        <w:tc>
          <w:tcPr>
            <w:tcW w:w="1837" w:type="pct"/>
            <w:tcBorders>
              <w:top w:val="single" w:sz="4" w:space="0" w:color="000000"/>
              <w:left w:val="nil"/>
              <w:bottom w:val="single" w:sz="4" w:space="0" w:color="000000"/>
              <w:right w:val="nil"/>
            </w:tcBorders>
            <w:shd w:val="clear" w:color="auto" w:fill="auto"/>
            <w:vAlign w:val="center"/>
            <w:hideMark/>
          </w:tcPr>
          <w:p w14:paraId="62D88B76" w14:textId="77777777" w:rsidR="0088085F" w:rsidRPr="005434E5" w:rsidRDefault="0088085F" w:rsidP="005434E5">
            <w:pPr>
              <w:pStyle w:val="cuatexto"/>
              <w:jc w:val="left"/>
              <w:rPr>
                <w:b/>
                <w:iCs/>
                <w:sz w:val="19"/>
                <w:szCs w:val="19"/>
                <w:lang w:val="es-ES" w:eastAsia="es-ES"/>
              </w:rPr>
            </w:pPr>
            <w:r w:rsidRPr="005434E5">
              <w:rPr>
                <w:b/>
                <w:iCs/>
                <w:sz w:val="19"/>
                <w:szCs w:val="19"/>
                <w:lang w:val="es-ES" w:eastAsia="es-ES"/>
              </w:rPr>
              <w:t xml:space="preserve">     Ingresos financieros</w:t>
            </w:r>
          </w:p>
        </w:tc>
        <w:tc>
          <w:tcPr>
            <w:tcW w:w="582" w:type="pct"/>
            <w:tcBorders>
              <w:top w:val="single" w:sz="4" w:space="0" w:color="000000"/>
              <w:left w:val="nil"/>
              <w:bottom w:val="single" w:sz="4" w:space="0" w:color="000000"/>
              <w:right w:val="nil"/>
            </w:tcBorders>
            <w:shd w:val="clear" w:color="auto" w:fill="auto"/>
            <w:vAlign w:val="center"/>
            <w:hideMark/>
          </w:tcPr>
          <w:p w14:paraId="286B21B5"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157,11</w:t>
            </w:r>
          </w:p>
        </w:tc>
        <w:tc>
          <w:tcPr>
            <w:tcW w:w="463" w:type="pct"/>
            <w:tcBorders>
              <w:top w:val="single" w:sz="4" w:space="0" w:color="000000"/>
              <w:left w:val="nil"/>
              <w:bottom w:val="single" w:sz="4" w:space="0" w:color="000000"/>
              <w:right w:val="nil"/>
            </w:tcBorders>
            <w:shd w:val="clear" w:color="auto" w:fill="auto"/>
            <w:vAlign w:val="center"/>
            <w:hideMark/>
          </w:tcPr>
          <w:p w14:paraId="30F8EF8D"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5,28</w:t>
            </w:r>
          </w:p>
        </w:tc>
        <w:tc>
          <w:tcPr>
            <w:tcW w:w="536" w:type="pct"/>
            <w:tcBorders>
              <w:top w:val="single" w:sz="4" w:space="0" w:color="000000"/>
              <w:left w:val="nil"/>
              <w:bottom w:val="single" w:sz="4" w:space="0" w:color="000000"/>
              <w:right w:val="nil"/>
            </w:tcBorders>
            <w:shd w:val="clear" w:color="auto" w:fill="auto"/>
            <w:vAlign w:val="center"/>
            <w:hideMark/>
          </w:tcPr>
          <w:p w14:paraId="590AC30C" w14:textId="77777777" w:rsidR="0088085F" w:rsidRPr="005434E5" w:rsidRDefault="0088085F" w:rsidP="005434E5">
            <w:pPr>
              <w:pStyle w:val="cuatexto"/>
              <w:jc w:val="right"/>
              <w:rPr>
                <w:rFonts w:cs="Calibri"/>
                <w:b/>
                <w:bCs/>
                <w:iCs/>
                <w:sz w:val="19"/>
                <w:szCs w:val="19"/>
              </w:rPr>
            </w:pPr>
            <w:r w:rsidRPr="005434E5">
              <w:rPr>
                <w:rFonts w:cs="Calibri"/>
                <w:b/>
                <w:bCs/>
                <w:iCs/>
                <w:sz w:val="19"/>
                <w:szCs w:val="19"/>
              </w:rPr>
              <w:t>0,6</w:t>
            </w:r>
          </w:p>
        </w:tc>
        <w:tc>
          <w:tcPr>
            <w:tcW w:w="559" w:type="pct"/>
            <w:tcBorders>
              <w:top w:val="single" w:sz="4" w:space="0" w:color="000000"/>
              <w:left w:val="nil"/>
              <w:bottom w:val="single" w:sz="4" w:space="0" w:color="000000"/>
              <w:right w:val="nil"/>
            </w:tcBorders>
            <w:shd w:val="clear" w:color="auto" w:fill="auto"/>
            <w:vAlign w:val="center"/>
            <w:hideMark/>
          </w:tcPr>
          <w:p w14:paraId="0CE98080" w14:textId="77777777" w:rsidR="0088085F" w:rsidRPr="005434E5" w:rsidRDefault="0088085F" w:rsidP="005434E5">
            <w:pPr>
              <w:pStyle w:val="cuatexto"/>
              <w:jc w:val="right"/>
              <w:rPr>
                <w:rFonts w:cs="Calibri"/>
                <w:b/>
                <w:bCs/>
                <w:iCs/>
                <w:sz w:val="19"/>
                <w:szCs w:val="19"/>
              </w:rPr>
            </w:pPr>
            <w:r w:rsidRPr="005434E5">
              <w:rPr>
                <w:rFonts w:cs="Calibri"/>
                <w:b/>
                <w:bCs/>
                <w:iCs/>
                <w:sz w:val="19"/>
                <w:szCs w:val="19"/>
              </w:rPr>
              <w:t>3</w:t>
            </w:r>
          </w:p>
        </w:tc>
        <w:tc>
          <w:tcPr>
            <w:tcW w:w="553" w:type="pct"/>
            <w:tcBorders>
              <w:top w:val="single" w:sz="4" w:space="0" w:color="000000"/>
              <w:left w:val="nil"/>
              <w:bottom w:val="single" w:sz="4" w:space="0" w:color="000000"/>
              <w:right w:val="nil"/>
            </w:tcBorders>
            <w:shd w:val="clear" w:color="auto" w:fill="auto"/>
            <w:noWrap/>
            <w:vAlign w:val="center"/>
            <w:hideMark/>
          </w:tcPr>
          <w:p w14:paraId="74F35982"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8</w:t>
            </w:r>
          </w:p>
        </w:tc>
        <w:tc>
          <w:tcPr>
            <w:tcW w:w="471" w:type="pct"/>
            <w:tcBorders>
              <w:top w:val="single" w:sz="4" w:space="0" w:color="000000"/>
              <w:left w:val="nil"/>
              <w:bottom w:val="single" w:sz="4" w:space="0" w:color="000000"/>
              <w:right w:val="nil"/>
            </w:tcBorders>
            <w:vAlign w:val="center"/>
          </w:tcPr>
          <w:p w14:paraId="36BDB41B" w14:textId="77777777" w:rsidR="0088085F" w:rsidRPr="005434E5" w:rsidRDefault="0088085F" w:rsidP="005434E5">
            <w:pPr>
              <w:pStyle w:val="cuatexto"/>
              <w:jc w:val="right"/>
              <w:rPr>
                <w:rFonts w:cs="Calibri"/>
                <w:b/>
                <w:bCs/>
                <w:iCs/>
                <w:color w:val="000000"/>
                <w:sz w:val="19"/>
                <w:szCs w:val="19"/>
              </w:rPr>
            </w:pPr>
            <w:r w:rsidRPr="005434E5">
              <w:rPr>
                <w:rFonts w:cs="Calibri"/>
                <w:b/>
                <w:bCs/>
                <w:iCs/>
                <w:color w:val="000000"/>
                <w:sz w:val="19"/>
                <w:szCs w:val="19"/>
              </w:rPr>
              <w:t>5,28</w:t>
            </w:r>
          </w:p>
        </w:tc>
      </w:tr>
      <w:tr w:rsidR="009B216E" w:rsidRPr="009B216E" w14:paraId="0AE5B4B0" w14:textId="77777777" w:rsidTr="005434E5">
        <w:trPr>
          <w:trHeight w:val="284"/>
          <w:jc w:val="center"/>
        </w:trPr>
        <w:tc>
          <w:tcPr>
            <w:tcW w:w="1837" w:type="pct"/>
            <w:tcBorders>
              <w:top w:val="nil"/>
              <w:left w:val="nil"/>
              <w:bottom w:val="single" w:sz="4" w:space="0" w:color="000000"/>
              <w:right w:val="nil"/>
            </w:tcBorders>
            <w:shd w:val="clear" w:color="auto" w:fill="FABF8F" w:themeFill="accent6" w:themeFillTint="99"/>
            <w:vAlign w:val="center"/>
            <w:hideMark/>
          </w:tcPr>
          <w:p w14:paraId="47DAEE71" w14:textId="77777777" w:rsidR="0088085F" w:rsidRPr="009B216E" w:rsidRDefault="0088085F" w:rsidP="005434E5">
            <w:pPr>
              <w:pStyle w:val="cuadroCabe"/>
              <w:jc w:val="left"/>
              <w:rPr>
                <w:color w:val="000000" w:themeColor="text1"/>
                <w:sz w:val="16"/>
                <w:szCs w:val="16"/>
                <w:lang w:val="es-ES" w:eastAsia="es-ES"/>
              </w:rPr>
            </w:pPr>
            <w:r w:rsidRPr="009B216E">
              <w:rPr>
                <w:color w:val="000000" w:themeColor="text1"/>
                <w:sz w:val="16"/>
                <w:szCs w:val="16"/>
                <w:lang w:val="es-ES" w:eastAsia="es-ES"/>
              </w:rPr>
              <w:t xml:space="preserve"> Total</w:t>
            </w:r>
          </w:p>
        </w:tc>
        <w:tc>
          <w:tcPr>
            <w:tcW w:w="582" w:type="pct"/>
            <w:tcBorders>
              <w:top w:val="nil"/>
              <w:left w:val="nil"/>
              <w:bottom w:val="single" w:sz="4" w:space="0" w:color="000000"/>
              <w:right w:val="nil"/>
            </w:tcBorders>
            <w:shd w:val="clear" w:color="auto" w:fill="FABF8F" w:themeFill="accent6" w:themeFillTint="99"/>
            <w:vAlign w:val="center"/>
            <w:hideMark/>
          </w:tcPr>
          <w:p w14:paraId="34FA3AFF" w14:textId="77777777" w:rsidR="0088085F" w:rsidRPr="009B216E" w:rsidRDefault="0088085F" w:rsidP="005434E5">
            <w:pPr>
              <w:pStyle w:val="cuadroCabe"/>
              <w:ind w:left="219" w:hanging="219"/>
              <w:jc w:val="right"/>
              <w:rPr>
                <w:color w:val="000000" w:themeColor="text1"/>
                <w:sz w:val="16"/>
                <w:szCs w:val="16"/>
                <w:lang w:val="es-ES" w:eastAsia="es-ES"/>
              </w:rPr>
            </w:pPr>
            <w:r w:rsidRPr="009B216E">
              <w:rPr>
                <w:color w:val="000000" w:themeColor="text1"/>
                <w:sz w:val="16"/>
                <w:szCs w:val="16"/>
                <w:lang w:val="es-ES" w:eastAsia="es-ES"/>
              </w:rPr>
              <w:t>1.053,87</w:t>
            </w:r>
          </w:p>
        </w:tc>
        <w:tc>
          <w:tcPr>
            <w:tcW w:w="463" w:type="pct"/>
            <w:tcBorders>
              <w:top w:val="nil"/>
              <w:left w:val="nil"/>
              <w:bottom w:val="single" w:sz="4" w:space="0" w:color="000000"/>
              <w:right w:val="nil"/>
            </w:tcBorders>
            <w:shd w:val="clear" w:color="auto" w:fill="FABF8F" w:themeFill="accent6" w:themeFillTint="99"/>
            <w:vAlign w:val="center"/>
            <w:hideMark/>
          </w:tcPr>
          <w:p w14:paraId="7EB60939" w14:textId="77777777" w:rsidR="0088085F" w:rsidRPr="009B216E" w:rsidRDefault="0088085F" w:rsidP="005434E5">
            <w:pPr>
              <w:pStyle w:val="cuadroCabe"/>
              <w:jc w:val="right"/>
              <w:rPr>
                <w:color w:val="000000" w:themeColor="text1"/>
                <w:sz w:val="16"/>
                <w:szCs w:val="16"/>
                <w:lang w:val="es-ES" w:eastAsia="es-ES"/>
              </w:rPr>
            </w:pPr>
            <w:r w:rsidRPr="009B216E">
              <w:rPr>
                <w:color w:val="000000" w:themeColor="text1"/>
                <w:sz w:val="16"/>
                <w:szCs w:val="16"/>
                <w:lang w:val="es-ES" w:eastAsia="es-ES"/>
              </w:rPr>
              <w:t>891,40</w:t>
            </w:r>
          </w:p>
        </w:tc>
        <w:tc>
          <w:tcPr>
            <w:tcW w:w="536" w:type="pct"/>
            <w:tcBorders>
              <w:top w:val="nil"/>
              <w:left w:val="nil"/>
              <w:bottom w:val="single" w:sz="4" w:space="0" w:color="000000"/>
              <w:right w:val="nil"/>
            </w:tcBorders>
            <w:shd w:val="clear" w:color="auto" w:fill="FABF8F" w:themeFill="accent6" w:themeFillTint="99"/>
            <w:vAlign w:val="center"/>
            <w:hideMark/>
          </w:tcPr>
          <w:p w14:paraId="288CBF94" w14:textId="77777777" w:rsidR="0088085F" w:rsidRPr="009B216E" w:rsidRDefault="0088085F" w:rsidP="005434E5">
            <w:pPr>
              <w:pStyle w:val="cuadroCabe"/>
              <w:jc w:val="right"/>
              <w:rPr>
                <w:color w:val="000000" w:themeColor="text1"/>
                <w:sz w:val="16"/>
                <w:szCs w:val="16"/>
                <w:lang w:val="es-ES" w:eastAsia="es-ES"/>
              </w:rPr>
            </w:pPr>
            <w:r w:rsidRPr="009B216E">
              <w:rPr>
                <w:color w:val="000000" w:themeColor="text1"/>
                <w:sz w:val="16"/>
                <w:szCs w:val="16"/>
                <w:lang w:val="es-ES" w:eastAsia="es-ES"/>
              </w:rPr>
              <w:t>100</w:t>
            </w:r>
          </w:p>
        </w:tc>
        <w:tc>
          <w:tcPr>
            <w:tcW w:w="559" w:type="pct"/>
            <w:tcBorders>
              <w:top w:val="nil"/>
              <w:left w:val="nil"/>
              <w:bottom w:val="single" w:sz="4" w:space="0" w:color="000000"/>
              <w:right w:val="nil"/>
            </w:tcBorders>
            <w:shd w:val="clear" w:color="auto" w:fill="FABF8F" w:themeFill="accent6" w:themeFillTint="99"/>
            <w:vAlign w:val="center"/>
            <w:hideMark/>
          </w:tcPr>
          <w:p w14:paraId="3A9E4B96" w14:textId="77777777" w:rsidR="0088085F" w:rsidRPr="009B216E" w:rsidRDefault="0088085F" w:rsidP="005434E5">
            <w:pPr>
              <w:pStyle w:val="cuadroCabe"/>
              <w:jc w:val="right"/>
              <w:rPr>
                <w:color w:val="000000" w:themeColor="text1"/>
                <w:sz w:val="16"/>
                <w:szCs w:val="16"/>
                <w:lang w:val="es-ES" w:eastAsia="es-ES"/>
              </w:rPr>
            </w:pPr>
            <w:r w:rsidRPr="009B216E">
              <w:rPr>
                <w:color w:val="000000" w:themeColor="text1"/>
                <w:sz w:val="16"/>
                <w:szCs w:val="16"/>
                <w:lang w:val="es-ES" w:eastAsia="es-ES"/>
              </w:rPr>
              <w:t>85</w:t>
            </w:r>
          </w:p>
        </w:tc>
        <w:tc>
          <w:tcPr>
            <w:tcW w:w="553" w:type="pct"/>
            <w:tcBorders>
              <w:top w:val="nil"/>
              <w:left w:val="nil"/>
              <w:bottom w:val="single" w:sz="4" w:space="0" w:color="000000"/>
              <w:right w:val="nil"/>
            </w:tcBorders>
            <w:shd w:val="clear" w:color="auto" w:fill="FABF8F" w:themeFill="accent6" w:themeFillTint="99"/>
            <w:vAlign w:val="center"/>
            <w:hideMark/>
          </w:tcPr>
          <w:p w14:paraId="65C68385" w14:textId="77777777" w:rsidR="0088085F" w:rsidRPr="009B216E" w:rsidRDefault="0088085F" w:rsidP="005434E5">
            <w:pPr>
              <w:pStyle w:val="cuadroCabe"/>
              <w:jc w:val="right"/>
              <w:rPr>
                <w:color w:val="000000" w:themeColor="text1"/>
                <w:sz w:val="16"/>
                <w:szCs w:val="16"/>
                <w:lang w:val="es-ES" w:eastAsia="es-ES"/>
              </w:rPr>
            </w:pPr>
            <w:r w:rsidRPr="009B216E">
              <w:rPr>
                <w:color w:val="000000" w:themeColor="text1"/>
                <w:sz w:val="16"/>
                <w:szCs w:val="16"/>
                <w:lang w:val="es-ES" w:eastAsia="es-ES"/>
              </w:rPr>
              <w:t>6</w:t>
            </w:r>
          </w:p>
        </w:tc>
        <w:tc>
          <w:tcPr>
            <w:tcW w:w="471" w:type="pct"/>
            <w:tcBorders>
              <w:top w:val="nil"/>
              <w:left w:val="nil"/>
              <w:bottom w:val="single" w:sz="4" w:space="0" w:color="000000"/>
              <w:right w:val="nil"/>
            </w:tcBorders>
            <w:shd w:val="clear" w:color="auto" w:fill="FABF8F" w:themeFill="accent6" w:themeFillTint="99"/>
            <w:vAlign w:val="center"/>
          </w:tcPr>
          <w:p w14:paraId="0BB070D8" w14:textId="77777777" w:rsidR="0088085F" w:rsidRPr="009B216E" w:rsidRDefault="0088085F" w:rsidP="005434E5">
            <w:pPr>
              <w:pStyle w:val="cuadroCabe"/>
              <w:jc w:val="right"/>
              <w:rPr>
                <w:color w:val="000000" w:themeColor="text1"/>
                <w:sz w:val="16"/>
                <w:szCs w:val="16"/>
                <w:lang w:val="es-ES" w:eastAsia="es-ES"/>
              </w:rPr>
            </w:pPr>
            <w:r w:rsidRPr="009B216E">
              <w:rPr>
                <w:color w:val="000000" w:themeColor="text1"/>
                <w:sz w:val="16"/>
                <w:szCs w:val="16"/>
                <w:lang w:val="es-ES" w:eastAsia="es-ES"/>
              </w:rPr>
              <w:t>964,63</w:t>
            </w:r>
          </w:p>
        </w:tc>
      </w:tr>
    </w:tbl>
    <w:p w14:paraId="2951697A" w14:textId="77777777" w:rsidR="0088085F" w:rsidRPr="00A96563" w:rsidRDefault="00327081" w:rsidP="007629CD">
      <w:pPr>
        <w:pStyle w:val="texto"/>
        <w:spacing w:before="80" w:after="160"/>
        <w:ind w:left="-96" w:hanging="380"/>
        <w:rPr>
          <w:rFonts w:ascii="Arial" w:hAnsi="Arial" w:cs="Arial"/>
          <w:color w:val="000000" w:themeColor="text1"/>
          <w:sz w:val="16"/>
          <w:szCs w:val="16"/>
        </w:rPr>
      </w:pPr>
      <w:r w:rsidRPr="00A96563">
        <w:rPr>
          <w:rFonts w:ascii="Arial" w:hAnsi="Arial" w:cs="Arial"/>
          <w:color w:val="000000" w:themeColor="text1"/>
          <w:sz w:val="16"/>
          <w:szCs w:val="16"/>
        </w:rPr>
        <w:t xml:space="preserve">          </w:t>
      </w:r>
      <w:r w:rsidR="0088085F" w:rsidRPr="00A96563">
        <w:rPr>
          <w:rFonts w:ascii="Arial" w:hAnsi="Arial" w:cs="Arial"/>
          <w:color w:val="000000" w:themeColor="text1"/>
          <w:sz w:val="16"/>
          <w:szCs w:val="16"/>
        </w:rPr>
        <w:t>(*) Derechos reconocidos consolidados con SCPSA</w:t>
      </w:r>
      <w:r w:rsidR="00161A15">
        <w:rPr>
          <w:rFonts w:ascii="Arial" w:hAnsi="Arial" w:cs="Arial"/>
          <w:color w:val="000000" w:themeColor="text1"/>
          <w:sz w:val="16"/>
          <w:szCs w:val="16"/>
        </w:rPr>
        <w:t>.</w:t>
      </w:r>
    </w:p>
    <w:p w14:paraId="3348473C" w14:textId="77777777" w:rsidR="0088085F" w:rsidRPr="00262228" w:rsidRDefault="0088085F" w:rsidP="007629CD">
      <w:pPr>
        <w:pStyle w:val="texto"/>
        <w:spacing w:before="240"/>
      </w:pPr>
      <w:r w:rsidRPr="00262228">
        <w:t xml:space="preserve">Las previsiones definitivas de ingresos para el ejercicio 2019 ascendieron a 1.053,87 millones y presentan un grado de ejecución del 85 por ciento. Mientras, los ingresos corrientes se ejecutaron en un 104 por ciento de las previsiones, </w:t>
      </w:r>
      <w:r w:rsidRPr="00262228">
        <w:lastRenderedPageBreak/>
        <w:t xml:space="preserve">destaca la baja ejecución de los </w:t>
      </w:r>
      <w:r w:rsidR="00874B65">
        <w:t xml:space="preserve">pasivos financieros </w:t>
      </w:r>
      <w:r w:rsidRPr="00262228">
        <w:t xml:space="preserve">y </w:t>
      </w:r>
      <w:r w:rsidR="00874B65">
        <w:t xml:space="preserve">de las operaciones </w:t>
      </w:r>
      <w:r w:rsidRPr="00262228">
        <w:t>de c</w:t>
      </w:r>
      <w:r w:rsidR="00874B65">
        <w:t>apital que se ejecutaron en un 14</w:t>
      </w:r>
      <w:r w:rsidRPr="00262228">
        <w:t xml:space="preserve"> y un 69 por ciento, respectivamente.</w:t>
      </w:r>
    </w:p>
    <w:p w14:paraId="76E1A16F" w14:textId="77777777" w:rsidR="0088085F" w:rsidRPr="00262228" w:rsidRDefault="0088085F" w:rsidP="0088085F">
      <w:pPr>
        <w:pStyle w:val="texto"/>
      </w:pPr>
      <w:r w:rsidRPr="00262228">
        <w:t>En 2019, los derechos reconocidos netos del sector público local ascendieron a 891,40 millones, de los cuales un 88,8 por ciento fueron corrientes (principalmente transferencias y tributos). Los ingresos de capital representan un 10,6 por ciento del total y el restante 0,6 por ciento corresponde a operaciones financieras.</w:t>
      </w:r>
    </w:p>
    <w:p w14:paraId="48FB1AF5" w14:textId="77777777" w:rsidR="0088085F" w:rsidRPr="00262228" w:rsidRDefault="0088085F" w:rsidP="0088085F">
      <w:pPr>
        <w:pStyle w:val="texto"/>
      </w:pPr>
      <w:r w:rsidRPr="00262228">
        <w:t>Los ingresos totales de 2019 fueron un seis por ciento superiores a los del año 2018, con una variación positiva en todos los capítulos. Los ingresos de capital aumentaron un 15 por ciento y los corrientes un cinco por ciento. En términos absolutos, el mayor incremento se da en las transferencias corrientes y de capital, que aumentan en 18 y 16 millones, respectivamente.</w:t>
      </w:r>
    </w:p>
    <w:p w14:paraId="6445F7C0" w14:textId="77777777" w:rsidR="0088085F" w:rsidRPr="00314FFC" w:rsidRDefault="0088085F" w:rsidP="0088085F">
      <w:pPr>
        <w:pStyle w:val="texto"/>
        <w:rPr>
          <w:spacing w:val="2"/>
        </w:rPr>
      </w:pPr>
      <w:r w:rsidRPr="00314FFC">
        <w:rPr>
          <w:spacing w:val="2"/>
        </w:rPr>
        <w:t>El 86 por ciento del total de ingresos corresponde a los municipios y concejos y el 14 por ciento restante a mancomunidades y agrupaciones habiendo aumentado los primeros el peso relativo en el total reconocido en cinco puntos porcentuales.</w:t>
      </w:r>
    </w:p>
    <w:p w14:paraId="6B3E7D47" w14:textId="77777777" w:rsidR="0088085F" w:rsidRPr="00262228" w:rsidRDefault="0088085F" w:rsidP="0088085F">
      <w:pPr>
        <w:pStyle w:val="texto"/>
      </w:pPr>
      <w:r w:rsidRPr="00262228">
        <w:t xml:space="preserve">Del ingreso aportado por SCPSA comprobamos que un 84 por ciento del total corresponde al capítulo 3 de tasas y precios públicos y el restante 16 por ciento son transferencias recibidas. </w:t>
      </w:r>
    </w:p>
    <w:p w14:paraId="575908A6" w14:textId="77777777" w:rsidR="0088085F" w:rsidRPr="00122347" w:rsidRDefault="0088085F" w:rsidP="0088085F">
      <w:pPr>
        <w:pStyle w:val="atitulo2"/>
        <w:spacing w:before="240"/>
        <w:rPr>
          <w:color w:val="000000" w:themeColor="text1"/>
        </w:rPr>
      </w:pPr>
      <w:bookmarkStart w:id="69" w:name="_Toc465686689"/>
      <w:bookmarkStart w:id="70" w:name="_Toc529773883"/>
      <w:bookmarkStart w:id="71" w:name="_Toc24100144"/>
      <w:bookmarkStart w:id="72" w:name="_Toc52348292"/>
      <w:bookmarkStart w:id="73" w:name="_Toc89161269"/>
      <w:bookmarkStart w:id="74" w:name="_Toc90969148"/>
      <w:r w:rsidRPr="00122347">
        <w:rPr>
          <w:color w:val="000000" w:themeColor="text1"/>
        </w:rPr>
        <w:t>V.2. Gastos</w:t>
      </w:r>
      <w:bookmarkEnd w:id="69"/>
      <w:bookmarkEnd w:id="70"/>
      <w:bookmarkEnd w:id="71"/>
      <w:bookmarkEnd w:id="72"/>
      <w:bookmarkEnd w:id="73"/>
      <w:bookmarkEnd w:id="74"/>
    </w:p>
    <w:p w14:paraId="0DADABE3" w14:textId="77777777" w:rsidR="0088085F" w:rsidRPr="00B81E61" w:rsidRDefault="0088085F" w:rsidP="00863ED5">
      <w:pPr>
        <w:pStyle w:val="texto"/>
        <w:spacing w:after="120"/>
        <w:rPr>
          <w:color w:val="000000" w:themeColor="text1"/>
        </w:rPr>
      </w:pPr>
      <w:r w:rsidRPr="00B81E61">
        <w:rPr>
          <w:color w:val="000000" w:themeColor="text1"/>
        </w:rPr>
        <w:t>Se presenta a continuación un cuadro resumen de los gastos del sector público local en 201</w:t>
      </w:r>
      <w:r>
        <w:rPr>
          <w:color w:val="000000" w:themeColor="text1"/>
        </w:rPr>
        <w:t>9</w:t>
      </w:r>
      <w:r w:rsidRPr="00B81E61">
        <w:rPr>
          <w:color w:val="000000" w:themeColor="text1"/>
        </w:rPr>
        <w:t>:</w:t>
      </w:r>
    </w:p>
    <w:p w14:paraId="5AA7E64D" w14:textId="77777777" w:rsidR="0088085F" w:rsidRPr="00B81E61" w:rsidRDefault="0088085F" w:rsidP="00CE6C44">
      <w:pPr>
        <w:pStyle w:val="texto"/>
        <w:spacing w:after="60"/>
        <w:ind w:right="-142"/>
        <w:rPr>
          <w:i/>
          <w:color w:val="000000" w:themeColor="text1"/>
          <w:sz w:val="20"/>
          <w:szCs w:val="20"/>
        </w:rPr>
      </w:pPr>
      <w:r w:rsidRPr="00B81E61">
        <w:rPr>
          <w:i/>
          <w:color w:val="000000" w:themeColor="text1"/>
          <w:sz w:val="20"/>
          <w:szCs w:val="20"/>
        </w:rPr>
        <w:t xml:space="preserve">                                                                                                                           </w:t>
      </w:r>
      <w:r w:rsidR="00863ED5">
        <w:rPr>
          <w:i/>
          <w:color w:val="000000" w:themeColor="text1"/>
          <w:sz w:val="20"/>
          <w:szCs w:val="20"/>
        </w:rPr>
        <w:t xml:space="preserve">  </w:t>
      </w:r>
      <w:r w:rsidRPr="00B81E61">
        <w:rPr>
          <w:i/>
          <w:color w:val="000000" w:themeColor="text1"/>
          <w:sz w:val="20"/>
          <w:szCs w:val="20"/>
        </w:rPr>
        <w:t xml:space="preserve">  </w:t>
      </w:r>
      <w:r w:rsidR="00CE6C44">
        <w:rPr>
          <w:i/>
          <w:color w:val="000000" w:themeColor="text1"/>
          <w:sz w:val="20"/>
          <w:szCs w:val="20"/>
        </w:rPr>
        <w:t xml:space="preserve">  </w:t>
      </w:r>
      <w:r w:rsidRPr="00B81E61">
        <w:rPr>
          <w:i/>
          <w:color w:val="000000" w:themeColor="text1"/>
          <w:sz w:val="20"/>
          <w:szCs w:val="20"/>
        </w:rPr>
        <w:t xml:space="preserve">    </w:t>
      </w:r>
      <w:r w:rsidRPr="00863ED5">
        <w:rPr>
          <w:rFonts w:ascii="Arial" w:hAnsi="Arial" w:cs="Arial"/>
          <w:color w:val="000000" w:themeColor="text1"/>
          <w:sz w:val="17"/>
          <w:szCs w:val="17"/>
        </w:rPr>
        <w:t>(en millones)</w:t>
      </w:r>
      <w:r w:rsidR="00CE6C44">
        <w:rPr>
          <w:rFonts w:ascii="Arial" w:hAnsi="Arial" w:cs="Arial"/>
          <w:color w:val="000000" w:themeColor="text1"/>
          <w:sz w:val="17"/>
          <w:szCs w:val="17"/>
        </w:rPr>
        <w:t xml:space="preserve">   </w:t>
      </w:r>
    </w:p>
    <w:tbl>
      <w:tblPr>
        <w:tblW w:w="5001" w:type="pct"/>
        <w:jc w:val="center"/>
        <w:tblCellMar>
          <w:left w:w="70" w:type="dxa"/>
          <w:right w:w="70" w:type="dxa"/>
        </w:tblCellMar>
        <w:tblLook w:val="04A0" w:firstRow="1" w:lastRow="0" w:firstColumn="1" w:lastColumn="0" w:noHBand="0" w:noVBand="1"/>
      </w:tblPr>
      <w:tblGrid>
        <w:gridCol w:w="3121"/>
        <w:gridCol w:w="981"/>
        <w:gridCol w:w="1102"/>
        <w:gridCol w:w="935"/>
        <w:gridCol w:w="777"/>
        <w:gridCol w:w="883"/>
        <w:gridCol w:w="992"/>
      </w:tblGrid>
      <w:tr w:rsidR="0088085F" w:rsidRPr="00314FFC" w14:paraId="60F89E1E" w14:textId="77777777" w:rsidTr="002E3924">
        <w:trPr>
          <w:trHeight w:val="227"/>
          <w:jc w:val="center"/>
        </w:trPr>
        <w:tc>
          <w:tcPr>
            <w:tcW w:w="1775" w:type="pct"/>
            <w:tcBorders>
              <w:top w:val="single" w:sz="4" w:space="0" w:color="000000"/>
              <w:left w:val="nil"/>
              <w:bottom w:val="single" w:sz="4" w:space="0" w:color="000000"/>
              <w:right w:val="nil"/>
            </w:tcBorders>
            <w:shd w:val="clear" w:color="000000" w:fill="F4B084"/>
            <w:vAlign w:val="center"/>
            <w:hideMark/>
          </w:tcPr>
          <w:p w14:paraId="763AF2B5" w14:textId="77777777" w:rsidR="0088085F" w:rsidRPr="00314FFC" w:rsidRDefault="0088085F" w:rsidP="00314FFC">
            <w:pPr>
              <w:pStyle w:val="cuadroCabe"/>
              <w:jc w:val="left"/>
              <w:rPr>
                <w:color w:val="000000" w:themeColor="text1"/>
                <w:sz w:val="16"/>
                <w:szCs w:val="16"/>
                <w:lang w:val="es-ES" w:eastAsia="es-ES"/>
              </w:rPr>
            </w:pPr>
            <w:r w:rsidRPr="00314FFC">
              <w:rPr>
                <w:color w:val="000000" w:themeColor="text1"/>
                <w:sz w:val="16"/>
                <w:szCs w:val="16"/>
                <w:lang w:val="es-ES" w:eastAsia="es-ES"/>
              </w:rPr>
              <w:t>Capítulo</w:t>
            </w:r>
          </w:p>
        </w:tc>
        <w:tc>
          <w:tcPr>
            <w:tcW w:w="558" w:type="pct"/>
            <w:tcBorders>
              <w:top w:val="single" w:sz="4" w:space="0" w:color="000000"/>
              <w:left w:val="nil"/>
              <w:bottom w:val="single" w:sz="4" w:space="0" w:color="000000"/>
              <w:right w:val="nil"/>
            </w:tcBorders>
            <w:shd w:val="clear" w:color="000000" w:fill="F4B084"/>
            <w:vAlign w:val="center"/>
            <w:hideMark/>
          </w:tcPr>
          <w:p w14:paraId="4E7E08AF" w14:textId="77777777" w:rsidR="0088085F" w:rsidRPr="00314FFC" w:rsidRDefault="0088085F" w:rsidP="00314FFC">
            <w:pPr>
              <w:pStyle w:val="cuadroCabe"/>
              <w:jc w:val="right"/>
              <w:rPr>
                <w:color w:val="000000" w:themeColor="text1"/>
                <w:sz w:val="16"/>
                <w:szCs w:val="16"/>
                <w:lang w:val="es-ES" w:eastAsia="es-ES"/>
              </w:rPr>
            </w:pPr>
            <w:r w:rsidRPr="00314FFC">
              <w:rPr>
                <w:color w:val="000000" w:themeColor="text1"/>
                <w:sz w:val="16"/>
                <w:szCs w:val="16"/>
                <w:lang w:val="es-ES" w:eastAsia="es-ES"/>
              </w:rPr>
              <w:t>Créditos definitivos</w:t>
            </w:r>
          </w:p>
        </w:tc>
        <w:tc>
          <w:tcPr>
            <w:tcW w:w="627" w:type="pct"/>
            <w:tcBorders>
              <w:top w:val="single" w:sz="4" w:space="0" w:color="000000"/>
              <w:left w:val="nil"/>
              <w:bottom w:val="single" w:sz="4" w:space="0" w:color="000000"/>
              <w:right w:val="nil"/>
            </w:tcBorders>
            <w:shd w:val="clear" w:color="000000" w:fill="F4B084"/>
            <w:vAlign w:val="center"/>
            <w:hideMark/>
          </w:tcPr>
          <w:p w14:paraId="541FF006" w14:textId="77777777" w:rsidR="0088085F" w:rsidRPr="00314FFC" w:rsidRDefault="0088085F" w:rsidP="00314FFC">
            <w:pPr>
              <w:pStyle w:val="cuadroCabe"/>
              <w:jc w:val="right"/>
              <w:rPr>
                <w:color w:val="000000" w:themeColor="text1"/>
                <w:sz w:val="16"/>
                <w:szCs w:val="16"/>
                <w:lang w:val="es-ES" w:eastAsia="es-ES"/>
              </w:rPr>
            </w:pPr>
            <w:r w:rsidRPr="00314FFC">
              <w:rPr>
                <w:color w:val="000000" w:themeColor="text1"/>
                <w:sz w:val="16"/>
                <w:szCs w:val="16"/>
                <w:lang w:val="es-ES" w:eastAsia="es-ES"/>
              </w:rPr>
              <w:t>ORN 2019</w:t>
            </w:r>
          </w:p>
        </w:tc>
        <w:tc>
          <w:tcPr>
            <w:tcW w:w="532" w:type="pct"/>
            <w:tcBorders>
              <w:top w:val="single" w:sz="4" w:space="0" w:color="000000"/>
              <w:left w:val="nil"/>
              <w:bottom w:val="single" w:sz="4" w:space="0" w:color="000000"/>
              <w:right w:val="nil"/>
            </w:tcBorders>
            <w:shd w:val="clear" w:color="000000" w:fill="F4B084"/>
            <w:vAlign w:val="center"/>
            <w:hideMark/>
          </w:tcPr>
          <w:p w14:paraId="6847F6D6" w14:textId="77777777" w:rsidR="0088085F" w:rsidRPr="00314FFC" w:rsidRDefault="0088085F" w:rsidP="00314FFC">
            <w:pPr>
              <w:pStyle w:val="cuadroCabe"/>
              <w:jc w:val="right"/>
              <w:rPr>
                <w:color w:val="000000" w:themeColor="text1"/>
                <w:sz w:val="16"/>
                <w:szCs w:val="16"/>
                <w:lang w:val="es-ES" w:eastAsia="es-ES"/>
              </w:rPr>
            </w:pPr>
            <w:r w:rsidRPr="00314FFC">
              <w:rPr>
                <w:color w:val="000000" w:themeColor="text1"/>
                <w:sz w:val="16"/>
                <w:szCs w:val="16"/>
                <w:lang w:val="es-ES" w:eastAsia="es-ES"/>
              </w:rPr>
              <w:t>% s/ total gastos</w:t>
            </w:r>
          </w:p>
        </w:tc>
        <w:tc>
          <w:tcPr>
            <w:tcW w:w="442" w:type="pct"/>
            <w:tcBorders>
              <w:top w:val="single" w:sz="4" w:space="0" w:color="000000"/>
              <w:left w:val="nil"/>
              <w:bottom w:val="single" w:sz="4" w:space="0" w:color="000000"/>
              <w:right w:val="nil"/>
            </w:tcBorders>
            <w:shd w:val="clear" w:color="000000" w:fill="F4B084"/>
            <w:vAlign w:val="center"/>
            <w:hideMark/>
          </w:tcPr>
          <w:p w14:paraId="2BD555B9" w14:textId="77777777" w:rsidR="0088085F" w:rsidRPr="00314FFC" w:rsidRDefault="00314FFC" w:rsidP="00314FFC">
            <w:pPr>
              <w:pStyle w:val="cuadroCabe"/>
              <w:jc w:val="right"/>
              <w:rPr>
                <w:color w:val="000000" w:themeColor="text1"/>
                <w:sz w:val="16"/>
                <w:szCs w:val="16"/>
                <w:lang w:val="es-ES" w:eastAsia="es-ES"/>
              </w:rPr>
            </w:pPr>
            <w:r w:rsidRPr="00314FFC">
              <w:rPr>
                <w:color w:val="000000" w:themeColor="text1"/>
                <w:sz w:val="16"/>
                <w:szCs w:val="16"/>
                <w:lang w:val="es-ES" w:eastAsia="es-ES"/>
              </w:rPr>
              <w:t>%</w:t>
            </w:r>
            <w:r>
              <w:rPr>
                <w:color w:val="000000" w:themeColor="text1"/>
                <w:sz w:val="16"/>
                <w:szCs w:val="16"/>
                <w:lang w:val="es-ES" w:eastAsia="es-ES"/>
              </w:rPr>
              <w:t xml:space="preserve"> </w:t>
            </w:r>
            <w:r w:rsidR="0088085F" w:rsidRPr="00314FFC">
              <w:rPr>
                <w:color w:val="000000" w:themeColor="text1"/>
                <w:sz w:val="16"/>
                <w:szCs w:val="16"/>
                <w:lang w:val="es-ES" w:eastAsia="es-ES"/>
              </w:rPr>
              <w:t>ejecución</w:t>
            </w:r>
          </w:p>
        </w:tc>
        <w:tc>
          <w:tcPr>
            <w:tcW w:w="502" w:type="pct"/>
            <w:tcBorders>
              <w:top w:val="single" w:sz="4" w:space="0" w:color="000000"/>
              <w:left w:val="nil"/>
              <w:bottom w:val="single" w:sz="4" w:space="0" w:color="000000"/>
              <w:right w:val="nil"/>
            </w:tcBorders>
            <w:shd w:val="clear" w:color="000000" w:fill="F4B084"/>
            <w:vAlign w:val="center"/>
            <w:hideMark/>
          </w:tcPr>
          <w:p w14:paraId="324655DA" w14:textId="77777777" w:rsidR="0088085F" w:rsidRPr="00314FFC" w:rsidRDefault="0088085F" w:rsidP="00314FFC">
            <w:pPr>
              <w:pStyle w:val="cuadroCabe"/>
              <w:jc w:val="right"/>
              <w:rPr>
                <w:rFonts w:cs="Arial"/>
                <w:color w:val="000000" w:themeColor="text1"/>
                <w:sz w:val="16"/>
                <w:szCs w:val="16"/>
                <w:lang w:val="es-ES" w:eastAsia="es-ES"/>
              </w:rPr>
            </w:pPr>
            <w:r w:rsidRPr="00314FFC">
              <w:rPr>
                <w:rFonts w:cs="Arial"/>
                <w:color w:val="000000" w:themeColor="text1"/>
                <w:sz w:val="16"/>
                <w:szCs w:val="16"/>
                <w:lang w:val="es-ES" w:eastAsia="es-ES"/>
              </w:rPr>
              <w:t>%</w:t>
            </w:r>
            <w:r w:rsidR="00314FFC" w:rsidRPr="00314FFC">
              <w:rPr>
                <w:rFonts w:cs="Arial"/>
                <w:color w:val="000000" w:themeColor="text1"/>
                <w:sz w:val="16"/>
                <w:szCs w:val="16"/>
                <w:lang w:val="es-ES" w:eastAsia="es-ES"/>
              </w:rPr>
              <w:t xml:space="preserve"> </w:t>
            </w:r>
            <w:proofErr w:type="spellStart"/>
            <w:r w:rsidRPr="00314FFC">
              <w:rPr>
                <w:rFonts w:cs="Arial"/>
                <w:color w:val="000000" w:themeColor="text1"/>
                <w:sz w:val="16"/>
                <w:szCs w:val="16"/>
                <w:lang w:val="es-ES" w:eastAsia="es-ES"/>
              </w:rPr>
              <w:t>var</w:t>
            </w:r>
            <w:proofErr w:type="spellEnd"/>
            <w:r w:rsidRPr="00314FFC">
              <w:rPr>
                <w:rFonts w:cs="Arial"/>
                <w:color w:val="000000" w:themeColor="text1"/>
                <w:sz w:val="16"/>
                <w:szCs w:val="16"/>
                <w:lang w:val="es-ES" w:eastAsia="es-ES"/>
              </w:rPr>
              <w:t>. 2019/18</w:t>
            </w:r>
          </w:p>
        </w:tc>
        <w:tc>
          <w:tcPr>
            <w:tcW w:w="564" w:type="pct"/>
            <w:tcBorders>
              <w:top w:val="single" w:sz="4" w:space="0" w:color="000000"/>
              <w:left w:val="nil"/>
              <w:bottom w:val="single" w:sz="4" w:space="0" w:color="000000"/>
              <w:right w:val="nil"/>
            </w:tcBorders>
            <w:shd w:val="clear" w:color="000000" w:fill="F4B084"/>
            <w:vAlign w:val="center"/>
          </w:tcPr>
          <w:p w14:paraId="4F585626" w14:textId="77777777" w:rsidR="002E3924" w:rsidRDefault="0088085F" w:rsidP="00314FFC">
            <w:pPr>
              <w:pStyle w:val="cuadroCabe"/>
              <w:jc w:val="right"/>
              <w:rPr>
                <w:color w:val="000000" w:themeColor="text1"/>
                <w:sz w:val="16"/>
                <w:szCs w:val="16"/>
                <w:lang w:val="es-ES" w:eastAsia="es-ES"/>
              </w:rPr>
            </w:pPr>
            <w:r w:rsidRPr="00314FFC">
              <w:rPr>
                <w:color w:val="000000" w:themeColor="text1"/>
                <w:sz w:val="16"/>
                <w:szCs w:val="16"/>
                <w:lang w:val="es-ES" w:eastAsia="es-ES"/>
              </w:rPr>
              <w:t xml:space="preserve">ORN </w:t>
            </w:r>
          </w:p>
          <w:p w14:paraId="0AEDD45D" w14:textId="77777777" w:rsidR="0088085F" w:rsidRPr="00314FFC" w:rsidRDefault="0088085F" w:rsidP="00314FFC">
            <w:pPr>
              <w:pStyle w:val="cuadroCabe"/>
              <w:jc w:val="right"/>
              <w:rPr>
                <w:color w:val="000000" w:themeColor="text1"/>
                <w:sz w:val="16"/>
                <w:szCs w:val="16"/>
                <w:lang w:val="es-ES" w:eastAsia="es-ES"/>
              </w:rPr>
            </w:pPr>
            <w:r w:rsidRPr="00314FFC">
              <w:rPr>
                <w:color w:val="000000" w:themeColor="text1"/>
                <w:sz w:val="16"/>
                <w:szCs w:val="16"/>
                <w:lang w:val="es-ES" w:eastAsia="es-ES"/>
              </w:rPr>
              <w:t>2019 (*)</w:t>
            </w:r>
          </w:p>
        </w:tc>
      </w:tr>
      <w:tr w:rsidR="0088085F" w:rsidRPr="00314FFC" w14:paraId="50279430" w14:textId="77777777" w:rsidTr="002E3924">
        <w:trPr>
          <w:trHeight w:hRule="exact" w:val="284"/>
          <w:jc w:val="center"/>
        </w:trPr>
        <w:tc>
          <w:tcPr>
            <w:tcW w:w="1775" w:type="pct"/>
            <w:tcBorders>
              <w:top w:val="single" w:sz="4" w:space="0" w:color="000000"/>
              <w:left w:val="nil"/>
              <w:bottom w:val="single" w:sz="2" w:space="0" w:color="000000"/>
            </w:tcBorders>
            <w:shd w:val="clear" w:color="auto" w:fill="auto"/>
            <w:vAlign w:val="center"/>
            <w:hideMark/>
          </w:tcPr>
          <w:p w14:paraId="3CD6D6CA" w14:textId="77777777" w:rsidR="0088085F" w:rsidRPr="00314FFC" w:rsidRDefault="0088085F" w:rsidP="00314FFC">
            <w:pPr>
              <w:pStyle w:val="cuatexto"/>
              <w:jc w:val="left"/>
              <w:rPr>
                <w:sz w:val="19"/>
                <w:szCs w:val="19"/>
                <w:lang w:val="es-ES" w:eastAsia="es-ES"/>
              </w:rPr>
            </w:pPr>
            <w:r w:rsidRPr="00314FFC">
              <w:rPr>
                <w:sz w:val="19"/>
                <w:szCs w:val="19"/>
                <w:lang w:val="es-ES" w:eastAsia="es-ES"/>
              </w:rPr>
              <w:t>1   Gastos de personal</w:t>
            </w:r>
          </w:p>
        </w:tc>
        <w:tc>
          <w:tcPr>
            <w:tcW w:w="558" w:type="pct"/>
            <w:tcBorders>
              <w:top w:val="single" w:sz="4" w:space="0" w:color="000000"/>
              <w:left w:val="nil"/>
              <w:bottom w:val="single" w:sz="2" w:space="0" w:color="000000"/>
              <w:right w:val="nil"/>
            </w:tcBorders>
            <w:shd w:val="clear" w:color="auto" w:fill="auto"/>
            <w:vAlign w:val="center"/>
            <w:hideMark/>
          </w:tcPr>
          <w:p w14:paraId="18FAE0D2" w14:textId="77777777" w:rsidR="0088085F" w:rsidRPr="00314FFC" w:rsidRDefault="0088085F" w:rsidP="00314FFC">
            <w:pPr>
              <w:pStyle w:val="cuatexto"/>
              <w:jc w:val="right"/>
              <w:rPr>
                <w:color w:val="000000"/>
                <w:sz w:val="19"/>
                <w:szCs w:val="19"/>
                <w:lang w:val="es-ES" w:eastAsia="es-ES"/>
              </w:rPr>
            </w:pPr>
            <w:r w:rsidRPr="00314FFC">
              <w:rPr>
                <w:color w:val="000000"/>
                <w:sz w:val="19"/>
                <w:szCs w:val="19"/>
              </w:rPr>
              <w:t>308,18</w:t>
            </w:r>
          </w:p>
        </w:tc>
        <w:tc>
          <w:tcPr>
            <w:tcW w:w="627" w:type="pct"/>
            <w:tcBorders>
              <w:top w:val="single" w:sz="4" w:space="0" w:color="000000"/>
              <w:left w:val="nil"/>
              <w:bottom w:val="single" w:sz="2" w:space="0" w:color="000000"/>
              <w:right w:val="nil"/>
            </w:tcBorders>
            <w:shd w:val="clear" w:color="auto" w:fill="auto"/>
            <w:vAlign w:val="center"/>
            <w:hideMark/>
          </w:tcPr>
          <w:p w14:paraId="6B8F9F2B" w14:textId="77777777" w:rsidR="0088085F" w:rsidRPr="00314FFC" w:rsidRDefault="0088085F" w:rsidP="00314FFC">
            <w:pPr>
              <w:pStyle w:val="cuatexto"/>
              <w:jc w:val="right"/>
              <w:rPr>
                <w:color w:val="000000"/>
                <w:sz w:val="19"/>
                <w:szCs w:val="19"/>
                <w:lang w:val="es-ES" w:eastAsia="es-ES"/>
              </w:rPr>
            </w:pPr>
            <w:r w:rsidRPr="00314FFC">
              <w:rPr>
                <w:color w:val="000000"/>
                <w:sz w:val="19"/>
                <w:szCs w:val="19"/>
              </w:rPr>
              <w:t>299,37</w:t>
            </w:r>
          </w:p>
        </w:tc>
        <w:tc>
          <w:tcPr>
            <w:tcW w:w="532" w:type="pct"/>
            <w:tcBorders>
              <w:top w:val="single" w:sz="4" w:space="0" w:color="000000"/>
              <w:left w:val="nil"/>
              <w:bottom w:val="single" w:sz="2" w:space="0" w:color="000000"/>
              <w:right w:val="nil"/>
            </w:tcBorders>
            <w:shd w:val="clear" w:color="auto" w:fill="auto"/>
            <w:vAlign w:val="center"/>
            <w:hideMark/>
          </w:tcPr>
          <w:p w14:paraId="7FDA2E60" w14:textId="77777777" w:rsidR="0088085F" w:rsidRPr="00314FFC" w:rsidRDefault="0088085F" w:rsidP="00314FFC">
            <w:pPr>
              <w:pStyle w:val="cuatexto"/>
              <w:jc w:val="right"/>
              <w:rPr>
                <w:rFonts w:cs="Calibri"/>
                <w:sz w:val="19"/>
                <w:szCs w:val="19"/>
                <w:lang w:val="es-ES" w:eastAsia="es-ES"/>
              </w:rPr>
            </w:pPr>
            <w:r w:rsidRPr="00314FFC">
              <w:rPr>
                <w:rFonts w:cs="Calibri"/>
                <w:sz w:val="19"/>
                <w:szCs w:val="19"/>
              </w:rPr>
              <w:t>33,8</w:t>
            </w:r>
          </w:p>
        </w:tc>
        <w:tc>
          <w:tcPr>
            <w:tcW w:w="442" w:type="pct"/>
            <w:tcBorders>
              <w:top w:val="single" w:sz="4" w:space="0" w:color="000000"/>
              <w:left w:val="nil"/>
              <w:bottom w:val="single" w:sz="2" w:space="0" w:color="000000"/>
              <w:right w:val="nil"/>
            </w:tcBorders>
            <w:shd w:val="clear" w:color="auto" w:fill="auto"/>
            <w:vAlign w:val="center"/>
            <w:hideMark/>
          </w:tcPr>
          <w:p w14:paraId="70321F85" w14:textId="77777777" w:rsidR="0088085F" w:rsidRPr="00314FFC" w:rsidRDefault="0088085F" w:rsidP="00314FFC">
            <w:pPr>
              <w:pStyle w:val="cuatexto"/>
              <w:jc w:val="right"/>
              <w:rPr>
                <w:rFonts w:cs="Calibri"/>
                <w:sz w:val="19"/>
                <w:szCs w:val="19"/>
                <w:lang w:val="es-ES" w:eastAsia="es-ES"/>
              </w:rPr>
            </w:pPr>
            <w:r w:rsidRPr="00314FFC">
              <w:rPr>
                <w:rFonts w:cs="Calibri"/>
                <w:sz w:val="19"/>
                <w:szCs w:val="19"/>
              </w:rPr>
              <w:t>97</w:t>
            </w:r>
          </w:p>
        </w:tc>
        <w:tc>
          <w:tcPr>
            <w:tcW w:w="502" w:type="pct"/>
            <w:tcBorders>
              <w:top w:val="single" w:sz="4" w:space="0" w:color="000000"/>
              <w:left w:val="nil"/>
              <w:bottom w:val="single" w:sz="2" w:space="0" w:color="000000"/>
              <w:right w:val="nil"/>
            </w:tcBorders>
            <w:shd w:val="clear" w:color="auto" w:fill="auto"/>
            <w:noWrap/>
            <w:vAlign w:val="center"/>
            <w:hideMark/>
          </w:tcPr>
          <w:p w14:paraId="4DF01AE4" w14:textId="77777777" w:rsidR="0088085F" w:rsidRPr="00314FFC" w:rsidRDefault="0088085F" w:rsidP="00314FFC">
            <w:pPr>
              <w:pStyle w:val="cuatexto"/>
              <w:jc w:val="right"/>
              <w:rPr>
                <w:sz w:val="19"/>
                <w:szCs w:val="19"/>
                <w:lang w:val="es-ES" w:eastAsia="es-ES"/>
              </w:rPr>
            </w:pPr>
            <w:r w:rsidRPr="00314FFC">
              <w:rPr>
                <w:sz w:val="19"/>
                <w:szCs w:val="19"/>
              </w:rPr>
              <w:t>7</w:t>
            </w:r>
          </w:p>
        </w:tc>
        <w:tc>
          <w:tcPr>
            <w:tcW w:w="564" w:type="pct"/>
            <w:tcBorders>
              <w:top w:val="single" w:sz="4" w:space="0" w:color="000000"/>
              <w:left w:val="nil"/>
              <w:bottom w:val="single" w:sz="2" w:space="0" w:color="000000"/>
              <w:right w:val="nil"/>
            </w:tcBorders>
            <w:shd w:val="clear" w:color="auto" w:fill="auto"/>
            <w:vAlign w:val="center"/>
          </w:tcPr>
          <w:p w14:paraId="0F44741F" w14:textId="77777777" w:rsidR="0088085F" w:rsidRPr="00314FFC" w:rsidRDefault="0088085F" w:rsidP="00314FFC">
            <w:pPr>
              <w:pStyle w:val="cuatexto"/>
              <w:jc w:val="right"/>
              <w:rPr>
                <w:color w:val="000000"/>
                <w:sz w:val="19"/>
                <w:szCs w:val="19"/>
                <w:lang w:val="es-ES" w:eastAsia="es-ES"/>
              </w:rPr>
            </w:pPr>
            <w:r w:rsidRPr="00314FFC">
              <w:rPr>
                <w:color w:val="000000"/>
                <w:sz w:val="19"/>
                <w:szCs w:val="19"/>
              </w:rPr>
              <w:t>324,38</w:t>
            </w:r>
          </w:p>
        </w:tc>
      </w:tr>
      <w:tr w:rsidR="0088085F" w:rsidRPr="00314FFC" w14:paraId="2A3A2489" w14:textId="77777777" w:rsidTr="002E3924">
        <w:trPr>
          <w:trHeight w:hRule="exact" w:val="238"/>
          <w:jc w:val="center"/>
        </w:trPr>
        <w:tc>
          <w:tcPr>
            <w:tcW w:w="1775" w:type="pct"/>
            <w:tcBorders>
              <w:top w:val="single" w:sz="2" w:space="0" w:color="000000"/>
              <w:left w:val="nil"/>
              <w:bottom w:val="single" w:sz="2" w:space="0" w:color="000000"/>
            </w:tcBorders>
            <w:shd w:val="clear" w:color="auto" w:fill="auto"/>
            <w:vAlign w:val="center"/>
            <w:hideMark/>
          </w:tcPr>
          <w:p w14:paraId="196CE7DB" w14:textId="77777777" w:rsidR="0088085F" w:rsidRPr="00314FFC" w:rsidRDefault="0088085F" w:rsidP="002F5F1D">
            <w:pPr>
              <w:pStyle w:val="cuatexto"/>
              <w:jc w:val="left"/>
              <w:rPr>
                <w:sz w:val="19"/>
                <w:szCs w:val="19"/>
                <w:lang w:val="es-ES" w:eastAsia="es-ES"/>
              </w:rPr>
            </w:pPr>
            <w:r w:rsidRPr="00314FFC">
              <w:rPr>
                <w:sz w:val="19"/>
                <w:szCs w:val="19"/>
                <w:lang w:val="es-ES" w:eastAsia="es-ES"/>
              </w:rPr>
              <w:t xml:space="preserve">2   Gastos corrientes en bienes y </w:t>
            </w:r>
            <w:proofErr w:type="spellStart"/>
            <w:r w:rsidRPr="00314FFC">
              <w:rPr>
                <w:sz w:val="19"/>
                <w:szCs w:val="19"/>
                <w:lang w:val="es-ES" w:eastAsia="es-ES"/>
              </w:rPr>
              <w:t>serv</w:t>
            </w:r>
            <w:proofErr w:type="spellEnd"/>
            <w:r w:rsidR="002F5F1D">
              <w:rPr>
                <w:sz w:val="19"/>
                <w:szCs w:val="19"/>
                <w:lang w:val="es-ES" w:eastAsia="es-ES"/>
              </w:rPr>
              <w:t>.</w:t>
            </w:r>
          </w:p>
        </w:tc>
        <w:tc>
          <w:tcPr>
            <w:tcW w:w="558" w:type="pct"/>
            <w:tcBorders>
              <w:top w:val="single" w:sz="2" w:space="0" w:color="000000"/>
              <w:left w:val="nil"/>
              <w:bottom w:val="single" w:sz="2" w:space="0" w:color="000000"/>
              <w:right w:val="nil"/>
            </w:tcBorders>
            <w:shd w:val="clear" w:color="auto" w:fill="auto"/>
            <w:vAlign w:val="center"/>
            <w:hideMark/>
          </w:tcPr>
          <w:p w14:paraId="02077E0D" w14:textId="77777777" w:rsidR="0088085F" w:rsidRPr="00314FFC" w:rsidRDefault="0088085F" w:rsidP="00314FFC">
            <w:pPr>
              <w:pStyle w:val="cuatexto"/>
              <w:jc w:val="right"/>
              <w:rPr>
                <w:color w:val="000000"/>
                <w:sz w:val="19"/>
                <w:szCs w:val="19"/>
              </w:rPr>
            </w:pPr>
            <w:r w:rsidRPr="00314FFC">
              <w:rPr>
                <w:color w:val="000000"/>
                <w:sz w:val="19"/>
                <w:szCs w:val="19"/>
              </w:rPr>
              <w:t>303,39</w:t>
            </w:r>
          </w:p>
        </w:tc>
        <w:tc>
          <w:tcPr>
            <w:tcW w:w="627" w:type="pct"/>
            <w:tcBorders>
              <w:top w:val="single" w:sz="2" w:space="0" w:color="000000"/>
              <w:left w:val="nil"/>
              <w:bottom w:val="single" w:sz="2" w:space="0" w:color="000000"/>
              <w:right w:val="nil"/>
            </w:tcBorders>
            <w:shd w:val="clear" w:color="auto" w:fill="auto"/>
            <w:vAlign w:val="center"/>
            <w:hideMark/>
          </w:tcPr>
          <w:p w14:paraId="747B62C1" w14:textId="77777777" w:rsidR="0088085F" w:rsidRPr="00314FFC" w:rsidRDefault="0088085F" w:rsidP="00314FFC">
            <w:pPr>
              <w:pStyle w:val="cuatexto"/>
              <w:jc w:val="right"/>
              <w:rPr>
                <w:color w:val="000000"/>
                <w:sz w:val="19"/>
                <w:szCs w:val="19"/>
              </w:rPr>
            </w:pPr>
            <w:r w:rsidRPr="00314FFC">
              <w:rPr>
                <w:color w:val="000000"/>
                <w:sz w:val="19"/>
                <w:szCs w:val="19"/>
              </w:rPr>
              <w:t>282,72</w:t>
            </w:r>
          </w:p>
        </w:tc>
        <w:tc>
          <w:tcPr>
            <w:tcW w:w="532" w:type="pct"/>
            <w:tcBorders>
              <w:top w:val="single" w:sz="2" w:space="0" w:color="000000"/>
              <w:left w:val="nil"/>
              <w:bottom w:val="single" w:sz="2" w:space="0" w:color="000000"/>
              <w:right w:val="nil"/>
            </w:tcBorders>
            <w:shd w:val="clear" w:color="auto" w:fill="auto"/>
            <w:vAlign w:val="center"/>
            <w:hideMark/>
          </w:tcPr>
          <w:p w14:paraId="3C88827F" w14:textId="77777777" w:rsidR="0088085F" w:rsidRPr="00314FFC" w:rsidRDefault="0088085F" w:rsidP="00314FFC">
            <w:pPr>
              <w:pStyle w:val="cuatexto"/>
              <w:jc w:val="right"/>
              <w:rPr>
                <w:rFonts w:cs="Calibri"/>
                <w:sz w:val="19"/>
                <w:szCs w:val="19"/>
              </w:rPr>
            </w:pPr>
            <w:r w:rsidRPr="00314FFC">
              <w:rPr>
                <w:rFonts w:cs="Calibri"/>
                <w:sz w:val="19"/>
                <w:szCs w:val="19"/>
              </w:rPr>
              <w:t>31,9</w:t>
            </w:r>
          </w:p>
        </w:tc>
        <w:tc>
          <w:tcPr>
            <w:tcW w:w="442" w:type="pct"/>
            <w:tcBorders>
              <w:top w:val="single" w:sz="2" w:space="0" w:color="000000"/>
              <w:left w:val="nil"/>
              <w:bottom w:val="single" w:sz="2" w:space="0" w:color="000000"/>
              <w:right w:val="nil"/>
            </w:tcBorders>
            <w:shd w:val="clear" w:color="auto" w:fill="auto"/>
            <w:vAlign w:val="center"/>
            <w:hideMark/>
          </w:tcPr>
          <w:p w14:paraId="5C0320C5" w14:textId="77777777" w:rsidR="0088085F" w:rsidRPr="00314FFC" w:rsidRDefault="0088085F" w:rsidP="00314FFC">
            <w:pPr>
              <w:pStyle w:val="cuatexto"/>
              <w:jc w:val="right"/>
              <w:rPr>
                <w:rFonts w:cs="Calibri"/>
                <w:sz w:val="19"/>
                <w:szCs w:val="19"/>
              </w:rPr>
            </w:pPr>
            <w:r w:rsidRPr="00314FFC">
              <w:rPr>
                <w:rFonts w:cs="Calibri"/>
                <w:sz w:val="19"/>
                <w:szCs w:val="19"/>
              </w:rPr>
              <w:t>93</w:t>
            </w:r>
          </w:p>
        </w:tc>
        <w:tc>
          <w:tcPr>
            <w:tcW w:w="502" w:type="pct"/>
            <w:tcBorders>
              <w:top w:val="single" w:sz="2" w:space="0" w:color="000000"/>
              <w:left w:val="nil"/>
              <w:bottom w:val="single" w:sz="2" w:space="0" w:color="000000"/>
              <w:right w:val="nil"/>
            </w:tcBorders>
            <w:shd w:val="clear" w:color="auto" w:fill="auto"/>
            <w:noWrap/>
            <w:vAlign w:val="center"/>
            <w:hideMark/>
          </w:tcPr>
          <w:p w14:paraId="7F0D0F36" w14:textId="77777777" w:rsidR="0088085F" w:rsidRPr="00314FFC" w:rsidRDefault="0088085F" w:rsidP="00314FFC">
            <w:pPr>
              <w:pStyle w:val="cuatexto"/>
              <w:jc w:val="right"/>
              <w:rPr>
                <w:sz w:val="19"/>
                <w:szCs w:val="19"/>
              </w:rPr>
            </w:pPr>
            <w:r w:rsidRPr="00314FFC">
              <w:rPr>
                <w:sz w:val="19"/>
                <w:szCs w:val="19"/>
              </w:rPr>
              <w:t>2</w:t>
            </w:r>
          </w:p>
        </w:tc>
        <w:tc>
          <w:tcPr>
            <w:tcW w:w="564" w:type="pct"/>
            <w:tcBorders>
              <w:top w:val="single" w:sz="2" w:space="0" w:color="000000"/>
              <w:left w:val="nil"/>
              <w:bottom w:val="single" w:sz="2" w:space="0" w:color="000000"/>
              <w:right w:val="nil"/>
            </w:tcBorders>
            <w:shd w:val="clear" w:color="auto" w:fill="auto"/>
            <w:vAlign w:val="center"/>
          </w:tcPr>
          <w:p w14:paraId="330D8F2B" w14:textId="77777777" w:rsidR="0088085F" w:rsidRPr="00314FFC" w:rsidRDefault="0088085F" w:rsidP="00314FFC">
            <w:pPr>
              <w:pStyle w:val="cuatexto"/>
              <w:jc w:val="right"/>
              <w:rPr>
                <w:color w:val="000000"/>
                <w:sz w:val="19"/>
                <w:szCs w:val="19"/>
              </w:rPr>
            </w:pPr>
            <w:r w:rsidRPr="00314FFC">
              <w:rPr>
                <w:color w:val="000000"/>
                <w:sz w:val="19"/>
                <w:szCs w:val="19"/>
              </w:rPr>
              <w:t>316,89</w:t>
            </w:r>
          </w:p>
        </w:tc>
      </w:tr>
      <w:tr w:rsidR="0088085F" w:rsidRPr="00314FFC" w14:paraId="34D70696" w14:textId="77777777" w:rsidTr="002E3924">
        <w:trPr>
          <w:trHeight w:hRule="exact" w:val="238"/>
          <w:jc w:val="center"/>
        </w:trPr>
        <w:tc>
          <w:tcPr>
            <w:tcW w:w="1775" w:type="pct"/>
            <w:tcBorders>
              <w:top w:val="single" w:sz="2" w:space="0" w:color="000000"/>
              <w:left w:val="nil"/>
              <w:bottom w:val="single" w:sz="2" w:space="0" w:color="000000"/>
            </w:tcBorders>
            <w:shd w:val="clear" w:color="auto" w:fill="auto"/>
            <w:vAlign w:val="center"/>
            <w:hideMark/>
          </w:tcPr>
          <w:p w14:paraId="1398734A" w14:textId="77777777" w:rsidR="0088085F" w:rsidRPr="00314FFC" w:rsidRDefault="0088085F" w:rsidP="00314FFC">
            <w:pPr>
              <w:pStyle w:val="cuatexto"/>
              <w:jc w:val="left"/>
              <w:rPr>
                <w:sz w:val="19"/>
                <w:szCs w:val="19"/>
                <w:lang w:val="es-ES" w:eastAsia="es-ES"/>
              </w:rPr>
            </w:pPr>
            <w:r w:rsidRPr="00314FFC">
              <w:rPr>
                <w:sz w:val="19"/>
                <w:szCs w:val="19"/>
                <w:lang w:val="es-ES" w:eastAsia="es-ES"/>
              </w:rPr>
              <w:t>3   Gastos financieros</w:t>
            </w:r>
          </w:p>
        </w:tc>
        <w:tc>
          <w:tcPr>
            <w:tcW w:w="558" w:type="pct"/>
            <w:tcBorders>
              <w:top w:val="single" w:sz="2" w:space="0" w:color="000000"/>
              <w:left w:val="nil"/>
              <w:bottom w:val="single" w:sz="2" w:space="0" w:color="000000"/>
              <w:right w:val="nil"/>
            </w:tcBorders>
            <w:shd w:val="clear" w:color="auto" w:fill="auto"/>
            <w:vAlign w:val="center"/>
            <w:hideMark/>
          </w:tcPr>
          <w:p w14:paraId="5A8B975A" w14:textId="77777777" w:rsidR="0088085F" w:rsidRPr="00314FFC" w:rsidRDefault="0088085F" w:rsidP="00314FFC">
            <w:pPr>
              <w:pStyle w:val="cuatexto"/>
              <w:jc w:val="right"/>
              <w:rPr>
                <w:color w:val="000000"/>
                <w:sz w:val="19"/>
                <w:szCs w:val="19"/>
              </w:rPr>
            </w:pPr>
            <w:r w:rsidRPr="00314FFC">
              <w:rPr>
                <w:color w:val="000000"/>
                <w:sz w:val="19"/>
                <w:szCs w:val="19"/>
              </w:rPr>
              <w:t>2,20</w:t>
            </w:r>
          </w:p>
        </w:tc>
        <w:tc>
          <w:tcPr>
            <w:tcW w:w="627" w:type="pct"/>
            <w:tcBorders>
              <w:top w:val="single" w:sz="2" w:space="0" w:color="000000"/>
              <w:left w:val="nil"/>
              <w:bottom w:val="single" w:sz="2" w:space="0" w:color="000000"/>
              <w:right w:val="nil"/>
            </w:tcBorders>
            <w:shd w:val="clear" w:color="auto" w:fill="auto"/>
            <w:vAlign w:val="center"/>
            <w:hideMark/>
          </w:tcPr>
          <w:p w14:paraId="383A3DC0" w14:textId="77777777" w:rsidR="0088085F" w:rsidRPr="00314FFC" w:rsidRDefault="0088085F" w:rsidP="00314FFC">
            <w:pPr>
              <w:pStyle w:val="cuatexto"/>
              <w:jc w:val="right"/>
              <w:rPr>
                <w:color w:val="000000"/>
                <w:sz w:val="19"/>
                <w:szCs w:val="19"/>
              </w:rPr>
            </w:pPr>
            <w:r w:rsidRPr="00314FFC">
              <w:rPr>
                <w:color w:val="000000"/>
                <w:sz w:val="19"/>
                <w:szCs w:val="19"/>
              </w:rPr>
              <w:t>1,63</w:t>
            </w:r>
          </w:p>
        </w:tc>
        <w:tc>
          <w:tcPr>
            <w:tcW w:w="532" w:type="pct"/>
            <w:tcBorders>
              <w:top w:val="single" w:sz="2" w:space="0" w:color="000000"/>
              <w:left w:val="nil"/>
              <w:bottom w:val="single" w:sz="2" w:space="0" w:color="000000"/>
              <w:right w:val="nil"/>
            </w:tcBorders>
            <w:shd w:val="clear" w:color="auto" w:fill="auto"/>
            <w:vAlign w:val="center"/>
            <w:hideMark/>
          </w:tcPr>
          <w:p w14:paraId="2D5FB15D" w14:textId="77777777" w:rsidR="0088085F" w:rsidRPr="00314FFC" w:rsidRDefault="0088085F" w:rsidP="00314FFC">
            <w:pPr>
              <w:pStyle w:val="cuatexto"/>
              <w:jc w:val="right"/>
              <w:rPr>
                <w:rFonts w:cs="Calibri"/>
                <w:sz w:val="19"/>
                <w:szCs w:val="19"/>
              </w:rPr>
            </w:pPr>
            <w:r w:rsidRPr="00314FFC">
              <w:rPr>
                <w:rFonts w:cs="Calibri"/>
                <w:sz w:val="19"/>
                <w:szCs w:val="19"/>
              </w:rPr>
              <w:t>0,2</w:t>
            </w:r>
          </w:p>
        </w:tc>
        <w:tc>
          <w:tcPr>
            <w:tcW w:w="442" w:type="pct"/>
            <w:tcBorders>
              <w:top w:val="single" w:sz="2" w:space="0" w:color="000000"/>
              <w:left w:val="nil"/>
              <w:bottom w:val="single" w:sz="2" w:space="0" w:color="000000"/>
              <w:right w:val="nil"/>
            </w:tcBorders>
            <w:shd w:val="clear" w:color="auto" w:fill="auto"/>
            <w:vAlign w:val="center"/>
            <w:hideMark/>
          </w:tcPr>
          <w:p w14:paraId="4B24029E" w14:textId="77777777" w:rsidR="0088085F" w:rsidRPr="00314FFC" w:rsidRDefault="0088085F" w:rsidP="00314FFC">
            <w:pPr>
              <w:pStyle w:val="cuatexto"/>
              <w:jc w:val="right"/>
              <w:rPr>
                <w:rFonts w:cs="Calibri"/>
                <w:sz w:val="19"/>
                <w:szCs w:val="19"/>
              </w:rPr>
            </w:pPr>
            <w:r w:rsidRPr="00314FFC">
              <w:rPr>
                <w:rFonts w:cs="Calibri"/>
                <w:sz w:val="19"/>
                <w:szCs w:val="19"/>
              </w:rPr>
              <w:t>74</w:t>
            </w:r>
          </w:p>
        </w:tc>
        <w:tc>
          <w:tcPr>
            <w:tcW w:w="502" w:type="pct"/>
            <w:tcBorders>
              <w:top w:val="single" w:sz="2" w:space="0" w:color="000000"/>
              <w:left w:val="nil"/>
              <w:bottom w:val="single" w:sz="2" w:space="0" w:color="000000"/>
              <w:right w:val="nil"/>
            </w:tcBorders>
            <w:shd w:val="clear" w:color="auto" w:fill="auto"/>
            <w:noWrap/>
            <w:vAlign w:val="center"/>
            <w:hideMark/>
          </w:tcPr>
          <w:p w14:paraId="3F854C54" w14:textId="77777777" w:rsidR="0088085F" w:rsidRPr="00314FFC" w:rsidRDefault="0088085F" w:rsidP="00314FFC">
            <w:pPr>
              <w:pStyle w:val="cuatexto"/>
              <w:jc w:val="right"/>
              <w:rPr>
                <w:sz w:val="19"/>
                <w:szCs w:val="19"/>
              </w:rPr>
            </w:pPr>
            <w:r w:rsidRPr="00314FFC">
              <w:rPr>
                <w:sz w:val="19"/>
                <w:szCs w:val="19"/>
              </w:rPr>
              <w:t>-28</w:t>
            </w:r>
          </w:p>
        </w:tc>
        <w:tc>
          <w:tcPr>
            <w:tcW w:w="564" w:type="pct"/>
            <w:tcBorders>
              <w:top w:val="single" w:sz="2" w:space="0" w:color="000000"/>
              <w:left w:val="nil"/>
              <w:bottom w:val="single" w:sz="2" w:space="0" w:color="000000"/>
              <w:right w:val="nil"/>
            </w:tcBorders>
            <w:shd w:val="clear" w:color="auto" w:fill="auto"/>
            <w:vAlign w:val="center"/>
          </w:tcPr>
          <w:p w14:paraId="77CDFFB0" w14:textId="77777777" w:rsidR="0088085F" w:rsidRPr="00314FFC" w:rsidRDefault="0088085F" w:rsidP="00314FFC">
            <w:pPr>
              <w:pStyle w:val="cuatexto"/>
              <w:jc w:val="right"/>
              <w:rPr>
                <w:color w:val="000000"/>
                <w:sz w:val="19"/>
                <w:szCs w:val="19"/>
              </w:rPr>
            </w:pPr>
            <w:r w:rsidRPr="00314FFC">
              <w:rPr>
                <w:color w:val="000000"/>
                <w:sz w:val="19"/>
                <w:szCs w:val="19"/>
              </w:rPr>
              <w:t>1,63</w:t>
            </w:r>
          </w:p>
        </w:tc>
      </w:tr>
      <w:tr w:rsidR="0088085F" w:rsidRPr="00314FFC" w14:paraId="39D2CCEE" w14:textId="77777777" w:rsidTr="002E3924">
        <w:trPr>
          <w:trHeight w:hRule="exact" w:val="238"/>
          <w:jc w:val="center"/>
        </w:trPr>
        <w:tc>
          <w:tcPr>
            <w:tcW w:w="1775" w:type="pct"/>
            <w:tcBorders>
              <w:top w:val="single" w:sz="2" w:space="0" w:color="000000"/>
              <w:left w:val="nil"/>
              <w:bottom w:val="single" w:sz="4" w:space="0" w:color="000000"/>
            </w:tcBorders>
            <w:shd w:val="clear" w:color="auto" w:fill="auto"/>
            <w:vAlign w:val="center"/>
            <w:hideMark/>
          </w:tcPr>
          <w:p w14:paraId="382487E0" w14:textId="77777777" w:rsidR="0088085F" w:rsidRPr="00314FFC" w:rsidRDefault="0088085F" w:rsidP="00314FFC">
            <w:pPr>
              <w:pStyle w:val="cuatexto"/>
              <w:jc w:val="left"/>
              <w:rPr>
                <w:sz w:val="19"/>
                <w:szCs w:val="19"/>
                <w:lang w:val="es-ES" w:eastAsia="es-ES"/>
              </w:rPr>
            </w:pPr>
            <w:r w:rsidRPr="00314FFC">
              <w:rPr>
                <w:sz w:val="19"/>
                <w:szCs w:val="19"/>
                <w:lang w:val="es-ES" w:eastAsia="es-ES"/>
              </w:rPr>
              <w:t>4   Transferencias corrientes</w:t>
            </w:r>
          </w:p>
        </w:tc>
        <w:tc>
          <w:tcPr>
            <w:tcW w:w="558" w:type="pct"/>
            <w:tcBorders>
              <w:top w:val="single" w:sz="2" w:space="0" w:color="000000"/>
              <w:left w:val="nil"/>
              <w:bottom w:val="single" w:sz="4" w:space="0" w:color="000000"/>
              <w:right w:val="nil"/>
            </w:tcBorders>
            <w:shd w:val="clear" w:color="auto" w:fill="auto"/>
            <w:vAlign w:val="center"/>
            <w:hideMark/>
          </w:tcPr>
          <w:p w14:paraId="6C7D7EFA" w14:textId="77777777" w:rsidR="0088085F" w:rsidRPr="00314FFC" w:rsidRDefault="0088085F" w:rsidP="00314FFC">
            <w:pPr>
              <w:pStyle w:val="cuatexto"/>
              <w:jc w:val="right"/>
              <w:rPr>
                <w:color w:val="000000"/>
                <w:sz w:val="19"/>
                <w:szCs w:val="19"/>
              </w:rPr>
            </w:pPr>
            <w:r w:rsidRPr="00314FFC">
              <w:rPr>
                <w:color w:val="000000"/>
                <w:sz w:val="19"/>
                <w:szCs w:val="19"/>
              </w:rPr>
              <w:t>77,75</w:t>
            </w:r>
          </w:p>
        </w:tc>
        <w:tc>
          <w:tcPr>
            <w:tcW w:w="627" w:type="pct"/>
            <w:tcBorders>
              <w:top w:val="single" w:sz="2" w:space="0" w:color="000000"/>
              <w:left w:val="nil"/>
              <w:bottom w:val="single" w:sz="4" w:space="0" w:color="000000"/>
              <w:right w:val="nil"/>
            </w:tcBorders>
            <w:shd w:val="clear" w:color="auto" w:fill="auto"/>
            <w:vAlign w:val="center"/>
            <w:hideMark/>
          </w:tcPr>
          <w:p w14:paraId="257D3E86" w14:textId="77777777" w:rsidR="0088085F" w:rsidRPr="00314FFC" w:rsidRDefault="0088085F" w:rsidP="00314FFC">
            <w:pPr>
              <w:pStyle w:val="cuatexto"/>
              <w:jc w:val="right"/>
              <w:rPr>
                <w:color w:val="000000"/>
                <w:sz w:val="19"/>
                <w:szCs w:val="19"/>
              </w:rPr>
            </w:pPr>
            <w:r w:rsidRPr="00314FFC">
              <w:rPr>
                <w:color w:val="000000"/>
                <w:sz w:val="19"/>
                <w:szCs w:val="19"/>
              </w:rPr>
              <w:t>71,82</w:t>
            </w:r>
          </w:p>
        </w:tc>
        <w:tc>
          <w:tcPr>
            <w:tcW w:w="532" w:type="pct"/>
            <w:tcBorders>
              <w:top w:val="single" w:sz="2" w:space="0" w:color="000000"/>
              <w:left w:val="nil"/>
              <w:bottom w:val="single" w:sz="4" w:space="0" w:color="000000"/>
              <w:right w:val="nil"/>
            </w:tcBorders>
            <w:shd w:val="clear" w:color="auto" w:fill="auto"/>
            <w:vAlign w:val="center"/>
            <w:hideMark/>
          </w:tcPr>
          <w:p w14:paraId="50D45E57" w14:textId="77777777" w:rsidR="0088085F" w:rsidRPr="00314FFC" w:rsidRDefault="0088085F" w:rsidP="00314FFC">
            <w:pPr>
              <w:pStyle w:val="cuatexto"/>
              <w:jc w:val="right"/>
              <w:rPr>
                <w:rFonts w:cs="Calibri"/>
                <w:sz w:val="19"/>
                <w:szCs w:val="19"/>
              </w:rPr>
            </w:pPr>
            <w:r w:rsidRPr="00314FFC">
              <w:rPr>
                <w:rFonts w:cs="Calibri"/>
                <w:sz w:val="19"/>
                <w:szCs w:val="19"/>
              </w:rPr>
              <w:t>8,1</w:t>
            </w:r>
          </w:p>
        </w:tc>
        <w:tc>
          <w:tcPr>
            <w:tcW w:w="442" w:type="pct"/>
            <w:tcBorders>
              <w:top w:val="single" w:sz="2" w:space="0" w:color="000000"/>
              <w:left w:val="nil"/>
              <w:bottom w:val="single" w:sz="4" w:space="0" w:color="000000"/>
              <w:right w:val="nil"/>
            </w:tcBorders>
            <w:shd w:val="clear" w:color="auto" w:fill="auto"/>
            <w:vAlign w:val="center"/>
            <w:hideMark/>
          </w:tcPr>
          <w:p w14:paraId="7E340A44" w14:textId="77777777" w:rsidR="0088085F" w:rsidRPr="00314FFC" w:rsidRDefault="0088085F" w:rsidP="00314FFC">
            <w:pPr>
              <w:pStyle w:val="cuatexto"/>
              <w:jc w:val="right"/>
              <w:rPr>
                <w:rFonts w:cs="Calibri"/>
                <w:sz w:val="19"/>
                <w:szCs w:val="19"/>
              </w:rPr>
            </w:pPr>
            <w:r w:rsidRPr="00314FFC">
              <w:rPr>
                <w:rFonts w:cs="Calibri"/>
                <w:sz w:val="19"/>
                <w:szCs w:val="19"/>
              </w:rPr>
              <w:t>92</w:t>
            </w:r>
          </w:p>
        </w:tc>
        <w:tc>
          <w:tcPr>
            <w:tcW w:w="502" w:type="pct"/>
            <w:tcBorders>
              <w:top w:val="single" w:sz="2" w:space="0" w:color="000000"/>
              <w:left w:val="nil"/>
              <w:bottom w:val="single" w:sz="4" w:space="0" w:color="000000"/>
              <w:right w:val="nil"/>
            </w:tcBorders>
            <w:shd w:val="clear" w:color="auto" w:fill="auto"/>
            <w:noWrap/>
            <w:vAlign w:val="center"/>
            <w:hideMark/>
          </w:tcPr>
          <w:p w14:paraId="2D7ACAAA" w14:textId="77777777" w:rsidR="0088085F" w:rsidRPr="00314FFC" w:rsidRDefault="0088085F" w:rsidP="00314FFC">
            <w:pPr>
              <w:pStyle w:val="cuatexto"/>
              <w:jc w:val="right"/>
              <w:rPr>
                <w:sz w:val="19"/>
                <w:szCs w:val="19"/>
              </w:rPr>
            </w:pPr>
            <w:r w:rsidRPr="00314FFC">
              <w:rPr>
                <w:sz w:val="19"/>
                <w:szCs w:val="19"/>
              </w:rPr>
              <w:t>4</w:t>
            </w:r>
          </w:p>
        </w:tc>
        <w:tc>
          <w:tcPr>
            <w:tcW w:w="564" w:type="pct"/>
            <w:tcBorders>
              <w:top w:val="single" w:sz="2" w:space="0" w:color="000000"/>
              <w:left w:val="nil"/>
              <w:bottom w:val="single" w:sz="4" w:space="0" w:color="000000"/>
              <w:right w:val="nil"/>
            </w:tcBorders>
            <w:shd w:val="clear" w:color="auto" w:fill="auto"/>
            <w:vAlign w:val="center"/>
          </w:tcPr>
          <w:p w14:paraId="5ABDAE41" w14:textId="77777777" w:rsidR="0088085F" w:rsidRPr="00314FFC" w:rsidRDefault="0088085F" w:rsidP="00314FFC">
            <w:pPr>
              <w:pStyle w:val="cuatexto"/>
              <w:jc w:val="right"/>
              <w:rPr>
                <w:color w:val="000000"/>
                <w:sz w:val="19"/>
                <w:szCs w:val="19"/>
              </w:rPr>
            </w:pPr>
            <w:r w:rsidRPr="00314FFC">
              <w:rPr>
                <w:color w:val="000000"/>
                <w:sz w:val="19"/>
                <w:szCs w:val="19"/>
              </w:rPr>
              <w:t>71,82</w:t>
            </w:r>
          </w:p>
        </w:tc>
      </w:tr>
      <w:tr w:rsidR="0088085F" w:rsidRPr="002F5F1D" w14:paraId="77C191CA" w14:textId="77777777" w:rsidTr="002E3924">
        <w:trPr>
          <w:trHeight w:hRule="exact" w:val="238"/>
          <w:jc w:val="center"/>
        </w:trPr>
        <w:tc>
          <w:tcPr>
            <w:tcW w:w="1775" w:type="pct"/>
            <w:tcBorders>
              <w:top w:val="single" w:sz="4" w:space="0" w:color="000000"/>
              <w:left w:val="nil"/>
              <w:bottom w:val="single" w:sz="4" w:space="0" w:color="000000"/>
            </w:tcBorders>
            <w:shd w:val="clear" w:color="auto" w:fill="auto"/>
            <w:vAlign w:val="center"/>
            <w:hideMark/>
          </w:tcPr>
          <w:p w14:paraId="670C8DB7" w14:textId="77777777" w:rsidR="0088085F" w:rsidRPr="002F5F1D" w:rsidRDefault="0088085F" w:rsidP="00314FFC">
            <w:pPr>
              <w:pStyle w:val="cuatexto"/>
              <w:jc w:val="left"/>
              <w:rPr>
                <w:b/>
                <w:iCs/>
                <w:sz w:val="19"/>
                <w:szCs w:val="19"/>
                <w:lang w:val="es-ES" w:eastAsia="es-ES"/>
              </w:rPr>
            </w:pPr>
            <w:r w:rsidRPr="002F5F1D">
              <w:rPr>
                <w:b/>
                <w:iCs/>
                <w:sz w:val="19"/>
                <w:szCs w:val="19"/>
                <w:lang w:val="es-ES" w:eastAsia="es-ES"/>
              </w:rPr>
              <w:t xml:space="preserve">     Operaciones corrientes</w:t>
            </w:r>
          </w:p>
        </w:tc>
        <w:tc>
          <w:tcPr>
            <w:tcW w:w="558" w:type="pct"/>
            <w:tcBorders>
              <w:top w:val="single" w:sz="4" w:space="0" w:color="000000"/>
              <w:left w:val="nil"/>
              <w:bottom w:val="single" w:sz="4" w:space="0" w:color="000000"/>
              <w:right w:val="nil"/>
            </w:tcBorders>
            <w:shd w:val="clear" w:color="auto" w:fill="auto"/>
            <w:vAlign w:val="center"/>
            <w:hideMark/>
          </w:tcPr>
          <w:p w14:paraId="67A59BB7" w14:textId="77777777" w:rsidR="0088085F" w:rsidRPr="002F5F1D" w:rsidRDefault="0088085F" w:rsidP="00314FFC">
            <w:pPr>
              <w:pStyle w:val="cuatexto"/>
              <w:jc w:val="right"/>
              <w:rPr>
                <w:b/>
                <w:bCs/>
                <w:iCs/>
                <w:color w:val="000000"/>
                <w:sz w:val="19"/>
                <w:szCs w:val="19"/>
              </w:rPr>
            </w:pPr>
            <w:r w:rsidRPr="002F5F1D">
              <w:rPr>
                <w:b/>
                <w:bCs/>
                <w:iCs/>
                <w:color w:val="000000"/>
                <w:sz w:val="19"/>
                <w:szCs w:val="19"/>
              </w:rPr>
              <w:t>691,52</w:t>
            </w:r>
          </w:p>
        </w:tc>
        <w:tc>
          <w:tcPr>
            <w:tcW w:w="627" w:type="pct"/>
            <w:tcBorders>
              <w:top w:val="single" w:sz="4" w:space="0" w:color="000000"/>
              <w:left w:val="nil"/>
              <w:bottom w:val="single" w:sz="4" w:space="0" w:color="000000"/>
              <w:right w:val="nil"/>
            </w:tcBorders>
            <w:shd w:val="clear" w:color="auto" w:fill="auto"/>
            <w:vAlign w:val="center"/>
            <w:hideMark/>
          </w:tcPr>
          <w:p w14:paraId="5753AD72" w14:textId="77777777" w:rsidR="0088085F" w:rsidRPr="002F5F1D" w:rsidRDefault="0088085F" w:rsidP="00314FFC">
            <w:pPr>
              <w:pStyle w:val="cuatexto"/>
              <w:jc w:val="right"/>
              <w:rPr>
                <w:b/>
                <w:bCs/>
                <w:iCs/>
                <w:color w:val="000000"/>
                <w:sz w:val="19"/>
                <w:szCs w:val="19"/>
              </w:rPr>
            </w:pPr>
            <w:r w:rsidRPr="002F5F1D">
              <w:rPr>
                <w:b/>
                <w:bCs/>
                <w:iCs/>
                <w:color w:val="000000"/>
                <w:sz w:val="19"/>
                <w:szCs w:val="19"/>
              </w:rPr>
              <w:t>655,54</w:t>
            </w:r>
          </w:p>
        </w:tc>
        <w:tc>
          <w:tcPr>
            <w:tcW w:w="532" w:type="pct"/>
            <w:tcBorders>
              <w:top w:val="single" w:sz="4" w:space="0" w:color="000000"/>
              <w:left w:val="nil"/>
              <w:bottom w:val="single" w:sz="4" w:space="0" w:color="000000"/>
              <w:right w:val="nil"/>
            </w:tcBorders>
            <w:shd w:val="clear" w:color="auto" w:fill="auto"/>
            <w:vAlign w:val="center"/>
            <w:hideMark/>
          </w:tcPr>
          <w:p w14:paraId="4031D2D1" w14:textId="77777777" w:rsidR="0088085F" w:rsidRPr="002F5F1D" w:rsidRDefault="0088085F" w:rsidP="00314FFC">
            <w:pPr>
              <w:pStyle w:val="cuatexto"/>
              <w:jc w:val="right"/>
              <w:rPr>
                <w:rFonts w:cs="Calibri"/>
                <w:b/>
                <w:bCs/>
                <w:iCs/>
                <w:sz w:val="19"/>
                <w:szCs w:val="19"/>
              </w:rPr>
            </w:pPr>
            <w:r w:rsidRPr="002F5F1D">
              <w:rPr>
                <w:rFonts w:cs="Calibri"/>
                <w:b/>
                <w:bCs/>
                <w:iCs/>
                <w:sz w:val="19"/>
                <w:szCs w:val="19"/>
              </w:rPr>
              <w:t>74,0</w:t>
            </w:r>
          </w:p>
        </w:tc>
        <w:tc>
          <w:tcPr>
            <w:tcW w:w="442" w:type="pct"/>
            <w:tcBorders>
              <w:top w:val="single" w:sz="4" w:space="0" w:color="000000"/>
              <w:left w:val="nil"/>
              <w:bottom w:val="single" w:sz="4" w:space="0" w:color="000000"/>
              <w:right w:val="nil"/>
            </w:tcBorders>
            <w:shd w:val="clear" w:color="auto" w:fill="auto"/>
            <w:vAlign w:val="center"/>
            <w:hideMark/>
          </w:tcPr>
          <w:p w14:paraId="5271850D" w14:textId="77777777" w:rsidR="0088085F" w:rsidRPr="002F5F1D" w:rsidRDefault="0088085F" w:rsidP="00314FFC">
            <w:pPr>
              <w:pStyle w:val="cuatexto"/>
              <w:jc w:val="right"/>
              <w:rPr>
                <w:rFonts w:cs="Calibri"/>
                <w:b/>
                <w:bCs/>
                <w:iCs/>
                <w:sz w:val="19"/>
                <w:szCs w:val="19"/>
              </w:rPr>
            </w:pPr>
            <w:r w:rsidRPr="002F5F1D">
              <w:rPr>
                <w:rFonts w:cs="Calibri"/>
                <w:b/>
                <w:bCs/>
                <w:iCs/>
                <w:sz w:val="19"/>
                <w:szCs w:val="19"/>
              </w:rPr>
              <w:t>95</w:t>
            </w:r>
          </w:p>
        </w:tc>
        <w:tc>
          <w:tcPr>
            <w:tcW w:w="502" w:type="pct"/>
            <w:tcBorders>
              <w:top w:val="single" w:sz="4" w:space="0" w:color="000000"/>
              <w:left w:val="nil"/>
              <w:bottom w:val="single" w:sz="4" w:space="0" w:color="000000"/>
              <w:right w:val="nil"/>
            </w:tcBorders>
            <w:shd w:val="clear" w:color="auto" w:fill="auto"/>
            <w:noWrap/>
            <w:vAlign w:val="center"/>
            <w:hideMark/>
          </w:tcPr>
          <w:p w14:paraId="680A177E" w14:textId="77777777" w:rsidR="0088085F" w:rsidRPr="002F5F1D" w:rsidRDefault="0088085F" w:rsidP="00314FFC">
            <w:pPr>
              <w:pStyle w:val="cuatexto"/>
              <w:jc w:val="right"/>
              <w:rPr>
                <w:b/>
                <w:bCs/>
                <w:iCs/>
                <w:sz w:val="19"/>
                <w:szCs w:val="19"/>
              </w:rPr>
            </w:pPr>
            <w:r w:rsidRPr="002F5F1D">
              <w:rPr>
                <w:b/>
                <w:bCs/>
                <w:iCs/>
                <w:sz w:val="19"/>
                <w:szCs w:val="19"/>
              </w:rPr>
              <w:t>4</w:t>
            </w:r>
          </w:p>
        </w:tc>
        <w:tc>
          <w:tcPr>
            <w:tcW w:w="564" w:type="pct"/>
            <w:tcBorders>
              <w:top w:val="single" w:sz="4" w:space="0" w:color="000000"/>
              <w:left w:val="nil"/>
              <w:bottom w:val="single" w:sz="4" w:space="0" w:color="000000"/>
              <w:right w:val="nil"/>
            </w:tcBorders>
            <w:shd w:val="clear" w:color="auto" w:fill="auto"/>
            <w:vAlign w:val="center"/>
          </w:tcPr>
          <w:p w14:paraId="66341975" w14:textId="77777777" w:rsidR="0088085F" w:rsidRPr="002F5F1D" w:rsidRDefault="0088085F" w:rsidP="00314FFC">
            <w:pPr>
              <w:pStyle w:val="cuatexto"/>
              <w:jc w:val="right"/>
              <w:rPr>
                <w:b/>
                <w:bCs/>
                <w:iCs/>
                <w:color w:val="000000"/>
                <w:sz w:val="19"/>
                <w:szCs w:val="19"/>
              </w:rPr>
            </w:pPr>
            <w:r w:rsidRPr="002F5F1D">
              <w:rPr>
                <w:b/>
                <w:bCs/>
                <w:iCs/>
                <w:color w:val="000000"/>
                <w:sz w:val="19"/>
                <w:szCs w:val="19"/>
              </w:rPr>
              <w:t>714,70</w:t>
            </w:r>
          </w:p>
        </w:tc>
      </w:tr>
      <w:tr w:rsidR="0088085F" w:rsidRPr="00314FFC" w14:paraId="342EB1B5" w14:textId="77777777" w:rsidTr="002E3924">
        <w:trPr>
          <w:trHeight w:hRule="exact" w:val="238"/>
          <w:jc w:val="center"/>
        </w:trPr>
        <w:tc>
          <w:tcPr>
            <w:tcW w:w="1775" w:type="pct"/>
            <w:tcBorders>
              <w:top w:val="single" w:sz="4" w:space="0" w:color="000000"/>
              <w:left w:val="nil"/>
              <w:bottom w:val="single" w:sz="2" w:space="0" w:color="000000"/>
            </w:tcBorders>
            <w:shd w:val="clear" w:color="auto" w:fill="auto"/>
            <w:vAlign w:val="center"/>
            <w:hideMark/>
          </w:tcPr>
          <w:p w14:paraId="5802EEFD" w14:textId="77777777" w:rsidR="0088085F" w:rsidRPr="00314FFC" w:rsidRDefault="0088085F" w:rsidP="00314FFC">
            <w:pPr>
              <w:pStyle w:val="cuatexto"/>
              <w:jc w:val="left"/>
              <w:rPr>
                <w:sz w:val="19"/>
                <w:szCs w:val="19"/>
                <w:lang w:val="es-ES" w:eastAsia="es-ES"/>
              </w:rPr>
            </w:pPr>
            <w:r w:rsidRPr="00314FFC">
              <w:rPr>
                <w:sz w:val="19"/>
                <w:szCs w:val="19"/>
                <w:lang w:val="es-ES" w:eastAsia="es-ES"/>
              </w:rPr>
              <w:t>5   Fondo de contingencia</w:t>
            </w:r>
          </w:p>
        </w:tc>
        <w:tc>
          <w:tcPr>
            <w:tcW w:w="558" w:type="pct"/>
            <w:tcBorders>
              <w:top w:val="single" w:sz="4" w:space="0" w:color="000000"/>
              <w:left w:val="nil"/>
              <w:bottom w:val="single" w:sz="2" w:space="0" w:color="000000"/>
              <w:right w:val="nil"/>
            </w:tcBorders>
            <w:shd w:val="clear" w:color="auto" w:fill="auto"/>
            <w:vAlign w:val="center"/>
            <w:hideMark/>
          </w:tcPr>
          <w:p w14:paraId="03973C73" w14:textId="77777777" w:rsidR="0088085F" w:rsidRPr="00314FFC" w:rsidRDefault="0088085F" w:rsidP="00314FFC">
            <w:pPr>
              <w:pStyle w:val="cuatexto"/>
              <w:jc w:val="right"/>
              <w:rPr>
                <w:color w:val="000000"/>
                <w:sz w:val="19"/>
                <w:szCs w:val="19"/>
              </w:rPr>
            </w:pPr>
            <w:r w:rsidRPr="00314FFC">
              <w:rPr>
                <w:color w:val="000000"/>
                <w:sz w:val="19"/>
                <w:szCs w:val="19"/>
              </w:rPr>
              <w:t>0,38</w:t>
            </w:r>
          </w:p>
        </w:tc>
        <w:tc>
          <w:tcPr>
            <w:tcW w:w="627" w:type="pct"/>
            <w:tcBorders>
              <w:top w:val="single" w:sz="4" w:space="0" w:color="000000"/>
              <w:left w:val="nil"/>
              <w:bottom w:val="single" w:sz="2" w:space="0" w:color="000000"/>
              <w:right w:val="nil"/>
            </w:tcBorders>
            <w:shd w:val="clear" w:color="auto" w:fill="auto"/>
            <w:vAlign w:val="center"/>
            <w:hideMark/>
          </w:tcPr>
          <w:p w14:paraId="5BF6C7C4" w14:textId="77777777" w:rsidR="0088085F" w:rsidRPr="00314FFC" w:rsidRDefault="0088085F" w:rsidP="00314FFC">
            <w:pPr>
              <w:pStyle w:val="cuatexto"/>
              <w:jc w:val="right"/>
              <w:rPr>
                <w:color w:val="000000"/>
                <w:sz w:val="19"/>
                <w:szCs w:val="19"/>
              </w:rPr>
            </w:pPr>
            <w:r w:rsidRPr="00314FFC">
              <w:rPr>
                <w:color w:val="000000"/>
                <w:sz w:val="19"/>
                <w:szCs w:val="19"/>
              </w:rPr>
              <w:t>0,00</w:t>
            </w:r>
          </w:p>
        </w:tc>
        <w:tc>
          <w:tcPr>
            <w:tcW w:w="532" w:type="pct"/>
            <w:tcBorders>
              <w:top w:val="single" w:sz="4" w:space="0" w:color="000000"/>
              <w:left w:val="nil"/>
              <w:bottom w:val="single" w:sz="2" w:space="0" w:color="000000"/>
              <w:right w:val="nil"/>
            </w:tcBorders>
            <w:shd w:val="clear" w:color="auto" w:fill="auto"/>
            <w:vAlign w:val="center"/>
            <w:hideMark/>
          </w:tcPr>
          <w:p w14:paraId="255A88B1" w14:textId="77777777" w:rsidR="0088085F" w:rsidRPr="00314FFC" w:rsidRDefault="0088085F" w:rsidP="00314FFC">
            <w:pPr>
              <w:pStyle w:val="cuatexto"/>
              <w:jc w:val="right"/>
              <w:rPr>
                <w:rFonts w:cs="Calibri"/>
                <w:sz w:val="19"/>
                <w:szCs w:val="19"/>
              </w:rPr>
            </w:pPr>
            <w:r w:rsidRPr="00314FFC">
              <w:rPr>
                <w:rFonts w:cs="Calibri"/>
                <w:sz w:val="19"/>
                <w:szCs w:val="19"/>
              </w:rPr>
              <w:t>0,0</w:t>
            </w:r>
          </w:p>
        </w:tc>
        <w:tc>
          <w:tcPr>
            <w:tcW w:w="442" w:type="pct"/>
            <w:tcBorders>
              <w:top w:val="single" w:sz="4" w:space="0" w:color="000000"/>
              <w:left w:val="nil"/>
              <w:bottom w:val="single" w:sz="2" w:space="0" w:color="000000"/>
              <w:right w:val="nil"/>
            </w:tcBorders>
            <w:shd w:val="clear" w:color="auto" w:fill="auto"/>
            <w:vAlign w:val="center"/>
            <w:hideMark/>
          </w:tcPr>
          <w:p w14:paraId="1D3AA3A7" w14:textId="77777777" w:rsidR="0088085F" w:rsidRPr="00314FFC" w:rsidRDefault="0088085F" w:rsidP="00314FFC">
            <w:pPr>
              <w:pStyle w:val="cuatexto"/>
              <w:jc w:val="right"/>
              <w:rPr>
                <w:rFonts w:cs="Calibri"/>
                <w:sz w:val="19"/>
                <w:szCs w:val="19"/>
              </w:rPr>
            </w:pPr>
            <w:r w:rsidRPr="00314FFC">
              <w:rPr>
                <w:rFonts w:cs="Calibri"/>
                <w:sz w:val="19"/>
                <w:szCs w:val="19"/>
              </w:rPr>
              <w:t>0</w:t>
            </w:r>
          </w:p>
        </w:tc>
        <w:tc>
          <w:tcPr>
            <w:tcW w:w="502" w:type="pct"/>
            <w:tcBorders>
              <w:top w:val="single" w:sz="4" w:space="0" w:color="000000"/>
              <w:left w:val="nil"/>
              <w:bottom w:val="single" w:sz="2" w:space="0" w:color="000000"/>
              <w:right w:val="nil"/>
            </w:tcBorders>
            <w:shd w:val="clear" w:color="auto" w:fill="auto"/>
            <w:noWrap/>
            <w:vAlign w:val="center"/>
            <w:hideMark/>
          </w:tcPr>
          <w:p w14:paraId="6DA4FDBB" w14:textId="77777777" w:rsidR="0088085F" w:rsidRPr="00314FFC" w:rsidRDefault="0088085F" w:rsidP="00314FFC">
            <w:pPr>
              <w:pStyle w:val="cuatexto"/>
              <w:jc w:val="right"/>
              <w:rPr>
                <w:b/>
                <w:bCs/>
                <w:i/>
                <w:iCs/>
                <w:sz w:val="19"/>
                <w:szCs w:val="19"/>
              </w:rPr>
            </w:pPr>
            <w:r w:rsidRPr="00314FFC">
              <w:rPr>
                <w:b/>
                <w:bCs/>
                <w:i/>
                <w:iCs/>
                <w:sz w:val="19"/>
                <w:szCs w:val="19"/>
              </w:rPr>
              <w:t>-</w:t>
            </w:r>
          </w:p>
        </w:tc>
        <w:tc>
          <w:tcPr>
            <w:tcW w:w="564" w:type="pct"/>
            <w:tcBorders>
              <w:top w:val="single" w:sz="4" w:space="0" w:color="000000"/>
              <w:left w:val="nil"/>
              <w:bottom w:val="single" w:sz="2" w:space="0" w:color="000000"/>
              <w:right w:val="nil"/>
            </w:tcBorders>
            <w:shd w:val="clear" w:color="auto" w:fill="auto"/>
            <w:vAlign w:val="center"/>
          </w:tcPr>
          <w:p w14:paraId="6DA6D462" w14:textId="77777777" w:rsidR="0088085F" w:rsidRPr="00314FFC" w:rsidRDefault="0088085F" w:rsidP="00314FFC">
            <w:pPr>
              <w:pStyle w:val="cuatexto"/>
              <w:jc w:val="right"/>
              <w:rPr>
                <w:color w:val="000000"/>
                <w:sz w:val="19"/>
                <w:szCs w:val="19"/>
              </w:rPr>
            </w:pPr>
            <w:r w:rsidRPr="00314FFC">
              <w:rPr>
                <w:color w:val="000000"/>
                <w:sz w:val="19"/>
                <w:szCs w:val="19"/>
              </w:rPr>
              <w:t>0,00</w:t>
            </w:r>
          </w:p>
        </w:tc>
      </w:tr>
      <w:tr w:rsidR="0088085F" w:rsidRPr="002F5F1D" w14:paraId="3BBA0323" w14:textId="77777777" w:rsidTr="002E3924">
        <w:trPr>
          <w:trHeight w:hRule="exact" w:val="238"/>
          <w:jc w:val="center"/>
        </w:trPr>
        <w:tc>
          <w:tcPr>
            <w:tcW w:w="1775" w:type="pct"/>
            <w:tcBorders>
              <w:top w:val="single" w:sz="2" w:space="0" w:color="000000"/>
              <w:left w:val="nil"/>
              <w:bottom w:val="single" w:sz="2" w:space="0" w:color="000000"/>
            </w:tcBorders>
            <w:shd w:val="clear" w:color="auto" w:fill="auto"/>
            <w:vAlign w:val="center"/>
            <w:hideMark/>
          </w:tcPr>
          <w:p w14:paraId="7E643B33" w14:textId="77777777" w:rsidR="0088085F" w:rsidRPr="002F5F1D" w:rsidRDefault="0088085F" w:rsidP="00314FFC">
            <w:pPr>
              <w:pStyle w:val="cuatexto"/>
              <w:jc w:val="left"/>
              <w:rPr>
                <w:b/>
                <w:iCs/>
                <w:sz w:val="19"/>
                <w:szCs w:val="19"/>
                <w:lang w:val="es-ES" w:eastAsia="es-ES"/>
              </w:rPr>
            </w:pPr>
            <w:r w:rsidRPr="002F5F1D">
              <w:rPr>
                <w:b/>
                <w:iCs/>
                <w:sz w:val="19"/>
                <w:szCs w:val="19"/>
                <w:lang w:val="es-ES" w:eastAsia="es-ES"/>
              </w:rPr>
              <w:t xml:space="preserve">     Fondo de contingencia</w:t>
            </w:r>
          </w:p>
        </w:tc>
        <w:tc>
          <w:tcPr>
            <w:tcW w:w="558" w:type="pct"/>
            <w:tcBorders>
              <w:top w:val="single" w:sz="2" w:space="0" w:color="000000"/>
              <w:left w:val="nil"/>
              <w:bottom w:val="single" w:sz="2" w:space="0" w:color="000000"/>
              <w:right w:val="nil"/>
            </w:tcBorders>
            <w:shd w:val="clear" w:color="auto" w:fill="auto"/>
            <w:vAlign w:val="center"/>
            <w:hideMark/>
          </w:tcPr>
          <w:p w14:paraId="66401A8C" w14:textId="77777777" w:rsidR="0088085F" w:rsidRPr="002F5F1D" w:rsidRDefault="0088085F" w:rsidP="00314FFC">
            <w:pPr>
              <w:pStyle w:val="cuatexto"/>
              <w:jc w:val="right"/>
              <w:rPr>
                <w:b/>
                <w:bCs/>
                <w:iCs/>
                <w:color w:val="000000"/>
                <w:sz w:val="19"/>
                <w:szCs w:val="19"/>
              </w:rPr>
            </w:pPr>
            <w:r w:rsidRPr="002F5F1D">
              <w:rPr>
                <w:b/>
                <w:bCs/>
                <w:iCs/>
                <w:color w:val="000000"/>
                <w:sz w:val="19"/>
                <w:szCs w:val="19"/>
              </w:rPr>
              <w:t>0,38</w:t>
            </w:r>
          </w:p>
        </w:tc>
        <w:tc>
          <w:tcPr>
            <w:tcW w:w="627" w:type="pct"/>
            <w:tcBorders>
              <w:top w:val="single" w:sz="2" w:space="0" w:color="000000"/>
              <w:left w:val="nil"/>
              <w:bottom w:val="single" w:sz="2" w:space="0" w:color="000000"/>
              <w:right w:val="nil"/>
            </w:tcBorders>
            <w:shd w:val="clear" w:color="auto" w:fill="auto"/>
            <w:vAlign w:val="center"/>
            <w:hideMark/>
          </w:tcPr>
          <w:p w14:paraId="444752FD" w14:textId="77777777" w:rsidR="0088085F" w:rsidRPr="002F5F1D" w:rsidRDefault="0088085F" w:rsidP="00314FFC">
            <w:pPr>
              <w:pStyle w:val="cuatexto"/>
              <w:jc w:val="right"/>
              <w:rPr>
                <w:b/>
                <w:bCs/>
                <w:iCs/>
                <w:color w:val="000000"/>
                <w:sz w:val="19"/>
                <w:szCs w:val="19"/>
              </w:rPr>
            </w:pPr>
            <w:r w:rsidRPr="002F5F1D">
              <w:rPr>
                <w:b/>
                <w:bCs/>
                <w:iCs/>
                <w:color w:val="000000"/>
                <w:sz w:val="19"/>
                <w:szCs w:val="19"/>
              </w:rPr>
              <w:t>0,00</w:t>
            </w:r>
          </w:p>
        </w:tc>
        <w:tc>
          <w:tcPr>
            <w:tcW w:w="532" w:type="pct"/>
            <w:tcBorders>
              <w:top w:val="single" w:sz="2" w:space="0" w:color="000000"/>
              <w:left w:val="nil"/>
              <w:bottom w:val="single" w:sz="2" w:space="0" w:color="000000"/>
              <w:right w:val="nil"/>
            </w:tcBorders>
            <w:shd w:val="clear" w:color="auto" w:fill="auto"/>
            <w:vAlign w:val="center"/>
            <w:hideMark/>
          </w:tcPr>
          <w:p w14:paraId="7F477D7C" w14:textId="77777777" w:rsidR="0088085F" w:rsidRPr="002F5F1D" w:rsidRDefault="0088085F" w:rsidP="00314FFC">
            <w:pPr>
              <w:pStyle w:val="cuatexto"/>
              <w:jc w:val="right"/>
              <w:rPr>
                <w:rFonts w:cs="Calibri"/>
                <w:b/>
                <w:bCs/>
                <w:iCs/>
                <w:sz w:val="19"/>
                <w:szCs w:val="19"/>
              </w:rPr>
            </w:pPr>
            <w:r w:rsidRPr="002F5F1D">
              <w:rPr>
                <w:rFonts w:cs="Calibri"/>
                <w:b/>
                <w:bCs/>
                <w:iCs/>
                <w:sz w:val="19"/>
                <w:szCs w:val="19"/>
              </w:rPr>
              <w:t>0,0</w:t>
            </w:r>
          </w:p>
        </w:tc>
        <w:tc>
          <w:tcPr>
            <w:tcW w:w="442" w:type="pct"/>
            <w:tcBorders>
              <w:top w:val="single" w:sz="2" w:space="0" w:color="000000"/>
              <w:left w:val="nil"/>
              <w:bottom w:val="single" w:sz="2" w:space="0" w:color="000000"/>
              <w:right w:val="nil"/>
            </w:tcBorders>
            <w:shd w:val="clear" w:color="auto" w:fill="auto"/>
            <w:vAlign w:val="center"/>
            <w:hideMark/>
          </w:tcPr>
          <w:p w14:paraId="74A60C7C" w14:textId="77777777" w:rsidR="0088085F" w:rsidRPr="002F5F1D" w:rsidRDefault="0088085F" w:rsidP="00314FFC">
            <w:pPr>
              <w:pStyle w:val="cuatexto"/>
              <w:jc w:val="right"/>
              <w:rPr>
                <w:rFonts w:cs="Calibri"/>
                <w:b/>
                <w:bCs/>
                <w:iCs/>
                <w:sz w:val="19"/>
                <w:szCs w:val="19"/>
              </w:rPr>
            </w:pPr>
            <w:r w:rsidRPr="002F5F1D">
              <w:rPr>
                <w:rFonts w:cs="Calibri"/>
                <w:b/>
                <w:bCs/>
                <w:iCs/>
                <w:sz w:val="19"/>
                <w:szCs w:val="19"/>
              </w:rPr>
              <w:t>0</w:t>
            </w:r>
          </w:p>
        </w:tc>
        <w:tc>
          <w:tcPr>
            <w:tcW w:w="502" w:type="pct"/>
            <w:tcBorders>
              <w:top w:val="single" w:sz="2" w:space="0" w:color="000000"/>
              <w:left w:val="nil"/>
              <w:bottom w:val="single" w:sz="2" w:space="0" w:color="000000"/>
              <w:right w:val="nil"/>
            </w:tcBorders>
            <w:shd w:val="clear" w:color="auto" w:fill="auto"/>
            <w:noWrap/>
            <w:vAlign w:val="center"/>
            <w:hideMark/>
          </w:tcPr>
          <w:p w14:paraId="2139D66D" w14:textId="77777777" w:rsidR="0088085F" w:rsidRPr="002F5F1D" w:rsidRDefault="0088085F" w:rsidP="00314FFC">
            <w:pPr>
              <w:pStyle w:val="cuatexto"/>
              <w:jc w:val="right"/>
              <w:rPr>
                <w:b/>
                <w:bCs/>
                <w:iCs/>
                <w:sz w:val="19"/>
                <w:szCs w:val="19"/>
              </w:rPr>
            </w:pPr>
            <w:r w:rsidRPr="002F5F1D">
              <w:rPr>
                <w:b/>
                <w:bCs/>
                <w:iCs/>
                <w:sz w:val="19"/>
                <w:szCs w:val="19"/>
              </w:rPr>
              <w:t>-</w:t>
            </w:r>
          </w:p>
        </w:tc>
        <w:tc>
          <w:tcPr>
            <w:tcW w:w="564" w:type="pct"/>
            <w:tcBorders>
              <w:top w:val="single" w:sz="2" w:space="0" w:color="000000"/>
              <w:left w:val="nil"/>
              <w:bottom w:val="single" w:sz="2" w:space="0" w:color="000000"/>
              <w:right w:val="nil"/>
            </w:tcBorders>
            <w:shd w:val="clear" w:color="auto" w:fill="auto"/>
            <w:vAlign w:val="center"/>
          </w:tcPr>
          <w:p w14:paraId="42E3E44C" w14:textId="77777777" w:rsidR="0088085F" w:rsidRPr="002F5F1D" w:rsidRDefault="0088085F" w:rsidP="00314FFC">
            <w:pPr>
              <w:pStyle w:val="cuatexto"/>
              <w:jc w:val="right"/>
              <w:rPr>
                <w:b/>
                <w:bCs/>
                <w:iCs/>
                <w:color w:val="000000"/>
                <w:sz w:val="19"/>
                <w:szCs w:val="19"/>
              </w:rPr>
            </w:pPr>
            <w:r w:rsidRPr="002F5F1D">
              <w:rPr>
                <w:b/>
                <w:bCs/>
                <w:iCs/>
                <w:color w:val="000000"/>
                <w:sz w:val="19"/>
                <w:szCs w:val="19"/>
              </w:rPr>
              <w:t>0,00</w:t>
            </w:r>
          </w:p>
        </w:tc>
      </w:tr>
      <w:tr w:rsidR="0088085F" w:rsidRPr="00314FFC" w14:paraId="3BBABC41" w14:textId="77777777" w:rsidTr="002E3924">
        <w:trPr>
          <w:trHeight w:hRule="exact" w:val="238"/>
          <w:jc w:val="center"/>
        </w:trPr>
        <w:tc>
          <w:tcPr>
            <w:tcW w:w="1775" w:type="pct"/>
            <w:tcBorders>
              <w:top w:val="single" w:sz="2" w:space="0" w:color="000000"/>
              <w:left w:val="nil"/>
              <w:bottom w:val="single" w:sz="2" w:space="0" w:color="000000"/>
            </w:tcBorders>
            <w:shd w:val="clear" w:color="auto" w:fill="auto"/>
            <w:vAlign w:val="center"/>
            <w:hideMark/>
          </w:tcPr>
          <w:p w14:paraId="6A173326" w14:textId="77777777" w:rsidR="0088085F" w:rsidRPr="00314FFC" w:rsidRDefault="0088085F" w:rsidP="00314FFC">
            <w:pPr>
              <w:pStyle w:val="cuatexto"/>
              <w:jc w:val="left"/>
              <w:rPr>
                <w:sz w:val="19"/>
                <w:szCs w:val="19"/>
                <w:lang w:val="es-ES" w:eastAsia="es-ES"/>
              </w:rPr>
            </w:pPr>
            <w:r w:rsidRPr="00314FFC">
              <w:rPr>
                <w:sz w:val="19"/>
                <w:szCs w:val="19"/>
                <w:lang w:val="es-ES" w:eastAsia="es-ES"/>
              </w:rPr>
              <w:t>6   Inversiones reales</w:t>
            </w:r>
          </w:p>
        </w:tc>
        <w:tc>
          <w:tcPr>
            <w:tcW w:w="558" w:type="pct"/>
            <w:tcBorders>
              <w:top w:val="single" w:sz="2" w:space="0" w:color="000000"/>
              <w:left w:val="nil"/>
              <w:bottom w:val="single" w:sz="2" w:space="0" w:color="000000"/>
              <w:right w:val="nil"/>
            </w:tcBorders>
            <w:shd w:val="clear" w:color="auto" w:fill="auto"/>
            <w:vAlign w:val="center"/>
            <w:hideMark/>
          </w:tcPr>
          <w:p w14:paraId="1712260E" w14:textId="77777777" w:rsidR="0088085F" w:rsidRPr="00314FFC" w:rsidRDefault="0088085F" w:rsidP="00314FFC">
            <w:pPr>
              <w:pStyle w:val="cuatexto"/>
              <w:jc w:val="right"/>
              <w:rPr>
                <w:color w:val="000000"/>
                <w:sz w:val="19"/>
                <w:szCs w:val="19"/>
              </w:rPr>
            </w:pPr>
            <w:r w:rsidRPr="00314FFC">
              <w:rPr>
                <w:color w:val="000000"/>
                <w:sz w:val="19"/>
                <w:szCs w:val="19"/>
              </w:rPr>
              <w:t>301,84</w:t>
            </w:r>
          </w:p>
        </w:tc>
        <w:tc>
          <w:tcPr>
            <w:tcW w:w="627" w:type="pct"/>
            <w:tcBorders>
              <w:top w:val="single" w:sz="2" w:space="0" w:color="000000"/>
              <w:left w:val="nil"/>
              <w:bottom w:val="single" w:sz="2" w:space="0" w:color="000000"/>
              <w:right w:val="nil"/>
            </w:tcBorders>
            <w:shd w:val="clear" w:color="auto" w:fill="auto"/>
            <w:vAlign w:val="center"/>
            <w:hideMark/>
          </w:tcPr>
          <w:p w14:paraId="2E4A941F" w14:textId="77777777" w:rsidR="0088085F" w:rsidRPr="00314FFC" w:rsidRDefault="0088085F" w:rsidP="00314FFC">
            <w:pPr>
              <w:pStyle w:val="cuatexto"/>
              <w:jc w:val="right"/>
              <w:rPr>
                <w:color w:val="000000"/>
                <w:sz w:val="19"/>
                <w:szCs w:val="19"/>
              </w:rPr>
            </w:pPr>
            <w:r w:rsidRPr="00314FFC">
              <w:rPr>
                <w:color w:val="000000"/>
                <w:sz w:val="19"/>
                <w:szCs w:val="19"/>
              </w:rPr>
              <w:t>182,67</w:t>
            </w:r>
          </w:p>
        </w:tc>
        <w:tc>
          <w:tcPr>
            <w:tcW w:w="532" w:type="pct"/>
            <w:tcBorders>
              <w:top w:val="single" w:sz="2" w:space="0" w:color="000000"/>
              <w:left w:val="nil"/>
              <w:bottom w:val="single" w:sz="2" w:space="0" w:color="000000"/>
              <w:right w:val="nil"/>
            </w:tcBorders>
            <w:shd w:val="clear" w:color="auto" w:fill="auto"/>
            <w:vAlign w:val="center"/>
            <w:hideMark/>
          </w:tcPr>
          <w:p w14:paraId="7E21231A" w14:textId="77777777" w:rsidR="0088085F" w:rsidRPr="00314FFC" w:rsidRDefault="0088085F" w:rsidP="00314FFC">
            <w:pPr>
              <w:pStyle w:val="cuatexto"/>
              <w:jc w:val="right"/>
              <w:rPr>
                <w:rFonts w:cs="Calibri"/>
                <w:sz w:val="19"/>
                <w:szCs w:val="19"/>
              </w:rPr>
            </w:pPr>
            <w:r w:rsidRPr="00314FFC">
              <w:rPr>
                <w:rFonts w:cs="Calibri"/>
                <w:sz w:val="19"/>
                <w:szCs w:val="19"/>
              </w:rPr>
              <w:t>20,6</w:t>
            </w:r>
          </w:p>
        </w:tc>
        <w:tc>
          <w:tcPr>
            <w:tcW w:w="442" w:type="pct"/>
            <w:tcBorders>
              <w:top w:val="single" w:sz="2" w:space="0" w:color="000000"/>
              <w:left w:val="nil"/>
              <w:bottom w:val="single" w:sz="2" w:space="0" w:color="000000"/>
              <w:right w:val="nil"/>
            </w:tcBorders>
            <w:shd w:val="clear" w:color="auto" w:fill="auto"/>
            <w:vAlign w:val="center"/>
            <w:hideMark/>
          </w:tcPr>
          <w:p w14:paraId="584CA557" w14:textId="77777777" w:rsidR="0088085F" w:rsidRPr="00314FFC" w:rsidRDefault="0088085F" w:rsidP="00314FFC">
            <w:pPr>
              <w:pStyle w:val="cuatexto"/>
              <w:jc w:val="right"/>
              <w:rPr>
                <w:rFonts w:cs="Calibri"/>
                <w:sz w:val="19"/>
                <w:szCs w:val="19"/>
              </w:rPr>
            </w:pPr>
            <w:r w:rsidRPr="00314FFC">
              <w:rPr>
                <w:rFonts w:cs="Calibri"/>
                <w:sz w:val="19"/>
                <w:szCs w:val="19"/>
              </w:rPr>
              <w:t>61</w:t>
            </w:r>
          </w:p>
        </w:tc>
        <w:tc>
          <w:tcPr>
            <w:tcW w:w="502" w:type="pct"/>
            <w:tcBorders>
              <w:top w:val="single" w:sz="2" w:space="0" w:color="000000"/>
              <w:left w:val="nil"/>
              <w:bottom w:val="single" w:sz="2" w:space="0" w:color="000000"/>
              <w:right w:val="nil"/>
            </w:tcBorders>
            <w:shd w:val="clear" w:color="auto" w:fill="auto"/>
            <w:noWrap/>
            <w:vAlign w:val="center"/>
            <w:hideMark/>
          </w:tcPr>
          <w:p w14:paraId="0F6FCF0E" w14:textId="77777777" w:rsidR="0088085F" w:rsidRPr="00314FFC" w:rsidRDefault="0088085F" w:rsidP="00314FFC">
            <w:pPr>
              <w:pStyle w:val="cuatexto"/>
              <w:jc w:val="right"/>
              <w:rPr>
                <w:sz w:val="19"/>
                <w:szCs w:val="19"/>
              </w:rPr>
            </w:pPr>
            <w:r w:rsidRPr="00314FFC">
              <w:rPr>
                <w:sz w:val="19"/>
                <w:szCs w:val="19"/>
              </w:rPr>
              <w:t>58</w:t>
            </w:r>
          </w:p>
        </w:tc>
        <w:tc>
          <w:tcPr>
            <w:tcW w:w="564" w:type="pct"/>
            <w:tcBorders>
              <w:top w:val="single" w:sz="2" w:space="0" w:color="000000"/>
              <w:left w:val="nil"/>
              <w:bottom w:val="single" w:sz="2" w:space="0" w:color="000000"/>
              <w:right w:val="nil"/>
            </w:tcBorders>
            <w:shd w:val="clear" w:color="auto" w:fill="auto"/>
            <w:vAlign w:val="center"/>
          </w:tcPr>
          <w:p w14:paraId="4F66F466" w14:textId="77777777" w:rsidR="0088085F" w:rsidRPr="00314FFC" w:rsidRDefault="0088085F" w:rsidP="00314FFC">
            <w:pPr>
              <w:pStyle w:val="cuatexto"/>
              <w:jc w:val="right"/>
              <w:rPr>
                <w:color w:val="000000"/>
                <w:sz w:val="19"/>
                <w:szCs w:val="19"/>
              </w:rPr>
            </w:pPr>
            <w:r w:rsidRPr="00314FFC">
              <w:rPr>
                <w:color w:val="000000"/>
                <w:sz w:val="19"/>
                <w:szCs w:val="19"/>
              </w:rPr>
              <w:t>193,71</w:t>
            </w:r>
          </w:p>
        </w:tc>
      </w:tr>
      <w:tr w:rsidR="0088085F" w:rsidRPr="00314FFC" w14:paraId="736B7B05" w14:textId="77777777" w:rsidTr="002E3924">
        <w:trPr>
          <w:trHeight w:hRule="exact" w:val="238"/>
          <w:jc w:val="center"/>
        </w:trPr>
        <w:tc>
          <w:tcPr>
            <w:tcW w:w="1775" w:type="pct"/>
            <w:tcBorders>
              <w:top w:val="single" w:sz="2" w:space="0" w:color="000000"/>
              <w:left w:val="nil"/>
              <w:bottom w:val="single" w:sz="4" w:space="0" w:color="000000"/>
            </w:tcBorders>
            <w:shd w:val="clear" w:color="auto" w:fill="auto"/>
            <w:vAlign w:val="center"/>
            <w:hideMark/>
          </w:tcPr>
          <w:p w14:paraId="05D4E33B" w14:textId="77777777" w:rsidR="0088085F" w:rsidRPr="00314FFC" w:rsidRDefault="0088085F" w:rsidP="00314FFC">
            <w:pPr>
              <w:pStyle w:val="cuatexto"/>
              <w:jc w:val="left"/>
              <w:rPr>
                <w:sz w:val="19"/>
                <w:szCs w:val="19"/>
                <w:lang w:val="es-ES" w:eastAsia="es-ES"/>
              </w:rPr>
            </w:pPr>
            <w:r w:rsidRPr="00314FFC">
              <w:rPr>
                <w:sz w:val="19"/>
                <w:szCs w:val="19"/>
                <w:lang w:val="es-ES" w:eastAsia="es-ES"/>
              </w:rPr>
              <w:t>7   Transferencias de capital</w:t>
            </w:r>
          </w:p>
        </w:tc>
        <w:tc>
          <w:tcPr>
            <w:tcW w:w="558" w:type="pct"/>
            <w:tcBorders>
              <w:top w:val="single" w:sz="2" w:space="0" w:color="000000"/>
              <w:left w:val="nil"/>
              <w:bottom w:val="single" w:sz="4" w:space="0" w:color="000000"/>
              <w:right w:val="nil"/>
            </w:tcBorders>
            <w:shd w:val="clear" w:color="auto" w:fill="auto"/>
            <w:vAlign w:val="center"/>
            <w:hideMark/>
          </w:tcPr>
          <w:p w14:paraId="531E0B33" w14:textId="77777777" w:rsidR="0088085F" w:rsidRPr="00314FFC" w:rsidRDefault="0088085F" w:rsidP="00314FFC">
            <w:pPr>
              <w:pStyle w:val="cuatexto"/>
              <w:jc w:val="right"/>
              <w:rPr>
                <w:color w:val="000000"/>
                <w:sz w:val="19"/>
                <w:szCs w:val="19"/>
              </w:rPr>
            </w:pPr>
            <w:r w:rsidRPr="00314FFC">
              <w:rPr>
                <w:color w:val="000000"/>
                <w:sz w:val="19"/>
                <w:szCs w:val="19"/>
              </w:rPr>
              <w:t>20,16</w:t>
            </w:r>
          </w:p>
        </w:tc>
        <w:tc>
          <w:tcPr>
            <w:tcW w:w="627" w:type="pct"/>
            <w:tcBorders>
              <w:top w:val="single" w:sz="2" w:space="0" w:color="000000"/>
              <w:left w:val="nil"/>
              <w:bottom w:val="single" w:sz="4" w:space="0" w:color="000000"/>
              <w:right w:val="nil"/>
            </w:tcBorders>
            <w:shd w:val="clear" w:color="auto" w:fill="auto"/>
            <w:vAlign w:val="center"/>
            <w:hideMark/>
          </w:tcPr>
          <w:p w14:paraId="42A08948" w14:textId="77777777" w:rsidR="0088085F" w:rsidRPr="00314FFC" w:rsidRDefault="0088085F" w:rsidP="00314FFC">
            <w:pPr>
              <w:pStyle w:val="cuatexto"/>
              <w:jc w:val="right"/>
              <w:rPr>
                <w:color w:val="000000"/>
                <w:sz w:val="19"/>
                <w:szCs w:val="19"/>
              </w:rPr>
            </w:pPr>
            <w:r w:rsidRPr="00314FFC">
              <w:rPr>
                <w:color w:val="000000"/>
                <w:sz w:val="19"/>
                <w:szCs w:val="19"/>
              </w:rPr>
              <w:t>16,74</w:t>
            </w:r>
          </w:p>
        </w:tc>
        <w:tc>
          <w:tcPr>
            <w:tcW w:w="532" w:type="pct"/>
            <w:tcBorders>
              <w:top w:val="single" w:sz="2" w:space="0" w:color="000000"/>
              <w:left w:val="nil"/>
              <w:bottom w:val="single" w:sz="4" w:space="0" w:color="000000"/>
              <w:right w:val="nil"/>
            </w:tcBorders>
            <w:shd w:val="clear" w:color="auto" w:fill="auto"/>
            <w:vAlign w:val="center"/>
            <w:hideMark/>
          </w:tcPr>
          <w:p w14:paraId="23BF5C42" w14:textId="77777777" w:rsidR="0088085F" w:rsidRPr="00314FFC" w:rsidRDefault="0088085F" w:rsidP="00314FFC">
            <w:pPr>
              <w:pStyle w:val="cuatexto"/>
              <w:jc w:val="right"/>
              <w:rPr>
                <w:rFonts w:cs="Calibri"/>
                <w:sz w:val="19"/>
                <w:szCs w:val="19"/>
              </w:rPr>
            </w:pPr>
            <w:r w:rsidRPr="00314FFC">
              <w:rPr>
                <w:rFonts w:cs="Calibri"/>
                <w:sz w:val="19"/>
                <w:szCs w:val="19"/>
              </w:rPr>
              <w:t>1,9</w:t>
            </w:r>
          </w:p>
        </w:tc>
        <w:tc>
          <w:tcPr>
            <w:tcW w:w="442" w:type="pct"/>
            <w:tcBorders>
              <w:top w:val="single" w:sz="2" w:space="0" w:color="000000"/>
              <w:left w:val="nil"/>
              <w:bottom w:val="single" w:sz="4" w:space="0" w:color="000000"/>
              <w:right w:val="nil"/>
            </w:tcBorders>
            <w:shd w:val="clear" w:color="auto" w:fill="auto"/>
            <w:vAlign w:val="center"/>
            <w:hideMark/>
          </w:tcPr>
          <w:p w14:paraId="7F43264A" w14:textId="77777777" w:rsidR="0088085F" w:rsidRPr="00314FFC" w:rsidRDefault="0088085F" w:rsidP="00314FFC">
            <w:pPr>
              <w:pStyle w:val="cuatexto"/>
              <w:jc w:val="right"/>
              <w:rPr>
                <w:rFonts w:cs="Calibri"/>
                <w:sz w:val="19"/>
                <w:szCs w:val="19"/>
              </w:rPr>
            </w:pPr>
            <w:r w:rsidRPr="00314FFC">
              <w:rPr>
                <w:rFonts w:cs="Calibri"/>
                <w:sz w:val="19"/>
                <w:szCs w:val="19"/>
              </w:rPr>
              <w:t>83</w:t>
            </w:r>
          </w:p>
        </w:tc>
        <w:tc>
          <w:tcPr>
            <w:tcW w:w="502" w:type="pct"/>
            <w:tcBorders>
              <w:top w:val="single" w:sz="2" w:space="0" w:color="000000"/>
              <w:left w:val="nil"/>
              <w:bottom w:val="single" w:sz="4" w:space="0" w:color="000000"/>
              <w:right w:val="nil"/>
            </w:tcBorders>
            <w:shd w:val="clear" w:color="auto" w:fill="auto"/>
            <w:noWrap/>
            <w:vAlign w:val="center"/>
            <w:hideMark/>
          </w:tcPr>
          <w:p w14:paraId="4E20EEAD" w14:textId="77777777" w:rsidR="0088085F" w:rsidRPr="00314FFC" w:rsidRDefault="0088085F" w:rsidP="00314FFC">
            <w:pPr>
              <w:pStyle w:val="cuatexto"/>
              <w:jc w:val="right"/>
              <w:rPr>
                <w:sz w:val="19"/>
                <w:szCs w:val="19"/>
              </w:rPr>
            </w:pPr>
            <w:r w:rsidRPr="00314FFC">
              <w:rPr>
                <w:sz w:val="19"/>
                <w:szCs w:val="19"/>
              </w:rPr>
              <w:t>84</w:t>
            </w:r>
          </w:p>
        </w:tc>
        <w:tc>
          <w:tcPr>
            <w:tcW w:w="564" w:type="pct"/>
            <w:tcBorders>
              <w:top w:val="single" w:sz="2" w:space="0" w:color="000000"/>
              <w:left w:val="nil"/>
              <w:bottom w:val="single" w:sz="4" w:space="0" w:color="000000"/>
              <w:right w:val="nil"/>
            </w:tcBorders>
            <w:shd w:val="clear" w:color="auto" w:fill="auto"/>
            <w:vAlign w:val="center"/>
          </w:tcPr>
          <w:p w14:paraId="60713E2F" w14:textId="77777777" w:rsidR="0088085F" w:rsidRPr="00314FFC" w:rsidRDefault="0088085F" w:rsidP="00314FFC">
            <w:pPr>
              <w:pStyle w:val="cuatexto"/>
              <w:jc w:val="right"/>
              <w:rPr>
                <w:color w:val="000000"/>
                <w:sz w:val="19"/>
                <w:szCs w:val="19"/>
              </w:rPr>
            </w:pPr>
            <w:r w:rsidRPr="00314FFC">
              <w:rPr>
                <w:color w:val="000000"/>
                <w:sz w:val="19"/>
                <w:szCs w:val="19"/>
              </w:rPr>
              <w:t>16,74</w:t>
            </w:r>
          </w:p>
        </w:tc>
      </w:tr>
      <w:tr w:rsidR="0088085F" w:rsidRPr="002F5F1D" w14:paraId="61AE32EC" w14:textId="77777777" w:rsidTr="002E3924">
        <w:trPr>
          <w:trHeight w:hRule="exact" w:val="238"/>
          <w:jc w:val="center"/>
        </w:trPr>
        <w:tc>
          <w:tcPr>
            <w:tcW w:w="1775" w:type="pct"/>
            <w:tcBorders>
              <w:top w:val="single" w:sz="4" w:space="0" w:color="000000"/>
              <w:left w:val="nil"/>
              <w:bottom w:val="single" w:sz="4" w:space="0" w:color="000000"/>
            </w:tcBorders>
            <w:shd w:val="clear" w:color="auto" w:fill="auto"/>
            <w:vAlign w:val="center"/>
            <w:hideMark/>
          </w:tcPr>
          <w:p w14:paraId="7D5B68DF" w14:textId="77777777" w:rsidR="0088085F" w:rsidRPr="002F5F1D" w:rsidRDefault="0088085F" w:rsidP="00314FFC">
            <w:pPr>
              <w:pStyle w:val="cuatexto"/>
              <w:jc w:val="left"/>
              <w:rPr>
                <w:b/>
                <w:iCs/>
                <w:sz w:val="19"/>
                <w:szCs w:val="19"/>
                <w:lang w:val="es-ES" w:eastAsia="es-ES"/>
              </w:rPr>
            </w:pPr>
            <w:r w:rsidRPr="002F5F1D">
              <w:rPr>
                <w:b/>
                <w:iCs/>
                <w:sz w:val="19"/>
                <w:szCs w:val="19"/>
                <w:lang w:val="es-ES" w:eastAsia="es-ES"/>
              </w:rPr>
              <w:t xml:space="preserve">     Operaciones de capital</w:t>
            </w:r>
          </w:p>
        </w:tc>
        <w:tc>
          <w:tcPr>
            <w:tcW w:w="558" w:type="pct"/>
            <w:tcBorders>
              <w:top w:val="single" w:sz="4" w:space="0" w:color="000000"/>
              <w:left w:val="nil"/>
              <w:bottom w:val="single" w:sz="4" w:space="0" w:color="000000"/>
              <w:right w:val="nil"/>
            </w:tcBorders>
            <w:shd w:val="clear" w:color="auto" w:fill="auto"/>
            <w:vAlign w:val="center"/>
            <w:hideMark/>
          </w:tcPr>
          <w:p w14:paraId="36D32F2B" w14:textId="77777777" w:rsidR="0088085F" w:rsidRPr="002F5F1D" w:rsidRDefault="0088085F" w:rsidP="00314FFC">
            <w:pPr>
              <w:pStyle w:val="cuatexto"/>
              <w:jc w:val="right"/>
              <w:rPr>
                <w:b/>
                <w:bCs/>
                <w:iCs/>
                <w:color w:val="000000"/>
                <w:sz w:val="19"/>
                <w:szCs w:val="19"/>
              </w:rPr>
            </w:pPr>
            <w:r w:rsidRPr="002F5F1D">
              <w:rPr>
                <w:b/>
                <w:bCs/>
                <w:iCs/>
                <w:color w:val="000000"/>
                <w:sz w:val="19"/>
                <w:szCs w:val="19"/>
              </w:rPr>
              <w:t>322,00</w:t>
            </w:r>
          </w:p>
        </w:tc>
        <w:tc>
          <w:tcPr>
            <w:tcW w:w="627" w:type="pct"/>
            <w:tcBorders>
              <w:top w:val="single" w:sz="4" w:space="0" w:color="000000"/>
              <w:left w:val="nil"/>
              <w:bottom w:val="single" w:sz="4" w:space="0" w:color="000000"/>
              <w:right w:val="nil"/>
            </w:tcBorders>
            <w:shd w:val="clear" w:color="auto" w:fill="auto"/>
            <w:vAlign w:val="center"/>
            <w:hideMark/>
          </w:tcPr>
          <w:p w14:paraId="5EC55DB6" w14:textId="77777777" w:rsidR="0088085F" w:rsidRPr="002F5F1D" w:rsidRDefault="0088085F" w:rsidP="00314FFC">
            <w:pPr>
              <w:pStyle w:val="cuatexto"/>
              <w:jc w:val="right"/>
              <w:rPr>
                <w:b/>
                <w:bCs/>
                <w:iCs/>
                <w:color w:val="000000"/>
                <w:sz w:val="19"/>
                <w:szCs w:val="19"/>
              </w:rPr>
            </w:pPr>
            <w:r w:rsidRPr="002F5F1D">
              <w:rPr>
                <w:b/>
                <w:bCs/>
                <w:iCs/>
                <w:color w:val="000000"/>
                <w:sz w:val="19"/>
                <w:szCs w:val="19"/>
              </w:rPr>
              <w:t>199,42</w:t>
            </w:r>
          </w:p>
        </w:tc>
        <w:tc>
          <w:tcPr>
            <w:tcW w:w="532" w:type="pct"/>
            <w:tcBorders>
              <w:top w:val="single" w:sz="4" w:space="0" w:color="000000"/>
              <w:left w:val="nil"/>
              <w:bottom w:val="single" w:sz="4" w:space="0" w:color="000000"/>
              <w:right w:val="nil"/>
            </w:tcBorders>
            <w:shd w:val="clear" w:color="auto" w:fill="auto"/>
            <w:vAlign w:val="center"/>
            <w:hideMark/>
          </w:tcPr>
          <w:p w14:paraId="54A8E7D5" w14:textId="77777777" w:rsidR="0088085F" w:rsidRPr="002F5F1D" w:rsidRDefault="0088085F" w:rsidP="00314FFC">
            <w:pPr>
              <w:pStyle w:val="cuatexto"/>
              <w:jc w:val="right"/>
              <w:rPr>
                <w:rFonts w:cs="Calibri"/>
                <w:b/>
                <w:bCs/>
                <w:iCs/>
                <w:sz w:val="19"/>
                <w:szCs w:val="19"/>
              </w:rPr>
            </w:pPr>
            <w:r w:rsidRPr="002F5F1D">
              <w:rPr>
                <w:rFonts w:cs="Calibri"/>
                <w:b/>
                <w:bCs/>
                <w:iCs/>
                <w:sz w:val="19"/>
                <w:szCs w:val="19"/>
              </w:rPr>
              <w:t>22,5</w:t>
            </w:r>
          </w:p>
        </w:tc>
        <w:tc>
          <w:tcPr>
            <w:tcW w:w="442" w:type="pct"/>
            <w:tcBorders>
              <w:top w:val="single" w:sz="4" w:space="0" w:color="000000"/>
              <w:left w:val="nil"/>
              <w:bottom w:val="single" w:sz="4" w:space="0" w:color="000000"/>
              <w:right w:val="nil"/>
            </w:tcBorders>
            <w:shd w:val="clear" w:color="auto" w:fill="auto"/>
            <w:vAlign w:val="center"/>
            <w:hideMark/>
          </w:tcPr>
          <w:p w14:paraId="6ED2B29D" w14:textId="77777777" w:rsidR="0088085F" w:rsidRPr="002F5F1D" w:rsidRDefault="0088085F" w:rsidP="00314FFC">
            <w:pPr>
              <w:pStyle w:val="cuatexto"/>
              <w:jc w:val="right"/>
              <w:rPr>
                <w:rFonts w:cs="Calibri"/>
                <w:b/>
                <w:bCs/>
                <w:iCs/>
                <w:sz w:val="19"/>
                <w:szCs w:val="19"/>
              </w:rPr>
            </w:pPr>
            <w:r w:rsidRPr="002F5F1D">
              <w:rPr>
                <w:rFonts w:cs="Calibri"/>
                <w:b/>
                <w:bCs/>
                <w:iCs/>
                <w:sz w:val="19"/>
                <w:szCs w:val="19"/>
              </w:rPr>
              <w:t>62</w:t>
            </w:r>
          </w:p>
        </w:tc>
        <w:tc>
          <w:tcPr>
            <w:tcW w:w="502" w:type="pct"/>
            <w:tcBorders>
              <w:top w:val="single" w:sz="4" w:space="0" w:color="000000"/>
              <w:left w:val="nil"/>
              <w:bottom w:val="single" w:sz="4" w:space="0" w:color="000000"/>
              <w:right w:val="nil"/>
            </w:tcBorders>
            <w:shd w:val="clear" w:color="auto" w:fill="auto"/>
            <w:noWrap/>
            <w:vAlign w:val="center"/>
            <w:hideMark/>
          </w:tcPr>
          <w:p w14:paraId="241B21E1" w14:textId="77777777" w:rsidR="0088085F" w:rsidRPr="002F5F1D" w:rsidRDefault="0088085F" w:rsidP="00314FFC">
            <w:pPr>
              <w:pStyle w:val="cuatexto"/>
              <w:jc w:val="right"/>
              <w:rPr>
                <w:b/>
                <w:bCs/>
                <w:iCs/>
                <w:sz w:val="19"/>
                <w:szCs w:val="19"/>
              </w:rPr>
            </w:pPr>
            <w:r w:rsidRPr="002F5F1D">
              <w:rPr>
                <w:b/>
                <w:bCs/>
                <w:iCs/>
                <w:sz w:val="19"/>
                <w:szCs w:val="19"/>
              </w:rPr>
              <w:t>59</w:t>
            </w:r>
          </w:p>
        </w:tc>
        <w:tc>
          <w:tcPr>
            <w:tcW w:w="564" w:type="pct"/>
            <w:tcBorders>
              <w:top w:val="single" w:sz="4" w:space="0" w:color="000000"/>
              <w:left w:val="nil"/>
              <w:bottom w:val="single" w:sz="4" w:space="0" w:color="000000"/>
              <w:right w:val="nil"/>
            </w:tcBorders>
            <w:shd w:val="clear" w:color="auto" w:fill="auto"/>
            <w:vAlign w:val="center"/>
          </w:tcPr>
          <w:p w14:paraId="3FEF7D7E" w14:textId="77777777" w:rsidR="0088085F" w:rsidRPr="002F5F1D" w:rsidRDefault="0088085F" w:rsidP="00314FFC">
            <w:pPr>
              <w:pStyle w:val="cuatexto"/>
              <w:jc w:val="right"/>
              <w:rPr>
                <w:b/>
                <w:bCs/>
                <w:iCs/>
                <w:color w:val="000000"/>
                <w:sz w:val="19"/>
                <w:szCs w:val="19"/>
              </w:rPr>
            </w:pPr>
            <w:r w:rsidRPr="002F5F1D">
              <w:rPr>
                <w:b/>
                <w:bCs/>
                <w:iCs/>
                <w:color w:val="000000"/>
                <w:sz w:val="19"/>
                <w:szCs w:val="19"/>
              </w:rPr>
              <w:t>210,45</w:t>
            </w:r>
          </w:p>
        </w:tc>
      </w:tr>
      <w:tr w:rsidR="0088085F" w:rsidRPr="00314FFC" w14:paraId="24A20050" w14:textId="77777777" w:rsidTr="002E3924">
        <w:trPr>
          <w:trHeight w:hRule="exact" w:val="238"/>
          <w:jc w:val="center"/>
        </w:trPr>
        <w:tc>
          <w:tcPr>
            <w:tcW w:w="1775" w:type="pct"/>
            <w:tcBorders>
              <w:top w:val="single" w:sz="4" w:space="0" w:color="000000"/>
              <w:left w:val="nil"/>
              <w:bottom w:val="single" w:sz="2" w:space="0" w:color="000000"/>
            </w:tcBorders>
            <w:shd w:val="clear" w:color="auto" w:fill="auto"/>
            <w:vAlign w:val="center"/>
            <w:hideMark/>
          </w:tcPr>
          <w:p w14:paraId="72E47401" w14:textId="77777777" w:rsidR="0088085F" w:rsidRPr="00314FFC" w:rsidRDefault="0088085F" w:rsidP="00314FFC">
            <w:pPr>
              <w:pStyle w:val="cuatexto"/>
              <w:jc w:val="left"/>
              <w:rPr>
                <w:sz w:val="19"/>
                <w:szCs w:val="19"/>
                <w:lang w:val="es-ES" w:eastAsia="es-ES"/>
              </w:rPr>
            </w:pPr>
            <w:r w:rsidRPr="00314FFC">
              <w:rPr>
                <w:sz w:val="19"/>
                <w:szCs w:val="19"/>
                <w:lang w:val="es-ES" w:eastAsia="es-ES"/>
              </w:rPr>
              <w:t>8   Activos financieros</w:t>
            </w:r>
          </w:p>
        </w:tc>
        <w:tc>
          <w:tcPr>
            <w:tcW w:w="558" w:type="pct"/>
            <w:tcBorders>
              <w:top w:val="single" w:sz="4" w:space="0" w:color="000000"/>
              <w:left w:val="nil"/>
              <w:bottom w:val="single" w:sz="2" w:space="0" w:color="000000"/>
              <w:right w:val="nil"/>
            </w:tcBorders>
            <w:shd w:val="clear" w:color="auto" w:fill="auto"/>
            <w:vAlign w:val="center"/>
            <w:hideMark/>
          </w:tcPr>
          <w:p w14:paraId="41433643" w14:textId="77777777" w:rsidR="0088085F" w:rsidRPr="00314FFC" w:rsidRDefault="0088085F" w:rsidP="00314FFC">
            <w:pPr>
              <w:pStyle w:val="cuatexto"/>
              <w:jc w:val="right"/>
              <w:rPr>
                <w:color w:val="000000"/>
                <w:sz w:val="19"/>
                <w:szCs w:val="19"/>
              </w:rPr>
            </w:pPr>
            <w:r w:rsidRPr="00314FFC">
              <w:rPr>
                <w:color w:val="000000"/>
                <w:sz w:val="19"/>
                <w:szCs w:val="19"/>
              </w:rPr>
              <w:t>2,95</w:t>
            </w:r>
          </w:p>
        </w:tc>
        <w:tc>
          <w:tcPr>
            <w:tcW w:w="627" w:type="pct"/>
            <w:tcBorders>
              <w:top w:val="single" w:sz="4" w:space="0" w:color="000000"/>
              <w:left w:val="nil"/>
              <w:bottom w:val="single" w:sz="2" w:space="0" w:color="000000"/>
              <w:right w:val="nil"/>
            </w:tcBorders>
            <w:shd w:val="clear" w:color="auto" w:fill="auto"/>
            <w:vAlign w:val="center"/>
            <w:hideMark/>
          </w:tcPr>
          <w:p w14:paraId="4A857165" w14:textId="77777777" w:rsidR="0088085F" w:rsidRPr="00314FFC" w:rsidRDefault="0088085F" w:rsidP="00314FFC">
            <w:pPr>
              <w:pStyle w:val="cuatexto"/>
              <w:jc w:val="right"/>
              <w:rPr>
                <w:color w:val="000000"/>
                <w:sz w:val="19"/>
                <w:szCs w:val="19"/>
              </w:rPr>
            </w:pPr>
            <w:r w:rsidRPr="00314FFC">
              <w:rPr>
                <w:color w:val="000000"/>
                <w:sz w:val="19"/>
                <w:szCs w:val="19"/>
              </w:rPr>
              <w:t>1,51</w:t>
            </w:r>
          </w:p>
        </w:tc>
        <w:tc>
          <w:tcPr>
            <w:tcW w:w="532" w:type="pct"/>
            <w:tcBorders>
              <w:top w:val="single" w:sz="4" w:space="0" w:color="000000"/>
              <w:left w:val="nil"/>
              <w:bottom w:val="single" w:sz="2" w:space="0" w:color="000000"/>
              <w:right w:val="nil"/>
            </w:tcBorders>
            <w:shd w:val="clear" w:color="auto" w:fill="auto"/>
            <w:vAlign w:val="center"/>
            <w:hideMark/>
          </w:tcPr>
          <w:p w14:paraId="7C5C0D59" w14:textId="77777777" w:rsidR="0088085F" w:rsidRPr="00314FFC" w:rsidRDefault="0088085F" w:rsidP="00314FFC">
            <w:pPr>
              <w:pStyle w:val="cuatexto"/>
              <w:jc w:val="right"/>
              <w:rPr>
                <w:rFonts w:cs="Calibri"/>
                <w:sz w:val="19"/>
                <w:szCs w:val="19"/>
              </w:rPr>
            </w:pPr>
            <w:r w:rsidRPr="00314FFC">
              <w:rPr>
                <w:rFonts w:cs="Calibri"/>
                <w:sz w:val="19"/>
                <w:szCs w:val="19"/>
              </w:rPr>
              <w:t>0,2</w:t>
            </w:r>
          </w:p>
        </w:tc>
        <w:tc>
          <w:tcPr>
            <w:tcW w:w="442" w:type="pct"/>
            <w:tcBorders>
              <w:top w:val="single" w:sz="4" w:space="0" w:color="000000"/>
              <w:left w:val="nil"/>
              <w:bottom w:val="single" w:sz="2" w:space="0" w:color="000000"/>
              <w:right w:val="nil"/>
            </w:tcBorders>
            <w:shd w:val="clear" w:color="auto" w:fill="auto"/>
            <w:vAlign w:val="center"/>
            <w:hideMark/>
          </w:tcPr>
          <w:p w14:paraId="7279117B" w14:textId="77777777" w:rsidR="0088085F" w:rsidRPr="00314FFC" w:rsidRDefault="0088085F" w:rsidP="00314FFC">
            <w:pPr>
              <w:pStyle w:val="cuatexto"/>
              <w:jc w:val="right"/>
              <w:rPr>
                <w:rFonts w:cs="Calibri"/>
                <w:sz w:val="19"/>
                <w:szCs w:val="19"/>
              </w:rPr>
            </w:pPr>
            <w:r w:rsidRPr="00314FFC">
              <w:rPr>
                <w:rFonts w:cs="Calibri"/>
                <w:sz w:val="19"/>
                <w:szCs w:val="19"/>
              </w:rPr>
              <w:t>51</w:t>
            </w:r>
          </w:p>
        </w:tc>
        <w:tc>
          <w:tcPr>
            <w:tcW w:w="502" w:type="pct"/>
            <w:tcBorders>
              <w:top w:val="single" w:sz="4" w:space="0" w:color="000000"/>
              <w:left w:val="nil"/>
              <w:bottom w:val="single" w:sz="2" w:space="0" w:color="000000"/>
              <w:right w:val="nil"/>
            </w:tcBorders>
            <w:shd w:val="clear" w:color="auto" w:fill="auto"/>
            <w:noWrap/>
            <w:vAlign w:val="center"/>
            <w:hideMark/>
          </w:tcPr>
          <w:p w14:paraId="29A08928" w14:textId="77777777" w:rsidR="0088085F" w:rsidRPr="00314FFC" w:rsidRDefault="0088085F" w:rsidP="00314FFC">
            <w:pPr>
              <w:pStyle w:val="cuatexto"/>
              <w:jc w:val="right"/>
              <w:rPr>
                <w:sz w:val="19"/>
                <w:szCs w:val="19"/>
              </w:rPr>
            </w:pPr>
            <w:r w:rsidRPr="00314FFC">
              <w:rPr>
                <w:sz w:val="19"/>
                <w:szCs w:val="19"/>
              </w:rPr>
              <w:t>-19</w:t>
            </w:r>
          </w:p>
        </w:tc>
        <w:tc>
          <w:tcPr>
            <w:tcW w:w="564" w:type="pct"/>
            <w:tcBorders>
              <w:top w:val="single" w:sz="4" w:space="0" w:color="000000"/>
              <w:left w:val="nil"/>
              <w:bottom w:val="single" w:sz="2" w:space="0" w:color="000000"/>
              <w:right w:val="nil"/>
            </w:tcBorders>
            <w:shd w:val="clear" w:color="auto" w:fill="auto"/>
            <w:vAlign w:val="center"/>
          </w:tcPr>
          <w:p w14:paraId="0EBA858C" w14:textId="77777777" w:rsidR="0088085F" w:rsidRPr="00314FFC" w:rsidRDefault="0088085F" w:rsidP="00314FFC">
            <w:pPr>
              <w:pStyle w:val="cuatexto"/>
              <w:jc w:val="right"/>
              <w:rPr>
                <w:color w:val="000000"/>
                <w:sz w:val="19"/>
                <w:szCs w:val="19"/>
              </w:rPr>
            </w:pPr>
            <w:r w:rsidRPr="00314FFC">
              <w:rPr>
                <w:color w:val="000000"/>
                <w:sz w:val="19"/>
                <w:szCs w:val="19"/>
              </w:rPr>
              <w:t>1,51</w:t>
            </w:r>
          </w:p>
        </w:tc>
      </w:tr>
      <w:tr w:rsidR="0088085F" w:rsidRPr="00314FFC" w14:paraId="2A67F211" w14:textId="77777777" w:rsidTr="002E3924">
        <w:trPr>
          <w:trHeight w:hRule="exact" w:val="238"/>
          <w:jc w:val="center"/>
        </w:trPr>
        <w:tc>
          <w:tcPr>
            <w:tcW w:w="1775" w:type="pct"/>
            <w:tcBorders>
              <w:top w:val="single" w:sz="2" w:space="0" w:color="000000"/>
              <w:left w:val="nil"/>
              <w:bottom w:val="single" w:sz="4" w:space="0" w:color="000000"/>
            </w:tcBorders>
            <w:shd w:val="clear" w:color="auto" w:fill="auto"/>
            <w:vAlign w:val="center"/>
            <w:hideMark/>
          </w:tcPr>
          <w:p w14:paraId="75F2B63B" w14:textId="77777777" w:rsidR="0088085F" w:rsidRPr="00314FFC" w:rsidRDefault="0088085F" w:rsidP="00314FFC">
            <w:pPr>
              <w:pStyle w:val="cuatexto"/>
              <w:jc w:val="left"/>
              <w:rPr>
                <w:sz w:val="19"/>
                <w:szCs w:val="19"/>
                <w:lang w:val="es-ES" w:eastAsia="es-ES"/>
              </w:rPr>
            </w:pPr>
            <w:r w:rsidRPr="00314FFC">
              <w:rPr>
                <w:sz w:val="19"/>
                <w:szCs w:val="19"/>
                <w:lang w:val="es-ES" w:eastAsia="es-ES"/>
              </w:rPr>
              <w:t>9   Pasivos financieros</w:t>
            </w:r>
          </w:p>
        </w:tc>
        <w:tc>
          <w:tcPr>
            <w:tcW w:w="558" w:type="pct"/>
            <w:tcBorders>
              <w:top w:val="single" w:sz="2" w:space="0" w:color="000000"/>
              <w:left w:val="nil"/>
              <w:bottom w:val="single" w:sz="4" w:space="0" w:color="000000"/>
              <w:right w:val="nil"/>
            </w:tcBorders>
            <w:shd w:val="clear" w:color="auto" w:fill="auto"/>
            <w:vAlign w:val="center"/>
            <w:hideMark/>
          </w:tcPr>
          <w:p w14:paraId="7B45E5F9" w14:textId="77777777" w:rsidR="0088085F" w:rsidRPr="00314FFC" w:rsidRDefault="0088085F" w:rsidP="00314FFC">
            <w:pPr>
              <w:pStyle w:val="cuatexto"/>
              <w:jc w:val="right"/>
              <w:rPr>
                <w:color w:val="000000"/>
                <w:sz w:val="19"/>
                <w:szCs w:val="19"/>
              </w:rPr>
            </w:pPr>
            <w:r w:rsidRPr="00314FFC">
              <w:rPr>
                <w:color w:val="000000"/>
                <w:sz w:val="19"/>
                <w:szCs w:val="19"/>
              </w:rPr>
              <w:t>29,31</w:t>
            </w:r>
          </w:p>
        </w:tc>
        <w:tc>
          <w:tcPr>
            <w:tcW w:w="627" w:type="pct"/>
            <w:tcBorders>
              <w:top w:val="single" w:sz="2" w:space="0" w:color="000000"/>
              <w:left w:val="nil"/>
              <w:bottom w:val="single" w:sz="4" w:space="0" w:color="000000"/>
              <w:right w:val="nil"/>
            </w:tcBorders>
            <w:shd w:val="clear" w:color="auto" w:fill="auto"/>
            <w:vAlign w:val="center"/>
            <w:hideMark/>
          </w:tcPr>
          <w:p w14:paraId="43947B11" w14:textId="77777777" w:rsidR="0088085F" w:rsidRPr="00314FFC" w:rsidRDefault="0088085F" w:rsidP="00314FFC">
            <w:pPr>
              <w:pStyle w:val="cuatexto"/>
              <w:jc w:val="right"/>
              <w:rPr>
                <w:color w:val="000000"/>
                <w:sz w:val="19"/>
                <w:szCs w:val="19"/>
              </w:rPr>
            </w:pPr>
            <w:r w:rsidRPr="00314FFC">
              <w:rPr>
                <w:color w:val="000000"/>
                <w:sz w:val="19"/>
                <w:szCs w:val="19"/>
              </w:rPr>
              <w:t>28,91</w:t>
            </w:r>
          </w:p>
        </w:tc>
        <w:tc>
          <w:tcPr>
            <w:tcW w:w="532" w:type="pct"/>
            <w:tcBorders>
              <w:top w:val="single" w:sz="2" w:space="0" w:color="000000"/>
              <w:left w:val="nil"/>
              <w:bottom w:val="single" w:sz="4" w:space="0" w:color="000000"/>
              <w:right w:val="nil"/>
            </w:tcBorders>
            <w:shd w:val="clear" w:color="auto" w:fill="auto"/>
            <w:vAlign w:val="center"/>
            <w:hideMark/>
          </w:tcPr>
          <w:p w14:paraId="32420D86" w14:textId="77777777" w:rsidR="0088085F" w:rsidRPr="00314FFC" w:rsidRDefault="0088085F" w:rsidP="00314FFC">
            <w:pPr>
              <w:pStyle w:val="cuatexto"/>
              <w:jc w:val="right"/>
              <w:rPr>
                <w:rFonts w:cs="Calibri"/>
                <w:sz w:val="19"/>
                <w:szCs w:val="19"/>
              </w:rPr>
            </w:pPr>
            <w:r w:rsidRPr="00314FFC">
              <w:rPr>
                <w:rFonts w:cs="Calibri"/>
                <w:sz w:val="19"/>
                <w:szCs w:val="19"/>
              </w:rPr>
              <w:t>3,3</w:t>
            </w:r>
          </w:p>
        </w:tc>
        <w:tc>
          <w:tcPr>
            <w:tcW w:w="442" w:type="pct"/>
            <w:tcBorders>
              <w:top w:val="single" w:sz="2" w:space="0" w:color="000000"/>
              <w:left w:val="nil"/>
              <w:bottom w:val="single" w:sz="4" w:space="0" w:color="000000"/>
              <w:right w:val="nil"/>
            </w:tcBorders>
            <w:shd w:val="clear" w:color="auto" w:fill="auto"/>
            <w:vAlign w:val="center"/>
            <w:hideMark/>
          </w:tcPr>
          <w:p w14:paraId="2B0D990F" w14:textId="77777777" w:rsidR="0088085F" w:rsidRPr="00314FFC" w:rsidRDefault="0088085F" w:rsidP="00314FFC">
            <w:pPr>
              <w:pStyle w:val="cuatexto"/>
              <w:jc w:val="right"/>
              <w:rPr>
                <w:rFonts w:cs="Calibri"/>
                <w:sz w:val="19"/>
                <w:szCs w:val="19"/>
              </w:rPr>
            </w:pPr>
            <w:r w:rsidRPr="00314FFC">
              <w:rPr>
                <w:rFonts w:cs="Calibri"/>
                <w:sz w:val="19"/>
                <w:szCs w:val="19"/>
              </w:rPr>
              <w:t>99</w:t>
            </w:r>
          </w:p>
        </w:tc>
        <w:tc>
          <w:tcPr>
            <w:tcW w:w="502" w:type="pct"/>
            <w:tcBorders>
              <w:top w:val="single" w:sz="2" w:space="0" w:color="000000"/>
              <w:left w:val="nil"/>
              <w:bottom w:val="single" w:sz="4" w:space="0" w:color="000000"/>
              <w:right w:val="nil"/>
            </w:tcBorders>
            <w:shd w:val="clear" w:color="auto" w:fill="auto"/>
            <w:noWrap/>
            <w:vAlign w:val="center"/>
            <w:hideMark/>
          </w:tcPr>
          <w:p w14:paraId="43B5A3F3" w14:textId="77777777" w:rsidR="0088085F" w:rsidRPr="00314FFC" w:rsidRDefault="0088085F" w:rsidP="00314FFC">
            <w:pPr>
              <w:pStyle w:val="cuatexto"/>
              <w:jc w:val="right"/>
              <w:rPr>
                <w:sz w:val="19"/>
                <w:szCs w:val="19"/>
              </w:rPr>
            </w:pPr>
            <w:r w:rsidRPr="00314FFC">
              <w:rPr>
                <w:sz w:val="19"/>
                <w:szCs w:val="19"/>
              </w:rPr>
              <w:t>-12</w:t>
            </w:r>
          </w:p>
        </w:tc>
        <w:tc>
          <w:tcPr>
            <w:tcW w:w="564" w:type="pct"/>
            <w:tcBorders>
              <w:top w:val="single" w:sz="2" w:space="0" w:color="000000"/>
              <w:left w:val="nil"/>
              <w:bottom w:val="single" w:sz="4" w:space="0" w:color="000000"/>
              <w:right w:val="nil"/>
            </w:tcBorders>
            <w:shd w:val="clear" w:color="auto" w:fill="auto"/>
            <w:vAlign w:val="center"/>
          </w:tcPr>
          <w:p w14:paraId="2A5F7067" w14:textId="77777777" w:rsidR="0088085F" w:rsidRPr="00314FFC" w:rsidRDefault="0088085F" w:rsidP="00314FFC">
            <w:pPr>
              <w:pStyle w:val="cuatexto"/>
              <w:jc w:val="right"/>
              <w:rPr>
                <w:color w:val="000000"/>
                <w:sz w:val="19"/>
                <w:szCs w:val="19"/>
              </w:rPr>
            </w:pPr>
            <w:r w:rsidRPr="00314FFC">
              <w:rPr>
                <w:color w:val="000000"/>
                <w:sz w:val="19"/>
                <w:szCs w:val="19"/>
              </w:rPr>
              <w:t>28,91</w:t>
            </w:r>
          </w:p>
        </w:tc>
      </w:tr>
      <w:tr w:rsidR="0088085F" w:rsidRPr="002F5F1D" w14:paraId="5D6D2059" w14:textId="77777777" w:rsidTr="002E3924">
        <w:trPr>
          <w:trHeight w:hRule="exact" w:val="238"/>
          <w:jc w:val="center"/>
        </w:trPr>
        <w:tc>
          <w:tcPr>
            <w:tcW w:w="1775" w:type="pct"/>
            <w:tcBorders>
              <w:top w:val="single" w:sz="4" w:space="0" w:color="000000"/>
              <w:left w:val="nil"/>
              <w:bottom w:val="single" w:sz="4" w:space="0" w:color="auto"/>
            </w:tcBorders>
            <w:shd w:val="clear" w:color="auto" w:fill="auto"/>
            <w:vAlign w:val="center"/>
            <w:hideMark/>
          </w:tcPr>
          <w:p w14:paraId="70BE3710" w14:textId="77777777" w:rsidR="0088085F" w:rsidRPr="002F5F1D" w:rsidRDefault="0088085F" w:rsidP="00314FFC">
            <w:pPr>
              <w:pStyle w:val="cuatexto"/>
              <w:jc w:val="left"/>
              <w:rPr>
                <w:b/>
                <w:iCs/>
                <w:sz w:val="19"/>
                <w:szCs w:val="19"/>
                <w:lang w:val="es-ES" w:eastAsia="es-ES"/>
              </w:rPr>
            </w:pPr>
            <w:r w:rsidRPr="002F5F1D">
              <w:rPr>
                <w:b/>
                <w:iCs/>
                <w:sz w:val="19"/>
                <w:szCs w:val="19"/>
                <w:lang w:val="es-ES" w:eastAsia="es-ES"/>
              </w:rPr>
              <w:t xml:space="preserve">     Operaciones financieras</w:t>
            </w:r>
          </w:p>
        </w:tc>
        <w:tc>
          <w:tcPr>
            <w:tcW w:w="558" w:type="pct"/>
            <w:tcBorders>
              <w:top w:val="single" w:sz="4" w:space="0" w:color="000000"/>
              <w:left w:val="nil"/>
              <w:bottom w:val="single" w:sz="4" w:space="0" w:color="auto"/>
              <w:right w:val="nil"/>
            </w:tcBorders>
            <w:shd w:val="clear" w:color="auto" w:fill="auto"/>
            <w:vAlign w:val="center"/>
            <w:hideMark/>
          </w:tcPr>
          <w:p w14:paraId="4C534631" w14:textId="77777777" w:rsidR="0088085F" w:rsidRPr="002F5F1D" w:rsidRDefault="0088085F" w:rsidP="00314FFC">
            <w:pPr>
              <w:pStyle w:val="cuatexto"/>
              <w:jc w:val="right"/>
              <w:rPr>
                <w:b/>
                <w:bCs/>
                <w:iCs/>
                <w:color w:val="000000"/>
                <w:sz w:val="19"/>
                <w:szCs w:val="19"/>
              </w:rPr>
            </w:pPr>
            <w:r w:rsidRPr="002F5F1D">
              <w:rPr>
                <w:b/>
                <w:bCs/>
                <w:iCs/>
                <w:color w:val="000000"/>
                <w:sz w:val="19"/>
                <w:szCs w:val="19"/>
              </w:rPr>
              <w:t>32,26</w:t>
            </w:r>
          </w:p>
        </w:tc>
        <w:tc>
          <w:tcPr>
            <w:tcW w:w="627" w:type="pct"/>
            <w:tcBorders>
              <w:top w:val="single" w:sz="4" w:space="0" w:color="000000"/>
              <w:left w:val="nil"/>
              <w:bottom w:val="single" w:sz="4" w:space="0" w:color="auto"/>
              <w:right w:val="nil"/>
            </w:tcBorders>
            <w:shd w:val="clear" w:color="auto" w:fill="auto"/>
            <w:vAlign w:val="center"/>
            <w:hideMark/>
          </w:tcPr>
          <w:p w14:paraId="31B89680" w14:textId="77777777" w:rsidR="0088085F" w:rsidRPr="002F5F1D" w:rsidRDefault="0088085F" w:rsidP="00314FFC">
            <w:pPr>
              <w:pStyle w:val="cuatexto"/>
              <w:jc w:val="right"/>
              <w:rPr>
                <w:color w:val="000000"/>
                <w:sz w:val="19"/>
                <w:szCs w:val="19"/>
                <w:lang w:val="es-ES" w:eastAsia="es-ES"/>
              </w:rPr>
            </w:pPr>
            <w:r w:rsidRPr="002F5F1D">
              <w:rPr>
                <w:b/>
                <w:bCs/>
                <w:iCs/>
                <w:color w:val="000000"/>
                <w:sz w:val="19"/>
                <w:szCs w:val="19"/>
              </w:rPr>
              <w:t>30,41</w:t>
            </w:r>
          </w:p>
        </w:tc>
        <w:tc>
          <w:tcPr>
            <w:tcW w:w="532" w:type="pct"/>
            <w:tcBorders>
              <w:top w:val="single" w:sz="4" w:space="0" w:color="000000"/>
              <w:left w:val="nil"/>
              <w:bottom w:val="single" w:sz="4" w:space="0" w:color="auto"/>
              <w:right w:val="nil"/>
            </w:tcBorders>
            <w:shd w:val="clear" w:color="auto" w:fill="auto"/>
            <w:vAlign w:val="center"/>
            <w:hideMark/>
          </w:tcPr>
          <w:p w14:paraId="11727808" w14:textId="77777777" w:rsidR="0088085F" w:rsidRPr="002F5F1D" w:rsidRDefault="0088085F" w:rsidP="00314FFC">
            <w:pPr>
              <w:pStyle w:val="cuatexto"/>
              <w:jc w:val="right"/>
              <w:rPr>
                <w:rFonts w:cs="Calibri"/>
                <w:b/>
                <w:bCs/>
                <w:iCs/>
                <w:sz w:val="19"/>
                <w:szCs w:val="19"/>
              </w:rPr>
            </w:pPr>
            <w:r w:rsidRPr="002F5F1D">
              <w:rPr>
                <w:rFonts w:cs="Calibri"/>
                <w:b/>
                <w:bCs/>
                <w:iCs/>
                <w:sz w:val="19"/>
                <w:szCs w:val="19"/>
              </w:rPr>
              <w:t>3,4</w:t>
            </w:r>
          </w:p>
        </w:tc>
        <w:tc>
          <w:tcPr>
            <w:tcW w:w="442" w:type="pct"/>
            <w:tcBorders>
              <w:top w:val="single" w:sz="4" w:space="0" w:color="000000"/>
              <w:bottom w:val="single" w:sz="4" w:space="0" w:color="auto"/>
            </w:tcBorders>
            <w:shd w:val="clear" w:color="auto" w:fill="auto"/>
            <w:vAlign w:val="center"/>
            <w:hideMark/>
          </w:tcPr>
          <w:p w14:paraId="6F7381FA" w14:textId="77777777" w:rsidR="0088085F" w:rsidRPr="002F5F1D" w:rsidRDefault="0088085F" w:rsidP="00314FFC">
            <w:pPr>
              <w:pStyle w:val="cuatexto"/>
              <w:jc w:val="right"/>
              <w:rPr>
                <w:rFonts w:cs="Calibri"/>
                <w:b/>
                <w:bCs/>
                <w:iCs/>
                <w:sz w:val="19"/>
                <w:szCs w:val="19"/>
                <w:lang w:val="es-ES" w:eastAsia="es-ES"/>
              </w:rPr>
            </w:pPr>
            <w:r w:rsidRPr="002F5F1D">
              <w:rPr>
                <w:rFonts w:cs="Calibri"/>
                <w:b/>
                <w:bCs/>
                <w:iCs/>
                <w:sz w:val="19"/>
                <w:szCs w:val="19"/>
              </w:rPr>
              <w:t>94</w:t>
            </w:r>
          </w:p>
          <w:p w14:paraId="3D4E4111" w14:textId="77777777" w:rsidR="0088085F" w:rsidRPr="002F5F1D" w:rsidRDefault="0088085F" w:rsidP="00314FFC">
            <w:pPr>
              <w:pStyle w:val="cuatexto"/>
              <w:jc w:val="right"/>
              <w:rPr>
                <w:b/>
                <w:iCs/>
                <w:sz w:val="19"/>
                <w:szCs w:val="19"/>
                <w:lang w:val="es-ES" w:eastAsia="es-ES"/>
              </w:rPr>
            </w:pPr>
          </w:p>
        </w:tc>
        <w:tc>
          <w:tcPr>
            <w:tcW w:w="502" w:type="pct"/>
            <w:tcBorders>
              <w:top w:val="single" w:sz="4" w:space="0" w:color="000000"/>
              <w:left w:val="nil"/>
              <w:bottom w:val="single" w:sz="4" w:space="0" w:color="auto"/>
              <w:right w:val="nil"/>
            </w:tcBorders>
            <w:shd w:val="clear" w:color="auto" w:fill="auto"/>
            <w:noWrap/>
            <w:vAlign w:val="center"/>
            <w:hideMark/>
          </w:tcPr>
          <w:p w14:paraId="7E22FCB8" w14:textId="77777777" w:rsidR="0088085F" w:rsidRPr="002F5F1D" w:rsidRDefault="0088085F" w:rsidP="00314FFC">
            <w:pPr>
              <w:pStyle w:val="cuatexto"/>
              <w:jc w:val="right"/>
              <w:rPr>
                <w:b/>
                <w:bCs/>
                <w:iCs/>
                <w:sz w:val="19"/>
                <w:szCs w:val="19"/>
              </w:rPr>
            </w:pPr>
            <w:r w:rsidRPr="002F5F1D">
              <w:rPr>
                <w:b/>
                <w:bCs/>
                <w:iCs/>
                <w:sz w:val="19"/>
                <w:szCs w:val="19"/>
              </w:rPr>
              <w:t>-12</w:t>
            </w:r>
          </w:p>
        </w:tc>
        <w:tc>
          <w:tcPr>
            <w:tcW w:w="564" w:type="pct"/>
            <w:tcBorders>
              <w:top w:val="single" w:sz="4" w:space="0" w:color="000000"/>
              <w:left w:val="nil"/>
              <w:bottom w:val="single" w:sz="4" w:space="0" w:color="auto"/>
              <w:right w:val="nil"/>
            </w:tcBorders>
            <w:shd w:val="clear" w:color="auto" w:fill="auto"/>
            <w:vAlign w:val="center"/>
          </w:tcPr>
          <w:p w14:paraId="1F460CFE" w14:textId="77777777" w:rsidR="0088085F" w:rsidRPr="002F5F1D" w:rsidRDefault="0088085F" w:rsidP="00314FFC">
            <w:pPr>
              <w:pStyle w:val="cuatexto"/>
              <w:jc w:val="right"/>
              <w:rPr>
                <w:color w:val="000000"/>
                <w:sz w:val="19"/>
                <w:szCs w:val="19"/>
                <w:lang w:val="es-ES" w:eastAsia="es-ES"/>
              </w:rPr>
            </w:pPr>
            <w:r w:rsidRPr="002F5F1D">
              <w:rPr>
                <w:b/>
                <w:bCs/>
                <w:iCs/>
                <w:color w:val="000000"/>
                <w:sz w:val="19"/>
                <w:szCs w:val="19"/>
              </w:rPr>
              <w:t>30,41</w:t>
            </w:r>
          </w:p>
        </w:tc>
      </w:tr>
      <w:tr w:rsidR="0088085F" w:rsidRPr="00B81E61" w14:paraId="4F1CEA8E" w14:textId="77777777" w:rsidTr="002E3924">
        <w:trPr>
          <w:trHeight w:val="284"/>
          <w:jc w:val="center"/>
        </w:trPr>
        <w:tc>
          <w:tcPr>
            <w:tcW w:w="1775" w:type="pct"/>
            <w:tcBorders>
              <w:top w:val="single" w:sz="4" w:space="0" w:color="auto"/>
              <w:left w:val="nil"/>
              <w:bottom w:val="single" w:sz="4" w:space="0" w:color="000000"/>
              <w:right w:val="nil"/>
            </w:tcBorders>
            <w:shd w:val="clear" w:color="000000" w:fill="F4B084"/>
            <w:vAlign w:val="center"/>
            <w:hideMark/>
          </w:tcPr>
          <w:p w14:paraId="3E7ED963" w14:textId="77777777" w:rsidR="0088085F" w:rsidRPr="00B81E61" w:rsidRDefault="0088085F" w:rsidP="00314FFC">
            <w:pPr>
              <w:pStyle w:val="cuadroCabe"/>
              <w:jc w:val="left"/>
              <w:rPr>
                <w:color w:val="000000" w:themeColor="text1"/>
                <w:lang w:val="es-ES" w:eastAsia="es-ES"/>
              </w:rPr>
            </w:pPr>
            <w:r w:rsidRPr="00B81E61">
              <w:rPr>
                <w:color w:val="000000" w:themeColor="text1"/>
                <w:lang w:val="es-ES" w:eastAsia="es-ES"/>
              </w:rPr>
              <w:t xml:space="preserve"> Total</w:t>
            </w:r>
          </w:p>
        </w:tc>
        <w:tc>
          <w:tcPr>
            <w:tcW w:w="558" w:type="pct"/>
            <w:tcBorders>
              <w:top w:val="single" w:sz="4" w:space="0" w:color="auto"/>
              <w:left w:val="nil"/>
              <w:bottom w:val="single" w:sz="4" w:space="0" w:color="000000"/>
              <w:right w:val="nil"/>
            </w:tcBorders>
            <w:shd w:val="clear" w:color="000000" w:fill="F4B084"/>
            <w:vAlign w:val="center"/>
            <w:hideMark/>
          </w:tcPr>
          <w:p w14:paraId="236689C0" w14:textId="77777777" w:rsidR="0088085F" w:rsidRPr="00B81E61" w:rsidRDefault="0088085F" w:rsidP="00314FFC">
            <w:pPr>
              <w:pStyle w:val="cuadroCabe"/>
              <w:jc w:val="right"/>
              <w:rPr>
                <w:color w:val="000000" w:themeColor="text1"/>
                <w:lang w:val="es-ES" w:eastAsia="es-ES"/>
              </w:rPr>
            </w:pPr>
            <w:r>
              <w:rPr>
                <w:color w:val="000000" w:themeColor="text1"/>
                <w:lang w:val="es-ES" w:eastAsia="es-ES"/>
              </w:rPr>
              <w:t>1.046,16</w:t>
            </w:r>
          </w:p>
        </w:tc>
        <w:tc>
          <w:tcPr>
            <w:tcW w:w="627" w:type="pct"/>
            <w:tcBorders>
              <w:top w:val="single" w:sz="4" w:space="0" w:color="auto"/>
              <w:left w:val="nil"/>
              <w:bottom w:val="single" w:sz="4" w:space="0" w:color="000000"/>
              <w:right w:val="nil"/>
            </w:tcBorders>
            <w:shd w:val="clear" w:color="000000" w:fill="F4B084"/>
            <w:vAlign w:val="center"/>
            <w:hideMark/>
          </w:tcPr>
          <w:p w14:paraId="2FBF5BF9" w14:textId="77777777" w:rsidR="0088085F" w:rsidRPr="00B81E61" w:rsidRDefault="0088085F" w:rsidP="00314FFC">
            <w:pPr>
              <w:pStyle w:val="cuadroCabe"/>
              <w:jc w:val="right"/>
              <w:rPr>
                <w:color w:val="000000" w:themeColor="text1"/>
                <w:lang w:val="es-ES" w:eastAsia="es-ES"/>
              </w:rPr>
            </w:pPr>
            <w:r>
              <w:rPr>
                <w:color w:val="000000" w:themeColor="text1"/>
                <w:lang w:val="es-ES" w:eastAsia="es-ES"/>
              </w:rPr>
              <w:t>885,37</w:t>
            </w:r>
          </w:p>
        </w:tc>
        <w:tc>
          <w:tcPr>
            <w:tcW w:w="532" w:type="pct"/>
            <w:tcBorders>
              <w:top w:val="single" w:sz="4" w:space="0" w:color="auto"/>
              <w:left w:val="nil"/>
              <w:bottom w:val="single" w:sz="4" w:space="0" w:color="000000"/>
              <w:right w:val="nil"/>
            </w:tcBorders>
            <w:shd w:val="clear" w:color="000000" w:fill="F4B084"/>
            <w:vAlign w:val="center"/>
            <w:hideMark/>
          </w:tcPr>
          <w:p w14:paraId="5B383566" w14:textId="77777777" w:rsidR="0088085F" w:rsidRPr="00B81E61" w:rsidRDefault="0088085F" w:rsidP="00314FFC">
            <w:pPr>
              <w:pStyle w:val="cuadroCabe"/>
              <w:jc w:val="right"/>
              <w:rPr>
                <w:color w:val="000000" w:themeColor="text1"/>
                <w:lang w:val="es-ES" w:eastAsia="es-ES"/>
              </w:rPr>
            </w:pPr>
            <w:r w:rsidRPr="00B81E61">
              <w:rPr>
                <w:color w:val="000000" w:themeColor="text1"/>
                <w:lang w:val="es-ES" w:eastAsia="es-ES"/>
              </w:rPr>
              <w:t>100</w:t>
            </w:r>
          </w:p>
        </w:tc>
        <w:tc>
          <w:tcPr>
            <w:tcW w:w="442" w:type="pct"/>
            <w:tcBorders>
              <w:top w:val="single" w:sz="4" w:space="0" w:color="auto"/>
              <w:left w:val="nil"/>
              <w:bottom w:val="single" w:sz="4" w:space="0" w:color="000000"/>
              <w:right w:val="nil"/>
            </w:tcBorders>
            <w:shd w:val="clear" w:color="000000" w:fill="F4B084"/>
            <w:vAlign w:val="center"/>
            <w:hideMark/>
          </w:tcPr>
          <w:p w14:paraId="16657102" w14:textId="77777777" w:rsidR="0088085F" w:rsidRPr="00B81E61" w:rsidRDefault="0088085F" w:rsidP="00314FFC">
            <w:pPr>
              <w:pStyle w:val="cuadroCabe"/>
              <w:jc w:val="right"/>
              <w:rPr>
                <w:color w:val="000000" w:themeColor="text1"/>
                <w:lang w:val="es-ES" w:eastAsia="es-ES"/>
              </w:rPr>
            </w:pPr>
            <w:r w:rsidRPr="00B81E61">
              <w:rPr>
                <w:color w:val="000000" w:themeColor="text1"/>
                <w:lang w:val="es-ES" w:eastAsia="es-ES"/>
              </w:rPr>
              <w:t>8</w:t>
            </w:r>
            <w:r>
              <w:rPr>
                <w:color w:val="000000" w:themeColor="text1"/>
                <w:lang w:val="es-ES" w:eastAsia="es-ES"/>
              </w:rPr>
              <w:t>5</w:t>
            </w:r>
          </w:p>
        </w:tc>
        <w:tc>
          <w:tcPr>
            <w:tcW w:w="502" w:type="pct"/>
            <w:tcBorders>
              <w:top w:val="single" w:sz="4" w:space="0" w:color="auto"/>
              <w:left w:val="nil"/>
              <w:bottom w:val="single" w:sz="4" w:space="0" w:color="000000"/>
              <w:right w:val="nil"/>
            </w:tcBorders>
            <w:shd w:val="clear" w:color="000000" w:fill="F4B084"/>
            <w:vAlign w:val="center"/>
            <w:hideMark/>
          </w:tcPr>
          <w:p w14:paraId="4CAD233B" w14:textId="77777777" w:rsidR="0088085F" w:rsidRPr="00B81E61" w:rsidRDefault="0088085F" w:rsidP="00314FFC">
            <w:pPr>
              <w:pStyle w:val="cuadroCabe"/>
              <w:jc w:val="right"/>
              <w:rPr>
                <w:rFonts w:cs="Arial"/>
                <w:bCs/>
                <w:color w:val="000000" w:themeColor="text1"/>
                <w:lang w:val="es-ES" w:eastAsia="es-ES"/>
              </w:rPr>
            </w:pPr>
            <w:r>
              <w:rPr>
                <w:rFonts w:cs="Arial"/>
                <w:bCs/>
                <w:color w:val="000000" w:themeColor="text1"/>
                <w:lang w:val="es-ES" w:eastAsia="es-ES"/>
              </w:rPr>
              <w:t>12</w:t>
            </w:r>
          </w:p>
        </w:tc>
        <w:tc>
          <w:tcPr>
            <w:tcW w:w="564" w:type="pct"/>
            <w:tcBorders>
              <w:top w:val="single" w:sz="4" w:space="0" w:color="auto"/>
              <w:left w:val="nil"/>
              <w:bottom w:val="single" w:sz="4" w:space="0" w:color="000000"/>
              <w:right w:val="nil"/>
            </w:tcBorders>
            <w:shd w:val="clear" w:color="000000" w:fill="F4B084"/>
            <w:vAlign w:val="center"/>
          </w:tcPr>
          <w:p w14:paraId="292D6F8B" w14:textId="77777777" w:rsidR="0088085F" w:rsidRPr="00B81E61" w:rsidRDefault="0088085F" w:rsidP="00314FFC">
            <w:pPr>
              <w:pStyle w:val="cuadroCabe"/>
              <w:jc w:val="right"/>
              <w:rPr>
                <w:color w:val="000000" w:themeColor="text1"/>
                <w:lang w:val="es-ES" w:eastAsia="es-ES"/>
              </w:rPr>
            </w:pPr>
            <w:r>
              <w:rPr>
                <w:color w:val="000000" w:themeColor="text1"/>
                <w:lang w:val="es-ES" w:eastAsia="es-ES"/>
              </w:rPr>
              <w:t>955,57</w:t>
            </w:r>
          </w:p>
        </w:tc>
      </w:tr>
    </w:tbl>
    <w:p w14:paraId="235F393B" w14:textId="77777777" w:rsidR="0088085F" w:rsidRPr="00A96563" w:rsidRDefault="00665642" w:rsidP="001C5C55">
      <w:pPr>
        <w:pStyle w:val="texto"/>
        <w:spacing w:before="80" w:after="40"/>
        <w:ind w:left="-14" w:firstLine="0"/>
        <w:rPr>
          <w:rFonts w:ascii="Arial" w:hAnsi="Arial" w:cs="Arial"/>
          <w:color w:val="000000" w:themeColor="text1"/>
          <w:sz w:val="16"/>
          <w:szCs w:val="16"/>
        </w:rPr>
      </w:pPr>
      <w:r w:rsidRPr="00A96563">
        <w:rPr>
          <w:rFonts w:ascii="Arial" w:hAnsi="Arial" w:cs="Arial"/>
          <w:color w:val="000000" w:themeColor="text1"/>
          <w:sz w:val="16"/>
          <w:szCs w:val="16"/>
        </w:rPr>
        <w:t xml:space="preserve">  </w:t>
      </w:r>
      <w:r w:rsidR="0088085F" w:rsidRPr="00A96563">
        <w:rPr>
          <w:rFonts w:ascii="Arial" w:hAnsi="Arial" w:cs="Arial"/>
          <w:color w:val="000000" w:themeColor="text1"/>
          <w:sz w:val="16"/>
          <w:szCs w:val="16"/>
        </w:rPr>
        <w:t>(*) Gastos consolidados con SCPSA</w:t>
      </w:r>
      <w:r w:rsidR="002F5F1D">
        <w:rPr>
          <w:rFonts w:ascii="Arial" w:hAnsi="Arial" w:cs="Arial"/>
          <w:color w:val="000000" w:themeColor="text1"/>
          <w:sz w:val="16"/>
          <w:szCs w:val="16"/>
        </w:rPr>
        <w:t>.</w:t>
      </w:r>
    </w:p>
    <w:p w14:paraId="172358A3" w14:textId="77777777" w:rsidR="0088085F" w:rsidRPr="00262228" w:rsidRDefault="0088085F" w:rsidP="00CA4FBF">
      <w:pPr>
        <w:pStyle w:val="texto"/>
        <w:spacing w:before="220"/>
      </w:pPr>
      <w:r w:rsidRPr="00262228">
        <w:t xml:space="preserve">Los créditos definitivos para el ejercicio 2019 ascendieron a 1.046,16 millones y se ejecutaron en un 85 por ciento. Los gastos corrientes y los relacionados con operaciones financieras presentan un grado de ejecución del 95 y del 94 por </w:t>
      </w:r>
      <w:r w:rsidRPr="00262228">
        <w:lastRenderedPageBreak/>
        <w:t>ciento respectivamente. Sin embargo, el grado de ejecución de los gastos de capital fue del 62 por ciento.</w:t>
      </w:r>
    </w:p>
    <w:p w14:paraId="420C34A4" w14:textId="77777777" w:rsidR="0088085F" w:rsidRPr="00262228" w:rsidRDefault="0088085F" w:rsidP="00CA4FBF">
      <w:pPr>
        <w:pStyle w:val="texto"/>
      </w:pPr>
      <w:r w:rsidRPr="00262228">
        <w:t xml:space="preserve">Los gastos del sector público local en 2019 ascendieron a 885,37 millones y fueron un 12 por ciento superiores a los de 2018; destacan los gastos de personal y los gastos en bienes corrientes y servicios con porcentajes del 34 y 32 por ciento, respectivamente, sobre el total de gastos reconocidos. Por otro lado, el gasto en inversiones representa el 21 por ciento del total de gastos. </w:t>
      </w:r>
    </w:p>
    <w:p w14:paraId="694C3FBB" w14:textId="77777777" w:rsidR="0088085F" w:rsidRPr="00262228" w:rsidRDefault="0088085F" w:rsidP="00CA4FBF">
      <w:pPr>
        <w:pStyle w:val="texto"/>
      </w:pPr>
      <w:r w:rsidRPr="00262228">
        <w:t xml:space="preserve">Las variaciones más significativas con respecto al año 2018 se dan en los gastos por operaciones de capital que aumentan en un 59 por ciento. En cuanto a disminuciones la variación más relevante es la de operaciones financieras con una caída del 12 por ciento. En términos absolutos destaca el incremento del gasto en inversiones por 67 millones, que explica el 69 por ciento del incremento </w:t>
      </w:r>
      <w:r w:rsidRPr="009A521B">
        <w:rPr>
          <w:color w:val="000000" w:themeColor="text1"/>
        </w:rPr>
        <w:t xml:space="preserve">total de gastos seguido del incremento en gastos de personal </w:t>
      </w:r>
      <w:r w:rsidR="00FD5739" w:rsidRPr="009A521B">
        <w:rPr>
          <w:color w:val="000000" w:themeColor="text1"/>
        </w:rPr>
        <w:t xml:space="preserve">en 19 millones, </w:t>
      </w:r>
      <w:r w:rsidRPr="009A521B">
        <w:rPr>
          <w:color w:val="000000" w:themeColor="text1"/>
        </w:rPr>
        <w:t xml:space="preserve">que </w:t>
      </w:r>
      <w:r w:rsidRPr="00262228">
        <w:t xml:space="preserve">supone un 20 por ciento del total del incremento. </w:t>
      </w:r>
    </w:p>
    <w:p w14:paraId="2D35E611" w14:textId="77777777" w:rsidR="0088085F" w:rsidRPr="00262228" w:rsidRDefault="0088085F" w:rsidP="00CA4FBF">
      <w:pPr>
        <w:pStyle w:val="texto"/>
      </w:pPr>
      <w:r w:rsidRPr="00262228">
        <w:t xml:space="preserve">El 85 por ciento del gasto total corresponde a los municipios y concejos y el 15 por ciento restante a mancomunidades y agrupaciones. </w:t>
      </w:r>
    </w:p>
    <w:p w14:paraId="07C7DAB1" w14:textId="77777777" w:rsidR="0088085F" w:rsidRPr="00262228" w:rsidRDefault="0088085F" w:rsidP="00CA4FBF">
      <w:pPr>
        <w:pStyle w:val="texto"/>
      </w:pPr>
      <w:r w:rsidRPr="00262228">
        <w:t xml:space="preserve">Del gasto aportado por SCPSA, 70 millones, vemos que un 49 por ciento corresponde a gastos corrientes en bienes y servicios y un 36 por ciento a gasto de personal. El restante 15 por ciento es gasto en inversiones. </w:t>
      </w:r>
    </w:p>
    <w:p w14:paraId="191D7AD7" w14:textId="77777777" w:rsidR="0088085F" w:rsidRPr="00262228" w:rsidRDefault="0088085F" w:rsidP="000B2291">
      <w:pPr>
        <w:pStyle w:val="texto"/>
        <w:spacing w:after="180"/>
      </w:pPr>
      <w:r w:rsidRPr="00262228">
        <w:t>En el siguiente cuadro mostramos la clasificación funcional de estos gastos:</w:t>
      </w:r>
    </w:p>
    <w:p w14:paraId="1AFE48F9" w14:textId="77777777" w:rsidR="0088085F" w:rsidRPr="00E029EF" w:rsidRDefault="0088085F" w:rsidP="00E029EF">
      <w:pPr>
        <w:pStyle w:val="texto"/>
        <w:spacing w:after="60"/>
        <w:rPr>
          <w:color w:val="000000" w:themeColor="text1"/>
          <w:sz w:val="17"/>
          <w:szCs w:val="17"/>
        </w:rPr>
      </w:pPr>
      <w:r w:rsidRPr="00E029EF">
        <w:rPr>
          <w:color w:val="000000" w:themeColor="text1"/>
          <w:sz w:val="17"/>
          <w:szCs w:val="17"/>
        </w:rPr>
        <w:t xml:space="preserve">                                       </w:t>
      </w:r>
      <w:r w:rsidR="00E029EF">
        <w:rPr>
          <w:color w:val="000000" w:themeColor="text1"/>
          <w:sz w:val="17"/>
          <w:szCs w:val="17"/>
        </w:rPr>
        <w:t xml:space="preserve">                                                                                                                    </w:t>
      </w:r>
      <w:r w:rsidRPr="00E029EF">
        <w:rPr>
          <w:color w:val="000000" w:themeColor="text1"/>
          <w:sz w:val="17"/>
          <w:szCs w:val="17"/>
        </w:rPr>
        <w:t>(en millones)</w:t>
      </w:r>
    </w:p>
    <w:tbl>
      <w:tblPr>
        <w:tblW w:w="5000" w:type="pct"/>
        <w:jc w:val="center"/>
        <w:tblCellMar>
          <w:left w:w="70" w:type="dxa"/>
          <w:right w:w="70" w:type="dxa"/>
        </w:tblCellMar>
        <w:tblLook w:val="04A0" w:firstRow="1" w:lastRow="0" w:firstColumn="1" w:lastColumn="0" w:noHBand="0" w:noVBand="1"/>
      </w:tblPr>
      <w:tblGrid>
        <w:gridCol w:w="3780"/>
        <w:gridCol w:w="1421"/>
        <w:gridCol w:w="1126"/>
        <w:gridCol w:w="1341"/>
        <w:gridCol w:w="1121"/>
      </w:tblGrid>
      <w:tr w:rsidR="0088085F" w:rsidRPr="00B81E61" w14:paraId="2F6B3346" w14:textId="77777777" w:rsidTr="006F2D94">
        <w:trPr>
          <w:trHeight w:val="255"/>
          <w:jc w:val="center"/>
        </w:trPr>
        <w:tc>
          <w:tcPr>
            <w:tcW w:w="2150" w:type="pct"/>
            <w:tcBorders>
              <w:top w:val="single" w:sz="4" w:space="0" w:color="auto"/>
              <w:left w:val="nil"/>
              <w:bottom w:val="single" w:sz="4" w:space="0" w:color="auto"/>
              <w:right w:val="nil"/>
            </w:tcBorders>
            <w:shd w:val="clear" w:color="000000" w:fill="FABF8F"/>
            <w:vAlign w:val="center"/>
            <w:hideMark/>
          </w:tcPr>
          <w:p w14:paraId="28423B25" w14:textId="77777777" w:rsidR="0088085F" w:rsidRPr="00B81E61" w:rsidRDefault="0088085F" w:rsidP="000B2291">
            <w:pPr>
              <w:pStyle w:val="cuadroCabe"/>
              <w:jc w:val="left"/>
              <w:rPr>
                <w:lang w:val="es-ES" w:eastAsia="es-ES"/>
              </w:rPr>
            </w:pPr>
            <w:r>
              <w:rPr>
                <w:lang w:val="es-ES" w:eastAsia="es-ES"/>
              </w:rPr>
              <w:t>Política de gasto</w:t>
            </w:r>
          </w:p>
        </w:tc>
        <w:tc>
          <w:tcPr>
            <w:tcW w:w="808" w:type="pct"/>
            <w:tcBorders>
              <w:top w:val="single" w:sz="4" w:space="0" w:color="auto"/>
              <w:left w:val="nil"/>
              <w:bottom w:val="single" w:sz="4" w:space="0" w:color="auto"/>
              <w:right w:val="nil"/>
            </w:tcBorders>
            <w:shd w:val="clear" w:color="000000" w:fill="FABF8F"/>
            <w:vAlign w:val="center"/>
          </w:tcPr>
          <w:p w14:paraId="0FE3C73F" w14:textId="77777777" w:rsidR="0088085F" w:rsidRPr="00B81E61" w:rsidRDefault="0088085F" w:rsidP="000B2291">
            <w:pPr>
              <w:pStyle w:val="cuadroCabe"/>
              <w:jc w:val="right"/>
              <w:rPr>
                <w:lang w:val="es-ES" w:eastAsia="es-ES"/>
              </w:rPr>
            </w:pPr>
            <w:r w:rsidRPr="00B81E61">
              <w:rPr>
                <w:lang w:val="es-ES" w:eastAsia="es-ES"/>
              </w:rPr>
              <w:t>Importe 2018</w:t>
            </w:r>
          </w:p>
        </w:tc>
        <w:tc>
          <w:tcPr>
            <w:tcW w:w="640" w:type="pct"/>
            <w:tcBorders>
              <w:top w:val="single" w:sz="4" w:space="0" w:color="auto"/>
              <w:left w:val="nil"/>
              <w:bottom w:val="single" w:sz="4" w:space="0" w:color="auto"/>
              <w:right w:val="nil"/>
            </w:tcBorders>
            <w:shd w:val="clear" w:color="000000" w:fill="FABF8F"/>
            <w:vAlign w:val="center"/>
            <w:hideMark/>
          </w:tcPr>
          <w:p w14:paraId="305F7655" w14:textId="77777777" w:rsidR="0088085F" w:rsidRPr="00B81E61" w:rsidRDefault="0088085F" w:rsidP="000B2291">
            <w:pPr>
              <w:pStyle w:val="cuadroCabe"/>
              <w:jc w:val="right"/>
              <w:rPr>
                <w:lang w:val="es-ES" w:eastAsia="es-ES"/>
              </w:rPr>
            </w:pPr>
            <w:r w:rsidRPr="00B81E61">
              <w:rPr>
                <w:lang w:val="es-ES" w:eastAsia="es-ES"/>
              </w:rPr>
              <w:t>Importe 201</w:t>
            </w:r>
            <w:r>
              <w:rPr>
                <w:lang w:val="es-ES" w:eastAsia="es-ES"/>
              </w:rPr>
              <w:t>9</w:t>
            </w:r>
          </w:p>
        </w:tc>
        <w:tc>
          <w:tcPr>
            <w:tcW w:w="763" w:type="pct"/>
            <w:tcBorders>
              <w:top w:val="single" w:sz="4" w:space="0" w:color="auto"/>
              <w:left w:val="nil"/>
              <w:bottom w:val="single" w:sz="4" w:space="0" w:color="auto"/>
              <w:right w:val="nil"/>
            </w:tcBorders>
            <w:shd w:val="clear" w:color="000000" w:fill="FABF8F"/>
            <w:vAlign w:val="center"/>
            <w:hideMark/>
          </w:tcPr>
          <w:p w14:paraId="594B686E" w14:textId="77777777" w:rsidR="0088085F" w:rsidRPr="00B81E61" w:rsidRDefault="0088085F" w:rsidP="000B2291">
            <w:pPr>
              <w:pStyle w:val="cuadroCabe"/>
              <w:jc w:val="right"/>
              <w:rPr>
                <w:lang w:val="es-ES" w:eastAsia="es-ES"/>
              </w:rPr>
            </w:pPr>
            <w:r w:rsidRPr="00B81E61">
              <w:rPr>
                <w:lang w:val="es-ES" w:eastAsia="es-ES"/>
              </w:rPr>
              <w:t xml:space="preserve">% s/Gasto </w:t>
            </w:r>
            <w:r w:rsidR="00527F65">
              <w:rPr>
                <w:lang w:val="es-ES" w:eastAsia="es-ES"/>
              </w:rPr>
              <w:t xml:space="preserve"> </w:t>
            </w:r>
            <w:r w:rsidRPr="00B81E61">
              <w:rPr>
                <w:lang w:val="es-ES" w:eastAsia="es-ES"/>
              </w:rPr>
              <w:t>total 201</w:t>
            </w:r>
            <w:r>
              <w:rPr>
                <w:lang w:val="es-ES" w:eastAsia="es-ES"/>
              </w:rPr>
              <w:t>9</w:t>
            </w:r>
          </w:p>
        </w:tc>
        <w:tc>
          <w:tcPr>
            <w:tcW w:w="638" w:type="pct"/>
            <w:tcBorders>
              <w:top w:val="single" w:sz="4" w:space="0" w:color="auto"/>
              <w:left w:val="nil"/>
              <w:bottom w:val="single" w:sz="4" w:space="0" w:color="auto"/>
              <w:right w:val="nil"/>
            </w:tcBorders>
            <w:shd w:val="clear" w:color="000000" w:fill="FABF8F"/>
            <w:vAlign w:val="center"/>
            <w:hideMark/>
          </w:tcPr>
          <w:p w14:paraId="3CF21DBA" w14:textId="77777777" w:rsidR="0088085F" w:rsidRPr="00B81E61" w:rsidRDefault="0088085F" w:rsidP="000B2291">
            <w:pPr>
              <w:pStyle w:val="cuadroCabe"/>
              <w:jc w:val="right"/>
              <w:rPr>
                <w:lang w:val="es-ES" w:eastAsia="es-ES"/>
              </w:rPr>
            </w:pPr>
            <w:r w:rsidRPr="00B81E61">
              <w:rPr>
                <w:lang w:val="es-ES" w:eastAsia="es-ES"/>
              </w:rPr>
              <w:t xml:space="preserve">% </w:t>
            </w:r>
            <w:proofErr w:type="spellStart"/>
            <w:r w:rsidRPr="00B81E61">
              <w:rPr>
                <w:lang w:val="es-ES" w:eastAsia="es-ES"/>
              </w:rPr>
              <w:t>var</w:t>
            </w:r>
            <w:proofErr w:type="spellEnd"/>
            <w:r w:rsidRPr="00B81E61">
              <w:rPr>
                <w:lang w:val="es-ES" w:eastAsia="es-ES"/>
              </w:rPr>
              <w:t>. 201</w:t>
            </w:r>
            <w:r>
              <w:rPr>
                <w:lang w:val="es-ES" w:eastAsia="es-ES"/>
              </w:rPr>
              <w:t>9</w:t>
            </w:r>
            <w:r w:rsidRPr="00B81E61">
              <w:rPr>
                <w:lang w:val="es-ES" w:eastAsia="es-ES"/>
              </w:rPr>
              <w:t>/201</w:t>
            </w:r>
            <w:r>
              <w:rPr>
                <w:lang w:val="es-ES" w:eastAsia="es-ES"/>
              </w:rPr>
              <w:t>8</w:t>
            </w:r>
          </w:p>
        </w:tc>
      </w:tr>
      <w:tr w:rsidR="0088085F" w:rsidRPr="00B81E61" w14:paraId="016F354E" w14:textId="77777777" w:rsidTr="006F2D94">
        <w:trPr>
          <w:trHeight w:val="198"/>
          <w:jc w:val="center"/>
        </w:trPr>
        <w:tc>
          <w:tcPr>
            <w:tcW w:w="2150" w:type="pct"/>
            <w:tcBorders>
              <w:top w:val="single" w:sz="4" w:space="0" w:color="auto"/>
              <w:left w:val="nil"/>
              <w:bottom w:val="single" w:sz="2" w:space="0" w:color="auto"/>
              <w:right w:val="nil"/>
            </w:tcBorders>
            <w:shd w:val="clear" w:color="auto" w:fill="auto"/>
            <w:vAlign w:val="center"/>
            <w:hideMark/>
          </w:tcPr>
          <w:p w14:paraId="3E9AE1F1" w14:textId="77777777" w:rsidR="0088085F" w:rsidRPr="00B81E61" w:rsidRDefault="0088085F" w:rsidP="000B2291">
            <w:pPr>
              <w:pStyle w:val="cuatexto"/>
              <w:jc w:val="left"/>
              <w:rPr>
                <w:lang w:val="es-ES" w:eastAsia="es-ES"/>
              </w:rPr>
            </w:pPr>
            <w:r w:rsidRPr="00B81E61">
              <w:rPr>
                <w:lang w:val="es-ES" w:eastAsia="es-ES"/>
              </w:rPr>
              <w:t>Bienestar comunitario</w:t>
            </w:r>
          </w:p>
        </w:tc>
        <w:tc>
          <w:tcPr>
            <w:tcW w:w="808" w:type="pct"/>
            <w:tcBorders>
              <w:top w:val="single" w:sz="4" w:space="0" w:color="auto"/>
              <w:left w:val="nil"/>
              <w:bottom w:val="single" w:sz="2" w:space="0" w:color="auto"/>
              <w:right w:val="nil"/>
            </w:tcBorders>
            <w:vAlign w:val="center"/>
          </w:tcPr>
          <w:p w14:paraId="56DAA866" w14:textId="77777777" w:rsidR="0088085F" w:rsidRPr="00B81E61" w:rsidRDefault="0088085F" w:rsidP="000B2291">
            <w:pPr>
              <w:pStyle w:val="cuatexto"/>
              <w:jc w:val="right"/>
              <w:rPr>
                <w:lang w:val="es-ES" w:eastAsia="es-ES"/>
              </w:rPr>
            </w:pPr>
            <w:r w:rsidRPr="00B81E61">
              <w:rPr>
                <w:lang w:val="es-ES" w:eastAsia="es-ES"/>
              </w:rPr>
              <w:t>108,48</w:t>
            </w:r>
          </w:p>
        </w:tc>
        <w:tc>
          <w:tcPr>
            <w:tcW w:w="640" w:type="pct"/>
            <w:tcBorders>
              <w:top w:val="single" w:sz="4" w:space="0" w:color="auto"/>
              <w:left w:val="nil"/>
              <w:bottom w:val="single" w:sz="2" w:space="0" w:color="auto"/>
              <w:right w:val="nil"/>
            </w:tcBorders>
            <w:shd w:val="clear" w:color="auto" w:fill="auto"/>
            <w:vAlign w:val="center"/>
            <w:hideMark/>
          </w:tcPr>
          <w:p w14:paraId="1D7B46B2" w14:textId="77777777" w:rsidR="0088085F" w:rsidRPr="00F979C5" w:rsidRDefault="0088085F" w:rsidP="000B2291">
            <w:pPr>
              <w:pStyle w:val="cuatexto"/>
              <w:jc w:val="right"/>
              <w:rPr>
                <w:lang w:val="es-ES" w:eastAsia="es-ES"/>
              </w:rPr>
            </w:pPr>
            <w:r w:rsidRPr="00F979C5">
              <w:rPr>
                <w:lang w:val="es-ES" w:eastAsia="es-ES"/>
              </w:rPr>
              <w:t>139,18</w:t>
            </w:r>
          </w:p>
        </w:tc>
        <w:tc>
          <w:tcPr>
            <w:tcW w:w="763" w:type="pct"/>
            <w:tcBorders>
              <w:top w:val="single" w:sz="4" w:space="0" w:color="auto"/>
              <w:left w:val="nil"/>
              <w:bottom w:val="single" w:sz="2" w:space="0" w:color="auto"/>
              <w:right w:val="nil"/>
            </w:tcBorders>
            <w:shd w:val="clear" w:color="auto" w:fill="auto"/>
            <w:vAlign w:val="center"/>
            <w:hideMark/>
          </w:tcPr>
          <w:p w14:paraId="1D53D4E3" w14:textId="77777777" w:rsidR="0088085F" w:rsidRPr="00B81E61" w:rsidRDefault="0088085F" w:rsidP="000B2291">
            <w:pPr>
              <w:pStyle w:val="cuatexto"/>
              <w:jc w:val="right"/>
              <w:rPr>
                <w:lang w:val="es-ES" w:eastAsia="es-ES"/>
              </w:rPr>
            </w:pPr>
            <w:r w:rsidRPr="00B81E61">
              <w:rPr>
                <w:lang w:val="es-ES" w:eastAsia="es-ES"/>
              </w:rPr>
              <w:t>1</w:t>
            </w:r>
            <w:r>
              <w:rPr>
                <w:lang w:val="es-ES" w:eastAsia="es-ES"/>
              </w:rPr>
              <w:t>6</w:t>
            </w:r>
          </w:p>
        </w:tc>
        <w:tc>
          <w:tcPr>
            <w:tcW w:w="638" w:type="pct"/>
            <w:tcBorders>
              <w:top w:val="single" w:sz="4" w:space="0" w:color="auto"/>
              <w:left w:val="nil"/>
              <w:bottom w:val="single" w:sz="2" w:space="0" w:color="auto"/>
              <w:right w:val="nil"/>
            </w:tcBorders>
            <w:shd w:val="clear" w:color="auto" w:fill="auto"/>
            <w:noWrap/>
            <w:vAlign w:val="center"/>
            <w:hideMark/>
          </w:tcPr>
          <w:p w14:paraId="341AC11D"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28</w:t>
            </w:r>
          </w:p>
        </w:tc>
      </w:tr>
      <w:tr w:rsidR="0088085F" w:rsidRPr="00B81E61" w14:paraId="2FF9750D"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225C948E" w14:textId="77777777" w:rsidR="0088085F" w:rsidRPr="00B81E61" w:rsidRDefault="0088085F" w:rsidP="000B2291">
            <w:pPr>
              <w:pStyle w:val="cuatexto"/>
              <w:jc w:val="left"/>
              <w:rPr>
                <w:lang w:val="es-ES" w:eastAsia="es-ES"/>
              </w:rPr>
            </w:pPr>
            <w:r w:rsidRPr="00B81E61">
              <w:rPr>
                <w:lang w:val="es-ES" w:eastAsia="es-ES"/>
              </w:rPr>
              <w:t>Servicios de carácter general</w:t>
            </w:r>
          </w:p>
        </w:tc>
        <w:tc>
          <w:tcPr>
            <w:tcW w:w="808" w:type="pct"/>
            <w:tcBorders>
              <w:top w:val="single" w:sz="2" w:space="0" w:color="auto"/>
              <w:left w:val="nil"/>
              <w:bottom w:val="single" w:sz="2" w:space="0" w:color="auto"/>
              <w:right w:val="nil"/>
            </w:tcBorders>
            <w:vAlign w:val="center"/>
          </w:tcPr>
          <w:p w14:paraId="54BBCD4C" w14:textId="77777777" w:rsidR="0088085F" w:rsidRPr="00B81E61" w:rsidRDefault="0088085F" w:rsidP="000B2291">
            <w:pPr>
              <w:pStyle w:val="cuatexto"/>
              <w:jc w:val="right"/>
              <w:rPr>
                <w:lang w:val="es-ES" w:eastAsia="es-ES"/>
              </w:rPr>
            </w:pPr>
            <w:r w:rsidRPr="00B81E61">
              <w:rPr>
                <w:lang w:val="es-ES" w:eastAsia="es-ES"/>
              </w:rPr>
              <w:t>92,34</w:t>
            </w:r>
          </w:p>
        </w:tc>
        <w:tc>
          <w:tcPr>
            <w:tcW w:w="640" w:type="pct"/>
            <w:tcBorders>
              <w:top w:val="single" w:sz="2" w:space="0" w:color="auto"/>
              <w:left w:val="nil"/>
              <w:bottom w:val="single" w:sz="2" w:space="0" w:color="auto"/>
              <w:right w:val="nil"/>
            </w:tcBorders>
            <w:shd w:val="clear" w:color="auto" w:fill="auto"/>
            <w:vAlign w:val="center"/>
            <w:hideMark/>
          </w:tcPr>
          <w:p w14:paraId="43BFCD6A" w14:textId="77777777" w:rsidR="0088085F" w:rsidRPr="00F979C5" w:rsidRDefault="0088085F" w:rsidP="000B2291">
            <w:pPr>
              <w:pStyle w:val="cuatexto"/>
              <w:jc w:val="right"/>
              <w:rPr>
                <w:lang w:val="es-ES" w:eastAsia="es-ES"/>
              </w:rPr>
            </w:pPr>
            <w:r w:rsidRPr="00F979C5">
              <w:rPr>
                <w:lang w:val="es-ES" w:eastAsia="es-ES"/>
              </w:rPr>
              <w:t>96,25</w:t>
            </w:r>
          </w:p>
        </w:tc>
        <w:tc>
          <w:tcPr>
            <w:tcW w:w="763" w:type="pct"/>
            <w:tcBorders>
              <w:top w:val="single" w:sz="2" w:space="0" w:color="auto"/>
              <w:left w:val="nil"/>
              <w:bottom w:val="single" w:sz="2" w:space="0" w:color="auto"/>
              <w:right w:val="nil"/>
            </w:tcBorders>
            <w:shd w:val="clear" w:color="auto" w:fill="auto"/>
            <w:vAlign w:val="center"/>
            <w:hideMark/>
          </w:tcPr>
          <w:p w14:paraId="303833C6" w14:textId="77777777" w:rsidR="0088085F" w:rsidRPr="00B81E61" w:rsidRDefault="0088085F" w:rsidP="000B2291">
            <w:pPr>
              <w:pStyle w:val="cuatexto"/>
              <w:jc w:val="right"/>
              <w:rPr>
                <w:lang w:val="es-ES" w:eastAsia="es-ES"/>
              </w:rPr>
            </w:pPr>
            <w:r>
              <w:rPr>
                <w:lang w:val="es-ES" w:eastAsia="es-ES"/>
              </w:rPr>
              <w:t>11</w:t>
            </w:r>
          </w:p>
        </w:tc>
        <w:tc>
          <w:tcPr>
            <w:tcW w:w="638" w:type="pct"/>
            <w:tcBorders>
              <w:top w:val="single" w:sz="2" w:space="0" w:color="auto"/>
              <w:left w:val="nil"/>
              <w:bottom w:val="single" w:sz="2" w:space="0" w:color="auto"/>
              <w:right w:val="nil"/>
            </w:tcBorders>
            <w:shd w:val="clear" w:color="auto" w:fill="auto"/>
            <w:noWrap/>
            <w:vAlign w:val="center"/>
            <w:hideMark/>
          </w:tcPr>
          <w:p w14:paraId="77270BB7"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4</w:t>
            </w:r>
          </w:p>
        </w:tc>
      </w:tr>
      <w:tr w:rsidR="0088085F" w:rsidRPr="00B81E61" w14:paraId="01B98FA6"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100C3A15" w14:textId="77777777" w:rsidR="0088085F" w:rsidRPr="00B81E61" w:rsidRDefault="0088085F" w:rsidP="000B2291">
            <w:pPr>
              <w:pStyle w:val="cuatexto"/>
              <w:jc w:val="left"/>
              <w:rPr>
                <w:lang w:val="es-ES" w:eastAsia="es-ES"/>
              </w:rPr>
            </w:pPr>
            <w:r w:rsidRPr="00B81E61">
              <w:rPr>
                <w:lang w:val="es-ES" w:eastAsia="es-ES"/>
              </w:rPr>
              <w:t xml:space="preserve">Vivienda y urbanismo </w:t>
            </w:r>
          </w:p>
        </w:tc>
        <w:tc>
          <w:tcPr>
            <w:tcW w:w="808" w:type="pct"/>
            <w:tcBorders>
              <w:top w:val="single" w:sz="2" w:space="0" w:color="auto"/>
              <w:left w:val="nil"/>
              <w:bottom w:val="single" w:sz="2" w:space="0" w:color="auto"/>
              <w:right w:val="nil"/>
            </w:tcBorders>
            <w:vAlign w:val="center"/>
          </w:tcPr>
          <w:p w14:paraId="401D009C" w14:textId="77777777" w:rsidR="0088085F" w:rsidRPr="00B81E61" w:rsidRDefault="0088085F" w:rsidP="000B2291">
            <w:pPr>
              <w:pStyle w:val="cuatexto"/>
              <w:jc w:val="right"/>
              <w:rPr>
                <w:lang w:val="es-ES" w:eastAsia="es-ES"/>
              </w:rPr>
            </w:pPr>
            <w:r>
              <w:rPr>
                <w:lang w:val="es-ES" w:eastAsia="es-ES"/>
              </w:rPr>
              <w:t>66</w:t>
            </w:r>
            <w:r w:rsidRPr="00B81E61">
              <w:rPr>
                <w:lang w:val="es-ES" w:eastAsia="es-ES"/>
              </w:rPr>
              <w:t>,</w:t>
            </w:r>
            <w:r>
              <w:rPr>
                <w:lang w:val="es-ES" w:eastAsia="es-ES"/>
              </w:rPr>
              <w:t>33</w:t>
            </w:r>
          </w:p>
        </w:tc>
        <w:tc>
          <w:tcPr>
            <w:tcW w:w="640" w:type="pct"/>
            <w:tcBorders>
              <w:top w:val="single" w:sz="2" w:space="0" w:color="auto"/>
              <w:left w:val="nil"/>
              <w:bottom w:val="single" w:sz="2" w:space="0" w:color="auto"/>
              <w:right w:val="nil"/>
            </w:tcBorders>
            <w:shd w:val="clear" w:color="auto" w:fill="auto"/>
            <w:vAlign w:val="center"/>
            <w:hideMark/>
          </w:tcPr>
          <w:p w14:paraId="33AD375D" w14:textId="77777777" w:rsidR="0088085F" w:rsidRPr="00F979C5" w:rsidRDefault="0088085F" w:rsidP="000B2291">
            <w:pPr>
              <w:pStyle w:val="cuatexto"/>
              <w:jc w:val="right"/>
              <w:rPr>
                <w:lang w:val="es-ES" w:eastAsia="es-ES"/>
              </w:rPr>
            </w:pPr>
            <w:r w:rsidRPr="00F979C5">
              <w:rPr>
                <w:lang w:val="es-ES" w:eastAsia="es-ES"/>
              </w:rPr>
              <w:t>89,06</w:t>
            </w:r>
          </w:p>
        </w:tc>
        <w:tc>
          <w:tcPr>
            <w:tcW w:w="763" w:type="pct"/>
            <w:tcBorders>
              <w:top w:val="single" w:sz="2" w:space="0" w:color="auto"/>
              <w:left w:val="nil"/>
              <w:bottom w:val="single" w:sz="2" w:space="0" w:color="auto"/>
              <w:right w:val="nil"/>
            </w:tcBorders>
            <w:shd w:val="clear" w:color="auto" w:fill="auto"/>
            <w:vAlign w:val="center"/>
            <w:hideMark/>
          </w:tcPr>
          <w:p w14:paraId="1731CAB2" w14:textId="77777777" w:rsidR="0088085F" w:rsidRPr="00B81E61" w:rsidRDefault="0088085F" w:rsidP="000B2291">
            <w:pPr>
              <w:pStyle w:val="cuatexto"/>
              <w:jc w:val="right"/>
              <w:rPr>
                <w:lang w:val="es-ES" w:eastAsia="es-ES"/>
              </w:rPr>
            </w:pPr>
            <w:r>
              <w:rPr>
                <w:lang w:val="es-ES" w:eastAsia="es-ES"/>
              </w:rPr>
              <w:t>10</w:t>
            </w:r>
          </w:p>
        </w:tc>
        <w:tc>
          <w:tcPr>
            <w:tcW w:w="638" w:type="pct"/>
            <w:tcBorders>
              <w:top w:val="single" w:sz="2" w:space="0" w:color="auto"/>
              <w:left w:val="nil"/>
              <w:bottom w:val="single" w:sz="2" w:space="0" w:color="auto"/>
              <w:right w:val="nil"/>
            </w:tcBorders>
            <w:shd w:val="clear" w:color="auto" w:fill="auto"/>
            <w:noWrap/>
            <w:vAlign w:val="center"/>
            <w:hideMark/>
          </w:tcPr>
          <w:p w14:paraId="6C39D552"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41</w:t>
            </w:r>
          </w:p>
        </w:tc>
      </w:tr>
      <w:tr w:rsidR="0088085F" w:rsidRPr="00B81E61" w14:paraId="7896B69B"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46C8734D" w14:textId="77777777" w:rsidR="0088085F" w:rsidRPr="00B81E61" w:rsidRDefault="0088085F" w:rsidP="000B2291">
            <w:pPr>
              <w:pStyle w:val="cuatexto"/>
              <w:jc w:val="left"/>
              <w:rPr>
                <w:lang w:val="es-ES" w:eastAsia="es-ES"/>
              </w:rPr>
            </w:pPr>
            <w:r>
              <w:rPr>
                <w:lang w:val="es-ES" w:eastAsia="es-ES"/>
              </w:rPr>
              <w:t>Educación</w:t>
            </w:r>
          </w:p>
        </w:tc>
        <w:tc>
          <w:tcPr>
            <w:tcW w:w="808" w:type="pct"/>
            <w:tcBorders>
              <w:top w:val="single" w:sz="2" w:space="0" w:color="auto"/>
              <w:left w:val="nil"/>
              <w:bottom w:val="single" w:sz="2" w:space="0" w:color="auto"/>
              <w:right w:val="nil"/>
            </w:tcBorders>
            <w:vAlign w:val="center"/>
          </w:tcPr>
          <w:p w14:paraId="12FC19F5" w14:textId="77777777" w:rsidR="0088085F" w:rsidRPr="00B81E61" w:rsidRDefault="0088085F" w:rsidP="000B2291">
            <w:pPr>
              <w:pStyle w:val="cuatexto"/>
              <w:jc w:val="right"/>
              <w:rPr>
                <w:lang w:val="es-ES" w:eastAsia="es-ES"/>
              </w:rPr>
            </w:pPr>
            <w:r>
              <w:rPr>
                <w:lang w:val="es-ES" w:eastAsia="es-ES"/>
              </w:rPr>
              <w:t>70,41</w:t>
            </w:r>
          </w:p>
        </w:tc>
        <w:tc>
          <w:tcPr>
            <w:tcW w:w="640" w:type="pct"/>
            <w:tcBorders>
              <w:top w:val="single" w:sz="2" w:space="0" w:color="auto"/>
              <w:left w:val="nil"/>
              <w:bottom w:val="single" w:sz="2" w:space="0" w:color="auto"/>
              <w:right w:val="nil"/>
            </w:tcBorders>
            <w:shd w:val="clear" w:color="auto" w:fill="auto"/>
            <w:vAlign w:val="center"/>
            <w:hideMark/>
          </w:tcPr>
          <w:p w14:paraId="6C7C9355" w14:textId="77777777" w:rsidR="0088085F" w:rsidRPr="00F979C5" w:rsidRDefault="0088085F" w:rsidP="000B2291">
            <w:pPr>
              <w:pStyle w:val="cuatexto"/>
              <w:jc w:val="right"/>
              <w:rPr>
                <w:lang w:val="es-ES" w:eastAsia="es-ES"/>
              </w:rPr>
            </w:pPr>
            <w:r w:rsidRPr="00F979C5">
              <w:rPr>
                <w:lang w:val="es-ES" w:eastAsia="es-ES"/>
              </w:rPr>
              <w:t>73,86</w:t>
            </w:r>
          </w:p>
        </w:tc>
        <w:tc>
          <w:tcPr>
            <w:tcW w:w="763" w:type="pct"/>
            <w:tcBorders>
              <w:top w:val="single" w:sz="2" w:space="0" w:color="auto"/>
              <w:left w:val="nil"/>
              <w:bottom w:val="single" w:sz="2" w:space="0" w:color="auto"/>
              <w:right w:val="nil"/>
            </w:tcBorders>
            <w:shd w:val="clear" w:color="auto" w:fill="auto"/>
            <w:vAlign w:val="center"/>
            <w:hideMark/>
          </w:tcPr>
          <w:p w14:paraId="022D2117" w14:textId="77777777" w:rsidR="0088085F" w:rsidRPr="00B81E61" w:rsidRDefault="0088085F" w:rsidP="000B2291">
            <w:pPr>
              <w:pStyle w:val="cuatexto"/>
              <w:jc w:val="right"/>
              <w:rPr>
                <w:lang w:val="es-ES" w:eastAsia="es-ES"/>
              </w:rPr>
            </w:pPr>
            <w:r>
              <w:rPr>
                <w:lang w:val="es-ES" w:eastAsia="es-ES"/>
              </w:rPr>
              <w:t>8</w:t>
            </w:r>
          </w:p>
        </w:tc>
        <w:tc>
          <w:tcPr>
            <w:tcW w:w="638" w:type="pct"/>
            <w:tcBorders>
              <w:top w:val="single" w:sz="2" w:space="0" w:color="auto"/>
              <w:left w:val="nil"/>
              <w:bottom w:val="single" w:sz="2" w:space="0" w:color="auto"/>
              <w:right w:val="nil"/>
            </w:tcBorders>
            <w:shd w:val="clear" w:color="auto" w:fill="auto"/>
            <w:noWrap/>
            <w:vAlign w:val="center"/>
            <w:hideMark/>
          </w:tcPr>
          <w:p w14:paraId="185B108D"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5</w:t>
            </w:r>
          </w:p>
        </w:tc>
      </w:tr>
      <w:tr w:rsidR="0088085F" w:rsidRPr="00B81E61" w14:paraId="485B2EEB"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48E850CB" w14:textId="77777777" w:rsidR="0088085F" w:rsidRPr="00B81E61" w:rsidRDefault="0088085F" w:rsidP="000B2291">
            <w:pPr>
              <w:pStyle w:val="cuatexto"/>
              <w:jc w:val="left"/>
              <w:rPr>
                <w:lang w:val="es-ES" w:eastAsia="es-ES"/>
              </w:rPr>
            </w:pPr>
            <w:r w:rsidRPr="00B81E61">
              <w:rPr>
                <w:lang w:val="es-ES" w:eastAsia="es-ES"/>
              </w:rPr>
              <w:t>Servicios sociales y promoción social</w:t>
            </w:r>
          </w:p>
        </w:tc>
        <w:tc>
          <w:tcPr>
            <w:tcW w:w="808" w:type="pct"/>
            <w:tcBorders>
              <w:top w:val="single" w:sz="2" w:space="0" w:color="auto"/>
              <w:left w:val="nil"/>
              <w:bottom w:val="single" w:sz="2" w:space="0" w:color="auto"/>
              <w:right w:val="nil"/>
            </w:tcBorders>
            <w:vAlign w:val="center"/>
          </w:tcPr>
          <w:p w14:paraId="13705896" w14:textId="77777777" w:rsidR="0088085F" w:rsidRPr="00B81E61" w:rsidRDefault="0088085F" w:rsidP="000B2291">
            <w:pPr>
              <w:pStyle w:val="cuatexto"/>
              <w:jc w:val="right"/>
              <w:rPr>
                <w:lang w:val="es-ES" w:eastAsia="es-ES"/>
              </w:rPr>
            </w:pPr>
            <w:r>
              <w:rPr>
                <w:lang w:val="es-ES" w:eastAsia="es-ES"/>
              </w:rPr>
              <w:t>67,45</w:t>
            </w:r>
          </w:p>
        </w:tc>
        <w:tc>
          <w:tcPr>
            <w:tcW w:w="640" w:type="pct"/>
            <w:tcBorders>
              <w:top w:val="single" w:sz="2" w:space="0" w:color="auto"/>
              <w:left w:val="nil"/>
              <w:bottom w:val="single" w:sz="2" w:space="0" w:color="auto"/>
              <w:right w:val="nil"/>
            </w:tcBorders>
            <w:shd w:val="clear" w:color="auto" w:fill="auto"/>
            <w:vAlign w:val="center"/>
            <w:hideMark/>
          </w:tcPr>
          <w:p w14:paraId="580327FD" w14:textId="77777777" w:rsidR="0088085F" w:rsidRPr="00F979C5" w:rsidRDefault="0088085F" w:rsidP="000B2291">
            <w:pPr>
              <w:pStyle w:val="cuatexto"/>
              <w:jc w:val="right"/>
              <w:rPr>
                <w:lang w:val="es-ES" w:eastAsia="es-ES"/>
              </w:rPr>
            </w:pPr>
            <w:r w:rsidRPr="00F979C5">
              <w:rPr>
                <w:lang w:val="es-ES" w:eastAsia="es-ES"/>
              </w:rPr>
              <w:t>71,44</w:t>
            </w:r>
          </w:p>
        </w:tc>
        <w:tc>
          <w:tcPr>
            <w:tcW w:w="763" w:type="pct"/>
            <w:tcBorders>
              <w:top w:val="single" w:sz="2" w:space="0" w:color="auto"/>
              <w:left w:val="nil"/>
              <w:bottom w:val="single" w:sz="2" w:space="0" w:color="auto"/>
              <w:right w:val="nil"/>
            </w:tcBorders>
            <w:shd w:val="clear" w:color="auto" w:fill="auto"/>
            <w:vAlign w:val="center"/>
            <w:hideMark/>
          </w:tcPr>
          <w:p w14:paraId="0C220947" w14:textId="77777777" w:rsidR="0088085F" w:rsidRPr="00B81E61" w:rsidRDefault="0088085F" w:rsidP="000B2291">
            <w:pPr>
              <w:pStyle w:val="cuatexto"/>
              <w:jc w:val="right"/>
              <w:rPr>
                <w:lang w:val="es-ES" w:eastAsia="es-ES"/>
              </w:rPr>
            </w:pPr>
            <w:r>
              <w:rPr>
                <w:lang w:val="es-ES" w:eastAsia="es-ES"/>
              </w:rPr>
              <w:t>8</w:t>
            </w:r>
          </w:p>
        </w:tc>
        <w:tc>
          <w:tcPr>
            <w:tcW w:w="638" w:type="pct"/>
            <w:tcBorders>
              <w:top w:val="single" w:sz="2" w:space="0" w:color="auto"/>
              <w:left w:val="nil"/>
              <w:bottom w:val="single" w:sz="2" w:space="0" w:color="auto"/>
              <w:right w:val="nil"/>
            </w:tcBorders>
            <w:shd w:val="clear" w:color="auto" w:fill="auto"/>
            <w:noWrap/>
            <w:vAlign w:val="center"/>
            <w:hideMark/>
          </w:tcPr>
          <w:p w14:paraId="10CA9FA5"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6</w:t>
            </w:r>
          </w:p>
        </w:tc>
      </w:tr>
      <w:tr w:rsidR="0088085F" w:rsidRPr="00B81E61" w14:paraId="2555FFCF"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6D23CD21" w14:textId="77777777" w:rsidR="0088085F" w:rsidRPr="00B81E61" w:rsidRDefault="0088085F" w:rsidP="000B2291">
            <w:pPr>
              <w:pStyle w:val="cuatexto"/>
              <w:jc w:val="left"/>
              <w:rPr>
                <w:lang w:val="es-ES" w:eastAsia="es-ES"/>
              </w:rPr>
            </w:pPr>
            <w:r w:rsidRPr="00B81E61">
              <w:rPr>
                <w:lang w:val="es-ES" w:eastAsia="es-ES"/>
              </w:rPr>
              <w:t>Cultura</w:t>
            </w:r>
          </w:p>
        </w:tc>
        <w:tc>
          <w:tcPr>
            <w:tcW w:w="808" w:type="pct"/>
            <w:tcBorders>
              <w:top w:val="single" w:sz="2" w:space="0" w:color="auto"/>
              <w:left w:val="nil"/>
              <w:bottom w:val="single" w:sz="2" w:space="0" w:color="auto"/>
              <w:right w:val="nil"/>
            </w:tcBorders>
            <w:vAlign w:val="center"/>
          </w:tcPr>
          <w:p w14:paraId="11814A13" w14:textId="77777777" w:rsidR="0088085F" w:rsidRPr="00B81E61" w:rsidRDefault="0088085F" w:rsidP="000B2291">
            <w:pPr>
              <w:pStyle w:val="cuatexto"/>
              <w:jc w:val="right"/>
              <w:rPr>
                <w:lang w:val="es-ES" w:eastAsia="es-ES"/>
              </w:rPr>
            </w:pPr>
            <w:r>
              <w:rPr>
                <w:lang w:val="es-ES" w:eastAsia="es-ES"/>
              </w:rPr>
              <w:t>64,78</w:t>
            </w:r>
          </w:p>
        </w:tc>
        <w:tc>
          <w:tcPr>
            <w:tcW w:w="640" w:type="pct"/>
            <w:tcBorders>
              <w:top w:val="single" w:sz="2" w:space="0" w:color="auto"/>
              <w:left w:val="nil"/>
              <w:bottom w:val="single" w:sz="2" w:space="0" w:color="auto"/>
              <w:right w:val="nil"/>
            </w:tcBorders>
            <w:shd w:val="clear" w:color="auto" w:fill="auto"/>
            <w:vAlign w:val="center"/>
            <w:hideMark/>
          </w:tcPr>
          <w:p w14:paraId="280381B6" w14:textId="77777777" w:rsidR="0088085F" w:rsidRPr="00F979C5" w:rsidRDefault="0088085F" w:rsidP="000B2291">
            <w:pPr>
              <w:pStyle w:val="cuatexto"/>
              <w:jc w:val="right"/>
              <w:rPr>
                <w:lang w:val="es-ES" w:eastAsia="es-ES"/>
              </w:rPr>
            </w:pPr>
            <w:r w:rsidRPr="00F979C5">
              <w:rPr>
                <w:lang w:val="es-ES" w:eastAsia="es-ES"/>
              </w:rPr>
              <w:t>69,15</w:t>
            </w:r>
          </w:p>
        </w:tc>
        <w:tc>
          <w:tcPr>
            <w:tcW w:w="763" w:type="pct"/>
            <w:tcBorders>
              <w:top w:val="single" w:sz="2" w:space="0" w:color="auto"/>
              <w:left w:val="nil"/>
              <w:bottom w:val="single" w:sz="2" w:space="0" w:color="auto"/>
              <w:right w:val="nil"/>
            </w:tcBorders>
            <w:shd w:val="clear" w:color="auto" w:fill="auto"/>
            <w:vAlign w:val="center"/>
            <w:hideMark/>
          </w:tcPr>
          <w:p w14:paraId="2993EF8C" w14:textId="77777777" w:rsidR="0088085F" w:rsidRPr="00B81E61" w:rsidRDefault="0088085F" w:rsidP="000B2291">
            <w:pPr>
              <w:pStyle w:val="cuatexto"/>
              <w:jc w:val="right"/>
              <w:rPr>
                <w:lang w:val="es-ES" w:eastAsia="es-ES"/>
              </w:rPr>
            </w:pPr>
            <w:r>
              <w:rPr>
                <w:lang w:val="es-ES" w:eastAsia="es-ES"/>
              </w:rPr>
              <w:t>8</w:t>
            </w:r>
          </w:p>
        </w:tc>
        <w:tc>
          <w:tcPr>
            <w:tcW w:w="638" w:type="pct"/>
            <w:tcBorders>
              <w:top w:val="single" w:sz="2" w:space="0" w:color="auto"/>
              <w:left w:val="nil"/>
              <w:bottom w:val="single" w:sz="2" w:space="0" w:color="auto"/>
              <w:right w:val="nil"/>
            </w:tcBorders>
            <w:shd w:val="clear" w:color="auto" w:fill="auto"/>
            <w:noWrap/>
            <w:vAlign w:val="center"/>
            <w:hideMark/>
          </w:tcPr>
          <w:p w14:paraId="2B598BD4"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7</w:t>
            </w:r>
          </w:p>
        </w:tc>
      </w:tr>
      <w:tr w:rsidR="0088085F" w:rsidRPr="00B81E61" w14:paraId="04C3E4B3"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6F438016" w14:textId="77777777" w:rsidR="0088085F" w:rsidRPr="00B81E61" w:rsidRDefault="0088085F" w:rsidP="000B2291">
            <w:pPr>
              <w:pStyle w:val="cuatexto"/>
              <w:jc w:val="left"/>
              <w:rPr>
                <w:lang w:val="es-ES" w:eastAsia="es-ES"/>
              </w:rPr>
            </w:pPr>
            <w:r>
              <w:rPr>
                <w:lang w:val="es-ES" w:eastAsia="es-ES"/>
              </w:rPr>
              <w:t>Deporte</w:t>
            </w:r>
          </w:p>
        </w:tc>
        <w:tc>
          <w:tcPr>
            <w:tcW w:w="808" w:type="pct"/>
            <w:tcBorders>
              <w:top w:val="single" w:sz="2" w:space="0" w:color="auto"/>
              <w:left w:val="nil"/>
              <w:bottom w:val="single" w:sz="2" w:space="0" w:color="auto"/>
              <w:right w:val="nil"/>
            </w:tcBorders>
            <w:vAlign w:val="center"/>
          </w:tcPr>
          <w:p w14:paraId="0B95CEAC" w14:textId="77777777" w:rsidR="0088085F" w:rsidRPr="00B81E61" w:rsidRDefault="0088085F" w:rsidP="000B2291">
            <w:pPr>
              <w:pStyle w:val="cuatexto"/>
              <w:jc w:val="right"/>
              <w:rPr>
                <w:lang w:val="es-ES" w:eastAsia="es-ES"/>
              </w:rPr>
            </w:pPr>
            <w:r>
              <w:rPr>
                <w:lang w:val="es-ES" w:eastAsia="es-ES"/>
              </w:rPr>
              <w:t xml:space="preserve"> 4</w:t>
            </w:r>
            <w:r w:rsidRPr="00B81E61">
              <w:rPr>
                <w:lang w:val="es-ES" w:eastAsia="es-ES"/>
              </w:rPr>
              <w:t>8,81</w:t>
            </w:r>
          </w:p>
        </w:tc>
        <w:tc>
          <w:tcPr>
            <w:tcW w:w="640" w:type="pct"/>
            <w:tcBorders>
              <w:top w:val="single" w:sz="2" w:space="0" w:color="auto"/>
              <w:left w:val="nil"/>
              <w:bottom w:val="single" w:sz="2" w:space="0" w:color="auto"/>
              <w:right w:val="nil"/>
            </w:tcBorders>
            <w:shd w:val="clear" w:color="auto" w:fill="auto"/>
            <w:vAlign w:val="center"/>
            <w:hideMark/>
          </w:tcPr>
          <w:p w14:paraId="0D264792" w14:textId="77777777" w:rsidR="0088085F" w:rsidRPr="00F979C5" w:rsidRDefault="0088085F" w:rsidP="000B2291">
            <w:pPr>
              <w:pStyle w:val="cuatexto"/>
              <w:jc w:val="right"/>
              <w:rPr>
                <w:lang w:val="es-ES" w:eastAsia="es-ES"/>
              </w:rPr>
            </w:pPr>
            <w:r w:rsidRPr="00F979C5">
              <w:rPr>
                <w:lang w:val="es-ES" w:eastAsia="es-ES"/>
              </w:rPr>
              <w:t>64,36</w:t>
            </w:r>
          </w:p>
        </w:tc>
        <w:tc>
          <w:tcPr>
            <w:tcW w:w="763" w:type="pct"/>
            <w:tcBorders>
              <w:top w:val="single" w:sz="2" w:space="0" w:color="auto"/>
              <w:left w:val="nil"/>
              <w:bottom w:val="single" w:sz="2" w:space="0" w:color="auto"/>
              <w:right w:val="nil"/>
            </w:tcBorders>
            <w:shd w:val="clear" w:color="auto" w:fill="auto"/>
            <w:vAlign w:val="center"/>
            <w:hideMark/>
          </w:tcPr>
          <w:p w14:paraId="10947087" w14:textId="77777777" w:rsidR="0088085F" w:rsidRPr="00B81E61" w:rsidRDefault="0088085F" w:rsidP="000B2291">
            <w:pPr>
              <w:pStyle w:val="cuatexto"/>
              <w:jc w:val="right"/>
              <w:rPr>
                <w:lang w:val="es-ES" w:eastAsia="es-ES"/>
              </w:rPr>
            </w:pPr>
            <w:r>
              <w:rPr>
                <w:lang w:val="es-ES" w:eastAsia="es-ES"/>
              </w:rPr>
              <w:t>7</w:t>
            </w:r>
          </w:p>
        </w:tc>
        <w:tc>
          <w:tcPr>
            <w:tcW w:w="638" w:type="pct"/>
            <w:tcBorders>
              <w:top w:val="single" w:sz="2" w:space="0" w:color="auto"/>
              <w:left w:val="nil"/>
              <w:bottom w:val="single" w:sz="2" w:space="0" w:color="auto"/>
              <w:right w:val="nil"/>
            </w:tcBorders>
            <w:shd w:val="clear" w:color="auto" w:fill="auto"/>
            <w:noWrap/>
            <w:vAlign w:val="center"/>
            <w:hideMark/>
          </w:tcPr>
          <w:p w14:paraId="29AD9F45"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32</w:t>
            </w:r>
          </w:p>
        </w:tc>
      </w:tr>
      <w:tr w:rsidR="0088085F" w:rsidRPr="00B81E61" w14:paraId="5735FA8C"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6A295734" w14:textId="77777777" w:rsidR="0088085F" w:rsidRPr="00B81E61" w:rsidRDefault="0088085F" w:rsidP="000B2291">
            <w:pPr>
              <w:pStyle w:val="cuatexto"/>
              <w:jc w:val="left"/>
              <w:rPr>
                <w:lang w:val="es-ES" w:eastAsia="es-ES"/>
              </w:rPr>
            </w:pPr>
            <w:r w:rsidRPr="00B81E61">
              <w:rPr>
                <w:lang w:val="es-ES" w:eastAsia="es-ES"/>
              </w:rPr>
              <w:t>Seguridad y movilidad ciudadana</w:t>
            </w:r>
          </w:p>
        </w:tc>
        <w:tc>
          <w:tcPr>
            <w:tcW w:w="808" w:type="pct"/>
            <w:tcBorders>
              <w:top w:val="single" w:sz="2" w:space="0" w:color="auto"/>
              <w:left w:val="nil"/>
              <w:bottom w:val="single" w:sz="2" w:space="0" w:color="auto"/>
              <w:right w:val="nil"/>
            </w:tcBorders>
            <w:vAlign w:val="center"/>
          </w:tcPr>
          <w:p w14:paraId="4F035E3A" w14:textId="77777777" w:rsidR="0088085F" w:rsidRPr="00B81E61" w:rsidRDefault="0088085F" w:rsidP="000B2291">
            <w:pPr>
              <w:pStyle w:val="cuatexto"/>
              <w:jc w:val="right"/>
              <w:rPr>
                <w:lang w:val="es-ES" w:eastAsia="es-ES"/>
              </w:rPr>
            </w:pPr>
            <w:r>
              <w:rPr>
                <w:lang w:val="es-ES" w:eastAsia="es-ES"/>
              </w:rPr>
              <w:t>53,36</w:t>
            </w:r>
          </w:p>
        </w:tc>
        <w:tc>
          <w:tcPr>
            <w:tcW w:w="640" w:type="pct"/>
            <w:tcBorders>
              <w:top w:val="single" w:sz="2" w:space="0" w:color="auto"/>
              <w:left w:val="nil"/>
              <w:bottom w:val="single" w:sz="2" w:space="0" w:color="auto"/>
              <w:right w:val="nil"/>
            </w:tcBorders>
            <w:shd w:val="clear" w:color="auto" w:fill="auto"/>
            <w:vAlign w:val="center"/>
            <w:hideMark/>
          </w:tcPr>
          <w:p w14:paraId="4F42A5F8" w14:textId="77777777" w:rsidR="0088085F" w:rsidRPr="00F979C5" w:rsidRDefault="0088085F" w:rsidP="000B2291">
            <w:pPr>
              <w:pStyle w:val="cuatexto"/>
              <w:jc w:val="right"/>
              <w:rPr>
                <w:lang w:val="es-ES" w:eastAsia="es-ES"/>
              </w:rPr>
            </w:pPr>
            <w:r w:rsidRPr="00F979C5">
              <w:rPr>
                <w:lang w:val="es-ES" w:eastAsia="es-ES"/>
              </w:rPr>
              <w:t>56,03</w:t>
            </w:r>
          </w:p>
        </w:tc>
        <w:tc>
          <w:tcPr>
            <w:tcW w:w="763" w:type="pct"/>
            <w:tcBorders>
              <w:top w:val="single" w:sz="2" w:space="0" w:color="auto"/>
              <w:left w:val="nil"/>
              <w:bottom w:val="single" w:sz="2" w:space="0" w:color="auto"/>
              <w:right w:val="nil"/>
            </w:tcBorders>
            <w:shd w:val="clear" w:color="auto" w:fill="auto"/>
            <w:vAlign w:val="center"/>
            <w:hideMark/>
          </w:tcPr>
          <w:p w14:paraId="4AE5FF33" w14:textId="77777777" w:rsidR="0088085F" w:rsidRPr="00B81E61" w:rsidRDefault="0088085F" w:rsidP="000B2291">
            <w:pPr>
              <w:pStyle w:val="cuatexto"/>
              <w:jc w:val="right"/>
              <w:rPr>
                <w:lang w:val="es-ES" w:eastAsia="es-ES"/>
              </w:rPr>
            </w:pPr>
            <w:r>
              <w:rPr>
                <w:lang w:val="es-ES" w:eastAsia="es-ES"/>
              </w:rPr>
              <w:t>6</w:t>
            </w:r>
          </w:p>
        </w:tc>
        <w:tc>
          <w:tcPr>
            <w:tcW w:w="638" w:type="pct"/>
            <w:tcBorders>
              <w:top w:val="single" w:sz="2" w:space="0" w:color="auto"/>
              <w:left w:val="nil"/>
              <w:bottom w:val="single" w:sz="2" w:space="0" w:color="auto"/>
              <w:right w:val="nil"/>
            </w:tcBorders>
            <w:shd w:val="clear" w:color="auto" w:fill="auto"/>
            <w:noWrap/>
            <w:vAlign w:val="center"/>
            <w:hideMark/>
          </w:tcPr>
          <w:p w14:paraId="747C14C7"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5</w:t>
            </w:r>
          </w:p>
        </w:tc>
      </w:tr>
      <w:tr w:rsidR="0088085F" w:rsidRPr="00B81E61" w14:paraId="41EDF6EC"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4CD9A832" w14:textId="77777777" w:rsidR="0088085F" w:rsidRPr="00B81E61" w:rsidRDefault="0088085F" w:rsidP="000B2291">
            <w:pPr>
              <w:pStyle w:val="cuatexto"/>
              <w:jc w:val="left"/>
              <w:rPr>
                <w:lang w:val="es-ES" w:eastAsia="es-ES"/>
              </w:rPr>
            </w:pPr>
            <w:r w:rsidRPr="00B81E61">
              <w:rPr>
                <w:lang w:val="es-ES" w:eastAsia="es-ES"/>
              </w:rPr>
              <w:t>Pensiones</w:t>
            </w:r>
          </w:p>
        </w:tc>
        <w:tc>
          <w:tcPr>
            <w:tcW w:w="808" w:type="pct"/>
            <w:tcBorders>
              <w:top w:val="single" w:sz="2" w:space="0" w:color="auto"/>
              <w:left w:val="nil"/>
              <w:bottom w:val="single" w:sz="2" w:space="0" w:color="auto"/>
              <w:right w:val="nil"/>
            </w:tcBorders>
            <w:vAlign w:val="center"/>
          </w:tcPr>
          <w:p w14:paraId="5516701D" w14:textId="77777777" w:rsidR="0088085F" w:rsidRPr="00B81E61" w:rsidRDefault="0088085F" w:rsidP="000B2291">
            <w:pPr>
              <w:pStyle w:val="cuatexto"/>
              <w:jc w:val="right"/>
              <w:rPr>
                <w:lang w:val="es-ES" w:eastAsia="es-ES"/>
              </w:rPr>
            </w:pPr>
            <w:r>
              <w:rPr>
                <w:lang w:val="es-ES" w:eastAsia="es-ES"/>
              </w:rPr>
              <w:t>51,88</w:t>
            </w:r>
          </w:p>
        </w:tc>
        <w:tc>
          <w:tcPr>
            <w:tcW w:w="640" w:type="pct"/>
            <w:tcBorders>
              <w:top w:val="single" w:sz="2" w:space="0" w:color="auto"/>
              <w:left w:val="nil"/>
              <w:bottom w:val="single" w:sz="2" w:space="0" w:color="auto"/>
              <w:right w:val="nil"/>
            </w:tcBorders>
            <w:shd w:val="clear" w:color="auto" w:fill="auto"/>
            <w:vAlign w:val="center"/>
            <w:hideMark/>
          </w:tcPr>
          <w:p w14:paraId="58D7DC3B" w14:textId="77777777" w:rsidR="0088085F" w:rsidRPr="00F979C5" w:rsidRDefault="0088085F" w:rsidP="000B2291">
            <w:pPr>
              <w:pStyle w:val="cuatexto"/>
              <w:jc w:val="right"/>
              <w:rPr>
                <w:lang w:val="es-ES" w:eastAsia="es-ES"/>
              </w:rPr>
            </w:pPr>
            <w:r w:rsidRPr="00F979C5">
              <w:rPr>
                <w:lang w:val="es-ES" w:eastAsia="es-ES"/>
              </w:rPr>
              <w:t>51,92</w:t>
            </w:r>
          </w:p>
        </w:tc>
        <w:tc>
          <w:tcPr>
            <w:tcW w:w="763" w:type="pct"/>
            <w:tcBorders>
              <w:top w:val="single" w:sz="2" w:space="0" w:color="auto"/>
              <w:left w:val="nil"/>
              <w:bottom w:val="single" w:sz="2" w:space="0" w:color="auto"/>
              <w:right w:val="nil"/>
            </w:tcBorders>
            <w:shd w:val="clear" w:color="auto" w:fill="auto"/>
            <w:vAlign w:val="center"/>
            <w:hideMark/>
          </w:tcPr>
          <w:p w14:paraId="6C289926" w14:textId="77777777" w:rsidR="0088085F" w:rsidRPr="00B81E61" w:rsidRDefault="0088085F" w:rsidP="000B2291">
            <w:pPr>
              <w:pStyle w:val="cuatexto"/>
              <w:jc w:val="right"/>
              <w:rPr>
                <w:lang w:val="es-ES" w:eastAsia="es-ES"/>
              </w:rPr>
            </w:pPr>
            <w:r w:rsidRPr="00B81E61">
              <w:rPr>
                <w:lang w:val="es-ES" w:eastAsia="es-ES"/>
              </w:rPr>
              <w:t>6</w:t>
            </w:r>
          </w:p>
        </w:tc>
        <w:tc>
          <w:tcPr>
            <w:tcW w:w="638" w:type="pct"/>
            <w:tcBorders>
              <w:top w:val="single" w:sz="2" w:space="0" w:color="auto"/>
              <w:left w:val="nil"/>
              <w:bottom w:val="single" w:sz="2" w:space="0" w:color="auto"/>
              <w:right w:val="nil"/>
            </w:tcBorders>
            <w:shd w:val="clear" w:color="auto" w:fill="auto"/>
            <w:noWrap/>
            <w:vAlign w:val="center"/>
            <w:hideMark/>
          </w:tcPr>
          <w:p w14:paraId="6C883F36"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0</w:t>
            </w:r>
          </w:p>
        </w:tc>
      </w:tr>
      <w:tr w:rsidR="0088085F" w:rsidRPr="00B81E61" w14:paraId="672461A0"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6126A2C2" w14:textId="77777777" w:rsidR="0088085F" w:rsidRPr="00B81E61" w:rsidRDefault="0088085F" w:rsidP="000B2291">
            <w:pPr>
              <w:pStyle w:val="cuatexto"/>
              <w:jc w:val="left"/>
              <w:rPr>
                <w:lang w:val="es-ES" w:eastAsia="es-ES"/>
              </w:rPr>
            </w:pPr>
            <w:r w:rsidRPr="00B81E61">
              <w:rPr>
                <w:lang w:val="es-ES" w:eastAsia="es-ES"/>
              </w:rPr>
              <w:t>Deuda pública</w:t>
            </w:r>
          </w:p>
        </w:tc>
        <w:tc>
          <w:tcPr>
            <w:tcW w:w="808" w:type="pct"/>
            <w:tcBorders>
              <w:top w:val="single" w:sz="2" w:space="0" w:color="auto"/>
              <w:left w:val="nil"/>
              <w:bottom w:val="single" w:sz="2" w:space="0" w:color="auto"/>
              <w:right w:val="nil"/>
            </w:tcBorders>
            <w:vAlign w:val="center"/>
          </w:tcPr>
          <w:p w14:paraId="223EE351" w14:textId="77777777" w:rsidR="0088085F" w:rsidRPr="00B81E61" w:rsidRDefault="0088085F" w:rsidP="000B2291">
            <w:pPr>
              <w:pStyle w:val="cuatexto"/>
              <w:jc w:val="right"/>
              <w:rPr>
                <w:lang w:val="es-ES" w:eastAsia="es-ES"/>
              </w:rPr>
            </w:pPr>
            <w:r w:rsidRPr="00B81E61">
              <w:rPr>
                <w:lang w:val="es-ES" w:eastAsia="es-ES"/>
              </w:rPr>
              <w:t>33,37</w:t>
            </w:r>
          </w:p>
        </w:tc>
        <w:tc>
          <w:tcPr>
            <w:tcW w:w="640" w:type="pct"/>
            <w:tcBorders>
              <w:top w:val="single" w:sz="2" w:space="0" w:color="auto"/>
              <w:left w:val="nil"/>
              <w:bottom w:val="single" w:sz="2" w:space="0" w:color="auto"/>
              <w:right w:val="nil"/>
            </w:tcBorders>
            <w:shd w:val="clear" w:color="auto" w:fill="auto"/>
            <w:vAlign w:val="center"/>
            <w:hideMark/>
          </w:tcPr>
          <w:p w14:paraId="61A3510C" w14:textId="77777777" w:rsidR="0088085F" w:rsidRPr="00F979C5" w:rsidRDefault="0088085F" w:rsidP="000B2291">
            <w:pPr>
              <w:pStyle w:val="cuatexto"/>
              <w:jc w:val="right"/>
              <w:rPr>
                <w:lang w:val="es-ES" w:eastAsia="es-ES"/>
              </w:rPr>
            </w:pPr>
            <w:r w:rsidRPr="00F979C5">
              <w:rPr>
                <w:lang w:val="es-ES" w:eastAsia="es-ES"/>
              </w:rPr>
              <w:t>29,03</w:t>
            </w:r>
          </w:p>
        </w:tc>
        <w:tc>
          <w:tcPr>
            <w:tcW w:w="763" w:type="pct"/>
            <w:tcBorders>
              <w:top w:val="single" w:sz="2" w:space="0" w:color="auto"/>
              <w:left w:val="nil"/>
              <w:bottom w:val="single" w:sz="2" w:space="0" w:color="auto"/>
              <w:right w:val="nil"/>
            </w:tcBorders>
            <w:shd w:val="clear" w:color="auto" w:fill="auto"/>
            <w:vAlign w:val="center"/>
            <w:hideMark/>
          </w:tcPr>
          <w:p w14:paraId="51692328" w14:textId="77777777" w:rsidR="0088085F" w:rsidRPr="00B81E61" w:rsidRDefault="0088085F" w:rsidP="000B2291">
            <w:pPr>
              <w:pStyle w:val="cuatexto"/>
              <w:jc w:val="right"/>
              <w:rPr>
                <w:lang w:val="es-ES" w:eastAsia="es-ES"/>
              </w:rPr>
            </w:pPr>
            <w:r>
              <w:rPr>
                <w:lang w:val="es-ES" w:eastAsia="es-ES"/>
              </w:rPr>
              <w:t>3</w:t>
            </w:r>
          </w:p>
        </w:tc>
        <w:tc>
          <w:tcPr>
            <w:tcW w:w="638" w:type="pct"/>
            <w:tcBorders>
              <w:top w:val="single" w:sz="2" w:space="0" w:color="auto"/>
              <w:left w:val="nil"/>
              <w:bottom w:val="single" w:sz="2" w:space="0" w:color="auto"/>
              <w:right w:val="nil"/>
            </w:tcBorders>
            <w:shd w:val="clear" w:color="auto" w:fill="auto"/>
            <w:noWrap/>
            <w:vAlign w:val="center"/>
            <w:hideMark/>
          </w:tcPr>
          <w:p w14:paraId="4976A1A7"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-13</w:t>
            </w:r>
          </w:p>
        </w:tc>
      </w:tr>
      <w:tr w:rsidR="0088085F" w:rsidRPr="00B81E61" w14:paraId="6859126F" w14:textId="77777777" w:rsidTr="006F2D94">
        <w:trPr>
          <w:trHeight w:val="198"/>
          <w:jc w:val="center"/>
        </w:trPr>
        <w:tc>
          <w:tcPr>
            <w:tcW w:w="2150" w:type="pct"/>
            <w:tcBorders>
              <w:top w:val="single" w:sz="2" w:space="0" w:color="auto"/>
              <w:left w:val="nil"/>
              <w:bottom w:val="single" w:sz="4" w:space="0" w:color="auto"/>
              <w:right w:val="nil"/>
            </w:tcBorders>
            <w:shd w:val="clear" w:color="auto" w:fill="auto"/>
            <w:vAlign w:val="center"/>
            <w:hideMark/>
          </w:tcPr>
          <w:p w14:paraId="79C22EC8" w14:textId="77777777" w:rsidR="0088085F" w:rsidRPr="00B81E61" w:rsidRDefault="0088085F" w:rsidP="000B2291">
            <w:pPr>
              <w:pStyle w:val="cuatexto"/>
              <w:jc w:val="left"/>
              <w:rPr>
                <w:lang w:val="es-ES" w:eastAsia="es-ES"/>
              </w:rPr>
            </w:pPr>
            <w:r w:rsidRPr="00B81E61">
              <w:rPr>
                <w:lang w:val="es-ES" w:eastAsia="es-ES"/>
              </w:rPr>
              <w:t>Otras</w:t>
            </w:r>
          </w:p>
        </w:tc>
        <w:tc>
          <w:tcPr>
            <w:tcW w:w="808" w:type="pct"/>
            <w:tcBorders>
              <w:top w:val="single" w:sz="2" w:space="0" w:color="auto"/>
              <w:left w:val="nil"/>
              <w:bottom w:val="single" w:sz="4" w:space="0" w:color="auto"/>
              <w:right w:val="nil"/>
            </w:tcBorders>
            <w:vAlign w:val="center"/>
          </w:tcPr>
          <w:p w14:paraId="2989B1EF" w14:textId="77777777" w:rsidR="0088085F" w:rsidRPr="00B81E61" w:rsidRDefault="0088085F" w:rsidP="000B2291">
            <w:pPr>
              <w:pStyle w:val="cuatexto"/>
              <w:jc w:val="right"/>
              <w:rPr>
                <w:lang w:val="es-ES" w:eastAsia="es-ES"/>
              </w:rPr>
            </w:pPr>
            <w:r w:rsidRPr="00B81E61">
              <w:rPr>
                <w:lang w:val="es-ES" w:eastAsia="es-ES"/>
              </w:rPr>
              <w:t>133,76</w:t>
            </w:r>
          </w:p>
        </w:tc>
        <w:tc>
          <w:tcPr>
            <w:tcW w:w="640" w:type="pct"/>
            <w:tcBorders>
              <w:top w:val="single" w:sz="2" w:space="0" w:color="auto"/>
              <w:left w:val="nil"/>
              <w:bottom w:val="single" w:sz="4" w:space="0" w:color="auto"/>
              <w:right w:val="nil"/>
            </w:tcBorders>
            <w:shd w:val="clear" w:color="auto" w:fill="auto"/>
            <w:vAlign w:val="center"/>
            <w:hideMark/>
          </w:tcPr>
          <w:p w14:paraId="227BDA4B" w14:textId="77777777" w:rsidR="0088085F" w:rsidRPr="00F979C5" w:rsidRDefault="0088085F" w:rsidP="000B2291">
            <w:pPr>
              <w:pStyle w:val="cuatexto"/>
              <w:jc w:val="right"/>
              <w:rPr>
                <w:lang w:val="es-ES" w:eastAsia="es-ES"/>
              </w:rPr>
            </w:pPr>
            <w:r w:rsidRPr="00F979C5">
              <w:rPr>
                <w:lang w:val="es-ES" w:eastAsia="es-ES"/>
              </w:rPr>
              <w:t>145,08</w:t>
            </w:r>
          </w:p>
        </w:tc>
        <w:tc>
          <w:tcPr>
            <w:tcW w:w="763" w:type="pct"/>
            <w:tcBorders>
              <w:top w:val="single" w:sz="2" w:space="0" w:color="auto"/>
              <w:left w:val="nil"/>
              <w:bottom w:val="single" w:sz="4" w:space="0" w:color="auto"/>
              <w:right w:val="nil"/>
            </w:tcBorders>
            <w:shd w:val="clear" w:color="auto" w:fill="auto"/>
            <w:vAlign w:val="center"/>
            <w:hideMark/>
          </w:tcPr>
          <w:p w14:paraId="04723921" w14:textId="77777777" w:rsidR="0088085F" w:rsidRPr="00B81E61" w:rsidRDefault="0088085F" w:rsidP="000B2291">
            <w:pPr>
              <w:pStyle w:val="cuatexto"/>
              <w:jc w:val="right"/>
              <w:rPr>
                <w:lang w:val="es-ES" w:eastAsia="es-ES"/>
              </w:rPr>
            </w:pPr>
            <w:r>
              <w:rPr>
                <w:lang w:val="es-ES" w:eastAsia="es-ES"/>
              </w:rPr>
              <w:t>16</w:t>
            </w:r>
          </w:p>
        </w:tc>
        <w:tc>
          <w:tcPr>
            <w:tcW w:w="638" w:type="pct"/>
            <w:tcBorders>
              <w:top w:val="single" w:sz="2" w:space="0" w:color="auto"/>
              <w:left w:val="nil"/>
              <w:bottom w:val="single" w:sz="4" w:space="0" w:color="auto"/>
              <w:right w:val="nil"/>
            </w:tcBorders>
            <w:shd w:val="clear" w:color="auto" w:fill="auto"/>
            <w:noWrap/>
            <w:vAlign w:val="center"/>
            <w:hideMark/>
          </w:tcPr>
          <w:p w14:paraId="2D065E36" w14:textId="77777777" w:rsidR="0088085F" w:rsidRPr="00A60044" w:rsidRDefault="0088085F" w:rsidP="000B2291">
            <w:pPr>
              <w:pStyle w:val="cuatexto"/>
              <w:jc w:val="right"/>
              <w:rPr>
                <w:rFonts w:cs="Calibri"/>
                <w:szCs w:val="20"/>
                <w:lang w:val="es-ES" w:eastAsia="es-ES"/>
              </w:rPr>
            </w:pPr>
            <w:r w:rsidRPr="00A60044">
              <w:rPr>
                <w:rFonts w:cs="Calibri"/>
                <w:szCs w:val="20"/>
                <w:lang w:val="es-ES" w:eastAsia="es-ES"/>
              </w:rPr>
              <w:t>8</w:t>
            </w:r>
          </w:p>
        </w:tc>
      </w:tr>
      <w:tr w:rsidR="0088085F" w:rsidRPr="00B81E61" w14:paraId="63396215" w14:textId="77777777" w:rsidTr="006F2D94">
        <w:trPr>
          <w:trHeight w:val="255"/>
          <w:jc w:val="center"/>
        </w:trPr>
        <w:tc>
          <w:tcPr>
            <w:tcW w:w="2150" w:type="pct"/>
            <w:tcBorders>
              <w:top w:val="nil"/>
              <w:left w:val="nil"/>
              <w:bottom w:val="single" w:sz="4" w:space="0" w:color="auto"/>
              <w:right w:val="nil"/>
            </w:tcBorders>
            <w:shd w:val="clear" w:color="auto" w:fill="FABF8F" w:themeFill="accent6" w:themeFillTint="99"/>
            <w:vAlign w:val="center"/>
            <w:hideMark/>
          </w:tcPr>
          <w:p w14:paraId="3C251DD7" w14:textId="77777777" w:rsidR="0088085F" w:rsidRPr="00B81E61" w:rsidRDefault="0088085F" w:rsidP="000B2291">
            <w:pPr>
              <w:pStyle w:val="cuadroCabe"/>
              <w:jc w:val="left"/>
              <w:rPr>
                <w:lang w:val="es-ES" w:eastAsia="es-ES"/>
              </w:rPr>
            </w:pPr>
            <w:r w:rsidRPr="00B81E61">
              <w:rPr>
                <w:lang w:val="es-ES" w:eastAsia="es-ES"/>
              </w:rPr>
              <w:t>Total</w:t>
            </w:r>
          </w:p>
        </w:tc>
        <w:tc>
          <w:tcPr>
            <w:tcW w:w="808" w:type="pct"/>
            <w:tcBorders>
              <w:top w:val="nil"/>
              <w:left w:val="nil"/>
              <w:bottom w:val="single" w:sz="4" w:space="0" w:color="auto"/>
              <w:right w:val="nil"/>
            </w:tcBorders>
            <w:shd w:val="clear" w:color="auto" w:fill="FABF8F" w:themeFill="accent6" w:themeFillTint="99"/>
            <w:vAlign w:val="center"/>
          </w:tcPr>
          <w:p w14:paraId="76F6A20F" w14:textId="77777777" w:rsidR="0088085F" w:rsidRPr="00B81E61" w:rsidRDefault="0088085F" w:rsidP="000B2291">
            <w:pPr>
              <w:pStyle w:val="cuadroCabe"/>
              <w:jc w:val="right"/>
              <w:rPr>
                <w:lang w:val="es-ES" w:eastAsia="es-ES"/>
              </w:rPr>
            </w:pPr>
            <w:r w:rsidRPr="00B81E61">
              <w:rPr>
                <w:lang w:val="es-ES" w:eastAsia="es-ES"/>
              </w:rPr>
              <w:t>787,98</w:t>
            </w:r>
          </w:p>
        </w:tc>
        <w:tc>
          <w:tcPr>
            <w:tcW w:w="640" w:type="pct"/>
            <w:tcBorders>
              <w:top w:val="nil"/>
              <w:left w:val="nil"/>
              <w:bottom w:val="single" w:sz="4" w:space="0" w:color="auto"/>
              <w:right w:val="nil"/>
            </w:tcBorders>
            <w:shd w:val="clear" w:color="auto" w:fill="FABF8F" w:themeFill="accent6" w:themeFillTint="99"/>
            <w:vAlign w:val="center"/>
            <w:hideMark/>
          </w:tcPr>
          <w:p w14:paraId="6EB41B4C" w14:textId="77777777" w:rsidR="0088085F" w:rsidRPr="00B81E61" w:rsidRDefault="0088085F" w:rsidP="000B2291">
            <w:pPr>
              <w:pStyle w:val="cuadroCabe"/>
              <w:jc w:val="right"/>
              <w:rPr>
                <w:lang w:val="es-ES" w:eastAsia="es-ES"/>
              </w:rPr>
            </w:pPr>
            <w:r>
              <w:rPr>
                <w:lang w:val="es-ES" w:eastAsia="es-ES"/>
              </w:rPr>
              <w:t>885,37</w:t>
            </w:r>
          </w:p>
        </w:tc>
        <w:tc>
          <w:tcPr>
            <w:tcW w:w="763" w:type="pct"/>
            <w:tcBorders>
              <w:top w:val="nil"/>
              <w:left w:val="nil"/>
              <w:bottom w:val="single" w:sz="4" w:space="0" w:color="auto"/>
              <w:right w:val="nil"/>
            </w:tcBorders>
            <w:shd w:val="clear" w:color="auto" w:fill="FABF8F" w:themeFill="accent6" w:themeFillTint="99"/>
            <w:vAlign w:val="center"/>
            <w:hideMark/>
          </w:tcPr>
          <w:p w14:paraId="0E882A93" w14:textId="77777777" w:rsidR="0088085F" w:rsidRPr="00B81E61" w:rsidRDefault="0088085F" w:rsidP="000B2291">
            <w:pPr>
              <w:pStyle w:val="cuadroCabe"/>
              <w:jc w:val="right"/>
              <w:rPr>
                <w:lang w:val="es-ES" w:eastAsia="es-ES"/>
              </w:rPr>
            </w:pPr>
            <w:r w:rsidRPr="00B81E61">
              <w:rPr>
                <w:lang w:val="es-ES" w:eastAsia="es-ES"/>
              </w:rPr>
              <w:t>100</w:t>
            </w:r>
          </w:p>
        </w:tc>
        <w:tc>
          <w:tcPr>
            <w:tcW w:w="638" w:type="pct"/>
            <w:tcBorders>
              <w:top w:val="nil"/>
              <w:left w:val="nil"/>
              <w:bottom w:val="single" w:sz="4" w:space="0" w:color="auto"/>
              <w:right w:val="nil"/>
            </w:tcBorders>
            <w:shd w:val="clear" w:color="auto" w:fill="FABF8F" w:themeFill="accent6" w:themeFillTint="99"/>
            <w:vAlign w:val="center"/>
            <w:hideMark/>
          </w:tcPr>
          <w:p w14:paraId="18D5F58A" w14:textId="77777777" w:rsidR="0088085F" w:rsidRPr="00A60044" w:rsidRDefault="0088085F" w:rsidP="000B2291">
            <w:pPr>
              <w:pStyle w:val="cuadroCabe"/>
              <w:jc w:val="right"/>
              <w:rPr>
                <w:rFonts w:ascii="Arial Narrow" w:hAnsi="Arial Narrow"/>
                <w:sz w:val="20"/>
                <w:szCs w:val="20"/>
                <w:lang w:val="es-ES" w:eastAsia="es-ES"/>
              </w:rPr>
            </w:pPr>
            <w:r w:rsidRPr="00A60044">
              <w:rPr>
                <w:rFonts w:ascii="Arial Narrow" w:hAnsi="Arial Narrow"/>
                <w:sz w:val="20"/>
                <w:szCs w:val="20"/>
                <w:lang w:val="es-ES" w:eastAsia="es-ES"/>
              </w:rPr>
              <w:t>12</w:t>
            </w:r>
          </w:p>
        </w:tc>
      </w:tr>
    </w:tbl>
    <w:p w14:paraId="2B74AD40" w14:textId="77777777" w:rsidR="0088085F" w:rsidRPr="00262228" w:rsidRDefault="0088085F" w:rsidP="00527F65">
      <w:pPr>
        <w:pStyle w:val="texto"/>
        <w:spacing w:before="220" w:after="160"/>
      </w:pPr>
      <w:r w:rsidRPr="00262228">
        <w:t xml:space="preserve">El bienestar comunitario (recogida, gestión y tratamiento de residuos, abastecimiento de agua, alumbrado o limpieza viaria, entre otros) es la política de gasto que supuso un mayor importe en 2019 en el sector público local con 139,18 millones (16 por ciento del total), seguida de los servicios de carácter general que supusieron el 11 por ciento con 96,25 millones y vivienda y urbanismo que supuso un diez por ciento con 89,06 millones. </w:t>
      </w:r>
    </w:p>
    <w:p w14:paraId="36274020" w14:textId="77777777" w:rsidR="0088085F" w:rsidRPr="00262228" w:rsidRDefault="00FD5739" w:rsidP="00527F65">
      <w:pPr>
        <w:pStyle w:val="texto"/>
        <w:spacing w:after="160"/>
      </w:pPr>
      <w:r w:rsidRPr="009A521B">
        <w:rPr>
          <w:color w:val="000000" w:themeColor="text1"/>
        </w:rPr>
        <w:lastRenderedPageBreak/>
        <w:t xml:space="preserve">La deuda pública disminuye un </w:t>
      </w:r>
      <w:r w:rsidR="0088085F" w:rsidRPr="009A521B">
        <w:rPr>
          <w:color w:val="000000" w:themeColor="text1"/>
        </w:rPr>
        <w:t>13 por ciento</w:t>
      </w:r>
      <w:r w:rsidRPr="009A521B">
        <w:rPr>
          <w:color w:val="000000" w:themeColor="text1"/>
        </w:rPr>
        <w:t xml:space="preserve"> respecto a 2018</w:t>
      </w:r>
      <w:r w:rsidR="0088085F" w:rsidRPr="009A521B">
        <w:rPr>
          <w:color w:val="000000" w:themeColor="text1"/>
        </w:rPr>
        <w:t xml:space="preserve">. El resto de </w:t>
      </w:r>
      <w:r w:rsidR="0088085F" w:rsidRPr="00262228">
        <w:t>políticas de gasto han aumentado con respecto al ejercicio anterior.</w:t>
      </w:r>
    </w:p>
    <w:p w14:paraId="1AD3D73B" w14:textId="77777777" w:rsidR="0088085F" w:rsidRPr="00262228" w:rsidRDefault="0088085F" w:rsidP="00527F65">
      <w:pPr>
        <w:pStyle w:val="texto"/>
        <w:spacing w:after="160"/>
      </w:pPr>
      <w:r w:rsidRPr="00262228">
        <w:t xml:space="preserve">Destaca el incremento de la política de gasto de vivienda y urbanismo que ha aumentado un 41 por ciento con respecto a 2018 situándose en la tercera con mayor peso en el total cuando en 2018 ocupaba la sexta posición. Asimismo, la política de gasto de deporte ha aumentado un 32 por ciento respecto al ejercicio anterior. </w:t>
      </w:r>
    </w:p>
    <w:p w14:paraId="4BF4B079" w14:textId="77777777" w:rsidR="0088085F" w:rsidRPr="00262228" w:rsidRDefault="0088085F" w:rsidP="00BD33B6">
      <w:pPr>
        <w:pStyle w:val="texto"/>
        <w:spacing w:after="120"/>
      </w:pPr>
      <w:r w:rsidRPr="00262228">
        <w:t>Mostramos a continuación la comparativa de la</w:t>
      </w:r>
      <w:r w:rsidR="00FD5739">
        <w:t>s</w:t>
      </w:r>
      <w:r w:rsidRPr="00262228">
        <w:t xml:space="preserve"> política</w:t>
      </w:r>
      <w:r w:rsidR="00FD5739">
        <w:t>s</w:t>
      </w:r>
      <w:r w:rsidRPr="00262228">
        <w:t xml:space="preserve"> de gasto afectada</w:t>
      </w:r>
      <w:r w:rsidR="00FD5739">
        <w:t>s</w:t>
      </w:r>
      <w:r w:rsidRPr="00262228">
        <w:t xml:space="preserve"> por </w:t>
      </w:r>
      <w:r w:rsidR="00FD5739">
        <w:t>la consolidación con SCPSA</w:t>
      </w:r>
      <w:r w:rsidRPr="00262228">
        <w:t>:</w:t>
      </w:r>
      <w:r w:rsidR="0037325A">
        <w:t xml:space="preserve"> </w:t>
      </w:r>
    </w:p>
    <w:p w14:paraId="0522FB16" w14:textId="77777777" w:rsidR="0088085F" w:rsidRPr="0082013A" w:rsidRDefault="0088085F" w:rsidP="0082013A">
      <w:pPr>
        <w:pStyle w:val="texto"/>
        <w:spacing w:after="60"/>
        <w:rPr>
          <w:color w:val="000000" w:themeColor="text1"/>
          <w:sz w:val="17"/>
          <w:szCs w:val="17"/>
        </w:rPr>
      </w:pPr>
      <w:r w:rsidRPr="0082013A">
        <w:rPr>
          <w:color w:val="000000" w:themeColor="text1"/>
          <w:sz w:val="17"/>
          <w:szCs w:val="17"/>
        </w:rPr>
        <w:t xml:space="preserve">                                                                                                                      </w:t>
      </w:r>
      <w:r w:rsidR="0082013A">
        <w:rPr>
          <w:color w:val="000000" w:themeColor="text1"/>
          <w:sz w:val="17"/>
          <w:szCs w:val="17"/>
        </w:rPr>
        <w:t xml:space="preserve">                         </w:t>
      </w:r>
      <w:r w:rsidRPr="0082013A">
        <w:rPr>
          <w:color w:val="000000" w:themeColor="text1"/>
          <w:sz w:val="17"/>
          <w:szCs w:val="17"/>
        </w:rPr>
        <w:t xml:space="preserve">            (en millones)</w:t>
      </w:r>
    </w:p>
    <w:tbl>
      <w:tblPr>
        <w:tblW w:w="5064" w:type="pct"/>
        <w:jc w:val="center"/>
        <w:tblCellMar>
          <w:left w:w="70" w:type="dxa"/>
          <w:right w:w="70" w:type="dxa"/>
        </w:tblCellMar>
        <w:tblLook w:val="04A0" w:firstRow="1" w:lastRow="0" w:firstColumn="1" w:lastColumn="0" w:noHBand="0" w:noVBand="1"/>
      </w:tblPr>
      <w:tblGrid>
        <w:gridCol w:w="3641"/>
        <w:gridCol w:w="1251"/>
        <w:gridCol w:w="1171"/>
        <w:gridCol w:w="951"/>
        <w:gridCol w:w="951"/>
        <w:gridCol w:w="936"/>
      </w:tblGrid>
      <w:tr w:rsidR="00433C0C" w:rsidRPr="00527F65" w14:paraId="6F0F4573" w14:textId="77777777" w:rsidTr="00433C0C">
        <w:trPr>
          <w:trHeight w:val="450"/>
          <w:jc w:val="center"/>
        </w:trPr>
        <w:tc>
          <w:tcPr>
            <w:tcW w:w="2045" w:type="pct"/>
            <w:tcBorders>
              <w:top w:val="single" w:sz="4" w:space="0" w:color="auto"/>
              <w:left w:val="nil"/>
              <w:bottom w:val="single" w:sz="4" w:space="0" w:color="auto"/>
              <w:right w:val="nil"/>
            </w:tcBorders>
            <w:shd w:val="clear" w:color="000000" w:fill="FABF8F" w:themeFill="accent6" w:themeFillTint="99"/>
            <w:vAlign w:val="center"/>
            <w:hideMark/>
          </w:tcPr>
          <w:p w14:paraId="2A072867" w14:textId="77777777" w:rsidR="0088085F" w:rsidRPr="00527F65" w:rsidRDefault="0088085F" w:rsidP="00527F65">
            <w:pPr>
              <w:pStyle w:val="cuadroCabe"/>
              <w:jc w:val="left"/>
              <w:rPr>
                <w:sz w:val="16"/>
                <w:szCs w:val="16"/>
                <w:lang w:val="es-ES" w:eastAsia="es-ES"/>
              </w:rPr>
            </w:pPr>
            <w:r w:rsidRPr="00527F65">
              <w:rPr>
                <w:sz w:val="16"/>
                <w:szCs w:val="16"/>
                <w:lang w:val="es-ES" w:eastAsia="es-ES"/>
              </w:rPr>
              <w:t>Política de gasto</w:t>
            </w:r>
          </w:p>
        </w:tc>
        <w:tc>
          <w:tcPr>
            <w:tcW w:w="703" w:type="pct"/>
            <w:tcBorders>
              <w:top w:val="single" w:sz="4" w:space="0" w:color="auto"/>
              <w:left w:val="nil"/>
              <w:bottom w:val="single" w:sz="4" w:space="0" w:color="auto"/>
              <w:right w:val="nil"/>
            </w:tcBorders>
            <w:shd w:val="clear" w:color="000000" w:fill="FABF8F" w:themeFill="accent6" w:themeFillTint="99"/>
            <w:vAlign w:val="center"/>
          </w:tcPr>
          <w:p w14:paraId="6FA5ADBD" w14:textId="77777777" w:rsidR="0088085F" w:rsidRPr="00527F65" w:rsidRDefault="0088085F" w:rsidP="00527F65">
            <w:pPr>
              <w:pStyle w:val="cuadroCabe"/>
              <w:jc w:val="right"/>
              <w:rPr>
                <w:sz w:val="16"/>
                <w:szCs w:val="16"/>
                <w:lang w:val="es-ES" w:eastAsia="es-ES"/>
              </w:rPr>
            </w:pPr>
            <w:r w:rsidRPr="00527F65">
              <w:rPr>
                <w:sz w:val="16"/>
                <w:szCs w:val="16"/>
                <w:lang w:val="es-ES" w:eastAsia="es-ES"/>
              </w:rPr>
              <w:t>Importe 2019 (sin SCPSA)</w:t>
            </w:r>
          </w:p>
        </w:tc>
        <w:tc>
          <w:tcPr>
            <w:tcW w:w="658" w:type="pct"/>
            <w:tcBorders>
              <w:top w:val="single" w:sz="4" w:space="0" w:color="auto"/>
              <w:left w:val="nil"/>
              <w:bottom w:val="single" w:sz="4" w:space="0" w:color="auto"/>
              <w:right w:val="nil"/>
            </w:tcBorders>
            <w:shd w:val="clear" w:color="000000" w:fill="FABF8F" w:themeFill="accent6" w:themeFillTint="99"/>
            <w:vAlign w:val="center"/>
            <w:hideMark/>
          </w:tcPr>
          <w:p w14:paraId="42071FF3" w14:textId="77777777" w:rsidR="0088085F" w:rsidRPr="00527F65" w:rsidRDefault="0088085F" w:rsidP="00527F65">
            <w:pPr>
              <w:pStyle w:val="cuadroCabe"/>
              <w:jc w:val="right"/>
              <w:rPr>
                <w:sz w:val="16"/>
                <w:szCs w:val="16"/>
                <w:lang w:val="es-ES" w:eastAsia="es-ES"/>
              </w:rPr>
            </w:pPr>
            <w:r w:rsidRPr="00527F65">
              <w:rPr>
                <w:sz w:val="16"/>
                <w:szCs w:val="16"/>
                <w:lang w:val="es-ES" w:eastAsia="es-ES"/>
              </w:rPr>
              <w:t>Importe 2019 (con SCPSA)</w:t>
            </w:r>
          </w:p>
        </w:tc>
        <w:tc>
          <w:tcPr>
            <w:tcW w:w="534" w:type="pct"/>
            <w:tcBorders>
              <w:top w:val="single" w:sz="4" w:space="0" w:color="auto"/>
              <w:left w:val="nil"/>
              <w:bottom w:val="single" w:sz="4" w:space="0" w:color="auto"/>
              <w:right w:val="nil"/>
            </w:tcBorders>
            <w:shd w:val="clear" w:color="000000" w:fill="FABF8F" w:themeFill="accent6" w:themeFillTint="99"/>
            <w:vAlign w:val="center"/>
          </w:tcPr>
          <w:p w14:paraId="26618386" w14:textId="77777777" w:rsidR="0088085F" w:rsidRPr="00527F65" w:rsidRDefault="0088085F" w:rsidP="00527F65">
            <w:pPr>
              <w:pStyle w:val="cuadroCabe"/>
              <w:jc w:val="right"/>
              <w:rPr>
                <w:sz w:val="16"/>
                <w:szCs w:val="16"/>
                <w:lang w:val="es-ES" w:eastAsia="es-ES"/>
              </w:rPr>
            </w:pPr>
            <w:r w:rsidRPr="00527F65">
              <w:rPr>
                <w:sz w:val="16"/>
                <w:szCs w:val="16"/>
                <w:lang w:val="es-ES" w:eastAsia="es-ES"/>
              </w:rPr>
              <w:t>Diferencia</w:t>
            </w:r>
          </w:p>
        </w:tc>
        <w:tc>
          <w:tcPr>
            <w:tcW w:w="534" w:type="pct"/>
            <w:tcBorders>
              <w:top w:val="single" w:sz="4" w:space="0" w:color="auto"/>
              <w:left w:val="nil"/>
              <w:bottom w:val="single" w:sz="4" w:space="0" w:color="auto"/>
              <w:right w:val="nil"/>
            </w:tcBorders>
            <w:shd w:val="clear" w:color="000000" w:fill="FABF8F" w:themeFill="accent6" w:themeFillTint="99"/>
            <w:vAlign w:val="center"/>
            <w:hideMark/>
          </w:tcPr>
          <w:p w14:paraId="05FF61C8" w14:textId="77777777" w:rsidR="0088085F" w:rsidRPr="00527F65" w:rsidRDefault="0088085F" w:rsidP="00527F65">
            <w:pPr>
              <w:pStyle w:val="cuadroCabe"/>
              <w:jc w:val="right"/>
              <w:rPr>
                <w:sz w:val="16"/>
                <w:szCs w:val="16"/>
                <w:lang w:val="es-ES" w:eastAsia="es-ES"/>
              </w:rPr>
            </w:pPr>
            <w:r w:rsidRPr="00527F65">
              <w:rPr>
                <w:sz w:val="16"/>
                <w:szCs w:val="16"/>
                <w:lang w:val="es-ES" w:eastAsia="es-ES"/>
              </w:rPr>
              <w:t>% s/</w:t>
            </w:r>
            <w:r w:rsidR="00282AA4" w:rsidRPr="00527F65">
              <w:rPr>
                <w:sz w:val="16"/>
                <w:szCs w:val="16"/>
                <w:lang w:val="es-ES" w:eastAsia="es-ES"/>
              </w:rPr>
              <w:t xml:space="preserve">gasto  </w:t>
            </w:r>
            <w:r w:rsidRPr="00527F65">
              <w:rPr>
                <w:sz w:val="16"/>
                <w:szCs w:val="16"/>
                <w:lang w:val="es-ES" w:eastAsia="es-ES"/>
              </w:rPr>
              <w:t>sin Sdad.</w:t>
            </w:r>
          </w:p>
        </w:tc>
        <w:tc>
          <w:tcPr>
            <w:tcW w:w="526" w:type="pct"/>
            <w:tcBorders>
              <w:top w:val="single" w:sz="4" w:space="0" w:color="auto"/>
              <w:left w:val="nil"/>
              <w:bottom w:val="single" w:sz="4" w:space="0" w:color="auto"/>
              <w:right w:val="nil"/>
            </w:tcBorders>
            <w:shd w:val="clear" w:color="000000" w:fill="FABF8F" w:themeFill="accent6" w:themeFillTint="99"/>
            <w:vAlign w:val="center"/>
            <w:hideMark/>
          </w:tcPr>
          <w:p w14:paraId="3156EEAE" w14:textId="77777777" w:rsidR="0088085F" w:rsidRPr="00527F65" w:rsidRDefault="0088085F" w:rsidP="00527F65">
            <w:pPr>
              <w:pStyle w:val="cuadroCabe"/>
              <w:jc w:val="right"/>
              <w:rPr>
                <w:sz w:val="16"/>
                <w:szCs w:val="16"/>
                <w:lang w:val="es-ES" w:eastAsia="es-ES"/>
              </w:rPr>
            </w:pPr>
            <w:r w:rsidRPr="00527F65">
              <w:rPr>
                <w:sz w:val="16"/>
                <w:szCs w:val="16"/>
                <w:lang w:val="es-ES" w:eastAsia="es-ES"/>
              </w:rPr>
              <w:t xml:space="preserve">% s/gasto con </w:t>
            </w:r>
            <w:proofErr w:type="spellStart"/>
            <w:r w:rsidRPr="00527F65">
              <w:rPr>
                <w:sz w:val="16"/>
                <w:szCs w:val="16"/>
                <w:lang w:val="es-ES" w:eastAsia="es-ES"/>
              </w:rPr>
              <w:t>Sdad</w:t>
            </w:r>
            <w:proofErr w:type="spellEnd"/>
          </w:p>
        </w:tc>
      </w:tr>
      <w:tr w:rsidR="00433C0C" w:rsidRPr="00BD33B6" w14:paraId="487AC2C1" w14:textId="77777777" w:rsidTr="00433C0C">
        <w:trPr>
          <w:trHeight w:hRule="exact" w:val="255"/>
          <w:jc w:val="center"/>
        </w:trPr>
        <w:tc>
          <w:tcPr>
            <w:tcW w:w="2045" w:type="pct"/>
            <w:tcBorders>
              <w:top w:val="single" w:sz="4" w:space="0" w:color="auto"/>
              <w:left w:val="nil"/>
              <w:bottom w:val="single" w:sz="2" w:space="0" w:color="auto"/>
              <w:right w:val="nil"/>
            </w:tcBorders>
            <w:shd w:val="clear" w:color="auto" w:fill="auto"/>
            <w:vAlign w:val="center"/>
            <w:hideMark/>
          </w:tcPr>
          <w:p w14:paraId="37E84E7B" w14:textId="77777777" w:rsidR="0088085F" w:rsidRPr="00BD33B6" w:rsidRDefault="0088085F" w:rsidP="002B693F">
            <w:pPr>
              <w:pStyle w:val="cuatexto"/>
              <w:jc w:val="left"/>
              <w:rPr>
                <w:sz w:val="18"/>
                <w:szCs w:val="18"/>
              </w:rPr>
            </w:pPr>
            <w:r w:rsidRPr="00BD33B6">
              <w:rPr>
                <w:sz w:val="18"/>
                <w:szCs w:val="18"/>
              </w:rPr>
              <w:t xml:space="preserve">Recogida, gestión y </w:t>
            </w:r>
            <w:proofErr w:type="spellStart"/>
            <w:r w:rsidR="002B693F" w:rsidRPr="00BD33B6">
              <w:rPr>
                <w:sz w:val="18"/>
                <w:szCs w:val="18"/>
              </w:rPr>
              <w:t>tto</w:t>
            </w:r>
            <w:proofErr w:type="spellEnd"/>
            <w:r w:rsidR="002B693F" w:rsidRPr="00BD33B6">
              <w:rPr>
                <w:sz w:val="18"/>
                <w:szCs w:val="18"/>
              </w:rPr>
              <w:t>.</w:t>
            </w:r>
            <w:r w:rsidRPr="00BD33B6">
              <w:rPr>
                <w:sz w:val="18"/>
                <w:szCs w:val="18"/>
              </w:rPr>
              <w:t xml:space="preserve"> de residuos</w:t>
            </w:r>
          </w:p>
        </w:tc>
        <w:tc>
          <w:tcPr>
            <w:tcW w:w="703" w:type="pct"/>
            <w:tcBorders>
              <w:top w:val="single" w:sz="4" w:space="0" w:color="auto"/>
              <w:left w:val="nil"/>
              <w:bottom w:val="single" w:sz="2" w:space="0" w:color="auto"/>
              <w:right w:val="nil"/>
            </w:tcBorders>
            <w:vAlign w:val="center"/>
          </w:tcPr>
          <w:p w14:paraId="66178858"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36,74</w:t>
            </w:r>
          </w:p>
        </w:tc>
        <w:tc>
          <w:tcPr>
            <w:tcW w:w="658" w:type="pct"/>
            <w:tcBorders>
              <w:top w:val="single" w:sz="4" w:space="0" w:color="auto"/>
              <w:left w:val="nil"/>
              <w:bottom w:val="single" w:sz="2" w:space="0" w:color="auto"/>
              <w:right w:val="nil"/>
            </w:tcBorders>
            <w:shd w:val="clear" w:color="auto" w:fill="auto"/>
            <w:vAlign w:val="center"/>
            <w:hideMark/>
          </w:tcPr>
          <w:p w14:paraId="2FD672A2"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71,34</w:t>
            </w:r>
          </w:p>
        </w:tc>
        <w:tc>
          <w:tcPr>
            <w:tcW w:w="534" w:type="pct"/>
            <w:tcBorders>
              <w:top w:val="single" w:sz="4" w:space="0" w:color="auto"/>
              <w:left w:val="nil"/>
              <w:bottom w:val="single" w:sz="2" w:space="0" w:color="auto"/>
              <w:right w:val="nil"/>
            </w:tcBorders>
            <w:vAlign w:val="center"/>
          </w:tcPr>
          <w:p w14:paraId="50F88273"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34,60</w:t>
            </w:r>
          </w:p>
        </w:tc>
        <w:tc>
          <w:tcPr>
            <w:tcW w:w="534" w:type="pct"/>
            <w:tcBorders>
              <w:top w:val="single" w:sz="4" w:space="0" w:color="auto"/>
              <w:left w:val="nil"/>
              <w:bottom w:val="single" w:sz="2" w:space="0" w:color="auto"/>
              <w:right w:val="nil"/>
            </w:tcBorders>
            <w:shd w:val="clear" w:color="auto" w:fill="auto"/>
            <w:vAlign w:val="center"/>
            <w:hideMark/>
          </w:tcPr>
          <w:p w14:paraId="68B14832"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26</w:t>
            </w:r>
          </w:p>
        </w:tc>
        <w:tc>
          <w:tcPr>
            <w:tcW w:w="526" w:type="pct"/>
            <w:tcBorders>
              <w:top w:val="single" w:sz="4" w:space="0" w:color="auto"/>
              <w:left w:val="nil"/>
              <w:bottom w:val="single" w:sz="2" w:space="0" w:color="auto"/>
              <w:right w:val="nil"/>
            </w:tcBorders>
            <w:shd w:val="clear" w:color="auto" w:fill="auto"/>
            <w:noWrap/>
            <w:vAlign w:val="center"/>
            <w:hideMark/>
          </w:tcPr>
          <w:p w14:paraId="742B9EDF"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34</w:t>
            </w:r>
          </w:p>
        </w:tc>
      </w:tr>
      <w:tr w:rsidR="00433C0C" w:rsidRPr="00BD33B6" w14:paraId="7FB7C244" w14:textId="77777777" w:rsidTr="00433C0C">
        <w:trPr>
          <w:trHeight w:hRule="exact" w:val="255"/>
          <w:jc w:val="center"/>
        </w:trPr>
        <w:tc>
          <w:tcPr>
            <w:tcW w:w="2045" w:type="pct"/>
            <w:tcBorders>
              <w:top w:val="single" w:sz="2" w:space="0" w:color="auto"/>
              <w:left w:val="nil"/>
              <w:bottom w:val="single" w:sz="2" w:space="0" w:color="auto"/>
              <w:right w:val="nil"/>
            </w:tcBorders>
            <w:shd w:val="clear" w:color="auto" w:fill="auto"/>
            <w:vAlign w:val="center"/>
            <w:hideMark/>
          </w:tcPr>
          <w:p w14:paraId="288E35C4" w14:textId="77777777" w:rsidR="0088085F" w:rsidRPr="00BD33B6" w:rsidRDefault="0088085F" w:rsidP="00527F65">
            <w:pPr>
              <w:pStyle w:val="cuatexto"/>
              <w:jc w:val="left"/>
              <w:rPr>
                <w:sz w:val="18"/>
                <w:szCs w:val="18"/>
                <w:lang w:val="es-ES" w:eastAsia="es-ES"/>
              </w:rPr>
            </w:pPr>
            <w:r w:rsidRPr="00BD33B6">
              <w:rPr>
                <w:sz w:val="18"/>
                <w:szCs w:val="18"/>
              </w:rPr>
              <w:t>Abastecimiento domiciliario de agua potable</w:t>
            </w:r>
          </w:p>
        </w:tc>
        <w:tc>
          <w:tcPr>
            <w:tcW w:w="703" w:type="pct"/>
            <w:tcBorders>
              <w:top w:val="single" w:sz="2" w:space="0" w:color="auto"/>
              <w:left w:val="nil"/>
              <w:bottom w:val="single" w:sz="2" w:space="0" w:color="auto"/>
              <w:right w:val="nil"/>
            </w:tcBorders>
            <w:vAlign w:val="center"/>
          </w:tcPr>
          <w:p w14:paraId="72B156E6"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44,50</w:t>
            </w:r>
          </w:p>
        </w:tc>
        <w:tc>
          <w:tcPr>
            <w:tcW w:w="658" w:type="pct"/>
            <w:tcBorders>
              <w:top w:val="single" w:sz="2" w:space="0" w:color="auto"/>
              <w:left w:val="nil"/>
              <w:bottom w:val="single" w:sz="2" w:space="0" w:color="auto"/>
              <w:right w:val="nil"/>
            </w:tcBorders>
            <w:shd w:val="clear" w:color="auto" w:fill="auto"/>
            <w:vAlign w:val="center"/>
            <w:hideMark/>
          </w:tcPr>
          <w:p w14:paraId="185FA653"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66,60</w:t>
            </w:r>
          </w:p>
        </w:tc>
        <w:tc>
          <w:tcPr>
            <w:tcW w:w="534" w:type="pct"/>
            <w:tcBorders>
              <w:top w:val="single" w:sz="2" w:space="0" w:color="auto"/>
              <w:left w:val="nil"/>
              <w:bottom w:val="single" w:sz="2" w:space="0" w:color="auto"/>
              <w:right w:val="nil"/>
            </w:tcBorders>
            <w:vAlign w:val="center"/>
          </w:tcPr>
          <w:p w14:paraId="287C7FDE"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22,10</w:t>
            </w:r>
          </w:p>
        </w:tc>
        <w:tc>
          <w:tcPr>
            <w:tcW w:w="534" w:type="pct"/>
            <w:tcBorders>
              <w:top w:val="single" w:sz="2" w:space="0" w:color="auto"/>
              <w:left w:val="nil"/>
              <w:bottom w:val="single" w:sz="2" w:space="0" w:color="auto"/>
              <w:right w:val="nil"/>
            </w:tcBorders>
            <w:shd w:val="clear" w:color="auto" w:fill="auto"/>
            <w:vAlign w:val="center"/>
            <w:hideMark/>
          </w:tcPr>
          <w:p w14:paraId="4B422696"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32</w:t>
            </w:r>
          </w:p>
        </w:tc>
        <w:tc>
          <w:tcPr>
            <w:tcW w:w="526" w:type="pct"/>
            <w:tcBorders>
              <w:top w:val="single" w:sz="2" w:space="0" w:color="auto"/>
              <w:left w:val="nil"/>
              <w:bottom w:val="single" w:sz="2" w:space="0" w:color="auto"/>
              <w:right w:val="nil"/>
            </w:tcBorders>
            <w:shd w:val="clear" w:color="auto" w:fill="auto"/>
            <w:noWrap/>
            <w:vAlign w:val="center"/>
            <w:hideMark/>
          </w:tcPr>
          <w:p w14:paraId="43CF3883"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32</w:t>
            </w:r>
          </w:p>
        </w:tc>
      </w:tr>
      <w:tr w:rsidR="00433C0C" w:rsidRPr="00BD33B6" w14:paraId="06A40B06" w14:textId="77777777" w:rsidTr="00433C0C">
        <w:trPr>
          <w:trHeight w:hRule="exact" w:val="255"/>
          <w:jc w:val="center"/>
        </w:trPr>
        <w:tc>
          <w:tcPr>
            <w:tcW w:w="2045" w:type="pct"/>
            <w:tcBorders>
              <w:top w:val="single" w:sz="2" w:space="0" w:color="auto"/>
              <w:left w:val="nil"/>
              <w:bottom w:val="single" w:sz="2" w:space="0" w:color="auto"/>
              <w:right w:val="nil"/>
            </w:tcBorders>
            <w:shd w:val="clear" w:color="auto" w:fill="auto"/>
            <w:vAlign w:val="center"/>
            <w:hideMark/>
          </w:tcPr>
          <w:p w14:paraId="47A4B240" w14:textId="77777777" w:rsidR="0088085F" w:rsidRPr="00BD33B6" w:rsidRDefault="0088085F" w:rsidP="00527F65">
            <w:pPr>
              <w:pStyle w:val="cuatexto"/>
              <w:jc w:val="left"/>
              <w:rPr>
                <w:sz w:val="18"/>
                <w:szCs w:val="18"/>
              </w:rPr>
            </w:pPr>
            <w:r w:rsidRPr="00BD33B6">
              <w:rPr>
                <w:sz w:val="18"/>
                <w:szCs w:val="18"/>
              </w:rPr>
              <w:t>Alumbrado público</w:t>
            </w:r>
          </w:p>
        </w:tc>
        <w:tc>
          <w:tcPr>
            <w:tcW w:w="703" w:type="pct"/>
            <w:tcBorders>
              <w:top w:val="single" w:sz="2" w:space="0" w:color="auto"/>
              <w:left w:val="nil"/>
              <w:bottom w:val="single" w:sz="2" w:space="0" w:color="auto"/>
              <w:right w:val="nil"/>
            </w:tcBorders>
            <w:vAlign w:val="center"/>
          </w:tcPr>
          <w:p w14:paraId="14570B5B"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29,46</w:t>
            </w:r>
          </w:p>
        </w:tc>
        <w:tc>
          <w:tcPr>
            <w:tcW w:w="658" w:type="pct"/>
            <w:tcBorders>
              <w:top w:val="single" w:sz="2" w:space="0" w:color="auto"/>
              <w:left w:val="nil"/>
              <w:bottom w:val="single" w:sz="2" w:space="0" w:color="auto"/>
              <w:right w:val="nil"/>
            </w:tcBorders>
            <w:shd w:val="clear" w:color="auto" w:fill="auto"/>
            <w:vAlign w:val="center"/>
            <w:hideMark/>
          </w:tcPr>
          <w:p w14:paraId="6A5B6E2F"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29,46</w:t>
            </w:r>
          </w:p>
        </w:tc>
        <w:tc>
          <w:tcPr>
            <w:tcW w:w="534" w:type="pct"/>
            <w:tcBorders>
              <w:top w:val="single" w:sz="2" w:space="0" w:color="auto"/>
              <w:left w:val="nil"/>
              <w:bottom w:val="single" w:sz="2" w:space="0" w:color="auto"/>
              <w:right w:val="nil"/>
            </w:tcBorders>
            <w:vAlign w:val="center"/>
          </w:tcPr>
          <w:p w14:paraId="509EEFE4"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w:t>
            </w:r>
          </w:p>
        </w:tc>
        <w:tc>
          <w:tcPr>
            <w:tcW w:w="534" w:type="pct"/>
            <w:tcBorders>
              <w:top w:val="single" w:sz="2" w:space="0" w:color="auto"/>
              <w:left w:val="nil"/>
              <w:bottom w:val="single" w:sz="2" w:space="0" w:color="auto"/>
              <w:right w:val="nil"/>
            </w:tcBorders>
            <w:shd w:val="clear" w:color="auto" w:fill="auto"/>
            <w:vAlign w:val="center"/>
            <w:hideMark/>
          </w:tcPr>
          <w:p w14:paraId="7C65F077"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21</w:t>
            </w:r>
          </w:p>
        </w:tc>
        <w:tc>
          <w:tcPr>
            <w:tcW w:w="526" w:type="pct"/>
            <w:tcBorders>
              <w:top w:val="single" w:sz="2" w:space="0" w:color="auto"/>
              <w:left w:val="nil"/>
              <w:bottom w:val="single" w:sz="2" w:space="0" w:color="auto"/>
              <w:right w:val="nil"/>
            </w:tcBorders>
            <w:shd w:val="clear" w:color="auto" w:fill="auto"/>
            <w:noWrap/>
            <w:vAlign w:val="center"/>
            <w:hideMark/>
          </w:tcPr>
          <w:p w14:paraId="6DC701FC"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14</w:t>
            </w:r>
          </w:p>
        </w:tc>
      </w:tr>
      <w:tr w:rsidR="00433C0C" w:rsidRPr="00BD33B6" w14:paraId="222149D1" w14:textId="77777777" w:rsidTr="00433C0C">
        <w:trPr>
          <w:trHeight w:hRule="exact" w:val="255"/>
          <w:jc w:val="center"/>
        </w:trPr>
        <w:tc>
          <w:tcPr>
            <w:tcW w:w="2045" w:type="pct"/>
            <w:tcBorders>
              <w:top w:val="single" w:sz="2" w:space="0" w:color="auto"/>
              <w:left w:val="nil"/>
              <w:bottom w:val="single" w:sz="2" w:space="0" w:color="auto"/>
              <w:right w:val="nil"/>
            </w:tcBorders>
            <w:shd w:val="clear" w:color="auto" w:fill="auto"/>
            <w:vAlign w:val="center"/>
            <w:hideMark/>
          </w:tcPr>
          <w:p w14:paraId="5E479D00" w14:textId="77777777" w:rsidR="0088085F" w:rsidRPr="00BD33B6" w:rsidRDefault="0088085F" w:rsidP="00282AA4">
            <w:pPr>
              <w:pStyle w:val="cuatexto"/>
              <w:jc w:val="left"/>
              <w:rPr>
                <w:sz w:val="18"/>
                <w:szCs w:val="18"/>
              </w:rPr>
            </w:pPr>
            <w:r w:rsidRPr="00BD33B6">
              <w:rPr>
                <w:sz w:val="18"/>
                <w:szCs w:val="18"/>
              </w:rPr>
              <w:t xml:space="preserve">Alcantarillado, </w:t>
            </w:r>
            <w:proofErr w:type="spellStart"/>
            <w:r w:rsidRPr="00BD33B6">
              <w:rPr>
                <w:sz w:val="18"/>
                <w:szCs w:val="18"/>
              </w:rPr>
              <w:t>evacuac</w:t>
            </w:r>
            <w:proofErr w:type="spellEnd"/>
            <w:r w:rsidR="00282AA4" w:rsidRPr="00BD33B6">
              <w:rPr>
                <w:sz w:val="18"/>
                <w:szCs w:val="18"/>
              </w:rPr>
              <w:t>.</w:t>
            </w:r>
            <w:r w:rsidRPr="00BD33B6">
              <w:rPr>
                <w:sz w:val="18"/>
                <w:szCs w:val="18"/>
              </w:rPr>
              <w:t xml:space="preserve"> y </w:t>
            </w:r>
            <w:proofErr w:type="spellStart"/>
            <w:r w:rsidR="00282AA4" w:rsidRPr="00BD33B6">
              <w:rPr>
                <w:sz w:val="18"/>
                <w:szCs w:val="18"/>
              </w:rPr>
              <w:t>tto</w:t>
            </w:r>
            <w:proofErr w:type="spellEnd"/>
            <w:r w:rsidR="00282AA4" w:rsidRPr="00BD33B6">
              <w:rPr>
                <w:sz w:val="18"/>
                <w:szCs w:val="18"/>
              </w:rPr>
              <w:t>.</w:t>
            </w:r>
            <w:r w:rsidRPr="00BD33B6">
              <w:rPr>
                <w:sz w:val="18"/>
                <w:szCs w:val="18"/>
              </w:rPr>
              <w:t xml:space="preserve"> de aguas </w:t>
            </w:r>
            <w:proofErr w:type="spellStart"/>
            <w:r w:rsidRPr="00BD33B6">
              <w:rPr>
                <w:sz w:val="18"/>
                <w:szCs w:val="18"/>
              </w:rPr>
              <w:t>resid</w:t>
            </w:r>
            <w:proofErr w:type="spellEnd"/>
            <w:r w:rsidR="00282AA4" w:rsidRPr="00BD33B6">
              <w:rPr>
                <w:sz w:val="18"/>
                <w:szCs w:val="18"/>
              </w:rPr>
              <w:t>.</w:t>
            </w:r>
          </w:p>
        </w:tc>
        <w:tc>
          <w:tcPr>
            <w:tcW w:w="703" w:type="pct"/>
            <w:tcBorders>
              <w:top w:val="single" w:sz="2" w:space="0" w:color="auto"/>
              <w:left w:val="nil"/>
              <w:bottom w:val="single" w:sz="2" w:space="0" w:color="auto"/>
              <w:right w:val="nil"/>
            </w:tcBorders>
            <w:vAlign w:val="center"/>
          </w:tcPr>
          <w:p w14:paraId="7C5EEF33"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6,08</w:t>
            </w:r>
          </w:p>
        </w:tc>
        <w:tc>
          <w:tcPr>
            <w:tcW w:w="658" w:type="pct"/>
            <w:tcBorders>
              <w:top w:val="single" w:sz="2" w:space="0" w:color="auto"/>
              <w:left w:val="nil"/>
              <w:bottom w:val="single" w:sz="2" w:space="0" w:color="auto"/>
              <w:right w:val="nil"/>
            </w:tcBorders>
            <w:shd w:val="clear" w:color="auto" w:fill="auto"/>
            <w:vAlign w:val="center"/>
            <w:hideMark/>
          </w:tcPr>
          <w:p w14:paraId="610B6E70"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19,58</w:t>
            </w:r>
          </w:p>
        </w:tc>
        <w:tc>
          <w:tcPr>
            <w:tcW w:w="534" w:type="pct"/>
            <w:tcBorders>
              <w:top w:val="single" w:sz="2" w:space="0" w:color="auto"/>
              <w:left w:val="nil"/>
              <w:bottom w:val="single" w:sz="2" w:space="0" w:color="auto"/>
              <w:right w:val="nil"/>
            </w:tcBorders>
            <w:vAlign w:val="center"/>
          </w:tcPr>
          <w:p w14:paraId="0E98A2B8"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13,50</w:t>
            </w:r>
          </w:p>
        </w:tc>
        <w:tc>
          <w:tcPr>
            <w:tcW w:w="534" w:type="pct"/>
            <w:tcBorders>
              <w:top w:val="single" w:sz="2" w:space="0" w:color="auto"/>
              <w:left w:val="nil"/>
              <w:bottom w:val="single" w:sz="2" w:space="0" w:color="auto"/>
              <w:right w:val="nil"/>
            </w:tcBorders>
            <w:shd w:val="clear" w:color="auto" w:fill="auto"/>
            <w:vAlign w:val="center"/>
            <w:hideMark/>
          </w:tcPr>
          <w:p w14:paraId="10A73321"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4</w:t>
            </w:r>
          </w:p>
        </w:tc>
        <w:tc>
          <w:tcPr>
            <w:tcW w:w="526" w:type="pct"/>
            <w:tcBorders>
              <w:top w:val="single" w:sz="2" w:space="0" w:color="auto"/>
              <w:left w:val="nil"/>
              <w:bottom w:val="single" w:sz="2" w:space="0" w:color="auto"/>
              <w:right w:val="nil"/>
            </w:tcBorders>
            <w:shd w:val="clear" w:color="auto" w:fill="auto"/>
            <w:noWrap/>
            <w:vAlign w:val="center"/>
            <w:hideMark/>
          </w:tcPr>
          <w:p w14:paraId="79613AFF"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9</w:t>
            </w:r>
          </w:p>
        </w:tc>
      </w:tr>
      <w:tr w:rsidR="00433C0C" w:rsidRPr="00BD33B6" w14:paraId="23B2F6C8" w14:textId="77777777" w:rsidTr="00433C0C">
        <w:trPr>
          <w:trHeight w:hRule="exact" w:val="255"/>
          <w:jc w:val="center"/>
        </w:trPr>
        <w:tc>
          <w:tcPr>
            <w:tcW w:w="2045" w:type="pct"/>
            <w:tcBorders>
              <w:top w:val="single" w:sz="2" w:space="0" w:color="auto"/>
              <w:left w:val="nil"/>
              <w:bottom w:val="single" w:sz="2" w:space="0" w:color="auto"/>
              <w:right w:val="nil"/>
            </w:tcBorders>
            <w:shd w:val="clear" w:color="auto" w:fill="auto"/>
            <w:vAlign w:val="center"/>
            <w:hideMark/>
          </w:tcPr>
          <w:p w14:paraId="72199018" w14:textId="77777777" w:rsidR="0088085F" w:rsidRPr="00BD33B6" w:rsidRDefault="0088085F" w:rsidP="00527F65">
            <w:pPr>
              <w:pStyle w:val="cuatexto"/>
              <w:jc w:val="left"/>
              <w:rPr>
                <w:sz w:val="18"/>
                <w:szCs w:val="18"/>
              </w:rPr>
            </w:pPr>
            <w:r w:rsidRPr="00BD33B6">
              <w:rPr>
                <w:sz w:val="18"/>
                <w:szCs w:val="18"/>
              </w:rPr>
              <w:t>Limpieza viaria</w:t>
            </w:r>
          </w:p>
        </w:tc>
        <w:tc>
          <w:tcPr>
            <w:tcW w:w="703" w:type="pct"/>
            <w:tcBorders>
              <w:top w:val="single" w:sz="2" w:space="0" w:color="auto"/>
              <w:left w:val="nil"/>
              <w:bottom w:val="single" w:sz="2" w:space="0" w:color="auto"/>
              <w:right w:val="nil"/>
            </w:tcBorders>
            <w:vAlign w:val="center"/>
          </w:tcPr>
          <w:p w14:paraId="59B9D943"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17,22</w:t>
            </w:r>
          </w:p>
        </w:tc>
        <w:tc>
          <w:tcPr>
            <w:tcW w:w="658" w:type="pct"/>
            <w:tcBorders>
              <w:top w:val="single" w:sz="2" w:space="0" w:color="auto"/>
              <w:left w:val="nil"/>
              <w:bottom w:val="single" w:sz="2" w:space="0" w:color="auto"/>
              <w:right w:val="nil"/>
            </w:tcBorders>
            <w:shd w:val="clear" w:color="auto" w:fill="auto"/>
            <w:vAlign w:val="center"/>
            <w:hideMark/>
          </w:tcPr>
          <w:p w14:paraId="49D0B296"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17,22</w:t>
            </w:r>
          </w:p>
        </w:tc>
        <w:tc>
          <w:tcPr>
            <w:tcW w:w="534" w:type="pct"/>
            <w:tcBorders>
              <w:top w:val="single" w:sz="2" w:space="0" w:color="auto"/>
              <w:left w:val="nil"/>
              <w:bottom w:val="single" w:sz="2" w:space="0" w:color="auto"/>
              <w:right w:val="nil"/>
            </w:tcBorders>
            <w:vAlign w:val="center"/>
          </w:tcPr>
          <w:p w14:paraId="665FF6C3"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w:t>
            </w:r>
          </w:p>
        </w:tc>
        <w:tc>
          <w:tcPr>
            <w:tcW w:w="534" w:type="pct"/>
            <w:tcBorders>
              <w:top w:val="single" w:sz="2" w:space="0" w:color="auto"/>
              <w:left w:val="nil"/>
              <w:bottom w:val="single" w:sz="2" w:space="0" w:color="auto"/>
              <w:right w:val="nil"/>
            </w:tcBorders>
            <w:shd w:val="clear" w:color="auto" w:fill="auto"/>
            <w:vAlign w:val="center"/>
            <w:hideMark/>
          </w:tcPr>
          <w:p w14:paraId="0A8A819E"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12</w:t>
            </w:r>
          </w:p>
        </w:tc>
        <w:tc>
          <w:tcPr>
            <w:tcW w:w="526" w:type="pct"/>
            <w:tcBorders>
              <w:top w:val="single" w:sz="2" w:space="0" w:color="auto"/>
              <w:left w:val="nil"/>
              <w:bottom w:val="single" w:sz="2" w:space="0" w:color="auto"/>
              <w:right w:val="nil"/>
            </w:tcBorders>
            <w:shd w:val="clear" w:color="auto" w:fill="auto"/>
            <w:noWrap/>
            <w:vAlign w:val="center"/>
            <w:hideMark/>
          </w:tcPr>
          <w:p w14:paraId="7E9B37A7"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8</w:t>
            </w:r>
          </w:p>
        </w:tc>
      </w:tr>
      <w:tr w:rsidR="00433C0C" w:rsidRPr="00BD33B6" w14:paraId="41B7ED62" w14:textId="77777777" w:rsidTr="00433C0C">
        <w:trPr>
          <w:trHeight w:hRule="exact" w:val="255"/>
          <w:jc w:val="center"/>
        </w:trPr>
        <w:tc>
          <w:tcPr>
            <w:tcW w:w="2045" w:type="pct"/>
            <w:tcBorders>
              <w:top w:val="single" w:sz="2" w:space="0" w:color="auto"/>
              <w:left w:val="nil"/>
              <w:bottom w:val="single" w:sz="2" w:space="0" w:color="auto"/>
              <w:right w:val="nil"/>
            </w:tcBorders>
            <w:shd w:val="clear" w:color="auto" w:fill="auto"/>
            <w:vAlign w:val="center"/>
            <w:hideMark/>
          </w:tcPr>
          <w:p w14:paraId="23B22CE7" w14:textId="77777777" w:rsidR="0088085F" w:rsidRPr="00BD33B6" w:rsidRDefault="0088085F" w:rsidP="00527F65">
            <w:pPr>
              <w:pStyle w:val="cuatexto"/>
              <w:jc w:val="left"/>
              <w:rPr>
                <w:sz w:val="18"/>
                <w:szCs w:val="18"/>
              </w:rPr>
            </w:pPr>
            <w:r w:rsidRPr="00BD33B6">
              <w:rPr>
                <w:sz w:val="18"/>
                <w:szCs w:val="18"/>
              </w:rPr>
              <w:t>Otros servicios de bienestar comunitario</w:t>
            </w:r>
          </w:p>
        </w:tc>
        <w:tc>
          <w:tcPr>
            <w:tcW w:w="703" w:type="pct"/>
            <w:tcBorders>
              <w:top w:val="single" w:sz="2" w:space="0" w:color="auto"/>
              <w:left w:val="nil"/>
              <w:bottom w:val="single" w:sz="2" w:space="0" w:color="auto"/>
              <w:right w:val="nil"/>
            </w:tcBorders>
            <w:vAlign w:val="center"/>
          </w:tcPr>
          <w:p w14:paraId="05715005"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2,86</w:t>
            </w:r>
          </w:p>
        </w:tc>
        <w:tc>
          <w:tcPr>
            <w:tcW w:w="658" w:type="pct"/>
            <w:tcBorders>
              <w:top w:val="single" w:sz="2" w:space="0" w:color="auto"/>
              <w:left w:val="nil"/>
              <w:bottom w:val="single" w:sz="2" w:space="0" w:color="auto"/>
              <w:right w:val="nil"/>
            </w:tcBorders>
            <w:shd w:val="clear" w:color="auto" w:fill="auto"/>
            <w:vAlign w:val="center"/>
            <w:hideMark/>
          </w:tcPr>
          <w:p w14:paraId="671788D6"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2,86</w:t>
            </w:r>
          </w:p>
        </w:tc>
        <w:tc>
          <w:tcPr>
            <w:tcW w:w="534" w:type="pct"/>
            <w:tcBorders>
              <w:top w:val="single" w:sz="2" w:space="0" w:color="auto"/>
              <w:left w:val="nil"/>
              <w:bottom w:val="single" w:sz="2" w:space="0" w:color="auto"/>
              <w:right w:val="nil"/>
            </w:tcBorders>
            <w:vAlign w:val="center"/>
          </w:tcPr>
          <w:p w14:paraId="0CE95C5A"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w:t>
            </w:r>
          </w:p>
        </w:tc>
        <w:tc>
          <w:tcPr>
            <w:tcW w:w="534" w:type="pct"/>
            <w:tcBorders>
              <w:top w:val="single" w:sz="2" w:space="0" w:color="auto"/>
              <w:left w:val="nil"/>
              <w:bottom w:val="single" w:sz="2" w:space="0" w:color="auto"/>
              <w:right w:val="nil"/>
            </w:tcBorders>
            <w:shd w:val="clear" w:color="auto" w:fill="auto"/>
            <w:vAlign w:val="center"/>
            <w:hideMark/>
          </w:tcPr>
          <w:p w14:paraId="6F889DAB"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w:t>
            </w:r>
          </w:p>
        </w:tc>
        <w:tc>
          <w:tcPr>
            <w:tcW w:w="526" w:type="pct"/>
            <w:tcBorders>
              <w:top w:val="single" w:sz="2" w:space="0" w:color="auto"/>
              <w:left w:val="nil"/>
              <w:bottom w:val="single" w:sz="2" w:space="0" w:color="auto"/>
              <w:right w:val="nil"/>
            </w:tcBorders>
            <w:shd w:val="clear" w:color="auto" w:fill="auto"/>
            <w:noWrap/>
            <w:vAlign w:val="center"/>
            <w:hideMark/>
          </w:tcPr>
          <w:p w14:paraId="67159311"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1</w:t>
            </w:r>
          </w:p>
        </w:tc>
      </w:tr>
      <w:tr w:rsidR="00433C0C" w:rsidRPr="00BD33B6" w14:paraId="35055347" w14:textId="77777777" w:rsidTr="00433C0C">
        <w:trPr>
          <w:trHeight w:hRule="exact" w:val="255"/>
          <w:jc w:val="center"/>
        </w:trPr>
        <w:tc>
          <w:tcPr>
            <w:tcW w:w="2045" w:type="pct"/>
            <w:tcBorders>
              <w:top w:val="single" w:sz="2" w:space="0" w:color="auto"/>
              <w:left w:val="nil"/>
              <w:bottom w:val="single" w:sz="4" w:space="0" w:color="auto"/>
              <w:right w:val="nil"/>
            </w:tcBorders>
            <w:shd w:val="clear" w:color="auto" w:fill="auto"/>
            <w:vAlign w:val="center"/>
          </w:tcPr>
          <w:p w14:paraId="481AAC42" w14:textId="77777777" w:rsidR="0088085F" w:rsidRPr="00BD33B6" w:rsidRDefault="0088085F" w:rsidP="00527F65">
            <w:pPr>
              <w:pStyle w:val="cuatexto"/>
              <w:jc w:val="left"/>
              <w:rPr>
                <w:sz w:val="18"/>
                <w:szCs w:val="18"/>
              </w:rPr>
            </w:pPr>
            <w:r w:rsidRPr="00BD33B6">
              <w:rPr>
                <w:sz w:val="18"/>
                <w:szCs w:val="18"/>
              </w:rPr>
              <w:t>Cementerio</w:t>
            </w:r>
          </w:p>
        </w:tc>
        <w:tc>
          <w:tcPr>
            <w:tcW w:w="703" w:type="pct"/>
            <w:tcBorders>
              <w:top w:val="single" w:sz="2" w:space="0" w:color="auto"/>
              <w:left w:val="nil"/>
              <w:bottom w:val="single" w:sz="4" w:space="0" w:color="auto"/>
              <w:right w:val="nil"/>
            </w:tcBorders>
            <w:vAlign w:val="center"/>
          </w:tcPr>
          <w:p w14:paraId="424F29C8"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2,33</w:t>
            </w:r>
          </w:p>
        </w:tc>
        <w:tc>
          <w:tcPr>
            <w:tcW w:w="658" w:type="pct"/>
            <w:tcBorders>
              <w:top w:val="single" w:sz="2" w:space="0" w:color="auto"/>
              <w:left w:val="nil"/>
              <w:bottom w:val="single" w:sz="4" w:space="0" w:color="auto"/>
              <w:right w:val="nil"/>
            </w:tcBorders>
            <w:shd w:val="clear" w:color="auto" w:fill="auto"/>
            <w:vAlign w:val="center"/>
          </w:tcPr>
          <w:p w14:paraId="7202B445"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2,33</w:t>
            </w:r>
          </w:p>
        </w:tc>
        <w:tc>
          <w:tcPr>
            <w:tcW w:w="534" w:type="pct"/>
            <w:tcBorders>
              <w:top w:val="single" w:sz="2" w:space="0" w:color="auto"/>
              <w:left w:val="nil"/>
              <w:bottom w:val="single" w:sz="4" w:space="0" w:color="auto"/>
              <w:right w:val="nil"/>
            </w:tcBorders>
            <w:vAlign w:val="center"/>
          </w:tcPr>
          <w:p w14:paraId="6CCABA5E"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w:t>
            </w:r>
          </w:p>
        </w:tc>
        <w:tc>
          <w:tcPr>
            <w:tcW w:w="534" w:type="pct"/>
            <w:tcBorders>
              <w:top w:val="single" w:sz="2" w:space="0" w:color="auto"/>
              <w:left w:val="nil"/>
              <w:bottom w:val="single" w:sz="4" w:space="0" w:color="auto"/>
              <w:right w:val="nil"/>
            </w:tcBorders>
            <w:shd w:val="clear" w:color="auto" w:fill="auto"/>
            <w:vAlign w:val="center"/>
          </w:tcPr>
          <w:p w14:paraId="385C995E"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2</w:t>
            </w:r>
          </w:p>
        </w:tc>
        <w:tc>
          <w:tcPr>
            <w:tcW w:w="526" w:type="pct"/>
            <w:tcBorders>
              <w:top w:val="single" w:sz="2" w:space="0" w:color="auto"/>
              <w:left w:val="nil"/>
              <w:bottom w:val="single" w:sz="4" w:space="0" w:color="auto"/>
              <w:right w:val="nil"/>
            </w:tcBorders>
            <w:shd w:val="clear" w:color="auto" w:fill="auto"/>
            <w:noWrap/>
            <w:vAlign w:val="center"/>
          </w:tcPr>
          <w:p w14:paraId="5374704E" w14:textId="77777777" w:rsidR="0088085F" w:rsidRPr="00BD33B6" w:rsidRDefault="0088085F" w:rsidP="00527F65">
            <w:pPr>
              <w:pStyle w:val="cuatexto"/>
              <w:jc w:val="right"/>
              <w:rPr>
                <w:color w:val="000000" w:themeColor="text1"/>
                <w:sz w:val="18"/>
                <w:szCs w:val="18"/>
                <w:lang w:val="es-ES" w:eastAsia="es-ES"/>
              </w:rPr>
            </w:pPr>
            <w:r w:rsidRPr="00BD33B6">
              <w:rPr>
                <w:color w:val="000000" w:themeColor="text1"/>
                <w:sz w:val="18"/>
                <w:szCs w:val="18"/>
                <w:lang w:val="es-ES" w:eastAsia="es-ES"/>
              </w:rPr>
              <w:t>1</w:t>
            </w:r>
          </w:p>
        </w:tc>
      </w:tr>
      <w:tr w:rsidR="00433C0C" w:rsidRPr="00B70238" w14:paraId="55551F56" w14:textId="77777777" w:rsidTr="00433C0C">
        <w:trPr>
          <w:trHeight w:val="312"/>
          <w:jc w:val="center"/>
        </w:trPr>
        <w:tc>
          <w:tcPr>
            <w:tcW w:w="2045" w:type="pct"/>
            <w:tcBorders>
              <w:top w:val="single" w:sz="4" w:space="0" w:color="auto"/>
              <w:left w:val="nil"/>
              <w:bottom w:val="single" w:sz="4" w:space="0" w:color="auto"/>
              <w:right w:val="nil"/>
            </w:tcBorders>
            <w:shd w:val="clear" w:color="auto" w:fill="FABF8F" w:themeFill="accent6" w:themeFillTint="99"/>
            <w:vAlign w:val="center"/>
          </w:tcPr>
          <w:p w14:paraId="285896B2" w14:textId="77777777" w:rsidR="0088085F" w:rsidRPr="00B70238" w:rsidRDefault="0088085F" w:rsidP="00527F65">
            <w:pPr>
              <w:pStyle w:val="cuadroCabe"/>
              <w:jc w:val="left"/>
              <w:rPr>
                <w:rFonts w:cs="Arial"/>
                <w:sz w:val="16"/>
                <w:szCs w:val="16"/>
              </w:rPr>
            </w:pPr>
            <w:r w:rsidRPr="00B70238">
              <w:rPr>
                <w:rFonts w:cs="Arial"/>
                <w:sz w:val="16"/>
                <w:szCs w:val="16"/>
              </w:rPr>
              <w:t>Total Bienestar Comunitario</w:t>
            </w:r>
          </w:p>
        </w:tc>
        <w:tc>
          <w:tcPr>
            <w:tcW w:w="703" w:type="pct"/>
            <w:tcBorders>
              <w:top w:val="single" w:sz="4" w:space="0" w:color="auto"/>
              <w:left w:val="nil"/>
              <w:bottom w:val="single" w:sz="4" w:space="0" w:color="auto"/>
              <w:right w:val="nil"/>
            </w:tcBorders>
            <w:shd w:val="clear" w:color="auto" w:fill="FABF8F" w:themeFill="accent6" w:themeFillTint="99"/>
            <w:vAlign w:val="center"/>
          </w:tcPr>
          <w:p w14:paraId="699A0493" w14:textId="77777777" w:rsidR="0088085F" w:rsidRPr="00B70238" w:rsidRDefault="0088085F" w:rsidP="00527F65">
            <w:pPr>
              <w:pStyle w:val="cuadroCabe"/>
              <w:jc w:val="right"/>
              <w:rPr>
                <w:rFonts w:cs="Arial"/>
                <w:color w:val="000000" w:themeColor="text1"/>
                <w:sz w:val="16"/>
                <w:szCs w:val="16"/>
                <w:lang w:val="es-ES" w:eastAsia="es-ES"/>
              </w:rPr>
            </w:pPr>
            <w:r w:rsidRPr="00B70238">
              <w:rPr>
                <w:rFonts w:cs="Arial"/>
                <w:color w:val="000000" w:themeColor="text1"/>
                <w:sz w:val="16"/>
                <w:szCs w:val="16"/>
                <w:lang w:val="es-ES" w:eastAsia="es-ES"/>
              </w:rPr>
              <w:t>139,18</w:t>
            </w:r>
          </w:p>
        </w:tc>
        <w:tc>
          <w:tcPr>
            <w:tcW w:w="658" w:type="pct"/>
            <w:tcBorders>
              <w:top w:val="single" w:sz="4" w:space="0" w:color="auto"/>
              <w:left w:val="nil"/>
              <w:bottom w:val="single" w:sz="4" w:space="0" w:color="auto"/>
              <w:right w:val="nil"/>
            </w:tcBorders>
            <w:shd w:val="clear" w:color="auto" w:fill="FABF8F" w:themeFill="accent6" w:themeFillTint="99"/>
            <w:vAlign w:val="center"/>
          </w:tcPr>
          <w:p w14:paraId="54AE7A68" w14:textId="77777777" w:rsidR="0088085F" w:rsidRPr="00B70238" w:rsidRDefault="0088085F" w:rsidP="00527F65">
            <w:pPr>
              <w:pStyle w:val="cuadroCabe"/>
              <w:jc w:val="right"/>
              <w:rPr>
                <w:rFonts w:cs="Arial"/>
                <w:color w:val="000000" w:themeColor="text1"/>
                <w:sz w:val="16"/>
                <w:szCs w:val="16"/>
                <w:lang w:val="es-ES" w:eastAsia="es-ES"/>
              </w:rPr>
            </w:pPr>
            <w:r w:rsidRPr="00B70238">
              <w:rPr>
                <w:rFonts w:cs="Arial"/>
                <w:color w:val="000000" w:themeColor="text1"/>
                <w:sz w:val="16"/>
                <w:szCs w:val="16"/>
                <w:lang w:val="es-ES" w:eastAsia="es-ES"/>
              </w:rPr>
              <w:t>209,38</w:t>
            </w:r>
          </w:p>
        </w:tc>
        <w:tc>
          <w:tcPr>
            <w:tcW w:w="534" w:type="pct"/>
            <w:tcBorders>
              <w:top w:val="single" w:sz="4" w:space="0" w:color="auto"/>
              <w:left w:val="nil"/>
              <w:bottom w:val="single" w:sz="4" w:space="0" w:color="auto"/>
              <w:right w:val="nil"/>
            </w:tcBorders>
            <w:shd w:val="clear" w:color="auto" w:fill="FABF8F" w:themeFill="accent6" w:themeFillTint="99"/>
            <w:vAlign w:val="center"/>
          </w:tcPr>
          <w:p w14:paraId="449ABD0D" w14:textId="77777777" w:rsidR="0088085F" w:rsidRPr="00B70238" w:rsidRDefault="0088085F" w:rsidP="00527F65">
            <w:pPr>
              <w:pStyle w:val="cuadroCabe"/>
              <w:jc w:val="right"/>
              <w:rPr>
                <w:rFonts w:cs="Arial"/>
                <w:color w:val="000000" w:themeColor="text1"/>
                <w:sz w:val="16"/>
                <w:szCs w:val="16"/>
                <w:lang w:val="es-ES" w:eastAsia="es-ES"/>
              </w:rPr>
            </w:pPr>
            <w:r w:rsidRPr="00B70238">
              <w:rPr>
                <w:rFonts w:cs="Arial"/>
                <w:color w:val="000000" w:themeColor="text1"/>
                <w:sz w:val="16"/>
                <w:szCs w:val="16"/>
                <w:lang w:val="es-ES" w:eastAsia="es-ES"/>
              </w:rPr>
              <w:t>70,20</w:t>
            </w:r>
          </w:p>
        </w:tc>
        <w:tc>
          <w:tcPr>
            <w:tcW w:w="534" w:type="pct"/>
            <w:tcBorders>
              <w:top w:val="single" w:sz="4" w:space="0" w:color="auto"/>
              <w:left w:val="nil"/>
              <w:bottom w:val="single" w:sz="4" w:space="0" w:color="auto"/>
              <w:right w:val="nil"/>
            </w:tcBorders>
            <w:shd w:val="clear" w:color="auto" w:fill="FABF8F" w:themeFill="accent6" w:themeFillTint="99"/>
            <w:vAlign w:val="center"/>
          </w:tcPr>
          <w:p w14:paraId="7F536A52" w14:textId="77777777" w:rsidR="0088085F" w:rsidRPr="00B70238" w:rsidRDefault="0088085F" w:rsidP="00527F65">
            <w:pPr>
              <w:pStyle w:val="cuadroCabe"/>
              <w:jc w:val="right"/>
              <w:rPr>
                <w:rFonts w:cs="Arial"/>
                <w:color w:val="000000" w:themeColor="text1"/>
                <w:sz w:val="16"/>
                <w:szCs w:val="16"/>
                <w:lang w:val="es-ES" w:eastAsia="es-ES"/>
              </w:rPr>
            </w:pPr>
            <w:r w:rsidRPr="00B70238">
              <w:rPr>
                <w:rFonts w:cs="Arial"/>
                <w:color w:val="000000" w:themeColor="text1"/>
                <w:sz w:val="16"/>
                <w:szCs w:val="16"/>
                <w:lang w:val="es-ES" w:eastAsia="es-ES"/>
              </w:rPr>
              <w:t>100</w:t>
            </w:r>
          </w:p>
        </w:tc>
        <w:tc>
          <w:tcPr>
            <w:tcW w:w="526" w:type="pct"/>
            <w:tcBorders>
              <w:top w:val="single" w:sz="4" w:space="0" w:color="auto"/>
              <w:left w:val="nil"/>
              <w:bottom w:val="single" w:sz="4" w:space="0" w:color="auto"/>
              <w:right w:val="nil"/>
            </w:tcBorders>
            <w:shd w:val="clear" w:color="auto" w:fill="FABF8F" w:themeFill="accent6" w:themeFillTint="99"/>
            <w:noWrap/>
            <w:vAlign w:val="center"/>
          </w:tcPr>
          <w:p w14:paraId="3E22BA62" w14:textId="77777777" w:rsidR="0088085F" w:rsidRPr="00B70238" w:rsidRDefault="0088085F" w:rsidP="00527F65">
            <w:pPr>
              <w:pStyle w:val="cuadroCabe"/>
              <w:jc w:val="right"/>
              <w:rPr>
                <w:rFonts w:cs="Arial"/>
                <w:color w:val="000000" w:themeColor="text1"/>
                <w:sz w:val="16"/>
                <w:szCs w:val="16"/>
                <w:lang w:val="es-ES" w:eastAsia="es-ES"/>
              </w:rPr>
            </w:pPr>
            <w:r w:rsidRPr="00B70238">
              <w:rPr>
                <w:rFonts w:cs="Arial"/>
                <w:color w:val="000000" w:themeColor="text1"/>
                <w:sz w:val="16"/>
                <w:szCs w:val="16"/>
                <w:lang w:val="es-ES" w:eastAsia="es-ES"/>
              </w:rPr>
              <w:t>100</w:t>
            </w:r>
          </w:p>
        </w:tc>
      </w:tr>
    </w:tbl>
    <w:p w14:paraId="3DA00900" w14:textId="77777777" w:rsidR="0088085F" w:rsidRPr="00262228" w:rsidRDefault="0088085F" w:rsidP="00527F65">
      <w:pPr>
        <w:pStyle w:val="texto"/>
        <w:spacing w:before="240"/>
      </w:pPr>
      <w:r w:rsidRPr="00262228">
        <w:t>Todo el gasto de la SCPSA, 70,2 millones, se encuadra en la política de gasto de bienestar comunitario. Dicha política represen</w:t>
      </w:r>
      <w:r w:rsidR="005C6682">
        <w:t>ta un gasto consolidado de 209,38</w:t>
      </w:r>
      <w:r w:rsidRPr="00262228">
        <w:t xml:space="preserve"> millones y el 22 por ciento del total de políticas de gasto con un incremento de seis puntos respecto al porcentaje que suponía esta política en el gasto sin consolidar. Los importes y grupos de programa que aumentan son 34,6 millones de recogida, gestión y tratamiento de residuos, 22,1 millones de abastecimiento de agua potable y 13,5 millones de alcantarillado, evacuación y tratamiento de aguas residuales.  </w:t>
      </w:r>
    </w:p>
    <w:p w14:paraId="3F8607E9" w14:textId="77777777" w:rsidR="00527F65" w:rsidRDefault="00527F65">
      <w:pPr>
        <w:spacing w:after="0"/>
        <w:ind w:firstLine="0"/>
        <w:jc w:val="left"/>
        <w:rPr>
          <w:rFonts w:ascii="Arial" w:hAnsi="Arial"/>
          <w:bCs/>
          <w:iCs/>
          <w:color w:val="000000" w:themeColor="text1"/>
          <w:spacing w:val="10"/>
          <w:kern w:val="28"/>
          <w:sz w:val="25"/>
          <w:szCs w:val="26"/>
        </w:rPr>
      </w:pPr>
      <w:bookmarkStart w:id="75" w:name="_Toc465686690"/>
      <w:bookmarkStart w:id="76" w:name="_Toc529773884"/>
      <w:bookmarkStart w:id="77" w:name="_Toc24100145"/>
      <w:bookmarkStart w:id="78" w:name="_Toc52348293"/>
      <w:bookmarkStart w:id="79" w:name="_Toc89161270"/>
      <w:r>
        <w:rPr>
          <w:color w:val="000000" w:themeColor="text1"/>
        </w:rPr>
        <w:br w:type="page"/>
      </w:r>
    </w:p>
    <w:p w14:paraId="13EA575B" w14:textId="77777777" w:rsidR="0088085F" w:rsidRPr="00B81E61" w:rsidRDefault="0088085F" w:rsidP="0088085F">
      <w:pPr>
        <w:pStyle w:val="atitulo2"/>
        <w:spacing w:before="180" w:after="120"/>
        <w:rPr>
          <w:color w:val="000000" w:themeColor="text1"/>
        </w:rPr>
      </w:pPr>
      <w:bookmarkStart w:id="80" w:name="_Toc90969149"/>
      <w:r w:rsidRPr="00B81E61">
        <w:rPr>
          <w:color w:val="000000" w:themeColor="text1"/>
        </w:rPr>
        <w:lastRenderedPageBreak/>
        <w:t xml:space="preserve">V.3. </w:t>
      </w:r>
      <w:bookmarkEnd w:id="75"/>
      <w:r w:rsidRPr="00B81E61">
        <w:rPr>
          <w:color w:val="000000" w:themeColor="text1"/>
        </w:rPr>
        <w:t>Indicadores</w:t>
      </w:r>
      <w:bookmarkEnd w:id="76"/>
      <w:bookmarkEnd w:id="77"/>
      <w:bookmarkEnd w:id="78"/>
      <w:bookmarkEnd w:id="79"/>
      <w:bookmarkEnd w:id="80"/>
    </w:p>
    <w:p w14:paraId="2025EC24" w14:textId="77777777" w:rsidR="0088085F" w:rsidRPr="00262228" w:rsidRDefault="0088085F" w:rsidP="00CF6E96">
      <w:pPr>
        <w:pStyle w:val="texto"/>
        <w:spacing w:after="200"/>
      </w:pPr>
      <w:r w:rsidRPr="00262228">
        <w:t>En el siguiente cuadro mostramos la evolución y distribución de cada 100 euros gastados en el sector público local y su financiación, sin considerar los datos de SCPSA:</w:t>
      </w:r>
    </w:p>
    <w:tbl>
      <w:tblPr>
        <w:tblW w:w="876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52"/>
        <w:gridCol w:w="780"/>
        <w:gridCol w:w="989"/>
        <w:gridCol w:w="2622"/>
        <w:gridCol w:w="799"/>
        <w:gridCol w:w="1019"/>
      </w:tblGrid>
      <w:tr w:rsidR="0088085F" w:rsidRPr="00B81E61" w14:paraId="4BADA22E" w14:textId="77777777" w:rsidTr="002A2D86">
        <w:trPr>
          <w:trHeight w:val="284"/>
          <w:jc w:val="center"/>
        </w:trPr>
        <w:tc>
          <w:tcPr>
            <w:tcW w:w="2552" w:type="dxa"/>
            <w:tcBorders>
              <w:bottom w:val="single" w:sz="4" w:space="0" w:color="auto"/>
            </w:tcBorders>
            <w:shd w:val="clear" w:color="auto" w:fill="FABF8F" w:themeFill="accent6" w:themeFillTint="99"/>
            <w:vAlign w:val="center"/>
          </w:tcPr>
          <w:p w14:paraId="69E0EFC0" w14:textId="77777777" w:rsidR="0088085F" w:rsidRPr="00B81E61" w:rsidRDefault="0088085F" w:rsidP="00527F65">
            <w:pPr>
              <w:pStyle w:val="cuadroCabe"/>
              <w:jc w:val="left"/>
              <w:rPr>
                <w:color w:val="000000" w:themeColor="text1"/>
              </w:rPr>
            </w:pPr>
            <w:r w:rsidRPr="00B81E61">
              <w:rPr>
                <w:color w:val="000000" w:themeColor="text1"/>
              </w:rPr>
              <w:t>Naturaleza del gasto</w:t>
            </w:r>
          </w:p>
        </w:tc>
        <w:tc>
          <w:tcPr>
            <w:tcW w:w="780" w:type="dxa"/>
            <w:tcBorders>
              <w:bottom w:val="single" w:sz="4" w:space="0" w:color="auto"/>
              <w:right w:val="nil"/>
            </w:tcBorders>
            <w:shd w:val="clear" w:color="auto" w:fill="FABF8F" w:themeFill="accent6" w:themeFillTint="99"/>
            <w:vAlign w:val="center"/>
          </w:tcPr>
          <w:p w14:paraId="755A8E4F" w14:textId="77777777" w:rsidR="0088085F" w:rsidRPr="00B81E61" w:rsidRDefault="0088085F" w:rsidP="00527F65">
            <w:pPr>
              <w:pStyle w:val="cuadroCabe"/>
              <w:jc w:val="right"/>
              <w:rPr>
                <w:color w:val="000000" w:themeColor="text1"/>
              </w:rPr>
            </w:pPr>
            <w:r w:rsidRPr="00B81E61">
              <w:rPr>
                <w:color w:val="000000" w:themeColor="text1"/>
              </w:rPr>
              <w:t>201</w:t>
            </w:r>
            <w:r>
              <w:rPr>
                <w:color w:val="000000" w:themeColor="text1"/>
              </w:rPr>
              <w:t>8</w:t>
            </w:r>
            <w:r w:rsidRPr="00B81E61">
              <w:rPr>
                <w:color w:val="000000" w:themeColor="text1"/>
              </w:rPr>
              <w:t xml:space="preserve"> </w:t>
            </w:r>
          </w:p>
        </w:tc>
        <w:tc>
          <w:tcPr>
            <w:tcW w:w="989" w:type="dxa"/>
            <w:tcBorders>
              <w:left w:val="nil"/>
              <w:bottom w:val="single" w:sz="4" w:space="0" w:color="auto"/>
              <w:right w:val="single" w:sz="4" w:space="0" w:color="auto"/>
            </w:tcBorders>
            <w:shd w:val="clear" w:color="auto" w:fill="FABF8F" w:themeFill="accent6" w:themeFillTint="99"/>
            <w:vAlign w:val="center"/>
          </w:tcPr>
          <w:p w14:paraId="2E126CAE" w14:textId="77777777" w:rsidR="0088085F" w:rsidRPr="00B81E61" w:rsidRDefault="0088085F" w:rsidP="00527F65">
            <w:pPr>
              <w:pStyle w:val="cuadroCabe"/>
              <w:jc w:val="right"/>
              <w:rPr>
                <w:color w:val="000000" w:themeColor="text1"/>
              </w:rPr>
            </w:pPr>
            <w:r w:rsidRPr="00B81E61">
              <w:rPr>
                <w:color w:val="000000" w:themeColor="text1"/>
              </w:rPr>
              <w:t>201</w:t>
            </w:r>
            <w:r>
              <w:rPr>
                <w:color w:val="000000" w:themeColor="text1"/>
              </w:rPr>
              <w:t>9</w:t>
            </w:r>
          </w:p>
        </w:tc>
        <w:tc>
          <w:tcPr>
            <w:tcW w:w="2622" w:type="dxa"/>
            <w:tcBorders>
              <w:left w:val="single" w:sz="4" w:space="0" w:color="auto"/>
              <w:bottom w:val="single" w:sz="4" w:space="0" w:color="auto"/>
            </w:tcBorders>
            <w:shd w:val="clear" w:color="auto" w:fill="FABF8F" w:themeFill="accent6" w:themeFillTint="99"/>
            <w:vAlign w:val="center"/>
          </w:tcPr>
          <w:p w14:paraId="13E00BFB" w14:textId="77777777" w:rsidR="0088085F" w:rsidRPr="00B81E61" w:rsidRDefault="0088085F" w:rsidP="00527F65">
            <w:pPr>
              <w:pStyle w:val="cuadroCabe"/>
              <w:jc w:val="left"/>
              <w:rPr>
                <w:color w:val="000000" w:themeColor="text1"/>
              </w:rPr>
            </w:pPr>
            <w:r w:rsidRPr="00B81E61">
              <w:rPr>
                <w:color w:val="000000" w:themeColor="text1"/>
              </w:rPr>
              <w:t>Fuente de financiación</w:t>
            </w:r>
          </w:p>
        </w:tc>
        <w:tc>
          <w:tcPr>
            <w:tcW w:w="799" w:type="dxa"/>
            <w:tcBorders>
              <w:bottom w:val="single" w:sz="4" w:space="0" w:color="auto"/>
            </w:tcBorders>
            <w:shd w:val="clear" w:color="auto" w:fill="FABF8F" w:themeFill="accent6" w:themeFillTint="99"/>
            <w:vAlign w:val="center"/>
          </w:tcPr>
          <w:p w14:paraId="15385B93" w14:textId="77777777" w:rsidR="0088085F" w:rsidRPr="00B81E61" w:rsidRDefault="0088085F" w:rsidP="00C13CE1">
            <w:pPr>
              <w:pStyle w:val="cuadroCabe"/>
              <w:jc w:val="right"/>
              <w:rPr>
                <w:color w:val="000000" w:themeColor="text1"/>
              </w:rPr>
            </w:pPr>
            <w:r w:rsidRPr="00B81E61">
              <w:rPr>
                <w:color w:val="000000" w:themeColor="text1"/>
              </w:rPr>
              <w:t>201</w:t>
            </w:r>
            <w:r>
              <w:rPr>
                <w:color w:val="000000" w:themeColor="text1"/>
              </w:rPr>
              <w:t>8</w:t>
            </w:r>
          </w:p>
        </w:tc>
        <w:tc>
          <w:tcPr>
            <w:tcW w:w="1019" w:type="dxa"/>
            <w:tcBorders>
              <w:bottom w:val="single" w:sz="4" w:space="0" w:color="auto"/>
            </w:tcBorders>
            <w:shd w:val="clear" w:color="auto" w:fill="FABF8F" w:themeFill="accent6" w:themeFillTint="99"/>
            <w:vAlign w:val="center"/>
          </w:tcPr>
          <w:p w14:paraId="2E1DE381" w14:textId="77777777" w:rsidR="0088085F" w:rsidRPr="00B81E61" w:rsidRDefault="0088085F" w:rsidP="00C13CE1">
            <w:pPr>
              <w:pStyle w:val="cuadroCabe"/>
              <w:jc w:val="right"/>
              <w:rPr>
                <w:color w:val="000000" w:themeColor="text1"/>
              </w:rPr>
            </w:pPr>
            <w:r w:rsidRPr="00B81E61">
              <w:rPr>
                <w:color w:val="000000" w:themeColor="text1"/>
              </w:rPr>
              <w:t>201</w:t>
            </w:r>
            <w:r>
              <w:rPr>
                <w:color w:val="000000" w:themeColor="text1"/>
              </w:rPr>
              <w:t>9</w:t>
            </w:r>
          </w:p>
        </w:tc>
      </w:tr>
      <w:tr w:rsidR="0088085F" w:rsidRPr="00B81E61" w14:paraId="0B7371BC" w14:textId="77777777" w:rsidTr="002A2D86">
        <w:trPr>
          <w:trHeight w:val="198"/>
          <w:jc w:val="center"/>
        </w:trPr>
        <w:tc>
          <w:tcPr>
            <w:tcW w:w="2552" w:type="dxa"/>
            <w:tcBorders>
              <w:bottom w:val="single" w:sz="2" w:space="0" w:color="auto"/>
            </w:tcBorders>
            <w:vAlign w:val="center"/>
          </w:tcPr>
          <w:p w14:paraId="5F33A224" w14:textId="77777777" w:rsidR="0088085F" w:rsidRPr="00B81E61" w:rsidRDefault="0088085F" w:rsidP="00527F65">
            <w:pPr>
              <w:pStyle w:val="cuatexto"/>
              <w:jc w:val="left"/>
              <w:rPr>
                <w:color w:val="000000" w:themeColor="text1"/>
                <w:szCs w:val="18"/>
                <w:lang w:val="es-ES" w:eastAsia="es-ES"/>
              </w:rPr>
            </w:pPr>
            <w:r w:rsidRPr="00B81E61">
              <w:rPr>
                <w:color w:val="000000" w:themeColor="text1"/>
                <w:szCs w:val="18"/>
                <w:lang w:val="es-ES" w:eastAsia="es-ES"/>
              </w:rPr>
              <w:t>Personal</w:t>
            </w:r>
          </w:p>
        </w:tc>
        <w:tc>
          <w:tcPr>
            <w:tcW w:w="780" w:type="dxa"/>
            <w:tcBorders>
              <w:left w:val="nil"/>
              <w:bottom w:val="single" w:sz="2" w:space="0" w:color="auto"/>
              <w:right w:val="nil"/>
            </w:tcBorders>
            <w:vAlign w:val="center"/>
          </w:tcPr>
          <w:p w14:paraId="5AE01A57" w14:textId="77777777" w:rsidR="0088085F" w:rsidRPr="00B81E61" w:rsidRDefault="0088085F" w:rsidP="00527F65">
            <w:pPr>
              <w:pStyle w:val="cuatexto"/>
              <w:jc w:val="right"/>
              <w:rPr>
                <w:color w:val="000000" w:themeColor="text1"/>
                <w:szCs w:val="18"/>
                <w:lang w:val="es-ES" w:eastAsia="es-ES"/>
              </w:rPr>
            </w:pPr>
            <w:r w:rsidRPr="00B81E61">
              <w:rPr>
                <w:color w:val="000000" w:themeColor="text1"/>
                <w:szCs w:val="18"/>
                <w:lang w:val="es-ES" w:eastAsia="es-ES"/>
              </w:rPr>
              <w:t>36</w:t>
            </w:r>
          </w:p>
        </w:tc>
        <w:tc>
          <w:tcPr>
            <w:tcW w:w="989" w:type="dxa"/>
            <w:tcBorders>
              <w:left w:val="nil"/>
              <w:bottom w:val="single" w:sz="2" w:space="0" w:color="auto"/>
              <w:right w:val="single" w:sz="4" w:space="0" w:color="auto"/>
            </w:tcBorders>
            <w:vAlign w:val="center"/>
          </w:tcPr>
          <w:p w14:paraId="625F5E95" w14:textId="77777777" w:rsidR="0088085F" w:rsidRPr="00B81E61" w:rsidRDefault="0088085F" w:rsidP="00527F65">
            <w:pPr>
              <w:pStyle w:val="cuatexto"/>
              <w:jc w:val="right"/>
              <w:rPr>
                <w:color w:val="000000" w:themeColor="text1"/>
                <w:szCs w:val="18"/>
                <w:lang w:val="es-ES" w:eastAsia="es-ES"/>
              </w:rPr>
            </w:pPr>
            <w:r w:rsidRPr="00B81E61">
              <w:rPr>
                <w:color w:val="000000" w:themeColor="text1"/>
                <w:szCs w:val="18"/>
                <w:lang w:val="es-ES" w:eastAsia="es-ES"/>
              </w:rPr>
              <w:t>3</w:t>
            </w:r>
            <w:r>
              <w:rPr>
                <w:color w:val="000000" w:themeColor="text1"/>
                <w:szCs w:val="18"/>
                <w:lang w:val="es-ES" w:eastAsia="es-ES"/>
              </w:rPr>
              <w:t>4</w:t>
            </w:r>
          </w:p>
        </w:tc>
        <w:tc>
          <w:tcPr>
            <w:tcW w:w="2622" w:type="dxa"/>
            <w:tcBorders>
              <w:left w:val="single" w:sz="4" w:space="0" w:color="auto"/>
              <w:bottom w:val="single" w:sz="2" w:space="0" w:color="auto"/>
            </w:tcBorders>
            <w:vAlign w:val="center"/>
          </w:tcPr>
          <w:p w14:paraId="7FBC784E" w14:textId="77777777" w:rsidR="0088085F" w:rsidRPr="00B81E61" w:rsidRDefault="0088085F" w:rsidP="00527F65">
            <w:pPr>
              <w:pStyle w:val="cuatexto"/>
              <w:jc w:val="left"/>
              <w:rPr>
                <w:color w:val="000000" w:themeColor="text1"/>
                <w:szCs w:val="18"/>
                <w:lang w:val="es-ES" w:eastAsia="es-ES"/>
              </w:rPr>
            </w:pPr>
            <w:r w:rsidRPr="00B81E61">
              <w:rPr>
                <w:color w:val="000000" w:themeColor="text1"/>
                <w:szCs w:val="18"/>
                <w:lang w:val="es-ES" w:eastAsia="es-ES"/>
              </w:rPr>
              <w:t>Ingresos tributarios</w:t>
            </w:r>
          </w:p>
        </w:tc>
        <w:tc>
          <w:tcPr>
            <w:tcW w:w="799" w:type="dxa"/>
            <w:tcBorders>
              <w:bottom w:val="single" w:sz="2" w:space="0" w:color="auto"/>
            </w:tcBorders>
            <w:vAlign w:val="center"/>
          </w:tcPr>
          <w:p w14:paraId="7C60440A" w14:textId="77777777" w:rsidR="0088085F" w:rsidRPr="00B81E61" w:rsidRDefault="0088085F" w:rsidP="00C13CE1">
            <w:pPr>
              <w:pStyle w:val="cuatexto"/>
              <w:jc w:val="right"/>
              <w:rPr>
                <w:color w:val="000000" w:themeColor="text1"/>
                <w:szCs w:val="18"/>
                <w:lang w:val="es-ES" w:eastAsia="es-ES"/>
              </w:rPr>
            </w:pPr>
            <w:r w:rsidRPr="00B81E61">
              <w:rPr>
                <w:color w:val="000000" w:themeColor="text1"/>
                <w:szCs w:val="18"/>
                <w:lang w:val="es-ES" w:eastAsia="es-ES"/>
              </w:rPr>
              <w:t>46</w:t>
            </w:r>
          </w:p>
        </w:tc>
        <w:tc>
          <w:tcPr>
            <w:tcW w:w="1019" w:type="dxa"/>
            <w:tcBorders>
              <w:bottom w:val="single" w:sz="2" w:space="0" w:color="auto"/>
            </w:tcBorders>
            <w:vAlign w:val="center"/>
          </w:tcPr>
          <w:p w14:paraId="141F2FA4" w14:textId="77777777" w:rsidR="0088085F" w:rsidRPr="00B81E61" w:rsidRDefault="0088085F" w:rsidP="00C13CE1">
            <w:pPr>
              <w:pStyle w:val="cuatexto"/>
              <w:jc w:val="right"/>
              <w:rPr>
                <w:color w:val="000000" w:themeColor="text1"/>
                <w:szCs w:val="18"/>
                <w:lang w:val="es-ES" w:eastAsia="es-ES"/>
              </w:rPr>
            </w:pPr>
            <w:r>
              <w:rPr>
                <w:color w:val="000000" w:themeColor="text1"/>
                <w:szCs w:val="18"/>
                <w:lang w:val="es-ES" w:eastAsia="es-ES"/>
              </w:rPr>
              <w:t>45</w:t>
            </w:r>
          </w:p>
        </w:tc>
      </w:tr>
      <w:tr w:rsidR="0088085F" w:rsidRPr="00B81E61" w14:paraId="4F8A5641" w14:textId="77777777" w:rsidTr="002A2D86">
        <w:trPr>
          <w:trHeight w:val="198"/>
          <w:jc w:val="center"/>
        </w:trPr>
        <w:tc>
          <w:tcPr>
            <w:tcW w:w="2552" w:type="dxa"/>
            <w:tcBorders>
              <w:top w:val="single" w:sz="2" w:space="0" w:color="auto"/>
              <w:bottom w:val="single" w:sz="2" w:space="0" w:color="auto"/>
            </w:tcBorders>
            <w:vAlign w:val="center"/>
          </w:tcPr>
          <w:p w14:paraId="66DEF3E4" w14:textId="77777777" w:rsidR="0088085F" w:rsidRPr="00B81E61" w:rsidRDefault="0088085F" w:rsidP="00527F65">
            <w:pPr>
              <w:pStyle w:val="cuatexto"/>
              <w:jc w:val="left"/>
              <w:rPr>
                <w:color w:val="000000" w:themeColor="text1"/>
                <w:szCs w:val="18"/>
                <w:lang w:val="es-ES" w:eastAsia="es-ES"/>
              </w:rPr>
            </w:pPr>
            <w:r w:rsidRPr="00B81E61">
              <w:rPr>
                <w:color w:val="000000" w:themeColor="text1"/>
                <w:szCs w:val="18"/>
                <w:lang w:val="es-ES" w:eastAsia="es-ES"/>
              </w:rPr>
              <w:t>Bienes corr</w:t>
            </w:r>
            <w:r>
              <w:rPr>
                <w:color w:val="000000" w:themeColor="text1"/>
                <w:szCs w:val="18"/>
                <w:lang w:val="es-ES" w:eastAsia="es-ES"/>
              </w:rPr>
              <w:t>ientes</w:t>
            </w:r>
            <w:r w:rsidRPr="00B81E61">
              <w:rPr>
                <w:color w:val="000000" w:themeColor="text1"/>
                <w:szCs w:val="18"/>
                <w:lang w:val="es-ES" w:eastAsia="es-ES"/>
              </w:rPr>
              <w:t xml:space="preserve"> y servicios</w:t>
            </w:r>
          </w:p>
        </w:tc>
        <w:tc>
          <w:tcPr>
            <w:tcW w:w="780" w:type="dxa"/>
            <w:tcBorders>
              <w:top w:val="single" w:sz="2" w:space="0" w:color="auto"/>
              <w:left w:val="nil"/>
              <w:bottom w:val="single" w:sz="2" w:space="0" w:color="auto"/>
              <w:right w:val="nil"/>
            </w:tcBorders>
            <w:vAlign w:val="center"/>
          </w:tcPr>
          <w:p w14:paraId="123F4D52" w14:textId="77777777" w:rsidR="0088085F" w:rsidRPr="00B81E61" w:rsidRDefault="0088085F" w:rsidP="00527F65">
            <w:pPr>
              <w:pStyle w:val="cuatexto"/>
              <w:jc w:val="right"/>
              <w:rPr>
                <w:color w:val="000000" w:themeColor="text1"/>
                <w:szCs w:val="18"/>
                <w:lang w:val="es-ES" w:eastAsia="es-ES"/>
              </w:rPr>
            </w:pPr>
            <w:r w:rsidRPr="00B81E61">
              <w:rPr>
                <w:color w:val="000000" w:themeColor="text1"/>
                <w:szCs w:val="18"/>
                <w:lang w:val="es-ES" w:eastAsia="es-ES"/>
              </w:rPr>
              <w:t>35</w:t>
            </w:r>
          </w:p>
        </w:tc>
        <w:tc>
          <w:tcPr>
            <w:tcW w:w="989" w:type="dxa"/>
            <w:tcBorders>
              <w:top w:val="single" w:sz="2" w:space="0" w:color="auto"/>
              <w:left w:val="nil"/>
              <w:bottom w:val="single" w:sz="2" w:space="0" w:color="auto"/>
              <w:right w:val="single" w:sz="4" w:space="0" w:color="auto"/>
            </w:tcBorders>
            <w:vAlign w:val="center"/>
          </w:tcPr>
          <w:p w14:paraId="2185EDF3" w14:textId="77777777" w:rsidR="0088085F" w:rsidRPr="00B81E61" w:rsidRDefault="0088085F" w:rsidP="00527F65">
            <w:pPr>
              <w:pStyle w:val="cuatexto"/>
              <w:jc w:val="right"/>
              <w:rPr>
                <w:color w:val="000000" w:themeColor="text1"/>
                <w:szCs w:val="18"/>
                <w:lang w:val="es-ES" w:eastAsia="es-ES"/>
              </w:rPr>
            </w:pPr>
            <w:r>
              <w:rPr>
                <w:color w:val="000000" w:themeColor="text1"/>
                <w:szCs w:val="18"/>
                <w:lang w:val="es-ES" w:eastAsia="es-ES"/>
              </w:rPr>
              <w:t>32</w:t>
            </w:r>
          </w:p>
        </w:tc>
        <w:tc>
          <w:tcPr>
            <w:tcW w:w="2622" w:type="dxa"/>
            <w:tcBorders>
              <w:top w:val="single" w:sz="2" w:space="0" w:color="auto"/>
              <w:left w:val="single" w:sz="4" w:space="0" w:color="auto"/>
              <w:bottom w:val="single" w:sz="2" w:space="0" w:color="auto"/>
            </w:tcBorders>
            <w:vAlign w:val="center"/>
          </w:tcPr>
          <w:p w14:paraId="2A064EBB" w14:textId="77777777" w:rsidR="0088085F" w:rsidRPr="00B81E61" w:rsidRDefault="0088085F" w:rsidP="00527F65">
            <w:pPr>
              <w:pStyle w:val="cuatexto"/>
              <w:jc w:val="left"/>
              <w:rPr>
                <w:color w:val="000000" w:themeColor="text1"/>
                <w:szCs w:val="18"/>
                <w:lang w:val="es-ES" w:eastAsia="es-ES"/>
              </w:rPr>
            </w:pPr>
            <w:r w:rsidRPr="00B81E61">
              <w:rPr>
                <w:color w:val="000000" w:themeColor="text1"/>
                <w:szCs w:val="18"/>
                <w:lang w:val="es-ES" w:eastAsia="es-ES"/>
              </w:rPr>
              <w:t>Ingresos por transferencias</w:t>
            </w:r>
          </w:p>
        </w:tc>
        <w:tc>
          <w:tcPr>
            <w:tcW w:w="799" w:type="dxa"/>
            <w:tcBorders>
              <w:top w:val="single" w:sz="2" w:space="0" w:color="auto"/>
              <w:bottom w:val="single" w:sz="2" w:space="0" w:color="auto"/>
            </w:tcBorders>
            <w:vAlign w:val="center"/>
          </w:tcPr>
          <w:p w14:paraId="4F073266" w14:textId="77777777" w:rsidR="0088085F" w:rsidRPr="00B81E61" w:rsidRDefault="0088085F" w:rsidP="00C13CE1">
            <w:pPr>
              <w:pStyle w:val="cuatexto"/>
              <w:jc w:val="right"/>
              <w:rPr>
                <w:color w:val="000000" w:themeColor="text1"/>
                <w:szCs w:val="18"/>
                <w:lang w:val="es-ES" w:eastAsia="es-ES"/>
              </w:rPr>
            </w:pPr>
            <w:r w:rsidRPr="00B81E61">
              <w:rPr>
                <w:color w:val="000000" w:themeColor="text1"/>
                <w:szCs w:val="18"/>
                <w:lang w:val="es-ES" w:eastAsia="es-ES"/>
              </w:rPr>
              <w:t>46</w:t>
            </w:r>
          </w:p>
        </w:tc>
        <w:tc>
          <w:tcPr>
            <w:tcW w:w="1019" w:type="dxa"/>
            <w:tcBorders>
              <w:top w:val="single" w:sz="2" w:space="0" w:color="auto"/>
              <w:bottom w:val="single" w:sz="2" w:space="0" w:color="auto"/>
            </w:tcBorders>
            <w:vAlign w:val="center"/>
          </w:tcPr>
          <w:p w14:paraId="6225646B" w14:textId="77777777" w:rsidR="0088085F" w:rsidRPr="00B81E61" w:rsidRDefault="0088085F" w:rsidP="00C13CE1">
            <w:pPr>
              <w:pStyle w:val="cuatexto"/>
              <w:jc w:val="right"/>
              <w:rPr>
                <w:color w:val="000000" w:themeColor="text1"/>
                <w:szCs w:val="18"/>
                <w:lang w:val="es-ES" w:eastAsia="es-ES"/>
              </w:rPr>
            </w:pPr>
            <w:r>
              <w:rPr>
                <w:color w:val="000000" w:themeColor="text1"/>
                <w:szCs w:val="18"/>
                <w:lang w:val="es-ES" w:eastAsia="es-ES"/>
              </w:rPr>
              <w:t>48</w:t>
            </w:r>
          </w:p>
        </w:tc>
      </w:tr>
      <w:tr w:rsidR="0088085F" w:rsidRPr="00B81E61" w14:paraId="78F0351C" w14:textId="77777777" w:rsidTr="002A2D86">
        <w:trPr>
          <w:trHeight w:val="198"/>
          <w:jc w:val="center"/>
        </w:trPr>
        <w:tc>
          <w:tcPr>
            <w:tcW w:w="2552" w:type="dxa"/>
            <w:tcBorders>
              <w:top w:val="single" w:sz="2" w:space="0" w:color="auto"/>
              <w:bottom w:val="single" w:sz="2" w:space="0" w:color="auto"/>
            </w:tcBorders>
            <w:vAlign w:val="center"/>
          </w:tcPr>
          <w:p w14:paraId="091BDF59" w14:textId="77777777" w:rsidR="0088085F" w:rsidRPr="00B81E61" w:rsidRDefault="0088085F" w:rsidP="00527F65">
            <w:pPr>
              <w:pStyle w:val="cuatexto"/>
              <w:jc w:val="left"/>
              <w:rPr>
                <w:color w:val="000000" w:themeColor="text1"/>
                <w:szCs w:val="18"/>
                <w:lang w:val="es-ES" w:eastAsia="es-ES"/>
              </w:rPr>
            </w:pPr>
            <w:r w:rsidRPr="00B81E61">
              <w:rPr>
                <w:color w:val="000000" w:themeColor="text1"/>
                <w:szCs w:val="18"/>
                <w:lang w:val="es-ES" w:eastAsia="es-ES"/>
              </w:rPr>
              <w:t>Gastos transferencias</w:t>
            </w:r>
          </w:p>
        </w:tc>
        <w:tc>
          <w:tcPr>
            <w:tcW w:w="780" w:type="dxa"/>
            <w:tcBorders>
              <w:top w:val="single" w:sz="2" w:space="0" w:color="auto"/>
              <w:left w:val="nil"/>
              <w:bottom w:val="single" w:sz="2" w:space="0" w:color="auto"/>
              <w:right w:val="nil"/>
            </w:tcBorders>
            <w:vAlign w:val="center"/>
          </w:tcPr>
          <w:p w14:paraId="0D5403BF" w14:textId="77777777" w:rsidR="0088085F" w:rsidRPr="00B81E61" w:rsidRDefault="0088085F" w:rsidP="00527F65">
            <w:pPr>
              <w:pStyle w:val="cuatexto"/>
              <w:jc w:val="right"/>
              <w:rPr>
                <w:color w:val="000000" w:themeColor="text1"/>
                <w:szCs w:val="18"/>
                <w:lang w:val="es-ES" w:eastAsia="es-ES"/>
              </w:rPr>
            </w:pPr>
            <w:r w:rsidRPr="00B81E61">
              <w:rPr>
                <w:color w:val="000000" w:themeColor="text1"/>
                <w:szCs w:val="18"/>
                <w:lang w:val="es-ES" w:eastAsia="es-ES"/>
              </w:rPr>
              <w:t>10</w:t>
            </w:r>
          </w:p>
        </w:tc>
        <w:tc>
          <w:tcPr>
            <w:tcW w:w="989" w:type="dxa"/>
            <w:tcBorders>
              <w:top w:val="single" w:sz="2" w:space="0" w:color="auto"/>
              <w:left w:val="nil"/>
              <w:bottom w:val="single" w:sz="2" w:space="0" w:color="auto"/>
              <w:right w:val="single" w:sz="4" w:space="0" w:color="auto"/>
            </w:tcBorders>
            <w:vAlign w:val="center"/>
          </w:tcPr>
          <w:p w14:paraId="6B206284" w14:textId="77777777" w:rsidR="0088085F" w:rsidRPr="00B81E61" w:rsidRDefault="0088085F" w:rsidP="00527F65">
            <w:pPr>
              <w:pStyle w:val="cuatexto"/>
              <w:jc w:val="right"/>
              <w:rPr>
                <w:color w:val="000000" w:themeColor="text1"/>
                <w:szCs w:val="18"/>
                <w:lang w:val="es-ES" w:eastAsia="es-ES"/>
              </w:rPr>
            </w:pPr>
            <w:r>
              <w:rPr>
                <w:color w:val="000000" w:themeColor="text1"/>
                <w:szCs w:val="18"/>
                <w:lang w:val="es-ES" w:eastAsia="es-ES"/>
              </w:rPr>
              <w:t>10</w:t>
            </w:r>
          </w:p>
        </w:tc>
        <w:tc>
          <w:tcPr>
            <w:tcW w:w="2622" w:type="dxa"/>
            <w:tcBorders>
              <w:top w:val="single" w:sz="2" w:space="0" w:color="auto"/>
              <w:left w:val="single" w:sz="4" w:space="0" w:color="auto"/>
              <w:bottom w:val="single" w:sz="2" w:space="0" w:color="auto"/>
            </w:tcBorders>
            <w:vAlign w:val="center"/>
          </w:tcPr>
          <w:p w14:paraId="547061A1" w14:textId="77777777" w:rsidR="0088085F" w:rsidRPr="00B81E61" w:rsidRDefault="0088085F" w:rsidP="00527F65">
            <w:pPr>
              <w:pStyle w:val="cuatexto"/>
              <w:jc w:val="left"/>
              <w:rPr>
                <w:color w:val="000000" w:themeColor="text1"/>
                <w:szCs w:val="18"/>
                <w:lang w:val="es-ES" w:eastAsia="es-ES"/>
              </w:rPr>
            </w:pPr>
            <w:r w:rsidRPr="00B81E61">
              <w:rPr>
                <w:color w:val="000000" w:themeColor="text1"/>
                <w:szCs w:val="18"/>
                <w:lang w:val="es-ES" w:eastAsia="es-ES"/>
              </w:rPr>
              <w:t>Ingresos patrimoniales y otros</w:t>
            </w:r>
          </w:p>
        </w:tc>
        <w:tc>
          <w:tcPr>
            <w:tcW w:w="799" w:type="dxa"/>
            <w:tcBorders>
              <w:top w:val="single" w:sz="2" w:space="0" w:color="auto"/>
              <w:bottom w:val="single" w:sz="2" w:space="0" w:color="auto"/>
            </w:tcBorders>
            <w:vAlign w:val="center"/>
          </w:tcPr>
          <w:p w14:paraId="765E4B1B" w14:textId="77777777" w:rsidR="0088085F" w:rsidRPr="00B81E61" w:rsidRDefault="0088085F" w:rsidP="00C13CE1">
            <w:pPr>
              <w:pStyle w:val="cuatexto"/>
              <w:jc w:val="right"/>
              <w:rPr>
                <w:color w:val="000000" w:themeColor="text1"/>
                <w:szCs w:val="18"/>
                <w:lang w:val="es-ES" w:eastAsia="es-ES"/>
              </w:rPr>
            </w:pPr>
            <w:r w:rsidRPr="00B81E61">
              <w:rPr>
                <w:color w:val="000000" w:themeColor="text1"/>
                <w:szCs w:val="18"/>
                <w:lang w:val="es-ES" w:eastAsia="es-ES"/>
              </w:rPr>
              <w:t>7</w:t>
            </w:r>
          </w:p>
        </w:tc>
        <w:tc>
          <w:tcPr>
            <w:tcW w:w="1019" w:type="dxa"/>
            <w:tcBorders>
              <w:top w:val="single" w:sz="2" w:space="0" w:color="auto"/>
              <w:bottom w:val="single" w:sz="2" w:space="0" w:color="auto"/>
            </w:tcBorders>
            <w:vAlign w:val="center"/>
          </w:tcPr>
          <w:p w14:paraId="1A74410C" w14:textId="77777777" w:rsidR="0088085F" w:rsidRPr="00B81E61" w:rsidRDefault="0088085F" w:rsidP="00C13CE1">
            <w:pPr>
              <w:pStyle w:val="cuatexto"/>
              <w:jc w:val="right"/>
              <w:rPr>
                <w:color w:val="000000" w:themeColor="text1"/>
                <w:szCs w:val="18"/>
                <w:lang w:val="es-ES" w:eastAsia="es-ES"/>
              </w:rPr>
            </w:pPr>
            <w:r>
              <w:rPr>
                <w:color w:val="000000" w:themeColor="text1"/>
                <w:szCs w:val="18"/>
                <w:lang w:val="es-ES" w:eastAsia="es-ES"/>
              </w:rPr>
              <w:t>6</w:t>
            </w:r>
          </w:p>
        </w:tc>
      </w:tr>
      <w:tr w:rsidR="0088085F" w:rsidRPr="00B81E61" w14:paraId="202BF5DC" w14:textId="77777777" w:rsidTr="002A2D86">
        <w:trPr>
          <w:trHeight w:val="198"/>
          <w:jc w:val="center"/>
        </w:trPr>
        <w:tc>
          <w:tcPr>
            <w:tcW w:w="2552" w:type="dxa"/>
            <w:tcBorders>
              <w:top w:val="single" w:sz="2" w:space="0" w:color="auto"/>
              <w:bottom w:val="single" w:sz="2" w:space="0" w:color="auto"/>
            </w:tcBorders>
            <w:vAlign w:val="center"/>
          </w:tcPr>
          <w:p w14:paraId="32326583" w14:textId="77777777" w:rsidR="0088085F" w:rsidRPr="00B81E61" w:rsidRDefault="0088085F" w:rsidP="00527F65">
            <w:pPr>
              <w:pStyle w:val="cuatexto"/>
              <w:jc w:val="left"/>
              <w:rPr>
                <w:color w:val="000000" w:themeColor="text1"/>
                <w:szCs w:val="18"/>
                <w:lang w:val="es-ES" w:eastAsia="es-ES"/>
              </w:rPr>
            </w:pPr>
            <w:r w:rsidRPr="00B81E61">
              <w:rPr>
                <w:color w:val="000000" w:themeColor="text1"/>
                <w:szCs w:val="18"/>
                <w:lang w:val="es-ES" w:eastAsia="es-ES"/>
              </w:rPr>
              <w:t>Inversiones reales</w:t>
            </w:r>
          </w:p>
        </w:tc>
        <w:tc>
          <w:tcPr>
            <w:tcW w:w="780" w:type="dxa"/>
            <w:tcBorders>
              <w:top w:val="single" w:sz="2" w:space="0" w:color="auto"/>
              <w:left w:val="nil"/>
              <w:bottom w:val="single" w:sz="2" w:space="0" w:color="auto"/>
              <w:right w:val="nil"/>
            </w:tcBorders>
            <w:vAlign w:val="center"/>
          </w:tcPr>
          <w:p w14:paraId="526D339F" w14:textId="77777777" w:rsidR="0088085F" w:rsidRPr="00B81E61" w:rsidRDefault="0088085F" w:rsidP="00527F65">
            <w:pPr>
              <w:pStyle w:val="cuatexto"/>
              <w:jc w:val="right"/>
              <w:rPr>
                <w:color w:val="000000" w:themeColor="text1"/>
                <w:szCs w:val="18"/>
                <w:lang w:val="es-ES" w:eastAsia="es-ES"/>
              </w:rPr>
            </w:pPr>
            <w:r w:rsidRPr="00B81E61">
              <w:rPr>
                <w:color w:val="000000" w:themeColor="text1"/>
                <w:szCs w:val="18"/>
                <w:lang w:val="es-ES" w:eastAsia="es-ES"/>
              </w:rPr>
              <w:t>15</w:t>
            </w:r>
          </w:p>
        </w:tc>
        <w:tc>
          <w:tcPr>
            <w:tcW w:w="989" w:type="dxa"/>
            <w:tcBorders>
              <w:top w:val="single" w:sz="2" w:space="0" w:color="auto"/>
              <w:left w:val="nil"/>
              <w:bottom w:val="single" w:sz="2" w:space="0" w:color="auto"/>
              <w:right w:val="single" w:sz="4" w:space="0" w:color="auto"/>
            </w:tcBorders>
            <w:vAlign w:val="center"/>
          </w:tcPr>
          <w:p w14:paraId="42623D38" w14:textId="77777777" w:rsidR="0088085F" w:rsidRPr="00B81E61" w:rsidRDefault="0088085F" w:rsidP="00527F65">
            <w:pPr>
              <w:pStyle w:val="cuatexto"/>
              <w:jc w:val="right"/>
              <w:rPr>
                <w:color w:val="000000" w:themeColor="text1"/>
                <w:szCs w:val="18"/>
                <w:lang w:val="es-ES" w:eastAsia="es-ES"/>
              </w:rPr>
            </w:pPr>
            <w:r>
              <w:rPr>
                <w:color w:val="000000" w:themeColor="text1"/>
                <w:szCs w:val="18"/>
                <w:lang w:val="es-ES" w:eastAsia="es-ES"/>
              </w:rPr>
              <w:t>21</w:t>
            </w:r>
          </w:p>
        </w:tc>
        <w:tc>
          <w:tcPr>
            <w:tcW w:w="2622" w:type="dxa"/>
            <w:tcBorders>
              <w:top w:val="single" w:sz="2" w:space="0" w:color="auto"/>
              <w:left w:val="single" w:sz="4" w:space="0" w:color="auto"/>
              <w:bottom w:val="single" w:sz="2" w:space="0" w:color="auto"/>
            </w:tcBorders>
            <w:vAlign w:val="center"/>
          </w:tcPr>
          <w:p w14:paraId="4DD35ABF" w14:textId="77777777" w:rsidR="0088085F" w:rsidRPr="00B81E61" w:rsidRDefault="0088085F" w:rsidP="00527F65">
            <w:pPr>
              <w:pStyle w:val="cuatexto"/>
              <w:jc w:val="left"/>
              <w:rPr>
                <w:color w:val="000000" w:themeColor="text1"/>
                <w:szCs w:val="18"/>
                <w:lang w:val="es-ES" w:eastAsia="es-ES"/>
              </w:rPr>
            </w:pPr>
            <w:r>
              <w:rPr>
                <w:color w:val="000000" w:themeColor="text1"/>
                <w:szCs w:val="18"/>
                <w:lang w:val="es-ES" w:eastAsia="es-ES"/>
              </w:rPr>
              <w:t>Enajenación de inversiones</w:t>
            </w:r>
          </w:p>
        </w:tc>
        <w:tc>
          <w:tcPr>
            <w:tcW w:w="799" w:type="dxa"/>
            <w:tcBorders>
              <w:top w:val="single" w:sz="2" w:space="0" w:color="auto"/>
              <w:bottom w:val="single" w:sz="2" w:space="0" w:color="auto"/>
            </w:tcBorders>
            <w:vAlign w:val="center"/>
          </w:tcPr>
          <w:p w14:paraId="404D1D37" w14:textId="77777777" w:rsidR="0088085F" w:rsidRPr="00B81E61" w:rsidRDefault="0088085F" w:rsidP="00C13CE1">
            <w:pPr>
              <w:pStyle w:val="cuatexto"/>
              <w:jc w:val="right"/>
              <w:rPr>
                <w:color w:val="000000" w:themeColor="text1"/>
                <w:szCs w:val="18"/>
                <w:lang w:val="es-ES" w:eastAsia="es-ES"/>
              </w:rPr>
            </w:pPr>
            <w:r w:rsidRPr="00B81E61">
              <w:rPr>
                <w:color w:val="000000" w:themeColor="text1"/>
                <w:szCs w:val="18"/>
                <w:lang w:val="es-ES" w:eastAsia="es-ES"/>
              </w:rPr>
              <w:t>1</w:t>
            </w:r>
          </w:p>
        </w:tc>
        <w:tc>
          <w:tcPr>
            <w:tcW w:w="1019" w:type="dxa"/>
            <w:tcBorders>
              <w:top w:val="single" w:sz="2" w:space="0" w:color="auto"/>
              <w:bottom w:val="single" w:sz="2" w:space="0" w:color="auto"/>
            </w:tcBorders>
            <w:vAlign w:val="center"/>
          </w:tcPr>
          <w:p w14:paraId="696699ED" w14:textId="77777777" w:rsidR="0088085F" w:rsidRPr="00B81E61" w:rsidRDefault="0088085F" w:rsidP="00C13CE1">
            <w:pPr>
              <w:pStyle w:val="cuatexto"/>
              <w:jc w:val="right"/>
              <w:rPr>
                <w:color w:val="000000" w:themeColor="text1"/>
                <w:szCs w:val="18"/>
                <w:lang w:val="es-ES" w:eastAsia="es-ES"/>
              </w:rPr>
            </w:pPr>
            <w:r>
              <w:rPr>
                <w:color w:val="000000" w:themeColor="text1"/>
                <w:szCs w:val="18"/>
                <w:lang w:val="es-ES" w:eastAsia="es-ES"/>
              </w:rPr>
              <w:t>1</w:t>
            </w:r>
          </w:p>
        </w:tc>
      </w:tr>
      <w:tr w:rsidR="0088085F" w:rsidRPr="00B81E61" w14:paraId="64E962F7" w14:textId="77777777" w:rsidTr="002A2D86">
        <w:trPr>
          <w:trHeight w:val="198"/>
          <w:jc w:val="center"/>
        </w:trPr>
        <w:tc>
          <w:tcPr>
            <w:tcW w:w="2552" w:type="dxa"/>
            <w:tcBorders>
              <w:top w:val="single" w:sz="2" w:space="0" w:color="auto"/>
              <w:bottom w:val="single" w:sz="2" w:space="0" w:color="auto"/>
            </w:tcBorders>
            <w:vAlign w:val="center"/>
          </w:tcPr>
          <w:p w14:paraId="5183CDD1" w14:textId="77777777" w:rsidR="0088085F" w:rsidRPr="00B81E61" w:rsidRDefault="0088085F" w:rsidP="00527F65">
            <w:pPr>
              <w:pStyle w:val="cuatexto"/>
              <w:jc w:val="left"/>
              <w:rPr>
                <w:color w:val="000000" w:themeColor="text1"/>
                <w:szCs w:val="18"/>
                <w:lang w:val="es-ES" w:eastAsia="es-ES"/>
              </w:rPr>
            </w:pPr>
            <w:r w:rsidRPr="00B81E61">
              <w:rPr>
                <w:color w:val="000000" w:themeColor="text1"/>
                <w:szCs w:val="18"/>
                <w:lang w:val="es-ES" w:eastAsia="es-ES"/>
              </w:rPr>
              <w:t>Carga financiera</w:t>
            </w:r>
          </w:p>
        </w:tc>
        <w:tc>
          <w:tcPr>
            <w:tcW w:w="780" w:type="dxa"/>
            <w:tcBorders>
              <w:top w:val="single" w:sz="2" w:space="0" w:color="auto"/>
              <w:left w:val="nil"/>
              <w:bottom w:val="single" w:sz="2" w:space="0" w:color="auto"/>
              <w:right w:val="nil"/>
            </w:tcBorders>
            <w:vAlign w:val="center"/>
          </w:tcPr>
          <w:p w14:paraId="487B9D0C" w14:textId="77777777" w:rsidR="0088085F" w:rsidRPr="00B81E61" w:rsidRDefault="0088085F" w:rsidP="00527F65">
            <w:pPr>
              <w:pStyle w:val="cuatexto"/>
              <w:jc w:val="right"/>
              <w:rPr>
                <w:color w:val="000000" w:themeColor="text1"/>
                <w:szCs w:val="18"/>
                <w:lang w:val="es-ES" w:eastAsia="es-ES"/>
              </w:rPr>
            </w:pPr>
            <w:r w:rsidRPr="00B81E61">
              <w:rPr>
                <w:color w:val="000000" w:themeColor="text1"/>
                <w:szCs w:val="18"/>
                <w:lang w:val="es-ES" w:eastAsia="es-ES"/>
              </w:rPr>
              <w:t>4</w:t>
            </w:r>
          </w:p>
        </w:tc>
        <w:tc>
          <w:tcPr>
            <w:tcW w:w="989" w:type="dxa"/>
            <w:tcBorders>
              <w:top w:val="single" w:sz="2" w:space="0" w:color="auto"/>
              <w:left w:val="nil"/>
              <w:bottom w:val="single" w:sz="2" w:space="0" w:color="auto"/>
              <w:right w:val="single" w:sz="4" w:space="0" w:color="auto"/>
            </w:tcBorders>
            <w:vAlign w:val="center"/>
          </w:tcPr>
          <w:p w14:paraId="4944B232" w14:textId="77777777" w:rsidR="0088085F" w:rsidRPr="00B81E61" w:rsidRDefault="0088085F" w:rsidP="00527F65">
            <w:pPr>
              <w:pStyle w:val="cuatexto"/>
              <w:jc w:val="right"/>
              <w:rPr>
                <w:color w:val="000000" w:themeColor="text1"/>
                <w:szCs w:val="18"/>
                <w:lang w:val="es-ES" w:eastAsia="es-ES"/>
              </w:rPr>
            </w:pPr>
            <w:r>
              <w:rPr>
                <w:color w:val="000000" w:themeColor="text1"/>
                <w:szCs w:val="18"/>
                <w:lang w:val="es-ES" w:eastAsia="es-ES"/>
              </w:rPr>
              <w:t>3</w:t>
            </w:r>
          </w:p>
        </w:tc>
        <w:tc>
          <w:tcPr>
            <w:tcW w:w="2622" w:type="dxa"/>
            <w:tcBorders>
              <w:top w:val="single" w:sz="2" w:space="0" w:color="auto"/>
              <w:left w:val="single" w:sz="4" w:space="0" w:color="auto"/>
              <w:bottom w:val="single" w:sz="2" w:space="0" w:color="auto"/>
            </w:tcBorders>
            <w:vAlign w:val="center"/>
          </w:tcPr>
          <w:p w14:paraId="6B750406" w14:textId="77777777" w:rsidR="0088085F" w:rsidRPr="00B81E61" w:rsidRDefault="0088085F" w:rsidP="00527F65">
            <w:pPr>
              <w:pStyle w:val="cuatexto"/>
              <w:jc w:val="left"/>
              <w:rPr>
                <w:color w:val="000000" w:themeColor="text1"/>
                <w:szCs w:val="18"/>
                <w:lang w:val="es-ES" w:eastAsia="es-ES"/>
              </w:rPr>
            </w:pPr>
          </w:p>
        </w:tc>
        <w:tc>
          <w:tcPr>
            <w:tcW w:w="799" w:type="dxa"/>
            <w:tcBorders>
              <w:top w:val="single" w:sz="2" w:space="0" w:color="auto"/>
              <w:bottom w:val="single" w:sz="2" w:space="0" w:color="auto"/>
            </w:tcBorders>
            <w:vAlign w:val="center"/>
          </w:tcPr>
          <w:p w14:paraId="03284E8C" w14:textId="77777777" w:rsidR="0088085F" w:rsidRPr="00B81E61" w:rsidRDefault="0088085F" w:rsidP="00C13CE1">
            <w:pPr>
              <w:pStyle w:val="cuatexto"/>
              <w:jc w:val="right"/>
              <w:rPr>
                <w:color w:val="000000" w:themeColor="text1"/>
                <w:szCs w:val="18"/>
                <w:lang w:val="es-ES" w:eastAsia="es-ES"/>
              </w:rPr>
            </w:pPr>
          </w:p>
        </w:tc>
        <w:tc>
          <w:tcPr>
            <w:tcW w:w="1019" w:type="dxa"/>
            <w:tcBorders>
              <w:top w:val="single" w:sz="2" w:space="0" w:color="auto"/>
              <w:bottom w:val="single" w:sz="2" w:space="0" w:color="auto"/>
            </w:tcBorders>
            <w:vAlign w:val="center"/>
          </w:tcPr>
          <w:p w14:paraId="3C5A07C8" w14:textId="77777777" w:rsidR="0088085F" w:rsidRPr="00B81E61" w:rsidRDefault="0088085F" w:rsidP="00C13CE1">
            <w:pPr>
              <w:pStyle w:val="cuatexto"/>
              <w:jc w:val="right"/>
              <w:rPr>
                <w:color w:val="000000" w:themeColor="text1"/>
                <w:szCs w:val="18"/>
                <w:lang w:val="es-ES" w:eastAsia="es-ES"/>
              </w:rPr>
            </w:pPr>
          </w:p>
        </w:tc>
      </w:tr>
      <w:tr w:rsidR="0088085F" w:rsidRPr="00B81E61" w14:paraId="3CC9C8A1" w14:textId="77777777" w:rsidTr="002A2D86">
        <w:trPr>
          <w:trHeight w:val="255"/>
          <w:jc w:val="center"/>
        </w:trPr>
        <w:tc>
          <w:tcPr>
            <w:tcW w:w="2552" w:type="dxa"/>
            <w:shd w:val="clear" w:color="auto" w:fill="FABF8F" w:themeFill="accent6" w:themeFillTint="99"/>
            <w:vAlign w:val="center"/>
          </w:tcPr>
          <w:p w14:paraId="6886905E" w14:textId="77777777" w:rsidR="0088085F" w:rsidRPr="00B81E61" w:rsidRDefault="0088085F" w:rsidP="00527F65">
            <w:pPr>
              <w:pStyle w:val="cuadroCabe"/>
              <w:jc w:val="left"/>
              <w:rPr>
                <w:color w:val="000000" w:themeColor="text1"/>
                <w:lang w:val="es-ES" w:eastAsia="es-ES"/>
              </w:rPr>
            </w:pPr>
          </w:p>
        </w:tc>
        <w:tc>
          <w:tcPr>
            <w:tcW w:w="780" w:type="dxa"/>
            <w:tcBorders>
              <w:right w:val="nil"/>
            </w:tcBorders>
            <w:shd w:val="clear" w:color="auto" w:fill="FABF8F" w:themeFill="accent6" w:themeFillTint="99"/>
            <w:vAlign w:val="center"/>
          </w:tcPr>
          <w:p w14:paraId="0D5D62E8" w14:textId="77777777" w:rsidR="0088085F" w:rsidRPr="00B81E61" w:rsidRDefault="0088085F" w:rsidP="00527F65">
            <w:pPr>
              <w:pStyle w:val="cuadroCabe"/>
              <w:jc w:val="right"/>
              <w:rPr>
                <w:color w:val="000000" w:themeColor="text1"/>
                <w:lang w:val="es-ES" w:eastAsia="es-ES"/>
              </w:rPr>
            </w:pPr>
            <w:r w:rsidRPr="00B81E61">
              <w:rPr>
                <w:color w:val="000000" w:themeColor="text1"/>
                <w:lang w:val="es-ES" w:eastAsia="es-ES"/>
              </w:rPr>
              <w:t>100</w:t>
            </w:r>
          </w:p>
        </w:tc>
        <w:tc>
          <w:tcPr>
            <w:tcW w:w="989" w:type="dxa"/>
            <w:tcBorders>
              <w:left w:val="nil"/>
              <w:right w:val="single" w:sz="4" w:space="0" w:color="auto"/>
            </w:tcBorders>
            <w:shd w:val="clear" w:color="auto" w:fill="FABF8F" w:themeFill="accent6" w:themeFillTint="99"/>
            <w:vAlign w:val="center"/>
          </w:tcPr>
          <w:p w14:paraId="52A82251" w14:textId="77777777" w:rsidR="0088085F" w:rsidRPr="00B81E61" w:rsidRDefault="0088085F" w:rsidP="00527F65">
            <w:pPr>
              <w:pStyle w:val="cuadroCabe"/>
              <w:jc w:val="right"/>
              <w:rPr>
                <w:color w:val="000000" w:themeColor="text1"/>
                <w:lang w:val="es-ES" w:eastAsia="es-ES"/>
              </w:rPr>
            </w:pPr>
            <w:r w:rsidRPr="00B81E61">
              <w:rPr>
                <w:color w:val="000000" w:themeColor="text1"/>
                <w:lang w:val="es-ES" w:eastAsia="es-ES"/>
              </w:rPr>
              <w:t>100</w:t>
            </w:r>
          </w:p>
        </w:tc>
        <w:tc>
          <w:tcPr>
            <w:tcW w:w="2622" w:type="dxa"/>
            <w:tcBorders>
              <w:left w:val="single" w:sz="4" w:space="0" w:color="auto"/>
            </w:tcBorders>
            <w:shd w:val="clear" w:color="auto" w:fill="FABF8F" w:themeFill="accent6" w:themeFillTint="99"/>
            <w:vAlign w:val="center"/>
          </w:tcPr>
          <w:p w14:paraId="17395492" w14:textId="77777777" w:rsidR="0088085F" w:rsidRPr="00B81E61" w:rsidRDefault="0088085F" w:rsidP="00527F65">
            <w:pPr>
              <w:pStyle w:val="cuadroCabe"/>
              <w:jc w:val="left"/>
              <w:rPr>
                <w:color w:val="000000" w:themeColor="text1"/>
                <w:lang w:val="es-ES" w:eastAsia="es-ES"/>
              </w:rPr>
            </w:pPr>
          </w:p>
        </w:tc>
        <w:tc>
          <w:tcPr>
            <w:tcW w:w="799" w:type="dxa"/>
            <w:shd w:val="clear" w:color="auto" w:fill="FABF8F" w:themeFill="accent6" w:themeFillTint="99"/>
            <w:vAlign w:val="center"/>
          </w:tcPr>
          <w:p w14:paraId="0D6E2209" w14:textId="77777777" w:rsidR="0088085F" w:rsidRPr="00B81E61" w:rsidRDefault="0088085F" w:rsidP="00C13CE1">
            <w:pPr>
              <w:pStyle w:val="cuadroCabe"/>
              <w:jc w:val="right"/>
              <w:rPr>
                <w:color w:val="000000" w:themeColor="text1"/>
                <w:lang w:val="es-ES" w:eastAsia="es-ES"/>
              </w:rPr>
            </w:pPr>
            <w:r w:rsidRPr="00B81E61">
              <w:rPr>
                <w:color w:val="000000" w:themeColor="text1"/>
                <w:lang w:val="es-ES" w:eastAsia="es-ES"/>
              </w:rPr>
              <w:t>100</w:t>
            </w:r>
          </w:p>
        </w:tc>
        <w:tc>
          <w:tcPr>
            <w:tcW w:w="1019" w:type="dxa"/>
            <w:shd w:val="clear" w:color="auto" w:fill="FABF8F" w:themeFill="accent6" w:themeFillTint="99"/>
            <w:vAlign w:val="center"/>
          </w:tcPr>
          <w:p w14:paraId="551C6133" w14:textId="77777777" w:rsidR="0088085F" w:rsidRPr="00B81E61" w:rsidRDefault="0088085F" w:rsidP="00C13CE1">
            <w:pPr>
              <w:pStyle w:val="cuadroCabe"/>
              <w:jc w:val="right"/>
              <w:rPr>
                <w:color w:val="000000" w:themeColor="text1"/>
                <w:lang w:val="es-ES" w:eastAsia="es-ES"/>
              </w:rPr>
            </w:pPr>
            <w:r w:rsidRPr="00B81E61">
              <w:rPr>
                <w:color w:val="000000" w:themeColor="text1"/>
                <w:lang w:val="es-ES" w:eastAsia="es-ES"/>
              </w:rPr>
              <w:t>100</w:t>
            </w:r>
          </w:p>
        </w:tc>
      </w:tr>
    </w:tbl>
    <w:p w14:paraId="24229FEE" w14:textId="77777777" w:rsidR="0088085F" w:rsidRPr="00262228" w:rsidRDefault="0088085F" w:rsidP="00CF6E96">
      <w:pPr>
        <w:pStyle w:val="texto"/>
        <w:spacing w:before="200" w:after="120"/>
      </w:pPr>
      <w:r w:rsidRPr="00262228">
        <w:t xml:space="preserve">Como se observa, las variaciones entre un ejercicio y otro no son significativas, si bien el peso del gasto en inversiones aumenta en seis puntos y se compensa con la disminución del peso de los gastos de personal y de los gastos corrientes en bienes y servicios en dos y tres puntos respectivamente, y de la carga financiera en un punto porcentual; en cuanto a los ingresos, el peso de los ingresos tributarios y patrimoniales disminuye en un punto porcentual cada uno y se compensa con el aumento producido en los ingresos por transferencias. </w:t>
      </w:r>
    </w:p>
    <w:p w14:paraId="5F5E4653" w14:textId="77777777" w:rsidR="0088085F" w:rsidRPr="00262228" w:rsidRDefault="0088085F" w:rsidP="00CF6E96">
      <w:pPr>
        <w:pStyle w:val="texto"/>
        <w:spacing w:after="120"/>
      </w:pPr>
      <w:r w:rsidRPr="00262228">
        <w:t xml:space="preserve">El incremento de gasto de inversiones y de los ingresos por transferencias, principalmente de capital, se debe a la ejecución del Plan de </w:t>
      </w:r>
      <w:r w:rsidR="00874B65">
        <w:t>Inversiones Locales 2017-2019</w:t>
      </w:r>
      <w:r w:rsidR="00EF73A5">
        <w:t>,</w:t>
      </w:r>
      <w:r w:rsidR="00874B65">
        <w:t xml:space="preserve"> que en 2019 </w:t>
      </w:r>
      <w:r w:rsidR="00EF73A5">
        <w:t>se dotó de</w:t>
      </w:r>
      <w:r w:rsidR="00874B65">
        <w:t xml:space="preserve"> unos fondos adicionales de 20 millones para </w:t>
      </w:r>
      <w:r w:rsidR="00EF73A5">
        <w:t xml:space="preserve">la </w:t>
      </w:r>
      <w:r w:rsidR="00874B65">
        <w:t>financiación de inversiones financieramente sostenibles.</w:t>
      </w:r>
    </w:p>
    <w:p w14:paraId="3EBCC853" w14:textId="77777777" w:rsidR="0088085F" w:rsidRPr="00262228" w:rsidRDefault="0088085F" w:rsidP="00CF6E96">
      <w:pPr>
        <w:pStyle w:val="texto"/>
        <w:spacing w:after="120"/>
      </w:pPr>
      <w:r w:rsidRPr="00262228">
        <w:t xml:space="preserve">A </w:t>
      </w:r>
      <w:proofErr w:type="gramStart"/>
      <w:r w:rsidRPr="00262228">
        <w:t>continuación</w:t>
      </w:r>
      <w:proofErr w:type="gramEnd"/>
      <w:r w:rsidRPr="00262228">
        <w:t xml:space="preserve"> se muestra la evolución de algunos indicadores de la situación financiera de las entidades locales en los años 2015-2019:</w:t>
      </w:r>
    </w:p>
    <w:p w14:paraId="6B5E00C0" w14:textId="77777777" w:rsidR="0088085F" w:rsidRPr="00760196" w:rsidRDefault="0088085F" w:rsidP="0088085F">
      <w:pPr>
        <w:pStyle w:val="texto"/>
        <w:spacing w:before="100" w:after="60"/>
        <w:jc w:val="right"/>
        <w:rPr>
          <w:rFonts w:ascii="Arial" w:hAnsi="Arial" w:cs="Arial"/>
          <w:color w:val="000000" w:themeColor="text1"/>
          <w:sz w:val="17"/>
          <w:szCs w:val="17"/>
        </w:rPr>
      </w:pPr>
      <w:r w:rsidRPr="00760196">
        <w:rPr>
          <w:rFonts w:ascii="Arial" w:hAnsi="Arial" w:cs="Arial"/>
          <w:color w:val="000000" w:themeColor="text1"/>
          <w:sz w:val="17"/>
          <w:szCs w:val="17"/>
        </w:rPr>
        <w:t>(en millones)</w:t>
      </w:r>
    </w:p>
    <w:tbl>
      <w:tblPr>
        <w:tblW w:w="5000" w:type="pct"/>
        <w:jc w:val="center"/>
        <w:tblCellMar>
          <w:left w:w="70" w:type="dxa"/>
          <w:right w:w="70" w:type="dxa"/>
        </w:tblCellMar>
        <w:tblLook w:val="04A0" w:firstRow="1" w:lastRow="0" w:firstColumn="1" w:lastColumn="0" w:noHBand="0" w:noVBand="1"/>
      </w:tblPr>
      <w:tblGrid>
        <w:gridCol w:w="2948"/>
        <w:gridCol w:w="913"/>
        <w:gridCol w:w="670"/>
        <w:gridCol w:w="670"/>
        <w:gridCol w:w="706"/>
        <w:gridCol w:w="665"/>
        <w:gridCol w:w="761"/>
        <w:gridCol w:w="761"/>
        <w:gridCol w:w="695"/>
      </w:tblGrid>
      <w:tr w:rsidR="0088085F" w:rsidRPr="00B81E61" w14:paraId="19DC5A3B" w14:textId="77777777" w:rsidTr="008A5DF5">
        <w:trPr>
          <w:trHeight w:val="227"/>
          <w:jc w:val="center"/>
        </w:trPr>
        <w:tc>
          <w:tcPr>
            <w:tcW w:w="1678" w:type="pct"/>
            <w:tcBorders>
              <w:top w:val="single" w:sz="4" w:space="0" w:color="auto"/>
              <w:left w:val="nil"/>
              <w:bottom w:val="single" w:sz="4" w:space="0" w:color="auto"/>
              <w:right w:val="nil"/>
            </w:tcBorders>
            <w:shd w:val="clear" w:color="000000" w:fill="FABF8F"/>
            <w:vAlign w:val="center"/>
            <w:hideMark/>
          </w:tcPr>
          <w:p w14:paraId="104FB579" w14:textId="77777777" w:rsidR="0088085F" w:rsidRPr="00B81E61" w:rsidRDefault="0088085F" w:rsidP="00C13CE1">
            <w:pPr>
              <w:pStyle w:val="cuadroCabe"/>
              <w:rPr>
                <w:color w:val="000000" w:themeColor="text1"/>
                <w:sz w:val="16"/>
                <w:szCs w:val="16"/>
                <w:lang w:val="es-ES" w:eastAsia="es-ES"/>
              </w:rPr>
            </w:pPr>
            <w:r w:rsidRPr="00B81E61">
              <w:rPr>
                <w:color w:val="000000" w:themeColor="text1"/>
                <w:sz w:val="16"/>
                <w:szCs w:val="16"/>
                <w:lang w:val="es-ES" w:eastAsia="es-ES"/>
              </w:rPr>
              <w:t>Indicadores</w:t>
            </w:r>
          </w:p>
        </w:tc>
        <w:tc>
          <w:tcPr>
            <w:tcW w:w="520" w:type="pct"/>
            <w:tcBorders>
              <w:top w:val="single" w:sz="4" w:space="0" w:color="auto"/>
              <w:left w:val="nil"/>
              <w:bottom w:val="single" w:sz="4" w:space="0" w:color="auto"/>
              <w:right w:val="nil"/>
            </w:tcBorders>
            <w:shd w:val="clear" w:color="000000" w:fill="FABF8F"/>
            <w:vAlign w:val="center"/>
            <w:hideMark/>
          </w:tcPr>
          <w:p w14:paraId="5CF18FD6" w14:textId="77777777" w:rsidR="0088085F" w:rsidRPr="00B81E61" w:rsidRDefault="0088085F" w:rsidP="00C13CE1">
            <w:pPr>
              <w:pStyle w:val="cuadroCabe"/>
              <w:tabs>
                <w:tab w:val="left" w:pos="210"/>
              </w:tabs>
              <w:jc w:val="right"/>
              <w:rPr>
                <w:color w:val="000000" w:themeColor="text1"/>
                <w:sz w:val="16"/>
                <w:szCs w:val="16"/>
                <w:lang w:val="es-ES" w:eastAsia="es-ES"/>
              </w:rPr>
            </w:pPr>
            <w:r w:rsidRPr="00B81E61">
              <w:rPr>
                <w:color w:val="000000" w:themeColor="text1"/>
                <w:sz w:val="16"/>
                <w:szCs w:val="16"/>
                <w:lang w:val="es-ES" w:eastAsia="es-ES"/>
              </w:rPr>
              <w:t>2015</w:t>
            </w:r>
          </w:p>
        </w:tc>
        <w:tc>
          <w:tcPr>
            <w:tcW w:w="382" w:type="pct"/>
            <w:tcBorders>
              <w:top w:val="single" w:sz="4" w:space="0" w:color="auto"/>
              <w:left w:val="nil"/>
              <w:bottom w:val="single" w:sz="4" w:space="0" w:color="auto"/>
              <w:right w:val="nil"/>
            </w:tcBorders>
            <w:shd w:val="clear" w:color="000000" w:fill="FABF8F"/>
            <w:vAlign w:val="center"/>
            <w:hideMark/>
          </w:tcPr>
          <w:p w14:paraId="3A27FD61" w14:textId="77777777" w:rsidR="0088085F" w:rsidRPr="00B81E61" w:rsidRDefault="0088085F" w:rsidP="00C13CE1">
            <w:pPr>
              <w:pStyle w:val="cuadroCabe"/>
              <w:tabs>
                <w:tab w:val="left" w:pos="210"/>
              </w:tabs>
              <w:jc w:val="right"/>
              <w:rPr>
                <w:color w:val="000000" w:themeColor="text1"/>
                <w:sz w:val="16"/>
                <w:szCs w:val="16"/>
                <w:lang w:val="es-ES" w:eastAsia="es-ES"/>
              </w:rPr>
            </w:pPr>
            <w:r w:rsidRPr="00B81E61">
              <w:rPr>
                <w:color w:val="000000" w:themeColor="text1"/>
                <w:sz w:val="16"/>
                <w:szCs w:val="16"/>
                <w:lang w:val="es-ES" w:eastAsia="es-ES"/>
              </w:rPr>
              <w:t>2016</w:t>
            </w:r>
          </w:p>
        </w:tc>
        <w:tc>
          <w:tcPr>
            <w:tcW w:w="382" w:type="pct"/>
            <w:tcBorders>
              <w:top w:val="single" w:sz="4" w:space="0" w:color="auto"/>
              <w:left w:val="nil"/>
              <w:bottom w:val="single" w:sz="4" w:space="0" w:color="auto"/>
              <w:right w:val="nil"/>
            </w:tcBorders>
            <w:shd w:val="clear" w:color="000000" w:fill="FABF8F"/>
            <w:vAlign w:val="center"/>
            <w:hideMark/>
          </w:tcPr>
          <w:p w14:paraId="2B3036A6" w14:textId="77777777" w:rsidR="0088085F" w:rsidRPr="00B81E61" w:rsidRDefault="0088085F" w:rsidP="00C13CE1">
            <w:pPr>
              <w:pStyle w:val="cuadroCabe"/>
              <w:tabs>
                <w:tab w:val="left" w:pos="210"/>
              </w:tabs>
              <w:jc w:val="right"/>
              <w:rPr>
                <w:color w:val="000000" w:themeColor="text1"/>
                <w:sz w:val="16"/>
                <w:szCs w:val="16"/>
                <w:lang w:val="es-ES" w:eastAsia="es-ES"/>
              </w:rPr>
            </w:pPr>
            <w:r w:rsidRPr="00B81E61">
              <w:rPr>
                <w:color w:val="000000" w:themeColor="text1"/>
                <w:sz w:val="16"/>
                <w:szCs w:val="16"/>
                <w:lang w:val="es-ES" w:eastAsia="es-ES"/>
              </w:rPr>
              <w:t>2017</w:t>
            </w:r>
          </w:p>
        </w:tc>
        <w:tc>
          <w:tcPr>
            <w:tcW w:w="402" w:type="pct"/>
            <w:tcBorders>
              <w:top w:val="single" w:sz="4" w:space="0" w:color="auto"/>
              <w:left w:val="nil"/>
              <w:bottom w:val="single" w:sz="4" w:space="0" w:color="auto"/>
              <w:right w:val="nil"/>
            </w:tcBorders>
            <w:shd w:val="clear" w:color="000000" w:fill="FABF8F"/>
            <w:vAlign w:val="center"/>
            <w:hideMark/>
          </w:tcPr>
          <w:p w14:paraId="73AD51EC" w14:textId="77777777" w:rsidR="0088085F" w:rsidRPr="00B81E61" w:rsidRDefault="0088085F" w:rsidP="00C13CE1">
            <w:pPr>
              <w:pStyle w:val="cuadroCabe"/>
              <w:tabs>
                <w:tab w:val="left" w:pos="210"/>
              </w:tabs>
              <w:jc w:val="right"/>
              <w:rPr>
                <w:color w:val="000000" w:themeColor="text1"/>
                <w:sz w:val="16"/>
                <w:szCs w:val="16"/>
                <w:lang w:val="es-ES" w:eastAsia="es-ES"/>
              </w:rPr>
            </w:pPr>
            <w:r w:rsidRPr="00B81E61">
              <w:rPr>
                <w:color w:val="000000" w:themeColor="text1"/>
                <w:sz w:val="16"/>
                <w:szCs w:val="16"/>
                <w:lang w:val="es-ES" w:eastAsia="es-ES"/>
              </w:rPr>
              <w:t>2018</w:t>
            </w:r>
          </w:p>
        </w:tc>
        <w:tc>
          <w:tcPr>
            <w:tcW w:w="379" w:type="pct"/>
            <w:tcBorders>
              <w:top w:val="single" w:sz="4" w:space="0" w:color="auto"/>
              <w:left w:val="nil"/>
              <w:bottom w:val="single" w:sz="4" w:space="0" w:color="auto"/>
              <w:right w:val="nil"/>
            </w:tcBorders>
            <w:shd w:val="clear" w:color="000000" w:fill="FABF8F"/>
            <w:vAlign w:val="center"/>
          </w:tcPr>
          <w:p w14:paraId="5B2CBFD9" w14:textId="77777777" w:rsidR="0088085F" w:rsidRPr="00B81E61" w:rsidRDefault="0088085F" w:rsidP="00C13CE1">
            <w:pPr>
              <w:pStyle w:val="cuadroCabe"/>
              <w:tabs>
                <w:tab w:val="left" w:pos="210"/>
              </w:tabs>
              <w:jc w:val="right"/>
              <w:rPr>
                <w:color w:val="000000" w:themeColor="text1"/>
                <w:sz w:val="16"/>
                <w:szCs w:val="16"/>
                <w:lang w:val="es-ES" w:eastAsia="es-ES"/>
              </w:rPr>
            </w:pPr>
            <w:r w:rsidRPr="00B81E61">
              <w:rPr>
                <w:color w:val="000000" w:themeColor="text1"/>
                <w:sz w:val="16"/>
                <w:szCs w:val="16"/>
                <w:lang w:val="es-ES" w:eastAsia="es-ES"/>
              </w:rPr>
              <w:t>201</w:t>
            </w:r>
            <w:r>
              <w:rPr>
                <w:color w:val="000000" w:themeColor="text1"/>
                <w:sz w:val="16"/>
                <w:szCs w:val="16"/>
                <w:lang w:val="es-ES" w:eastAsia="es-ES"/>
              </w:rPr>
              <w:t>9</w:t>
            </w:r>
          </w:p>
        </w:tc>
        <w:tc>
          <w:tcPr>
            <w:tcW w:w="429" w:type="pct"/>
            <w:tcBorders>
              <w:top w:val="single" w:sz="4" w:space="0" w:color="auto"/>
              <w:left w:val="nil"/>
              <w:bottom w:val="single" w:sz="4" w:space="0" w:color="auto"/>
              <w:right w:val="nil"/>
            </w:tcBorders>
            <w:shd w:val="clear" w:color="000000" w:fill="FABF8F"/>
            <w:vAlign w:val="center"/>
            <w:hideMark/>
          </w:tcPr>
          <w:p w14:paraId="5EC8BE13" w14:textId="77777777" w:rsidR="0088085F" w:rsidRPr="00B81E61" w:rsidRDefault="0088085F" w:rsidP="00CF6E96">
            <w:pPr>
              <w:pStyle w:val="cuadroCabe"/>
              <w:tabs>
                <w:tab w:val="left" w:pos="210"/>
              </w:tabs>
              <w:rPr>
                <w:color w:val="000000" w:themeColor="text1"/>
                <w:sz w:val="16"/>
                <w:szCs w:val="16"/>
                <w:lang w:val="es-ES" w:eastAsia="es-ES"/>
              </w:rPr>
            </w:pPr>
            <w:r>
              <w:rPr>
                <w:color w:val="000000" w:themeColor="text1"/>
                <w:sz w:val="16"/>
                <w:szCs w:val="16"/>
                <w:lang w:val="es-ES" w:eastAsia="es-ES"/>
              </w:rPr>
              <w:t>%</w:t>
            </w:r>
            <w:r w:rsidR="00CF6E96">
              <w:rPr>
                <w:color w:val="000000" w:themeColor="text1"/>
                <w:sz w:val="16"/>
                <w:szCs w:val="16"/>
                <w:lang w:val="es-ES" w:eastAsia="es-ES"/>
              </w:rPr>
              <w:t xml:space="preserve"> </w:t>
            </w:r>
            <w:proofErr w:type="spellStart"/>
            <w:r>
              <w:rPr>
                <w:color w:val="000000" w:themeColor="text1"/>
                <w:sz w:val="16"/>
                <w:szCs w:val="16"/>
                <w:lang w:val="es-ES" w:eastAsia="es-ES"/>
              </w:rPr>
              <w:t>var</w:t>
            </w:r>
            <w:proofErr w:type="spellEnd"/>
            <w:r w:rsidRPr="00B81E61">
              <w:rPr>
                <w:color w:val="000000" w:themeColor="text1"/>
                <w:sz w:val="16"/>
                <w:szCs w:val="16"/>
                <w:lang w:val="es-ES" w:eastAsia="es-ES"/>
              </w:rPr>
              <w:t>. 201</w:t>
            </w:r>
            <w:r>
              <w:rPr>
                <w:color w:val="000000" w:themeColor="text1"/>
                <w:sz w:val="16"/>
                <w:szCs w:val="16"/>
                <w:lang w:val="es-ES" w:eastAsia="es-ES"/>
              </w:rPr>
              <w:t>9/15</w:t>
            </w:r>
          </w:p>
        </w:tc>
        <w:tc>
          <w:tcPr>
            <w:tcW w:w="432" w:type="pct"/>
            <w:tcBorders>
              <w:top w:val="single" w:sz="4" w:space="0" w:color="auto"/>
              <w:left w:val="nil"/>
              <w:bottom w:val="single" w:sz="4" w:space="0" w:color="auto"/>
              <w:right w:val="nil"/>
            </w:tcBorders>
            <w:shd w:val="clear" w:color="000000" w:fill="FABF8F"/>
            <w:vAlign w:val="center"/>
            <w:hideMark/>
          </w:tcPr>
          <w:p w14:paraId="5630BB5D" w14:textId="77777777" w:rsidR="0088085F" w:rsidRPr="00B81E61" w:rsidRDefault="0088085F" w:rsidP="00C13CE1">
            <w:pPr>
              <w:pStyle w:val="cuadroCabe"/>
              <w:tabs>
                <w:tab w:val="left" w:pos="210"/>
              </w:tabs>
              <w:jc w:val="right"/>
              <w:rPr>
                <w:color w:val="000000" w:themeColor="text1"/>
                <w:sz w:val="16"/>
                <w:szCs w:val="16"/>
                <w:lang w:val="es-ES" w:eastAsia="es-ES"/>
              </w:rPr>
            </w:pPr>
            <w:r>
              <w:rPr>
                <w:color w:val="000000" w:themeColor="text1"/>
                <w:sz w:val="16"/>
                <w:szCs w:val="16"/>
                <w:lang w:val="es-ES" w:eastAsia="es-ES"/>
              </w:rPr>
              <w:t xml:space="preserve">% </w:t>
            </w:r>
            <w:proofErr w:type="spellStart"/>
            <w:r>
              <w:rPr>
                <w:color w:val="000000" w:themeColor="text1"/>
                <w:sz w:val="16"/>
                <w:szCs w:val="16"/>
                <w:lang w:val="es-ES" w:eastAsia="es-ES"/>
              </w:rPr>
              <w:t>var</w:t>
            </w:r>
            <w:proofErr w:type="spellEnd"/>
            <w:r>
              <w:rPr>
                <w:color w:val="000000" w:themeColor="text1"/>
                <w:sz w:val="16"/>
                <w:szCs w:val="16"/>
                <w:lang w:val="es-ES" w:eastAsia="es-ES"/>
              </w:rPr>
              <w:t>. 2019</w:t>
            </w:r>
            <w:r w:rsidRPr="00B81E61">
              <w:rPr>
                <w:color w:val="000000" w:themeColor="text1"/>
                <w:sz w:val="16"/>
                <w:szCs w:val="16"/>
                <w:lang w:val="es-ES" w:eastAsia="es-ES"/>
              </w:rPr>
              <w:t>/1</w:t>
            </w:r>
            <w:r>
              <w:rPr>
                <w:color w:val="000000" w:themeColor="text1"/>
                <w:sz w:val="16"/>
                <w:szCs w:val="16"/>
                <w:lang w:val="es-ES" w:eastAsia="es-ES"/>
              </w:rPr>
              <w:t>8</w:t>
            </w:r>
          </w:p>
        </w:tc>
        <w:tc>
          <w:tcPr>
            <w:tcW w:w="396" w:type="pct"/>
            <w:tcBorders>
              <w:top w:val="single" w:sz="4" w:space="0" w:color="auto"/>
              <w:left w:val="nil"/>
              <w:bottom w:val="single" w:sz="4" w:space="0" w:color="auto"/>
              <w:right w:val="nil"/>
            </w:tcBorders>
            <w:shd w:val="clear" w:color="000000" w:fill="FABF8F"/>
            <w:vAlign w:val="center"/>
          </w:tcPr>
          <w:p w14:paraId="2690BE2C" w14:textId="77777777" w:rsidR="0088085F" w:rsidRPr="00B81E61" w:rsidRDefault="0088085F" w:rsidP="00C13CE1">
            <w:pPr>
              <w:pStyle w:val="cuadroCabe"/>
              <w:tabs>
                <w:tab w:val="left" w:pos="210"/>
              </w:tabs>
              <w:jc w:val="right"/>
              <w:rPr>
                <w:color w:val="000000" w:themeColor="text1"/>
                <w:sz w:val="16"/>
                <w:szCs w:val="16"/>
                <w:lang w:val="es-ES" w:eastAsia="es-ES"/>
              </w:rPr>
            </w:pPr>
            <w:r>
              <w:rPr>
                <w:color w:val="000000" w:themeColor="text1"/>
                <w:sz w:val="16"/>
                <w:szCs w:val="16"/>
                <w:lang w:val="es-ES" w:eastAsia="es-ES"/>
              </w:rPr>
              <w:t>2019 (*)</w:t>
            </w:r>
          </w:p>
        </w:tc>
      </w:tr>
      <w:tr w:rsidR="0088085F" w:rsidRPr="00CF6E96" w14:paraId="3BDB63F4" w14:textId="77777777" w:rsidTr="006A6C4E">
        <w:trPr>
          <w:trHeight w:hRule="exact" w:val="238"/>
          <w:jc w:val="center"/>
        </w:trPr>
        <w:tc>
          <w:tcPr>
            <w:tcW w:w="1678" w:type="pct"/>
            <w:tcBorders>
              <w:top w:val="single" w:sz="4" w:space="0" w:color="auto"/>
              <w:left w:val="nil"/>
              <w:bottom w:val="single" w:sz="2" w:space="0" w:color="auto"/>
              <w:right w:val="nil"/>
            </w:tcBorders>
            <w:shd w:val="clear" w:color="auto" w:fill="auto"/>
            <w:vAlign w:val="center"/>
            <w:hideMark/>
          </w:tcPr>
          <w:p w14:paraId="357E3E69"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Total ingresos</w:t>
            </w:r>
          </w:p>
        </w:tc>
        <w:tc>
          <w:tcPr>
            <w:tcW w:w="520" w:type="pct"/>
            <w:tcBorders>
              <w:top w:val="single" w:sz="4" w:space="0" w:color="auto"/>
              <w:left w:val="nil"/>
              <w:bottom w:val="single" w:sz="2" w:space="0" w:color="auto"/>
              <w:right w:val="nil"/>
            </w:tcBorders>
            <w:shd w:val="clear" w:color="auto" w:fill="auto"/>
            <w:vAlign w:val="center"/>
            <w:hideMark/>
          </w:tcPr>
          <w:p w14:paraId="472D05BB"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751,27</w:t>
            </w:r>
          </w:p>
        </w:tc>
        <w:tc>
          <w:tcPr>
            <w:tcW w:w="382" w:type="pct"/>
            <w:tcBorders>
              <w:top w:val="single" w:sz="4" w:space="0" w:color="auto"/>
              <w:left w:val="nil"/>
              <w:bottom w:val="single" w:sz="2" w:space="0" w:color="auto"/>
              <w:right w:val="nil"/>
            </w:tcBorders>
            <w:shd w:val="clear" w:color="auto" w:fill="auto"/>
            <w:vAlign w:val="center"/>
            <w:hideMark/>
          </w:tcPr>
          <w:p w14:paraId="2541AAA1"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765,30</w:t>
            </w:r>
          </w:p>
        </w:tc>
        <w:tc>
          <w:tcPr>
            <w:tcW w:w="382" w:type="pct"/>
            <w:tcBorders>
              <w:top w:val="single" w:sz="4" w:space="0" w:color="auto"/>
              <w:left w:val="nil"/>
              <w:bottom w:val="single" w:sz="2" w:space="0" w:color="auto"/>
              <w:right w:val="nil"/>
            </w:tcBorders>
            <w:shd w:val="clear" w:color="auto" w:fill="auto"/>
            <w:vAlign w:val="center"/>
            <w:hideMark/>
          </w:tcPr>
          <w:p w14:paraId="633BB834"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784,48</w:t>
            </w:r>
          </w:p>
        </w:tc>
        <w:tc>
          <w:tcPr>
            <w:tcW w:w="402" w:type="pct"/>
            <w:tcBorders>
              <w:top w:val="single" w:sz="4" w:space="0" w:color="auto"/>
              <w:left w:val="nil"/>
              <w:bottom w:val="single" w:sz="2" w:space="0" w:color="auto"/>
              <w:right w:val="nil"/>
            </w:tcBorders>
            <w:shd w:val="clear" w:color="auto" w:fill="auto"/>
            <w:vAlign w:val="center"/>
            <w:hideMark/>
          </w:tcPr>
          <w:p w14:paraId="05169B4E"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839,48</w:t>
            </w:r>
          </w:p>
        </w:tc>
        <w:tc>
          <w:tcPr>
            <w:tcW w:w="379" w:type="pct"/>
            <w:tcBorders>
              <w:top w:val="single" w:sz="4" w:space="0" w:color="auto"/>
              <w:left w:val="nil"/>
              <w:bottom w:val="single" w:sz="2" w:space="0" w:color="auto"/>
              <w:right w:val="nil"/>
            </w:tcBorders>
            <w:shd w:val="clear" w:color="auto" w:fill="auto"/>
            <w:vAlign w:val="center"/>
          </w:tcPr>
          <w:p w14:paraId="4F50AED7" w14:textId="77777777" w:rsidR="0088085F" w:rsidRPr="00CF6E96" w:rsidRDefault="0088085F" w:rsidP="00C13CE1">
            <w:pPr>
              <w:tabs>
                <w:tab w:val="left" w:pos="210"/>
              </w:tabs>
              <w:spacing w:after="0"/>
              <w:ind w:firstLine="0"/>
              <w:jc w:val="right"/>
              <w:rPr>
                <w:rFonts w:ascii="Arial Narrow" w:hAnsi="Arial Narrow" w:cs="Calibri"/>
                <w:color w:val="000000"/>
                <w:sz w:val="19"/>
                <w:szCs w:val="19"/>
                <w:lang w:val="es-ES" w:eastAsia="es-ES"/>
              </w:rPr>
            </w:pPr>
            <w:r w:rsidRPr="00CF6E96">
              <w:rPr>
                <w:rFonts w:ascii="Arial Narrow" w:hAnsi="Arial Narrow" w:cs="Calibri"/>
                <w:color w:val="000000"/>
                <w:sz w:val="19"/>
                <w:szCs w:val="19"/>
              </w:rPr>
              <w:t>891,40</w:t>
            </w:r>
          </w:p>
        </w:tc>
        <w:tc>
          <w:tcPr>
            <w:tcW w:w="429" w:type="pct"/>
            <w:tcBorders>
              <w:top w:val="single" w:sz="4" w:space="0" w:color="auto"/>
              <w:left w:val="nil"/>
              <w:bottom w:val="single" w:sz="2" w:space="0" w:color="auto"/>
              <w:right w:val="nil"/>
            </w:tcBorders>
            <w:shd w:val="clear" w:color="auto" w:fill="auto"/>
            <w:vAlign w:val="center"/>
            <w:hideMark/>
          </w:tcPr>
          <w:p w14:paraId="65504E16" w14:textId="77777777" w:rsidR="0088085F" w:rsidRPr="00CF6E96" w:rsidRDefault="0088085F" w:rsidP="00C13CE1">
            <w:pPr>
              <w:tabs>
                <w:tab w:val="left" w:pos="210"/>
              </w:tabs>
              <w:spacing w:after="0"/>
              <w:ind w:firstLine="0"/>
              <w:jc w:val="right"/>
              <w:rPr>
                <w:rFonts w:ascii="Arial Narrow" w:hAnsi="Arial Narrow" w:cs="Calibri"/>
                <w:sz w:val="19"/>
                <w:szCs w:val="19"/>
                <w:lang w:val="es-ES" w:eastAsia="es-ES"/>
              </w:rPr>
            </w:pPr>
            <w:r w:rsidRPr="00CF6E96">
              <w:rPr>
                <w:rFonts w:ascii="Arial Narrow" w:hAnsi="Arial Narrow" w:cs="Calibri"/>
                <w:sz w:val="19"/>
                <w:szCs w:val="19"/>
              </w:rPr>
              <w:t>19</w:t>
            </w:r>
          </w:p>
        </w:tc>
        <w:tc>
          <w:tcPr>
            <w:tcW w:w="432" w:type="pct"/>
            <w:tcBorders>
              <w:top w:val="single" w:sz="4" w:space="0" w:color="auto"/>
              <w:left w:val="nil"/>
              <w:bottom w:val="single" w:sz="2" w:space="0" w:color="auto"/>
              <w:right w:val="nil"/>
            </w:tcBorders>
            <w:shd w:val="clear" w:color="auto" w:fill="auto"/>
            <w:vAlign w:val="center"/>
            <w:hideMark/>
          </w:tcPr>
          <w:p w14:paraId="54D095FB" w14:textId="77777777" w:rsidR="0088085F" w:rsidRPr="00CF6E96" w:rsidRDefault="0088085F" w:rsidP="00C13CE1">
            <w:pPr>
              <w:tabs>
                <w:tab w:val="left" w:pos="210"/>
              </w:tabs>
              <w:spacing w:after="0"/>
              <w:ind w:firstLine="0"/>
              <w:jc w:val="right"/>
              <w:rPr>
                <w:rFonts w:ascii="Arial Narrow" w:hAnsi="Arial Narrow" w:cs="Calibri"/>
                <w:sz w:val="19"/>
                <w:szCs w:val="19"/>
                <w:lang w:val="es-ES" w:eastAsia="es-ES"/>
              </w:rPr>
            </w:pPr>
            <w:r w:rsidRPr="00CF6E96">
              <w:rPr>
                <w:rFonts w:ascii="Arial Narrow" w:hAnsi="Arial Narrow" w:cs="Calibri"/>
                <w:sz w:val="19"/>
                <w:szCs w:val="19"/>
              </w:rPr>
              <w:t>6</w:t>
            </w:r>
          </w:p>
        </w:tc>
        <w:tc>
          <w:tcPr>
            <w:tcW w:w="396" w:type="pct"/>
            <w:tcBorders>
              <w:top w:val="single" w:sz="4" w:space="0" w:color="auto"/>
              <w:left w:val="nil"/>
              <w:bottom w:val="single" w:sz="2" w:space="0" w:color="auto"/>
              <w:right w:val="nil"/>
            </w:tcBorders>
            <w:shd w:val="clear" w:color="auto" w:fill="auto"/>
            <w:vAlign w:val="center"/>
          </w:tcPr>
          <w:p w14:paraId="61169EEA" w14:textId="77777777" w:rsidR="0088085F" w:rsidRPr="00CF6E96" w:rsidRDefault="0088085F" w:rsidP="00C13CE1">
            <w:pPr>
              <w:tabs>
                <w:tab w:val="left" w:pos="210"/>
              </w:tabs>
              <w:spacing w:after="0"/>
              <w:ind w:firstLine="0"/>
              <w:jc w:val="right"/>
              <w:rPr>
                <w:rFonts w:ascii="Arial Narrow" w:hAnsi="Arial Narrow" w:cs="Calibri"/>
                <w:color w:val="000000"/>
                <w:sz w:val="19"/>
                <w:szCs w:val="19"/>
                <w:lang w:val="es-ES" w:eastAsia="es-ES"/>
              </w:rPr>
            </w:pPr>
            <w:r w:rsidRPr="00CF6E96">
              <w:rPr>
                <w:rFonts w:ascii="Arial Narrow" w:hAnsi="Arial Narrow" w:cs="Calibri"/>
                <w:color w:val="000000"/>
                <w:sz w:val="19"/>
                <w:szCs w:val="19"/>
              </w:rPr>
              <w:t>964,63</w:t>
            </w:r>
          </w:p>
        </w:tc>
      </w:tr>
      <w:tr w:rsidR="0088085F" w:rsidRPr="00CF6E96" w14:paraId="3C34E67E"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6A966586"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Total gastos</w:t>
            </w:r>
          </w:p>
        </w:tc>
        <w:tc>
          <w:tcPr>
            <w:tcW w:w="520" w:type="pct"/>
            <w:tcBorders>
              <w:top w:val="single" w:sz="2" w:space="0" w:color="auto"/>
              <w:left w:val="nil"/>
              <w:bottom w:val="single" w:sz="2" w:space="0" w:color="auto"/>
              <w:right w:val="nil"/>
            </w:tcBorders>
            <w:shd w:val="clear" w:color="auto" w:fill="auto"/>
            <w:vAlign w:val="center"/>
            <w:hideMark/>
          </w:tcPr>
          <w:p w14:paraId="26C1B660"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732,93</w:t>
            </w:r>
          </w:p>
        </w:tc>
        <w:tc>
          <w:tcPr>
            <w:tcW w:w="382" w:type="pct"/>
            <w:tcBorders>
              <w:top w:val="single" w:sz="2" w:space="0" w:color="auto"/>
              <w:left w:val="nil"/>
              <w:bottom w:val="single" w:sz="2" w:space="0" w:color="auto"/>
              <w:right w:val="nil"/>
            </w:tcBorders>
            <w:shd w:val="clear" w:color="auto" w:fill="auto"/>
            <w:vAlign w:val="center"/>
            <w:hideMark/>
          </w:tcPr>
          <w:p w14:paraId="707E3B8B"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717,40</w:t>
            </w:r>
          </w:p>
        </w:tc>
        <w:tc>
          <w:tcPr>
            <w:tcW w:w="382" w:type="pct"/>
            <w:tcBorders>
              <w:top w:val="single" w:sz="2" w:space="0" w:color="auto"/>
              <w:left w:val="nil"/>
              <w:bottom w:val="single" w:sz="2" w:space="0" w:color="auto"/>
              <w:right w:val="nil"/>
            </w:tcBorders>
            <w:shd w:val="clear" w:color="auto" w:fill="auto"/>
            <w:vAlign w:val="center"/>
            <w:hideMark/>
          </w:tcPr>
          <w:p w14:paraId="35BF25F4"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758,13</w:t>
            </w:r>
          </w:p>
        </w:tc>
        <w:tc>
          <w:tcPr>
            <w:tcW w:w="402" w:type="pct"/>
            <w:tcBorders>
              <w:top w:val="single" w:sz="2" w:space="0" w:color="auto"/>
              <w:left w:val="nil"/>
              <w:bottom w:val="single" w:sz="2" w:space="0" w:color="auto"/>
              <w:right w:val="nil"/>
            </w:tcBorders>
            <w:shd w:val="clear" w:color="auto" w:fill="auto"/>
            <w:vAlign w:val="center"/>
            <w:hideMark/>
          </w:tcPr>
          <w:p w14:paraId="011FCF32"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787,98</w:t>
            </w:r>
          </w:p>
        </w:tc>
        <w:tc>
          <w:tcPr>
            <w:tcW w:w="379" w:type="pct"/>
            <w:tcBorders>
              <w:top w:val="single" w:sz="2" w:space="0" w:color="auto"/>
              <w:left w:val="nil"/>
              <w:bottom w:val="single" w:sz="2" w:space="0" w:color="auto"/>
              <w:right w:val="nil"/>
            </w:tcBorders>
            <w:shd w:val="clear" w:color="auto" w:fill="auto"/>
            <w:vAlign w:val="center"/>
          </w:tcPr>
          <w:p w14:paraId="3C5C6491" w14:textId="77777777" w:rsidR="0088085F" w:rsidRPr="00CF6E96" w:rsidRDefault="0088085F" w:rsidP="00C13CE1">
            <w:pPr>
              <w:tabs>
                <w:tab w:val="left" w:pos="210"/>
              </w:tabs>
              <w:ind w:firstLine="0"/>
              <w:jc w:val="right"/>
              <w:rPr>
                <w:rFonts w:ascii="Arial Narrow" w:hAnsi="Arial Narrow" w:cs="Calibri"/>
                <w:color w:val="000000"/>
                <w:sz w:val="19"/>
                <w:szCs w:val="19"/>
              </w:rPr>
            </w:pPr>
            <w:r w:rsidRPr="00CF6E96">
              <w:rPr>
                <w:rFonts w:ascii="Arial Narrow" w:hAnsi="Arial Narrow" w:cs="Calibri"/>
                <w:color w:val="000000"/>
                <w:sz w:val="19"/>
                <w:szCs w:val="19"/>
              </w:rPr>
              <w:t>885,37</w:t>
            </w:r>
          </w:p>
        </w:tc>
        <w:tc>
          <w:tcPr>
            <w:tcW w:w="429" w:type="pct"/>
            <w:tcBorders>
              <w:top w:val="single" w:sz="2" w:space="0" w:color="auto"/>
              <w:left w:val="nil"/>
              <w:bottom w:val="single" w:sz="2" w:space="0" w:color="auto"/>
              <w:right w:val="nil"/>
            </w:tcBorders>
            <w:shd w:val="clear" w:color="auto" w:fill="auto"/>
            <w:vAlign w:val="center"/>
            <w:hideMark/>
          </w:tcPr>
          <w:p w14:paraId="3F8AD961"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21</w:t>
            </w:r>
          </w:p>
        </w:tc>
        <w:tc>
          <w:tcPr>
            <w:tcW w:w="432" w:type="pct"/>
            <w:tcBorders>
              <w:top w:val="single" w:sz="2" w:space="0" w:color="auto"/>
              <w:left w:val="nil"/>
              <w:bottom w:val="single" w:sz="2" w:space="0" w:color="auto"/>
              <w:right w:val="nil"/>
            </w:tcBorders>
            <w:shd w:val="clear" w:color="auto" w:fill="auto"/>
            <w:vAlign w:val="center"/>
            <w:hideMark/>
          </w:tcPr>
          <w:p w14:paraId="4CC24736"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12</w:t>
            </w:r>
          </w:p>
        </w:tc>
        <w:tc>
          <w:tcPr>
            <w:tcW w:w="396" w:type="pct"/>
            <w:tcBorders>
              <w:top w:val="single" w:sz="2" w:space="0" w:color="auto"/>
              <w:left w:val="nil"/>
              <w:bottom w:val="single" w:sz="2" w:space="0" w:color="auto"/>
              <w:right w:val="nil"/>
            </w:tcBorders>
            <w:shd w:val="clear" w:color="auto" w:fill="auto"/>
            <w:vAlign w:val="center"/>
          </w:tcPr>
          <w:p w14:paraId="5432CED0" w14:textId="77777777" w:rsidR="0088085F" w:rsidRPr="00CF6E96" w:rsidRDefault="0088085F" w:rsidP="00C13CE1">
            <w:pPr>
              <w:tabs>
                <w:tab w:val="left" w:pos="210"/>
              </w:tabs>
              <w:ind w:firstLine="0"/>
              <w:jc w:val="right"/>
              <w:rPr>
                <w:rFonts w:ascii="Arial Narrow" w:hAnsi="Arial Narrow" w:cs="Calibri"/>
                <w:color w:val="000000"/>
                <w:sz w:val="19"/>
                <w:szCs w:val="19"/>
              </w:rPr>
            </w:pPr>
            <w:r w:rsidRPr="00CF6E96">
              <w:rPr>
                <w:rFonts w:ascii="Arial Narrow" w:hAnsi="Arial Narrow" w:cs="Calibri"/>
                <w:color w:val="000000"/>
                <w:sz w:val="19"/>
                <w:szCs w:val="19"/>
              </w:rPr>
              <w:t>955,57</w:t>
            </w:r>
          </w:p>
        </w:tc>
      </w:tr>
      <w:tr w:rsidR="0088085F" w:rsidRPr="00CF6E96" w14:paraId="4A6B81FE"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547B3CF3"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Ingresos tributarios</w:t>
            </w:r>
          </w:p>
        </w:tc>
        <w:tc>
          <w:tcPr>
            <w:tcW w:w="520" w:type="pct"/>
            <w:tcBorders>
              <w:top w:val="single" w:sz="2" w:space="0" w:color="auto"/>
              <w:left w:val="nil"/>
              <w:bottom w:val="single" w:sz="2" w:space="0" w:color="auto"/>
              <w:right w:val="nil"/>
            </w:tcBorders>
            <w:shd w:val="clear" w:color="auto" w:fill="auto"/>
            <w:vAlign w:val="center"/>
            <w:hideMark/>
          </w:tcPr>
          <w:p w14:paraId="16DE1391"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359,12</w:t>
            </w:r>
          </w:p>
        </w:tc>
        <w:tc>
          <w:tcPr>
            <w:tcW w:w="382" w:type="pct"/>
            <w:tcBorders>
              <w:top w:val="single" w:sz="2" w:space="0" w:color="auto"/>
              <w:left w:val="nil"/>
              <w:bottom w:val="single" w:sz="2" w:space="0" w:color="auto"/>
              <w:right w:val="nil"/>
            </w:tcBorders>
            <w:shd w:val="clear" w:color="auto" w:fill="auto"/>
            <w:vAlign w:val="center"/>
            <w:hideMark/>
          </w:tcPr>
          <w:p w14:paraId="60A15A9F"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371,55</w:t>
            </w:r>
          </w:p>
        </w:tc>
        <w:tc>
          <w:tcPr>
            <w:tcW w:w="382" w:type="pct"/>
            <w:tcBorders>
              <w:top w:val="single" w:sz="2" w:space="0" w:color="auto"/>
              <w:left w:val="nil"/>
              <w:bottom w:val="single" w:sz="2" w:space="0" w:color="auto"/>
              <w:right w:val="nil"/>
            </w:tcBorders>
            <w:shd w:val="clear" w:color="auto" w:fill="auto"/>
            <w:vAlign w:val="center"/>
            <w:hideMark/>
          </w:tcPr>
          <w:p w14:paraId="291E6167"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368,83</w:t>
            </w:r>
          </w:p>
        </w:tc>
        <w:tc>
          <w:tcPr>
            <w:tcW w:w="402" w:type="pct"/>
            <w:tcBorders>
              <w:top w:val="single" w:sz="2" w:space="0" w:color="auto"/>
              <w:left w:val="nil"/>
              <w:bottom w:val="single" w:sz="2" w:space="0" w:color="auto"/>
              <w:right w:val="nil"/>
            </w:tcBorders>
            <w:shd w:val="clear" w:color="auto" w:fill="auto"/>
            <w:vAlign w:val="center"/>
            <w:hideMark/>
          </w:tcPr>
          <w:p w14:paraId="0D8B6584"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385,04</w:t>
            </w:r>
          </w:p>
        </w:tc>
        <w:tc>
          <w:tcPr>
            <w:tcW w:w="379" w:type="pct"/>
            <w:tcBorders>
              <w:top w:val="single" w:sz="2" w:space="0" w:color="auto"/>
              <w:left w:val="nil"/>
              <w:bottom w:val="single" w:sz="2" w:space="0" w:color="auto"/>
              <w:right w:val="nil"/>
            </w:tcBorders>
            <w:shd w:val="clear" w:color="auto" w:fill="auto"/>
            <w:vAlign w:val="center"/>
          </w:tcPr>
          <w:p w14:paraId="37C23C2A" w14:textId="77777777" w:rsidR="0088085F" w:rsidRPr="00CF6E96" w:rsidRDefault="0088085F" w:rsidP="00C13CE1">
            <w:pPr>
              <w:tabs>
                <w:tab w:val="left" w:pos="210"/>
              </w:tabs>
              <w:ind w:firstLine="0"/>
              <w:jc w:val="right"/>
              <w:rPr>
                <w:rFonts w:ascii="Arial Narrow" w:hAnsi="Arial Narrow" w:cs="Calibri"/>
                <w:color w:val="000000"/>
                <w:sz w:val="19"/>
                <w:szCs w:val="19"/>
              </w:rPr>
            </w:pPr>
            <w:r w:rsidRPr="00CF6E96">
              <w:rPr>
                <w:rFonts w:ascii="Arial Narrow" w:hAnsi="Arial Narrow" w:cs="Calibri"/>
                <w:color w:val="000000"/>
                <w:sz w:val="19"/>
                <w:szCs w:val="19"/>
              </w:rPr>
              <w:t>402,08</w:t>
            </w:r>
          </w:p>
        </w:tc>
        <w:tc>
          <w:tcPr>
            <w:tcW w:w="429" w:type="pct"/>
            <w:tcBorders>
              <w:top w:val="single" w:sz="2" w:space="0" w:color="auto"/>
              <w:left w:val="nil"/>
              <w:bottom w:val="single" w:sz="2" w:space="0" w:color="auto"/>
              <w:right w:val="nil"/>
            </w:tcBorders>
            <w:shd w:val="clear" w:color="auto" w:fill="auto"/>
            <w:vAlign w:val="center"/>
            <w:hideMark/>
          </w:tcPr>
          <w:p w14:paraId="318AEE7A"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12</w:t>
            </w:r>
          </w:p>
        </w:tc>
        <w:tc>
          <w:tcPr>
            <w:tcW w:w="432" w:type="pct"/>
            <w:tcBorders>
              <w:top w:val="single" w:sz="2" w:space="0" w:color="auto"/>
              <w:left w:val="nil"/>
              <w:bottom w:val="single" w:sz="2" w:space="0" w:color="auto"/>
              <w:right w:val="nil"/>
            </w:tcBorders>
            <w:shd w:val="clear" w:color="auto" w:fill="auto"/>
            <w:vAlign w:val="center"/>
            <w:hideMark/>
          </w:tcPr>
          <w:p w14:paraId="39EB8248"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4</w:t>
            </w:r>
          </w:p>
        </w:tc>
        <w:tc>
          <w:tcPr>
            <w:tcW w:w="396" w:type="pct"/>
            <w:tcBorders>
              <w:top w:val="single" w:sz="2" w:space="0" w:color="auto"/>
              <w:left w:val="nil"/>
              <w:bottom w:val="single" w:sz="2" w:space="0" w:color="auto"/>
              <w:right w:val="nil"/>
            </w:tcBorders>
            <w:shd w:val="clear" w:color="auto" w:fill="auto"/>
            <w:vAlign w:val="center"/>
          </w:tcPr>
          <w:p w14:paraId="1AF1D455" w14:textId="77777777" w:rsidR="0088085F" w:rsidRPr="00CF6E96" w:rsidRDefault="0088085F" w:rsidP="00C13CE1">
            <w:pPr>
              <w:tabs>
                <w:tab w:val="left" w:pos="210"/>
              </w:tabs>
              <w:ind w:firstLine="0"/>
              <w:jc w:val="right"/>
              <w:rPr>
                <w:rFonts w:ascii="Arial Narrow" w:hAnsi="Arial Narrow" w:cs="Calibri"/>
                <w:color w:val="000000"/>
                <w:sz w:val="19"/>
                <w:szCs w:val="19"/>
              </w:rPr>
            </w:pPr>
            <w:r w:rsidRPr="00CF6E96">
              <w:rPr>
                <w:rFonts w:ascii="Arial Narrow" w:hAnsi="Arial Narrow" w:cs="Calibri"/>
                <w:color w:val="000000"/>
                <w:sz w:val="19"/>
                <w:szCs w:val="19"/>
              </w:rPr>
              <w:t>463,84</w:t>
            </w:r>
          </w:p>
        </w:tc>
      </w:tr>
      <w:tr w:rsidR="0088085F" w:rsidRPr="00CF6E96" w14:paraId="63B1AC47"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1966C132"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Ingresos por transferencias</w:t>
            </w:r>
          </w:p>
        </w:tc>
        <w:tc>
          <w:tcPr>
            <w:tcW w:w="520" w:type="pct"/>
            <w:tcBorders>
              <w:top w:val="single" w:sz="2" w:space="0" w:color="auto"/>
              <w:left w:val="nil"/>
              <w:bottom w:val="single" w:sz="2" w:space="0" w:color="auto"/>
              <w:right w:val="nil"/>
            </w:tcBorders>
            <w:shd w:val="clear" w:color="auto" w:fill="auto"/>
            <w:vAlign w:val="center"/>
            <w:hideMark/>
          </w:tcPr>
          <w:p w14:paraId="160E5F6D"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323,05</w:t>
            </w:r>
          </w:p>
        </w:tc>
        <w:tc>
          <w:tcPr>
            <w:tcW w:w="382" w:type="pct"/>
            <w:tcBorders>
              <w:top w:val="single" w:sz="2" w:space="0" w:color="auto"/>
              <w:left w:val="nil"/>
              <w:bottom w:val="single" w:sz="2" w:space="0" w:color="auto"/>
              <w:right w:val="nil"/>
            </w:tcBorders>
            <w:shd w:val="clear" w:color="auto" w:fill="auto"/>
            <w:vAlign w:val="center"/>
            <w:hideMark/>
          </w:tcPr>
          <w:p w14:paraId="406F9E48"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332</w:t>
            </w:r>
          </w:p>
        </w:tc>
        <w:tc>
          <w:tcPr>
            <w:tcW w:w="382" w:type="pct"/>
            <w:tcBorders>
              <w:top w:val="single" w:sz="2" w:space="0" w:color="auto"/>
              <w:left w:val="nil"/>
              <w:bottom w:val="single" w:sz="2" w:space="0" w:color="auto"/>
              <w:right w:val="nil"/>
            </w:tcBorders>
            <w:shd w:val="clear" w:color="auto" w:fill="auto"/>
            <w:vAlign w:val="center"/>
            <w:hideMark/>
          </w:tcPr>
          <w:p w14:paraId="15180727"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347,39</w:t>
            </w:r>
          </w:p>
        </w:tc>
        <w:tc>
          <w:tcPr>
            <w:tcW w:w="402" w:type="pct"/>
            <w:tcBorders>
              <w:top w:val="single" w:sz="2" w:space="0" w:color="auto"/>
              <w:left w:val="nil"/>
              <w:bottom w:val="single" w:sz="2" w:space="0" w:color="auto"/>
              <w:right w:val="nil"/>
            </w:tcBorders>
            <w:shd w:val="clear" w:color="auto" w:fill="auto"/>
            <w:vAlign w:val="center"/>
            <w:hideMark/>
          </w:tcPr>
          <w:p w14:paraId="55D71239"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390,26</w:t>
            </w:r>
          </w:p>
        </w:tc>
        <w:tc>
          <w:tcPr>
            <w:tcW w:w="379" w:type="pct"/>
            <w:tcBorders>
              <w:top w:val="single" w:sz="2" w:space="0" w:color="auto"/>
              <w:left w:val="nil"/>
              <w:bottom w:val="single" w:sz="2" w:space="0" w:color="auto"/>
              <w:right w:val="nil"/>
            </w:tcBorders>
            <w:shd w:val="clear" w:color="auto" w:fill="auto"/>
            <w:vAlign w:val="center"/>
          </w:tcPr>
          <w:p w14:paraId="36E2F13F" w14:textId="77777777" w:rsidR="0088085F" w:rsidRPr="00CF6E96" w:rsidRDefault="0088085F" w:rsidP="00C13CE1">
            <w:pPr>
              <w:tabs>
                <w:tab w:val="left" w:pos="210"/>
              </w:tabs>
              <w:ind w:firstLine="0"/>
              <w:jc w:val="right"/>
              <w:rPr>
                <w:rFonts w:ascii="Arial Narrow" w:hAnsi="Arial Narrow" w:cs="Calibri"/>
                <w:color w:val="000000"/>
                <w:sz w:val="19"/>
                <w:szCs w:val="19"/>
              </w:rPr>
            </w:pPr>
            <w:r w:rsidRPr="00CF6E96">
              <w:rPr>
                <w:rFonts w:ascii="Arial Narrow" w:hAnsi="Arial Narrow" w:cs="Calibri"/>
                <w:color w:val="000000"/>
                <w:sz w:val="19"/>
                <w:szCs w:val="19"/>
              </w:rPr>
              <w:t>424,10</w:t>
            </w:r>
          </w:p>
        </w:tc>
        <w:tc>
          <w:tcPr>
            <w:tcW w:w="429" w:type="pct"/>
            <w:tcBorders>
              <w:top w:val="single" w:sz="2" w:space="0" w:color="auto"/>
              <w:left w:val="nil"/>
              <w:bottom w:val="single" w:sz="2" w:space="0" w:color="auto"/>
              <w:right w:val="nil"/>
            </w:tcBorders>
            <w:shd w:val="clear" w:color="auto" w:fill="auto"/>
            <w:vAlign w:val="center"/>
            <w:hideMark/>
          </w:tcPr>
          <w:p w14:paraId="3B4DBDE0"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31</w:t>
            </w:r>
          </w:p>
        </w:tc>
        <w:tc>
          <w:tcPr>
            <w:tcW w:w="432" w:type="pct"/>
            <w:tcBorders>
              <w:top w:val="single" w:sz="2" w:space="0" w:color="auto"/>
              <w:left w:val="nil"/>
              <w:bottom w:val="single" w:sz="2" w:space="0" w:color="auto"/>
              <w:right w:val="nil"/>
            </w:tcBorders>
            <w:shd w:val="clear" w:color="auto" w:fill="auto"/>
            <w:vAlign w:val="center"/>
            <w:hideMark/>
          </w:tcPr>
          <w:p w14:paraId="307A18DC"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9</w:t>
            </w:r>
          </w:p>
        </w:tc>
        <w:tc>
          <w:tcPr>
            <w:tcW w:w="396" w:type="pct"/>
            <w:tcBorders>
              <w:top w:val="single" w:sz="2" w:space="0" w:color="auto"/>
              <w:left w:val="nil"/>
              <w:bottom w:val="single" w:sz="2" w:space="0" w:color="auto"/>
              <w:right w:val="nil"/>
            </w:tcBorders>
            <w:shd w:val="clear" w:color="auto" w:fill="auto"/>
            <w:vAlign w:val="center"/>
          </w:tcPr>
          <w:p w14:paraId="57188BA2" w14:textId="77777777" w:rsidR="0088085F" w:rsidRPr="00CF6E96" w:rsidRDefault="0088085F" w:rsidP="00C13CE1">
            <w:pPr>
              <w:tabs>
                <w:tab w:val="left" w:pos="210"/>
              </w:tabs>
              <w:ind w:firstLine="0"/>
              <w:jc w:val="right"/>
              <w:rPr>
                <w:rFonts w:ascii="Arial Narrow" w:hAnsi="Arial Narrow" w:cs="Calibri"/>
                <w:color w:val="000000"/>
                <w:sz w:val="19"/>
                <w:szCs w:val="19"/>
              </w:rPr>
            </w:pPr>
            <w:r w:rsidRPr="00CF6E96">
              <w:rPr>
                <w:rFonts w:ascii="Arial Narrow" w:hAnsi="Arial Narrow" w:cs="Calibri"/>
                <w:color w:val="000000"/>
                <w:sz w:val="19"/>
                <w:szCs w:val="19"/>
              </w:rPr>
              <w:t>435,46</w:t>
            </w:r>
          </w:p>
        </w:tc>
      </w:tr>
      <w:tr w:rsidR="0088085F" w:rsidRPr="00CF6E96" w14:paraId="704FAED6"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322B053F"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Gastos de funcionamiento</w:t>
            </w:r>
          </w:p>
        </w:tc>
        <w:tc>
          <w:tcPr>
            <w:tcW w:w="520" w:type="pct"/>
            <w:tcBorders>
              <w:top w:val="single" w:sz="2" w:space="0" w:color="auto"/>
              <w:left w:val="nil"/>
              <w:bottom w:val="single" w:sz="2" w:space="0" w:color="auto"/>
              <w:right w:val="nil"/>
            </w:tcBorders>
            <w:shd w:val="clear" w:color="auto" w:fill="auto"/>
            <w:vAlign w:val="center"/>
            <w:hideMark/>
          </w:tcPr>
          <w:p w14:paraId="3775197B"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591,74</w:t>
            </w:r>
          </w:p>
        </w:tc>
        <w:tc>
          <w:tcPr>
            <w:tcW w:w="382" w:type="pct"/>
            <w:tcBorders>
              <w:top w:val="single" w:sz="2" w:space="0" w:color="auto"/>
              <w:left w:val="nil"/>
              <w:bottom w:val="single" w:sz="2" w:space="0" w:color="auto"/>
              <w:right w:val="nil"/>
            </w:tcBorders>
            <w:shd w:val="clear" w:color="auto" w:fill="auto"/>
            <w:vAlign w:val="center"/>
            <w:hideMark/>
          </w:tcPr>
          <w:p w14:paraId="225F4420"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598,92</w:t>
            </w:r>
          </w:p>
        </w:tc>
        <w:tc>
          <w:tcPr>
            <w:tcW w:w="382" w:type="pct"/>
            <w:tcBorders>
              <w:top w:val="single" w:sz="2" w:space="0" w:color="auto"/>
              <w:left w:val="nil"/>
              <w:bottom w:val="single" w:sz="2" w:space="0" w:color="auto"/>
              <w:right w:val="nil"/>
            </w:tcBorders>
            <w:shd w:val="clear" w:color="auto" w:fill="auto"/>
            <w:vAlign w:val="center"/>
            <w:hideMark/>
          </w:tcPr>
          <w:p w14:paraId="3BC53B32"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610,52</w:t>
            </w:r>
          </w:p>
        </w:tc>
        <w:tc>
          <w:tcPr>
            <w:tcW w:w="402" w:type="pct"/>
            <w:tcBorders>
              <w:top w:val="single" w:sz="2" w:space="0" w:color="auto"/>
              <w:left w:val="nil"/>
              <w:bottom w:val="single" w:sz="2" w:space="0" w:color="auto"/>
              <w:right w:val="nil"/>
            </w:tcBorders>
            <w:shd w:val="clear" w:color="auto" w:fill="auto"/>
            <w:vAlign w:val="center"/>
            <w:hideMark/>
          </w:tcPr>
          <w:p w14:paraId="187CB027"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626,02</w:t>
            </w:r>
          </w:p>
        </w:tc>
        <w:tc>
          <w:tcPr>
            <w:tcW w:w="379" w:type="pct"/>
            <w:tcBorders>
              <w:top w:val="single" w:sz="2" w:space="0" w:color="auto"/>
              <w:left w:val="nil"/>
              <w:bottom w:val="single" w:sz="2" w:space="0" w:color="auto"/>
              <w:right w:val="nil"/>
            </w:tcBorders>
            <w:shd w:val="clear" w:color="auto" w:fill="auto"/>
            <w:vAlign w:val="center"/>
          </w:tcPr>
          <w:p w14:paraId="027E8A7C"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653,91</w:t>
            </w:r>
          </w:p>
        </w:tc>
        <w:tc>
          <w:tcPr>
            <w:tcW w:w="429" w:type="pct"/>
            <w:tcBorders>
              <w:top w:val="single" w:sz="2" w:space="0" w:color="auto"/>
              <w:left w:val="nil"/>
              <w:bottom w:val="single" w:sz="2" w:space="0" w:color="auto"/>
              <w:right w:val="nil"/>
            </w:tcBorders>
            <w:shd w:val="clear" w:color="auto" w:fill="auto"/>
            <w:vAlign w:val="center"/>
            <w:hideMark/>
          </w:tcPr>
          <w:p w14:paraId="4B936102"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11</w:t>
            </w:r>
          </w:p>
        </w:tc>
        <w:tc>
          <w:tcPr>
            <w:tcW w:w="432" w:type="pct"/>
            <w:tcBorders>
              <w:top w:val="single" w:sz="2" w:space="0" w:color="auto"/>
              <w:left w:val="nil"/>
              <w:bottom w:val="single" w:sz="2" w:space="0" w:color="auto"/>
              <w:right w:val="nil"/>
            </w:tcBorders>
            <w:shd w:val="clear" w:color="auto" w:fill="auto"/>
            <w:vAlign w:val="center"/>
            <w:hideMark/>
          </w:tcPr>
          <w:p w14:paraId="6FFD58C7"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4</w:t>
            </w:r>
          </w:p>
        </w:tc>
        <w:tc>
          <w:tcPr>
            <w:tcW w:w="396" w:type="pct"/>
            <w:tcBorders>
              <w:top w:val="single" w:sz="2" w:space="0" w:color="auto"/>
              <w:left w:val="nil"/>
              <w:bottom w:val="single" w:sz="2" w:space="0" w:color="auto"/>
              <w:right w:val="nil"/>
            </w:tcBorders>
            <w:shd w:val="clear" w:color="auto" w:fill="auto"/>
            <w:vAlign w:val="center"/>
          </w:tcPr>
          <w:p w14:paraId="6543ACF9"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713,07</w:t>
            </w:r>
          </w:p>
        </w:tc>
      </w:tr>
      <w:tr w:rsidR="0088085F" w:rsidRPr="00CF6E96" w14:paraId="044FC705"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3BF3348A"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Gastos de capital</w:t>
            </w:r>
          </w:p>
        </w:tc>
        <w:tc>
          <w:tcPr>
            <w:tcW w:w="520" w:type="pct"/>
            <w:tcBorders>
              <w:top w:val="single" w:sz="2" w:space="0" w:color="auto"/>
              <w:left w:val="nil"/>
              <w:bottom w:val="single" w:sz="2" w:space="0" w:color="auto"/>
              <w:right w:val="nil"/>
            </w:tcBorders>
            <w:shd w:val="clear" w:color="auto" w:fill="auto"/>
            <w:vAlign w:val="center"/>
            <w:hideMark/>
          </w:tcPr>
          <w:p w14:paraId="7C336214"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79,57</w:t>
            </w:r>
          </w:p>
        </w:tc>
        <w:tc>
          <w:tcPr>
            <w:tcW w:w="382" w:type="pct"/>
            <w:tcBorders>
              <w:top w:val="single" w:sz="2" w:space="0" w:color="auto"/>
              <w:left w:val="nil"/>
              <w:bottom w:val="single" w:sz="2" w:space="0" w:color="auto"/>
              <w:right w:val="nil"/>
            </w:tcBorders>
            <w:shd w:val="clear" w:color="auto" w:fill="auto"/>
            <w:vAlign w:val="center"/>
            <w:hideMark/>
          </w:tcPr>
          <w:p w14:paraId="5A469233"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79,69</w:t>
            </w:r>
          </w:p>
        </w:tc>
        <w:tc>
          <w:tcPr>
            <w:tcW w:w="382" w:type="pct"/>
            <w:tcBorders>
              <w:top w:val="single" w:sz="2" w:space="0" w:color="auto"/>
              <w:left w:val="nil"/>
              <w:bottom w:val="single" w:sz="2" w:space="0" w:color="auto"/>
              <w:right w:val="nil"/>
            </w:tcBorders>
            <w:shd w:val="clear" w:color="auto" w:fill="auto"/>
            <w:vAlign w:val="center"/>
            <w:hideMark/>
          </w:tcPr>
          <w:p w14:paraId="60638EF5"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98,25</w:t>
            </w:r>
          </w:p>
        </w:tc>
        <w:tc>
          <w:tcPr>
            <w:tcW w:w="402" w:type="pct"/>
            <w:tcBorders>
              <w:top w:val="single" w:sz="2" w:space="0" w:color="auto"/>
              <w:left w:val="nil"/>
              <w:bottom w:val="single" w:sz="2" w:space="0" w:color="auto"/>
              <w:right w:val="nil"/>
            </w:tcBorders>
            <w:shd w:val="clear" w:color="auto" w:fill="auto"/>
            <w:vAlign w:val="center"/>
            <w:hideMark/>
          </w:tcPr>
          <w:p w14:paraId="66704470"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125,09</w:t>
            </w:r>
          </w:p>
        </w:tc>
        <w:tc>
          <w:tcPr>
            <w:tcW w:w="379" w:type="pct"/>
            <w:tcBorders>
              <w:top w:val="single" w:sz="2" w:space="0" w:color="auto"/>
              <w:left w:val="nil"/>
              <w:bottom w:val="single" w:sz="2" w:space="0" w:color="auto"/>
              <w:right w:val="nil"/>
            </w:tcBorders>
            <w:shd w:val="clear" w:color="auto" w:fill="auto"/>
            <w:vAlign w:val="center"/>
          </w:tcPr>
          <w:p w14:paraId="7BFE6B0E"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199,42</w:t>
            </w:r>
          </w:p>
        </w:tc>
        <w:tc>
          <w:tcPr>
            <w:tcW w:w="429" w:type="pct"/>
            <w:tcBorders>
              <w:top w:val="single" w:sz="2" w:space="0" w:color="auto"/>
              <w:left w:val="nil"/>
              <w:bottom w:val="single" w:sz="2" w:space="0" w:color="auto"/>
              <w:right w:val="nil"/>
            </w:tcBorders>
            <w:shd w:val="clear" w:color="auto" w:fill="auto"/>
            <w:vAlign w:val="center"/>
            <w:hideMark/>
          </w:tcPr>
          <w:p w14:paraId="6A5DE747"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151</w:t>
            </w:r>
          </w:p>
        </w:tc>
        <w:tc>
          <w:tcPr>
            <w:tcW w:w="432" w:type="pct"/>
            <w:tcBorders>
              <w:top w:val="single" w:sz="2" w:space="0" w:color="auto"/>
              <w:left w:val="nil"/>
              <w:bottom w:val="single" w:sz="2" w:space="0" w:color="auto"/>
              <w:right w:val="nil"/>
            </w:tcBorders>
            <w:shd w:val="clear" w:color="auto" w:fill="auto"/>
            <w:vAlign w:val="center"/>
            <w:hideMark/>
          </w:tcPr>
          <w:p w14:paraId="2F7E7DEA"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59</w:t>
            </w:r>
          </w:p>
        </w:tc>
        <w:tc>
          <w:tcPr>
            <w:tcW w:w="396" w:type="pct"/>
            <w:tcBorders>
              <w:top w:val="single" w:sz="2" w:space="0" w:color="auto"/>
              <w:left w:val="nil"/>
              <w:bottom w:val="single" w:sz="2" w:space="0" w:color="auto"/>
              <w:right w:val="nil"/>
            </w:tcBorders>
            <w:shd w:val="clear" w:color="auto" w:fill="auto"/>
            <w:vAlign w:val="center"/>
          </w:tcPr>
          <w:p w14:paraId="22B13BCC"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210,45</w:t>
            </w:r>
          </w:p>
        </w:tc>
      </w:tr>
      <w:tr w:rsidR="0088085F" w:rsidRPr="00CF6E96" w14:paraId="44B319A7"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0392D05B" w14:textId="77777777" w:rsidR="0088085F" w:rsidRPr="00CF6E96" w:rsidRDefault="00040389" w:rsidP="00040389">
            <w:pPr>
              <w:pStyle w:val="cuatexto"/>
              <w:rPr>
                <w:rFonts w:cs="Calibri"/>
                <w:color w:val="000000" w:themeColor="text1"/>
                <w:sz w:val="19"/>
                <w:szCs w:val="19"/>
                <w:lang w:val="es-ES" w:eastAsia="es-ES"/>
              </w:rPr>
            </w:pPr>
            <w:r>
              <w:rPr>
                <w:rFonts w:cs="Calibri"/>
                <w:color w:val="000000" w:themeColor="text1"/>
                <w:sz w:val="19"/>
                <w:szCs w:val="19"/>
                <w:lang w:val="es-ES" w:eastAsia="es-ES"/>
              </w:rPr>
              <w:t xml:space="preserve">Resultado </w:t>
            </w:r>
            <w:proofErr w:type="spellStart"/>
            <w:r>
              <w:rPr>
                <w:rFonts w:cs="Calibri"/>
                <w:color w:val="000000" w:themeColor="text1"/>
                <w:sz w:val="19"/>
                <w:szCs w:val="19"/>
                <w:lang w:val="es-ES" w:eastAsia="es-ES"/>
              </w:rPr>
              <w:t>pptario.</w:t>
            </w:r>
            <w:r w:rsidR="0088085F" w:rsidRPr="00CF6E96">
              <w:rPr>
                <w:rFonts w:cs="Calibri"/>
                <w:color w:val="000000" w:themeColor="text1"/>
                <w:sz w:val="19"/>
                <w:szCs w:val="19"/>
                <w:lang w:val="es-ES" w:eastAsia="es-ES"/>
              </w:rPr>
              <w:t>no</w:t>
            </w:r>
            <w:proofErr w:type="spellEnd"/>
            <w:r w:rsidR="0088085F" w:rsidRPr="00CF6E96">
              <w:rPr>
                <w:rFonts w:cs="Calibri"/>
                <w:color w:val="000000" w:themeColor="text1"/>
                <w:sz w:val="19"/>
                <w:szCs w:val="19"/>
                <w:lang w:val="es-ES" w:eastAsia="es-ES"/>
              </w:rPr>
              <w:t xml:space="preserve"> financiero</w:t>
            </w:r>
          </w:p>
        </w:tc>
        <w:tc>
          <w:tcPr>
            <w:tcW w:w="520" w:type="pct"/>
            <w:tcBorders>
              <w:top w:val="single" w:sz="2" w:space="0" w:color="auto"/>
              <w:left w:val="nil"/>
              <w:bottom w:val="single" w:sz="2" w:space="0" w:color="auto"/>
              <w:right w:val="nil"/>
            </w:tcBorders>
            <w:shd w:val="clear" w:color="auto" w:fill="auto"/>
            <w:vAlign w:val="center"/>
            <w:hideMark/>
          </w:tcPr>
          <w:p w14:paraId="324FD5C0"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60,42</w:t>
            </w:r>
          </w:p>
        </w:tc>
        <w:tc>
          <w:tcPr>
            <w:tcW w:w="382" w:type="pct"/>
            <w:tcBorders>
              <w:top w:val="single" w:sz="2" w:space="0" w:color="auto"/>
              <w:left w:val="nil"/>
              <w:bottom w:val="single" w:sz="2" w:space="0" w:color="auto"/>
              <w:right w:val="nil"/>
            </w:tcBorders>
            <w:shd w:val="clear" w:color="auto" w:fill="auto"/>
            <w:vAlign w:val="center"/>
            <w:hideMark/>
          </w:tcPr>
          <w:p w14:paraId="3BC80469"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78,22</w:t>
            </w:r>
          </w:p>
        </w:tc>
        <w:tc>
          <w:tcPr>
            <w:tcW w:w="382" w:type="pct"/>
            <w:tcBorders>
              <w:top w:val="single" w:sz="2" w:space="0" w:color="auto"/>
              <w:left w:val="nil"/>
              <w:bottom w:val="single" w:sz="2" w:space="0" w:color="auto"/>
              <w:right w:val="nil"/>
            </w:tcBorders>
            <w:shd w:val="clear" w:color="auto" w:fill="auto"/>
            <w:vAlign w:val="center"/>
            <w:hideMark/>
          </w:tcPr>
          <w:p w14:paraId="035E0BF0"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62,70</w:t>
            </w:r>
          </w:p>
        </w:tc>
        <w:tc>
          <w:tcPr>
            <w:tcW w:w="402" w:type="pct"/>
            <w:tcBorders>
              <w:top w:val="single" w:sz="2" w:space="0" w:color="auto"/>
              <w:left w:val="nil"/>
              <w:bottom w:val="single" w:sz="2" w:space="0" w:color="auto"/>
              <w:right w:val="nil"/>
            </w:tcBorders>
            <w:shd w:val="clear" w:color="auto" w:fill="auto"/>
            <w:vAlign w:val="center"/>
            <w:hideMark/>
          </w:tcPr>
          <w:p w14:paraId="49FC96DB"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81,22</w:t>
            </w:r>
          </w:p>
        </w:tc>
        <w:tc>
          <w:tcPr>
            <w:tcW w:w="379" w:type="pct"/>
            <w:tcBorders>
              <w:top w:val="single" w:sz="2" w:space="0" w:color="auto"/>
              <w:left w:val="nil"/>
              <w:bottom w:val="single" w:sz="2" w:space="0" w:color="auto"/>
              <w:right w:val="nil"/>
            </w:tcBorders>
            <w:shd w:val="clear" w:color="auto" w:fill="auto"/>
            <w:vAlign w:val="center"/>
          </w:tcPr>
          <w:p w14:paraId="7A3430E3"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31,16</w:t>
            </w:r>
          </w:p>
        </w:tc>
        <w:tc>
          <w:tcPr>
            <w:tcW w:w="429" w:type="pct"/>
            <w:tcBorders>
              <w:top w:val="single" w:sz="2" w:space="0" w:color="auto"/>
              <w:left w:val="nil"/>
              <w:bottom w:val="single" w:sz="2" w:space="0" w:color="auto"/>
              <w:right w:val="nil"/>
            </w:tcBorders>
            <w:shd w:val="clear" w:color="auto" w:fill="auto"/>
            <w:vAlign w:val="center"/>
            <w:hideMark/>
          </w:tcPr>
          <w:p w14:paraId="3F4472CB"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-48</w:t>
            </w:r>
          </w:p>
        </w:tc>
        <w:tc>
          <w:tcPr>
            <w:tcW w:w="432" w:type="pct"/>
            <w:tcBorders>
              <w:top w:val="single" w:sz="2" w:space="0" w:color="auto"/>
              <w:left w:val="nil"/>
              <w:bottom w:val="single" w:sz="2" w:space="0" w:color="auto"/>
              <w:right w:val="nil"/>
            </w:tcBorders>
            <w:shd w:val="clear" w:color="auto" w:fill="auto"/>
            <w:vAlign w:val="center"/>
            <w:hideMark/>
          </w:tcPr>
          <w:p w14:paraId="3FF4B92D"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-62</w:t>
            </w:r>
          </w:p>
        </w:tc>
        <w:tc>
          <w:tcPr>
            <w:tcW w:w="396" w:type="pct"/>
            <w:tcBorders>
              <w:top w:val="single" w:sz="2" w:space="0" w:color="auto"/>
              <w:left w:val="nil"/>
              <w:bottom w:val="single" w:sz="2" w:space="0" w:color="auto"/>
              <w:right w:val="nil"/>
            </w:tcBorders>
            <w:shd w:val="clear" w:color="auto" w:fill="auto"/>
            <w:vAlign w:val="center"/>
          </w:tcPr>
          <w:p w14:paraId="2A70CE9D"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34,19</w:t>
            </w:r>
          </w:p>
        </w:tc>
      </w:tr>
      <w:tr w:rsidR="0088085F" w:rsidRPr="00CF6E96" w14:paraId="15948E90"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25EBF37C"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 xml:space="preserve">Ahorro bruto </w:t>
            </w:r>
          </w:p>
        </w:tc>
        <w:tc>
          <w:tcPr>
            <w:tcW w:w="520" w:type="pct"/>
            <w:tcBorders>
              <w:top w:val="single" w:sz="2" w:space="0" w:color="auto"/>
              <w:left w:val="nil"/>
              <w:bottom w:val="single" w:sz="2" w:space="0" w:color="auto"/>
              <w:right w:val="nil"/>
            </w:tcBorders>
            <w:shd w:val="clear" w:color="auto" w:fill="auto"/>
            <w:vAlign w:val="center"/>
            <w:hideMark/>
          </w:tcPr>
          <w:p w14:paraId="67E8B163"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112,95</w:t>
            </w:r>
          </w:p>
        </w:tc>
        <w:tc>
          <w:tcPr>
            <w:tcW w:w="382" w:type="pct"/>
            <w:tcBorders>
              <w:top w:val="single" w:sz="2" w:space="0" w:color="auto"/>
              <w:left w:val="nil"/>
              <w:bottom w:val="single" w:sz="2" w:space="0" w:color="auto"/>
              <w:right w:val="nil"/>
            </w:tcBorders>
            <w:shd w:val="clear" w:color="auto" w:fill="auto"/>
            <w:vAlign w:val="center"/>
            <w:hideMark/>
          </w:tcPr>
          <w:p w14:paraId="64EA1EE5"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123,24</w:t>
            </w:r>
          </w:p>
        </w:tc>
        <w:tc>
          <w:tcPr>
            <w:tcW w:w="382" w:type="pct"/>
            <w:tcBorders>
              <w:top w:val="single" w:sz="2" w:space="0" w:color="auto"/>
              <w:left w:val="nil"/>
              <w:bottom w:val="single" w:sz="2" w:space="0" w:color="auto"/>
              <w:right w:val="nil"/>
            </w:tcBorders>
            <w:shd w:val="clear" w:color="auto" w:fill="auto"/>
            <w:vAlign w:val="center"/>
            <w:hideMark/>
          </w:tcPr>
          <w:p w14:paraId="04B021AB"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112,17</w:t>
            </w:r>
          </w:p>
        </w:tc>
        <w:tc>
          <w:tcPr>
            <w:tcW w:w="402" w:type="pct"/>
            <w:tcBorders>
              <w:top w:val="single" w:sz="2" w:space="0" w:color="auto"/>
              <w:left w:val="nil"/>
              <w:bottom w:val="single" w:sz="2" w:space="0" w:color="auto"/>
              <w:right w:val="nil"/>
            </w:tcBorders>
            <w:shd w:val="clear" w:color="auto" w:fill="auto"/>
            <w:vAlign w:val="center"/>
            <w:hideMark/>
          </w:tcPr>
          <w:p w14:paraId="740854DD"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126,60</w:t>
            </w:r>
          </w:p>
        </w:tc>
        <w:tc>
          <w:tcPr>
            <w:tcW w:w="379" w:type="pct"/>
            <w:tcBorders>
              <w:top w:val="single" w:sz="2" w:space="0" w:color="auto"/>
              <w:left w:val="nil"/>
              <w:bottom w:val="single" w:sz="2" w:space="0" w:color="auto"/>
              <w:right w:val="nil"/>
            </w:tcBorders>
            <w:shd w:val="clear" w:color="auto" w:fill="auto"/>
            <w:vAlign w:val="center"/>
          </w:tcPr>
          <w:p w14:paraId="7EACA7E1"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137,68</w:t>
            </w:r>
          </w:p>
        </w:tc>
        <w:tc>
          <w:tcPr>
            <w:tcW w:w="429" w:type="pct"/>
            <w:tcBorders>
              <w:top w:val="single" w:sz="2" w:space="0" w:color="auto"/>
              <w:left w:val="nil"/>
              <w:bottom w:val="single" w:sz="2" w:space="0" w:color="auto"/>
              <w:right w:val="nil"/>
            </w:tcBorders>
            <w:shd w:val="clear" w:color="auto" w:fill="auto"/>
            <w:vAlign w:val="center"/>
            <w:hideMark/>
          </w:tcPr>
          <w:p w14:paraId="40B15DD9"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22</w:t>
            </w:r>
          </w:p>
        </w:tc>
        <w:tc>
          <w:tcPr>
            <w:tcW w:w="432" w:type="pct"/>
            <w:tcBorders>
              <w:top w:val="single" w:sz="2" w:space="0" w:color="auto"/>
              <w:left w:val="nil"/>
              <w:bottom w:val="single" w:sz="2" w:space="0" w:color="auto"/>
              <w:right w:val="nil"/>
            </w:tcBorders>
            <w:shd w:val="clear" w:color="auto" w:fill="auto"/>
            <w:vAlign w:val="center"/>
            <w:hideMark/>
          </w:tcPr>
          <w:p w14:paraId="6F6A1217"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9</w:t>
            </w:r>
          </w:p>
        </w:tc>
        <w:tc>
          <w:tcPr>
            <w:tcW w:w="396" w:type="pct"/>
            <w:tcBorders>
              <w:top w:val="single" w:sz="2" w:space="0" w:color="auto"/>
              <w:left w:val="nil"/>
              <w:bottom w:val="single" w:sz="2" w:space="0" w:color="auto"/>
              <w:right w:val="nil"/>
            </w:tcBorders>
            <w:shd w:val="clear" w:color="auto" w:fill="auto"/>
            <w:vAlign w:val="center"/>
          </w:tcPr>
          <w:p w14:paraId="5344E867"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147,33</w:t>
            </w:r>
          </w:p>
        </w:tc>
      </w:tr>
      <w:tr w:rsidR="0088085F" w:rsidRPr="00CF6E96" w14:paraId="717BAD9B"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7F2DE74D"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Carga financiera</w:t>
            </w:r>
          </w:p>
        </w:tc>
        <w:tc>
          <w:tcPr>
            <w:tcW w:w="520" w:type="pct"/>
            <w:tcBorders>
              <w:top w:val="single" w:sz="2" w:space="0" w:color="auto"/>
              <w:left w:val="nil"/>
              <w:bottom w:val="single" w:sz="2" w:space="0" w:color="auto"/>
              <w:right w:val="nil"/>
            </w:tcBorders>
            <w:shd w:val="clear" w:color="auto" w:fill="auto"/>
            <w:vAlign w:val="center"/>
            <w:hideMark/>
          </w:tcPr>
          <w:p w14:paraId="1F0F6FA2"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49,89</w:t>
            </w:r>
          </w:p>
        </w:tc>
        <w:tc>
          <w:tcPr>
            <w:tcW w:w="382" w:type="pct"/>
            <w:tcBorders>
              <w:top w:val="single" w:sz="2" w:space="0" w:color="auto"/>
              <w:left w:val="nil"/>
              <w:bottom w:val="single" w:sz="2" w:space="0" w:color="auto"/>
              <w:right w:val="nil"/>
            </w:tcBorders>
            <w:shd w:val="clear" w:color="auto" w:fill="auto"/>
            <w:vAlign w:val="center"/>
            <w:hideMark/>
          </w:tcPr>
          <w:p w14:paraId="2E3A5AAA"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37,59</w:t>
            </w:r>
          </w:p>
        </w:tc>
        <w:tc>
          <w:tcPr>
            <w:tcW w:w="382" w:type="pct"/>
            <w:tcBorders>
              <w:top w:val="single" w:sz="2" w:space="0" w:color="auto"/>
              <w:left w:val="nil"/>
              <w:bottom w:val="single" w:sz="2" w:space="0" w:color="auto"/>
              <w:right w:val="nil"/>
            </w:tcBorders>
            <w:shd w:val="clear" w:color="auto" w:fill="auto"/>
            <w:vAlign w:val="center"/>
            <w:hideMark/>
          </w:tcPr>
          <w:p w14:paraId="0FB50A2C"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47,59</w:t>
            </w:r>
          </w:p>
        </w:tc>
        <w:tc>
          <w:tcPr>
            <w:tcW w:w="402" w:type="pct"/>
            <w:tcBorders>
              <w:top w:val="single" w:sz="2" w:space="0" w:color="auto"/>
              <w:left w:val="nil"/>
              <w:bottom w:val="single" w:sz="2" w:space="0" w:color="auto"/>
              <w:right w:val="nil"/>
            </w:tcBorders>
            <w:shd w:val="clear" w:color="auto" w:fill="auto"/>
            <w:vAlign w:val="center"/>
            <w:hideMark/>
          </w:tcPr>
          <w:p w14:paraId="2F53E85E"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35,00</w:t>
            </w:r>
          </w:p>
        </w:tc>
        <w:tc>
          <w:tcPr>
            <w:tcW w:w="379" w:type="pct"/>
            <w:tcBorders>
              <w:top w:val="single" w:sz="2" w:space="0" w:color="auto"/>
              <w:left w:val="nil"/>
              <w:bottom w:val="single" w:sz="2" w:space="0" w:color="auto"/>
              <w:right w:val="nil"/>
            </w:tcBorders>
            <w:shd w:val="clear" w:color="auto" w:fill="auto"/>
            <w:vAlign w:val="center"/>
          </w:tcPr>
          <w:p w14:paraId="41062255"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30,54</w:t>
            </w:r>
          </w:p>
        </w:tc>
        <w:tc>
          <w:tcPr>
            <w:tcW w:w="429" w:type="pct"/>
            <w:tcBorders>
              <w:top w:val="single" w:sz="2" w:space="0" w:color="auto"/>
              <w:left w:val="nil"/>
              <w:bottom w:val="single" w:sz="2" w:space="0" w:color="auto"/>
              <w:right w:val="nil"/>
            </w:tcBorders>
            <w:shd w:val="clear" w:color="auto" w:fill="auto"/>
            <w:vAlign w:val="center"/>
            <w:hideMark/>
          </w:tcPr>
          <w:p w14:paraId="235FFBF6"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-39</w:t>
            </w:r>
          </w:p>
        </w:tc>
        <w:tc>
          <w:tcPr>
            <w:tcW w:w="432" w:type="pct"/>
            <w:tcBorders>
              <w:top w:val="single" w:sz="2" w:space="0" w:color="auto"/>
              <w:left w:val="nil"/>
              <w:bottom w:val="single" w:sz="2" w:space="0" w:color="auto"/>
              <w:right w:val="nil"/>
            </w:tcBorders>
            <w:shd w:val="clear" w:color="auto" w:fill="auto"/>
            <w:vAlign w:val="center"/>
            <w:hideMark/>
          </w:tcPr>
          <w:p w14:paraId="3451C11E"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-13</w:t>
            </w:r>
          </w:p>
        </w:tc>
        <w:tc>
          <w:tcPr>
            <w:tcW w:w="396" w:type="pct"/>
            <w:tcBorders>
              <w:top w:val="single" w:sz="2" w:space="0" w:color="auto"/>
              <w:left w:val="nil"/>
              <w:bottom w:val="single" w:sz="2" w:space="0" w:color="auto"/>
              <w:right w:val="nil"/>
            </w:tcBorders>
            <w:shd w:val="clear" w:color="auto" w:fill="auto"/>
            <w:vAlign w:val="center"/>
          </w:tcPr>
          <w:p w14:paraId="3F6A70F1"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30,54</w:t>
            </w:r>
          </w:p>
        </w:tc>
      </w:tr>
      <w:tr w:rsidR="0088085F" w:rsidRPr="00CF6E96" w14:paraId="75A1A028"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30C00E44"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 xml:space="preserve">Ahorro neto </w:t>
            </w:r>
          </w:p>
        </w:tc>
        <w:tc>
          <w:tcPr>
            <w:tcW w:w="520" w:type="pct"/>
            <w:tcBorders>
              <w:top w:val="single" w:sz="2" w:space="0" w:color="auto"/>
              <w:left w:val="nil"/>
              <w:bottom w:val="single" w:sz="2" w:space="0" w:color="auto"/>
              <w:right w:val="nil"/>
            </w:tcBorders>
            <w:shd w:val="clear" w:color="auto" w:fill="auto"/>
            <w:vAlign w:val="center"/>
            <w:hideMark/>
          </w:tcPr>
          <w:p w14:paraId="52F02363"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63</w:t>
            </w:r>
          </w:p>
        </w:tc>
        <w:tc>
          <w:tcPr>
            <w:tcW w:w="382" w:type="pct"/>
            <w:tcBorders>
              <w:top w:val="single" w:sz="2" w:space="0" w:color="auto"/>
              <w:left w:val="nil"/>
              <w:bottom w:val="single" w:sz="2" w:space="0" w:color="auto"/>
              <w:right w:val="nil"/>
            </w:tcBorders>
            <w:shd w:val="clear" w:color="auto" w:fill="auto"/>
            <w:vAlign w:val="center"/>
            <w:hideMark/>
          </w:tcPr>
          <w:p w14:paraId="618A8140"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85,41</w:t>
            </w:r>
          </w:p>
        </w:tc>
        <w:tc>
          <w:tcPr>
            <w:tcW w:w="382" w:type="pct"/>
            <w:tcBorders>
              <w:top w:val="single" w:sz="2" w:space="0" w:color="auto"/>
              <w:left w:val="nil"/>
              <w:bottom w:val="single" w:sz="2" w:space="0" w:color="auto"/>
              <w:right w:val="nil"/>
            </w:tcBorders>
            <w:shd w:val="clear" w:color="auto" w:fill="auto"/>
            <w:vAlign w:val="center"/>
            <w:hideMark/>
          </w:tcPr>
          <w:p w14:paraId="198D70DC"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64,58</w:t>
            </w:r>
          </w:p>
        </w:tc>
        <w:tc>
          <w:tcPr>
            <w:tcW w:w="402" w:type="pct"/>
            <w:tcBorders>
              <w:top w:val="single" w:sz="2" w:space="0" w:color="auto"/>
              <w:left w:val="nil"/>
              <w:bottom w:val="single" w:sz="2" w:space="0" w:color="auto"/>
              <w:right w:val="nil"/>
            </w:tcBorders>
            <w:shd w:val="clear" w:color="auto" w:fill="auto"/>
            <w:vAlign w:val="center"/>
            <w:hideMark/>
          </w:tcPr>
          <w:p w14:paraId="622F5E05"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91,60</w:t>
            </w:r>
          </w:p>
        </w:tc>
        <w:tc>
          <w:tcPr>
            <w:tcW w:w="379" w:type="pct"/>
            <w:tcBorders>
              <w:top w:val="single" w:sz="2" w:space="0" w:color="auto"/>
              <w:left w:val="nil"/>
              <w:bottom w:val="single" w:sz="2" w:space="0" w:color="auto"/>
              <w:right w:val="nil"/>
            </w:tcBorders>
            <w:shd w:val="clear" w:color="auto" w:fill="auto"/>
            <w:vAlign w:val="center"/>
          </w:tcPr>
          <w:p w14:paraId="4E36C533"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107,14</w:t>
            </w:r>
          </w:p>
        </w:tc>
        <w:tc>
          <w:tcPr>
            <w:tcW w:w="429" w:type="pct"/>
            <w:tcBorders>
              <w:top w:val="single" w:sz="2" w:space="0" w:color="auto"/>
              <w:left w:val="nil"/>
              <w:bottom w:val="single" w:sz="2" w:space="0" w:color="auto"/>
              <w:right w:val="nil"/>
            </w:tcBorders>
            <w:shd w:val="clear" w:color="auto" w:fill="auto"/>
            <w:vAlign w:val="center"/>
            <w:hideMark/>
          </w:tcPr>
          <w:p w14:paraId="26381823"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70</w:t>
            </w:r>
          </w:p>
        </w:tc>
        <w:tc>
          <w:tcPr>
            <w:tcW w:w="432" w:type="pct"/>
            <w:tcBorders>
              <w:top w:val="single" w:sz="2" w:space="0" w:color="auto"/>
              <w:left w:val="nil"/>
              <w:bottom w:val="single" w:sz="2" w:space="0" w:color="auto"/>
              <w:right w:val="nil"/>
            </w:tcBorders>
            <w:shd w:val="clear" w:color="auto" w:fill="auto"/>
            <w:vAlign w:val="center"/>
            <w:hideMark/>
          </w:tcPr>
          <w:p w14:paraId="5102ABB0"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17</w:t>
            </w:r>
          </w:p>
        </w:tc>
        <w:tc>
          <w:tcPr>
            <w:tcW w:w="396" w:type="pct"/>
            <w:tcBorders>
              <w:top w:val="single" w:sz="2" w:space="0" w:color="auto"/>
              <w:left w:val="nil"/>
              <w:bottom w:val="single" w:sz="2" w:space="0" w:color="auto"/>
              <w:right w:val="nil"/>
            </w:tcBorders>
            <w:shd w:val="clear" w:color="auto" w:fill="auto"/>
            <w:vAlign w:val="center"/>
          </w:tcPr>
          <w:p w14:paraId="6E8168E2"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116,80</w:t>
            </w:r>
          </w:p>
        </w:tc>
      </w:tr>
      <w:tr w:rsidR="0088085F" w:rsidRPr="00CF6E96" w14:paraId="3AE2BA99"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548A1AB0"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Índice de carga financiera</w:t>
            </w:r>
          </w:p>
        </w:tc>
        <w:tc>
          <w:tcPr>
            <w:tcW w:w="520" w:type="pct"/>
            <w:tcBorders>
              <w:top w:val="single" w:sz="2" w:space="0" w:color="auto"/>
              <w:left w:val="nil"/>
              <w:bottom w:val="single" w:sz="2" w:space="0" w:color="auto"/>
              <w:right w:val="nil"/>
            </w:tcBorders>
            <w:shd w:val="clear" w:color="auto" w:fill="auto"/>
            <w:vAlign w:val="center"/>
            <w:hideMark/>
          </w:tcPr>
          <w:p w14:paraId="512EAB07"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7,08</w:t>
            </w:r>
          </w:p>
        </w:tc>
        <w:tc>
          <w:tcPr>
            <w:tcW w:w="382" w:type="pct"/>
            <w:tcBorders>
              <w:top w:val="single" w:sz="2" w:space="0" w:color="auto"/>
              <w:left w:val="nil"/>
              <w:bottom w:val="single" w:sz="2" w:space="0" w:color="auto"/>
              <w:right w:val="nil"/>
            </w:tcBorders>
            <w:shd w:val="clear" w:color="auto" w:fill="auto"/>
            <w:vAlign w:val="center"/>
            <w:hideMark/>
          </w:tcPr>
          <w:p w14:paraId="06640443"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5,23</w:t>
            </w:r>
          </w:p>
        </w:tc>
        <w:tc>
          <w:tcPr>
            <w:tcW w:w="382" w:type="pct"/>
            <w:tcBorders>
              <w:top w:val="single" w:sz="2" w:space="0" w:color="auto"/>
              <w:left w:val="nil"/>
              <w:bottom w:val="single" w:sz="2" w:space="0" w:color="auto"/>
              <w:right w:val="nil"/>
            </w:tcBorders>
            <w:shd w:val="clear" w:color="auto" w:fill="auto"/>
            <w:vAlign w:val="center"/>
            <w:hideMark/>
          </w:tcPr>
          <w:p w14:paraId="46043437"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6,58</w:t>
            </w:r>
          </w:p>
        </w:tc>
        <w:tc>
          <w:tcPr>
            <w:tcW w:w="402" w:type="pct"/>
            <w:tcBorders>
              <w:top w:val="single" w:sz="2" w:space="0" w:color="auto"/>
              <w:left w:val="nil"/>
              <w:bottom w:val="single" w:sz="2" w:space="0" w:color="auto"/>
              <w:right w:val="nil"/>
            </w:tcBorders>
            <w:shd w:val="clear" w:color="auto" w:fill="auto"/>
            <w:vAlign w:val="center"/>
            <w:hideMark/>
          </w:tcPr>
          <w:p w14:paraId="2A53EC76"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4,65</w:t>
            </w:r>
          </w:p>
        </w:tc>
        <w:tc>
          <w:tcPr>
            <w:tcW w:w="379" w:type="pct"/>
            <w:tcBorders>
              <w:top w:val="single" w:sz="2" w:space="0" w:color="auto"/>
              <w:left w:val="nil"/>
              <w:bottom w:val="single" w:sz="2" w:space="0" w:color="auto"/>
              <w:right w:val="nil"/>
            </w:tcBorders>
            <w:shd w:val="clear" w:color="auto" w:fill="auto"/>
            <w:vAlign w:val="center"/>
          </w:tcPr>
          <w:p w14:paraId="70A33378"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3,86</w:t>
            </w:r>
          </w:p>
        </w:tc>
        <w:tc>
          <w:tcPr>
            <w:tcW w:w="429" w:type="pct"/>
            <w:tcBorders>
              <w:top w:val="single" w:sz="2" w:space="0" w:color="auto"/>
              <w:left w:val="nil"/>
              <w:bottom w:val="single" w:sz="2" w:space="0" w:color="auto"/>
              <w:right w:val="nil"/>
            </w:tcBorders>
            <w:shd w:val="clear" w:color="auto" w:fill="auto"/>
            <w:vAlign w:val="center"/>
            <w:hideMark/>
          </w:tcPr>
          <w:p w14:paraId="3FFA832C"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-46</w:t>
            </w:r>
          </w:p>
        </w:tc>
        <w:tc>
          <w:tcPr>
            <w:tcW w:w="432" w:type="pct"/>
            <w:tcBorders>
              <w:top w:val="single" w:sz="2" w:space="0" w:color="auto"/>
              <w:left w:val="nil"/>
              <w:bottom w:val="single" w:sz="2" w:space="0" w:color="auto"/>
              <w:right w:val="nil"/>
            </w:tcBorders>
            <w:shd w:val="clear" w:color="auto" w:fill="auto"/>
            <w:vAlign w:val="center"/>
            <w:hideMark/>
          </w:tcPr>
          <w:p w14:paraId="0886FD23"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-17</w:t>
            </w:r>
          </w:p>
        </w:tc>
        <w:tc>
          <w:tcPr>
            <w:tcW w:w="396" w:type="pct"/>
            <w:tcBorders>
              <w:top w:val="single" w:sz="2" w:space="0" w:color="auto"/>
              <w:left w:val="nil"/>
              <w:bottom w:val="single" w:sz="2" w:space="0" w:color="auto"/>
              <w:right w:val="nil"/>
            </w:tcBorders>
            <w:shd w:val="clear" w:color="auto" w:fill="auto"/>
            <w:vAlign w:val="center"/>
          </w:tcPr>
          <w:p w14:paraId="3DA9EC80"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3,55</w:t>
            </w:r>
          </w:p>
        </w:tc>
      </w:tr>
      <w:tr w:rsidR="0088085F" w:rsidRPr="00CF6E96" w14:paraId="22C11BE5"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271D6017"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 xml:space="preserve">% ahorro bruto / </w:t>
            </w:r>
            <w:proofErr w:type="spellStart"/>
            <w:r w:rsidRPr="00CF6E96">
              <w:rPr>
                <w:rFonts w:cs="Calibri"/>
                <w:color w:val="000000" w:themeColor="text1"/>
                <w:sz w:val="19"/>
                <w:szCs w:val="19"/>
                <w:lang w:val="es-ES" w:eastAsia="es-ES"/>
              </w:rPr>
              <w:t>ingr</w:t>
            </w:r>
            <w:proofErr w:type="spellEnd"/>
            <w:r w:rsidRPr="00CF6E96">
              <w:rPr>
                <w:rFonts w:cs="Calibri"/>
                <w:color w:val="000000" w:themeColor="text1"/>
                <w:sz w:val="19"/>
                <w:szCs w:val="19"/>
                <w:lang w:val="es-ES" w:eastAsia="es-ES"/>
              </w:rPr>
              <w:t>. corrientes</w:t>
            </w:r>
          </w:p>
        </w:tc>
        <w:tc>
          <w:tcPr>
            <w:tcW w:w="520" w:type="pct"/>
            <w:tcBorders>
              <w:top w:val="single" w:sz="2" w:space="0" w:color="auto"/>
              <w:left w:val="nil"/>
              <w:bottom w:val="single" w:sz="2" w:space="0" w:color="auto"/>
              <w:right w:val="nil"/>
            </w:tcBorders>
            <w:shd w:val="clear" w:color="auto" w:fill="auto"/>
            <w:vAlign w:val="center"/>
            <w:hideMark/>
          </w:tcPr>
          <w:p w14:paraId="2CFC2A66"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15,98</w:t>
            </w:r>
          </w:p>
        </w:tc>
        <w:tc>
          <w:tcPr>
            <w:tcW w:w="382" w:type="pct"/>
            <w:tcBorders>
              <w:top w:val="single" w:sz="2" w:space="0" w:color="auto"/>
              <w:left w:val="nil"/>
              <w:bottom w:val="single" w:sz="2" w:space="0" w:color="auto"/>
              <w:right w:val="nil"/>
            </w:tcBorders>
            <w:shd w:val="clear" w:color="auto" w:fill="auto"/>
            <w:vAlign w:val="center"/>
            <w:hideMark/>
          </w:tcPr>
          <w:p w14:paraId="60F34EF0"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17,15</w:t>
            </w:r>
          </w:p>
        </w:tc>
        <w:tc>
          <w:tcPr>
            <w:tcW w:w="382" w:type="pct"/>
            <w:tcBorders>
              <w:top w:val="single" w:sz="2" w:space="0" w:color="auto"/>
              <w:left w:val="nil"/>
              <w:bottom w:val="single" w:sz="2" w:space="0" w:color="auto"/>
              <w:right w:val="nil"/>
            </w:tcBorders>
            <w:shd w:val="clear" w:color="auto" w:fill="auto"/>
            <w:vAlign w:val="center"/>
            <w:hideMark/>
          </w:tcPr>
          <w:p w14:paraId="71283CC1"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15,52</w:t>
            </w:r>
          </w:p>
        </w:tc>
        <w:tc>
          <w:tcPr>
            <w:tcW w:w="402" w:type="pct"/>
            <w:tcBorders>
              <w:top w:val="single" w:sz="2" w:space="0" w:color="auto"/>
              <w:left w:val="nil"/>
              <w:bottom w:val="single" w:sz="2" w:space="0" w:color="auto"/>
              <w:right w:val="nil"/>
            </w:tcBorders>
            <w:shd w:val="clear" w:color="auto" w:fill="auto"/>
            <w:vAlign w:val="center"/>
            <w:hideMark/>
          </w:tcPr>
          <w:p w14:paraId="2FAFA3B6"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16,82</w:t>
            </w:r>
          </w:p>
        </w:tc>
        <w:tc>
          <w:tcPr>
            <w:tcW w:w="379" w:type="pct"/>
            <w:tcBorders>
              <w:top w:val="single" w:sz="2" w:space="0" w:color="auto"/>
              <w:left w:val="nil"/>
              <w:bottom w:val="single" w:sz="2" w:space="0" w:color="auto"/>
              <w:right w:val="nil"/>
            </w:tcBorders>
            <w:shd w:val="clear" w:color="auto" w:fill="auto"/>
            <w:vAlign w:val="center"/>
          </w:tcPr>
          <w:p w14:paraId="002850AB"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17,39</w:t>
            </w:r>
          </w:p>
        </w:tc>
        <w:tc>
          <w:tcPr>
            <w:tcW w:w="429" w:type="pct"/>
            <w:tcBorders>
              <w:top w:val="single" w:sz="2" w:space="0" w:color="auto"/>
              <w:left w:val="nil"/>
              <w:bottom w:val="single" w:sz="2" w:space="0" w:color="auto"/>
              <w:right w:val="nil"/>
            </w:tcBorders>
            <w:shd w:val="clear" w:color="auto" w:fill="auto"/>
            <w:vAlign w:val="center"/>
            <w:hideMark/>
          </w:tcPr>
          <w:p w14:paraId="25AB518B"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9</w:t>
            </w:r>
          </w:p>
        </w:tc>
        <w:tc>
          <w:tcPr>
            <w:tcW w:w="432" w:type="pct"/>
            <w:tcBorders>
              <w:top w:val="single" w:sz="2" w:space="0" w:color="auto"/>
              <w:left w:val="nil"/>
              <w:bottom w:val="single" w:sz="2" w:space="0" w:color="auto"/>
              <w:right w:val="nil"/>
            </w:tcBorders>
            <w:shd w:val="clear" w:color="auto" w:fill="auto"/>
            <w:vAlign w:val="center"/>
            <w:hideMark/>
          </w:tcPr>
          <w:p w14:paraId="3863F56C"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3</w:t>
            </w:r>
          </w:p>
        </w:tc>
        <w:tc>
          <w:tcPr>
            <w:tcW w:w="396" w:type="pct"/>
            <w:tcBorders>
              <w:top w:val="single" w:sz="2" w:space="0" w:color="auto"/>
              <w:left w:val="nil"/>
              <w:bottom w:val="single" w:sz="2" w:space="0" w:color="auto"/>
              <w:right w:val="nil"/>
            </w:tcBorders>
            <w:shd w:val="clear" w:color="auto" w:fill="auto"/>
            <w:vAlign w:val="center"/>
          </w:tcPr>
          <w:p w14:paraId="6DCB13BD"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17,12</w:t>
            </w:r>
          </w:p>
        </w:tc>
      </w:tr>
      <w:tr w:rsidR="0088085F" w:rsidRPr="00CF6E96" w14:paraId="3CBE47A8"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6557D8C3"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 Capacidad de endeudamiento</w:t>
            </w:r>
          </w:p>
        </w:tc>
        <w:tc>
          <w:tcPr>
            <w:tcW w:w="520" w:type="pct"/>
            <w:tcBorders>
              <w:top w:val="single" w:sz="2" w:space="0" w:color="auto"/>
              <w:left w:val="nil"/>
              <w:bottom w:val="single" w:sz="2" w:space="0" w:color="auto"/>
              <w:right w:val="nil"/>
            </w:tcBorders>
            <w:shd w:val="clear" w:color="auto" w:fill="auto"/>
            <w:vAlign w:val="center"/>
            <w:hideMark/>
          </w:tcPr>
          <w:p w14:paraId="76238FFF"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9,19</w:t>
            </w:r>
          </w:p>
        </w:tc>
        <w:tc>
          <w:tcPr>
            <w:tcW w:w="382" w:type="pct"/>
            <w:tcBorders>
              <w:top w:val="single" w:sz="2" w:space="0" w:color="auto"/>
              <w:left w:val="nil"/>
              <w:bottom w:val="single" w:sz="2" w:space="0" w:color="auto"/>
              <w:right w:val="nil"/>
            </w:tcBorders>
            <w:shd w:val="clear" w:color="auto" w:fill="auto"/>
            <w:vAlign w:val="center"/>
            <w:hideMark/>
          </w:tcPr>
          <w:p w14:paraId="4D581DB3"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11,92</w:t>
            </w:r>
          </w:p>
        </w:tc>
        <w:tc>
          <w:tcPr>
            <w:tcW w:w="382" w:type="pct"/>
            <w:tcBorders>
              <w:top w:val="single" w:sz="2" w:space="0" w:color="auto"/>
              <w:left w:val="nil"/>
              <w:bottom w:val="single" w:sz="2" w:space="0" w:color="auto"/>
              <w:right w:val="nil"/>
            </w:tcBorders>
            <w:shd w:val="clear" w:color="auto" w:fill="auto"/>
            <w:vAlign w:val="center"/>
            <w:hideMark/>
          </w:tcPr>
          <w:p w14:paraId="487843CE"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8,94</w:t>
            </w:r>
          </w:p>
        </w:tc>
        <w:tc>
          <w:tcPr>
            <w:tcW w:w="402" w:type="pct"/>
            <w:tcBorders>
              <w:top w:val="single" w:sz="2" w:space="0" w:color="auto"/>
              <w:left w:val="nil"/>
              <w:bottom w:val="single" w:sz="2" w:space="0" w:color="auto"/>
              <w:right w:val="nil"/>
            </w:tcBorders>
            <w:shd w:val="clear" w:color="auto" w:fill="auto"/>
            <w:vAlign w:val="center"/>
            <w:hideMark/>
          </w:tcPr>
          <w:p w14:paraId="48CDFF44"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12,17</w:t>
            </w:r>
          </w:p>
        </w:tc>
        <w:tc>
          <w:tcPr>
            <w:tcW w:w="379" w:type="pct"/>
            <w:tcBorders>
              <w:top w:val="single" w:sz="2" w:space="0" w:color="auto"/>
              <w:left w:val="nil"/>
              <w:bottom w:val="single" w:sz="2" w:space="0" w:color="auto"/>
              <w:right w:val="nil"/>
            </w:tcBorders>
            <w:shd w:val="clear" w:color="auto" w:fill="auto"/>
            <w:vAlign w:val="center"/>
          </w:tcPr>
          <w:p w14:paraId="21C6ADD8"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13,53</w:t>
            </w:r>
          </w:p>
        </w:tc>
        <w:tc>
          <w:tcPr>
            <w:tcW w:w="429" w:type="pct"/>
            <w:tcBorders>
              <w:top w:val="single" w:sz="2" w:space="0" w:color="auto"/>
              <w:left w:val="nil"/>
              <w:bottom w:val="single" w:sz="2" w:space="0" w:color="auto"/>
              <w:right w:val="nil"/>
            </w:tcBorders>
            <w:shd w:val="clear" w:color="auto" w:fill="auto"/>
            <w:vAlign w:val="center"/>
            <w:hideMark/>
          </w:tcPr>
          <w:p w14:paraId="5E07FEA6"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47</w:t>
            </w:r>
          </w:p>
        </w:tc>
        <w:tc>
          <w:tcPr>
            <w:tcW w:w="432" w:type="pct"/>
            <w:tcBorders>
              <w:top w:val="single" w:sz="2" w:space="0" w:color="auto"/>
              <w:left w:val="nil"/>
              <w:bottom w:val="single" w:sz="2" w:space="0" w:color="auto"/>
              <w:right w:val="nil"/>
            </w:tcBorders>
            <w:shd w:val="clear" w:color="auto" w:fill="auto"/>
            <w:vAlign w:val="center"/>
            <w:hideMark/>
          </w:tcPr>
          <w:p w14:paraId="73C11592"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11</w:t>
            </w:r>
          </w:p>
        </w:tc>
        <w:tc>
          <w:tcPr>
            <w:tcW w:w="396" w:type="pct"/>
            <w:tcBorders>
              <w:top w:val="single" w:sz="2" w:space="0" w:color="auto"/>
              <w:left w:val="nil"/>
              <w:bottom w:val="single" w:sz="2" w:space="0" w:color="auto"/>
              <w:right w:val="nil"/>
            </w:tcBorders>
            <w:shd w:val="clear" w:color="auto" w:fill="auto"/>
            <w:vAlign w:val="center"/>
          </w:tcPr>
          <w:p w14:paraId="51657820" w14:textId="77777777" w:rsidR="0088085F" w:rsidRPr="00CF6E96" w:rsidRDefault="0088085F" w:rsidP="00C13CE1">
            <w:pPr>
              <w:tabs>
                <w:tab w:val="left" w:pos="210"/>
              </w:tabs>
              <w:ind w:firstLine="0"/>
              <w:jc w:val="right"/>
              <w:rPr>
                <w:rFonts w:ascii="Arial Narrow" w:hAnsi="Arial Narrow" w:cs="Calibri"/>
                <w:sz w:val="19"/>
                <w:szCs w:val="19"/>
              </w:rPr>
            </w:pPr>
            <w:r w:rsidRPr="00CF6E96">
              <w:rPr>
                <w:rFonts w:ascii="Arial Narrow" w:hAnsi="Arial Narrow" w:cs="Calibri"/>
                <w:sz w:val="19"/>
                <w:szCs w:val="19"/>
              </w:rPr>
              <w:t>13,57</w:t>
            </w:r>
          </w:p>
        </w:tc>
      </w:tr>
      <w:tr w:rsidR="0088085F" w:rsidRPr="00CF6E96" w14:paraId="09016B68"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6ACFBE50" w14:textId="77777777" w:rsidR="0088085F" w:rsidRPr="00CF6E96" w:rsidRDefault="0088085F" w:rsidP="00C13CE1">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Deuda viva</w:t>
            </w:r>
          </w:p>
        </w:tc>
        <w:tc>
          <w:tcPr>
            <w:tcW w:w="520" w:type="pct"/>
            <w:tcBorders>
              <w:top w:val="single" w:sz="2" w:space="0" w:color="auto"/>
              <w:left w:val="nil"/>
              <w:bottom w:val="single" w:sz="2" w:space="0" w:color="auto"/>
              <w:right w:val="nil"/>
            </w:tcBorders>
            <w:shd w:val="clear" w:color="auto" w:fill="auto"/>
            <w:vAlign w:val="center"/>
            <w:hideMark/>
          </w:tcPr>
          <w:p w14:paraId="3EC4EB70"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301,39</w:t>
            </w:r>
          </w:p>
        </w:tc>
        <w:tc>
          <w:tcPr>
            <w:tcW w:w="382" w:type="pct"/>
            <w:tcBorders>
              <w:top w:val="single" w:sz="2" w:space="0" w:color="auto"/>
              <w:left w:val="nil"/>
              <w:bottom w:val="single" w:sz="2" w:space="0" w:color="auto"/>
              <w:right w:val="nil"/>
            </w:tcBorders>
            <w:shd w:val="clear" w:color="auto" w:fill="auto"/>
            <w:vAlign w:val="center"/>
            <w:hideMark/>
          </w:tcPr>
          <w:p w14:paraId="23890294"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280,46</w:t>
            </w:r>
          </w:p>
        </w:tc>
        <w:tc>
          <w:tcPr>
            <w:tcW w:w="382" w:type="pct"/>
            <w:tcBorders>
              <w:top w:val="single" w:sz="2" w:space="0" w:color="auto"/>
              <w:left w:val="nil"/>
              <w:bottom w:val="single" w:sz="2" w:space="0" w:color="auto"/>
              <w:right w:val="nil"/>
            </w:tcBorders>
            <w:shd w:val="clear" w:color="auto" w:fill="auto"/>
            <w:vAlign w:val="center"/>
            <w:hideMark/>
          </w:tcPr>
          <w:p w14:paraId="5A34A7E7"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234,26</w:t>
            </w:r>
          </w:p>
        </w:tc>
        <w:tc>
          <w:tcPr>
            <w:tcW w:w="402" w:type="pct"/>
            <w:tcBorders>
              <w:top w:val="single" w:sz="2" w:space="0" w:color="auto"/>
              <w:left w:val="nil"/>
              <w:bottom w:val="single" w:sz="2" w:space="0" w:color="auto"/>
              <w:right w:val="nil"/>
            </w:tcBorders>
            <w:shd w:val="clear" w:color="auto" w:fill="auto"/>
            <w:vAlign w:val="center"/>
            <w:hideMark/>
          </w:tcPr>
          <w:p w14:paraId="311A3557"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207,63</w:t>
            </w:r>
          </w:p>
        </w:tc>
        <w:tc>
          <w:tcPr>
            <w:tcW w:w="379" w:type="pct"/>
            <w:tcBorders>
              <w:top w:val="single" w:sz="2" w:space="0" w:color="auto"/>
              <w:left w:val="nil"/>
              <w:bottom w:val="single" w:sz="2" w:space="0" w:color="auto"/>
              <w:right w:val="nil"/>
            </w:tcBorders>
            <w:shd w:val="clear" w:color="auto" w:fill="auto"/>
            <w:vAlign w:val="center"/>
          </w:tcPr>
          <w:p w14:paraId="557D1E13"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179,61</w:t>
            </w:r>
          </w:p>
        </w:tc>
        <w:tc>
          <w:tcPr>
            <w:tcW w:w="429" w:type="pct"/>
            <w:tcBorders>
              <w:top w:val="single" w:sz="2" w:space="0" w:color="auto"/>
              <w:left w:val="nil"/>
              <w:bottom w:val="single" w:sz="2" w:space="0" w:color="auto"/>
              <w:right w:val="nil"/>
            </w:tcBorders>
            <w:shd w:val="clear" w:color="auto" w:fill="auto"/>
            <w:vAlign w:val="center"/>
            <w:hideMark/>
          </w:tcPr>
          <w:p w14:paraId="3BF7A614"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-40</w:t>
            </w:r>
          </w:p>
        </w:tc>
        <w:tc>
          <w:tcPr>
            <w:tcW w:w="432" w:type="pct"/>
            <w:tcBorders>
              <w:top w:val="single" w:sz="2" w:space="0" w:color="auto"/>
              <w:left w:val="nil"/>
              <w:bottom w:val="single" w:sz="2" w:space="0" w:color="auto"/>
              <w:right w:val="nil"/>
            </w:tcBorders>
            <w:shd w:val="clear" w:color="auto" w:fill="auto"/>
            <w:vAlign w:val="center"/>
            <w:hideMark/>
          </w:tcPr>
          <w:p w14:paraId="26AB2BAD"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-13</w:t>
            </w:r>
          </w:p>
        </w:tc>
        <w:tc>
          <w:tcPr>
            <w:tcW w:w="396" w:type="pct"/>
            <w:tcBorders>
              <w:top w:val="single" w:sz="2" w:space="0" w:color="auto"/>
              <w:left w:val="nil"/>
              <w:bottom w:val="single" w:sz="2" w:space="0" w:color="auto"/>
              <w:right w:val="nil"/>
            </w:tcBorders>
            <w:shd w:val="clear" w:color="000000" w:fill="FFFFFF" w:themeFill="background1"/>
            <w:vAlign w:val="center"/>
          </w:tcPr>
          <w:p w14:paraId="0FB76098"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179,61</w:t>
            </w:r>
          </w:p>
        </w:tc>
      </w:tr>
      <w:tr w:rsidR="0088085F" w:rsidRPr="00CF6E96" w14:paraId="14B2FC38" w14:textId="77777777" w:rsidTr="006A6C4E">
        <w:trPr>
          <w:trHeight w:hRule="exact" w:val="238"/>
          <w:jc w:val="center"/>
        </w:trPr>
        <w:tc>
          <w:tcPr>
            <w:tcW w:w="1678" w:type="pct"/>
            <w:tcBorders>
              <w:top w:val="single" w:sz="2" w:space="0" w:color="auto"/>
              <w:left w:val="nil"/>
              <w:bottom w:val="single" w:sz="4" w:space="0" w:color="auto"/>
              <w:right w:val="nil"/>
            </w:tcBorders>
            <w:shd w:val="clear" w:color="auto" w:fill="auto"/>
            <w:vAlign w:val="center"/>
            <w:hideMark/>
          </w:tcPr>
          <w:p w14:paraId="16823380" w14:textId="77777777" w:rsidR="0088085F" w:rsidRPr="00CF6E96" w:rsidRDefault="0088085F" w:rsidP="00040389">
            <w:pPr>
              <w:pStyle w:val="cuatexto"/>
              <w:rPr>
                <w:rFonts w:cs="Calibri"/>
                <w:color w:val="000000" w:themeColor="text1"/>
                <w:sz w:val="19"/>
                <w:szCs w:val="19"/>
                <w:lang w:val="es-ES" w:eastAsia="es-ES"/>
              </w:rPr>
            </w:pPr>
            <w:r w:rsidRPr="00CF6E96">
              <w:rPr>
                <w:rFonts w:cs="Calibri"/>
                <w:color w:val="000000" w:themeColor="text1"/>
                <w:sz w:val="19"/>
                <w:szCs w:val="19"/>
                <w:lang w:val="es-ES" w:eastAsia="es-ES"/>
              </w:rPr>
              <w:t xml:space="preserve">Remanente Tesorería </w:t>
            </w:r>
            <w:r w:rsidR="00040389">
              <w:rPr>
                <w:rFonts w:cs="Calibri"/>
                <w:color w:val="000000" w:themeColor="text1"/>
                <w:sz w:val="19"/>
                <w:szCs w:val="19"/>
                <w:lang w:val="es-ES" w:eastAsia="es-ES"/>
              </w:rPr>
              <w:t xml:space="preserve">gastos </w:t>
            </w:r>
            <w:proofErr w:type="spellStart"/>
            <w:r w:rsidR="00040389">
              <w:rPr>
                <w:rFonts w:cs="Calibri"/>
                <w:color w:val="000000" w:themeColor="text1"/>
                <w:sz w:val="19"/>
                <w:szCs w:val="19"/>
                <w:lang w:val="es-ES" w:eastAsia="es-ES"/>
              </w:rPr>
              <w:t>gles</w:t>
            </w:r>
            <w:proofErr w:type="spellEnd"/>
          </w:p>
        </w:tc>
        <w:tc>
          <w:tcPr>
            <w:tcW w:w="520" w:type="pct"/>
            <w:tcBorders>
              <w:top w:val="single" w:sz="2" w:space="0" w:color="auto"/>
              <w:left w:val="nil"/>
              <w:bottom w:val="single" w:sz="4" w:space="0" w:color="auto"/>
              <w:right w:val="nil"/>
            </w:tcBorders>
            <w:shd w:val="clear" w:color="auto" w:fill="auto"/>
            <w:vAlign w:val="center"/>
            <w:hideMark/>
          </w:tcPr>
          <w:p w14:paraId="1BFE6A41"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192,42</w:t>
            </w:r>
          </w:p>
        </w:tc>
        <w:tc>
          <w:tcPr>
            <w:tcW w:w="382" w:type="pct"/>
            <w:tcBorders>
              <w:top w:val="single" w:sz="2" w:space="0" w:color="auto"/>
              <w:left w:val="nil"/>
              <w:bottom w:val="single" w:sz="4" w:space="0" w:color="auto"/>
              <w:right w:val="nil"/>
            </w:tcBorders>
            <w:shd w:val="clear" w:color="auto" w:fill="auto"/>
            <w:vAlign w:val="center"/>
            <w:hideMark/>
          </w:tcPr>
          <w:p w14:paraId="0A3EEE4C"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226,99</w:t>
            </w:r>
          </w:p>
        </w:tc>
        <w:tc>
          <w:tcPr>
            <w:tcW w:w="382" w:type="pct"/>
            <w:tcBorders>
              <w:top w:val="single" w:sz="2" w:space="0" w:color="auto"/>
              <w:left w:val="nil"/>
              <w:bottom w:val="single" w:sz="4" w:space="0" w:color="auto"/>
              <w:right w:val="nil"/>
            </w:tcBorders>
            <w:shd w:val="clear" w:color="auto" w:fill="auto"/>
            <w:vAlign w:val="center"/>
            <w:hideMark/>
          </w:tcPr>
          <w:p w14:paraId="2B48934E"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238,45</w:t>
            </w:r>
          </w:p>
        </w:tc>
        <w:tc>
          <w:tcPr>
            <w:tcW w:w="402" w:type="pct"/>
            <w:tcBorders>
              <w:top w:val="single" w:sz="2" w:space="0" w:color="auto"/>
              <w:left w:val="nil"/>
              <w:bottom w:val="single" w:sz="4" w:space="0" w:color="auto"/>
              <w:right w:val="nil"/>
            </w:tcBorders>
            <w:shd w:val="clear" w:color="auto" w:fill="auto"/>
            <w:vAlign w:val="center"/>
            <w:hideMark/>
          </w:tcPr>
          <w:p w14:paraId="1A47EBEF"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250,65</w:t>
            </w:r>
          </w:p>
        </w:tc>
        <w:tc>
          <w:tcPr>
            <w:tcW w:w="379" w:type="pct"/>
            <w:tcBorders>
              <w:top w:val="single" w:sz="2" w:space="0" w:color="auto"/>
              <w:left w:val="nil"/>
              <w:bottom w:val="single" w:sz="4" w:space="0" w:color="auto"/>
              <w:right w:val="nil"/>
            </w:tcBorders>
            <w:shd w:val="clear" w:color="auto" w:fill="auto"/>
            <w:vAlign w:val="center"/>
          </w:tcPr>
          <w:p w14:paraId="5432E612"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275,17</w:t>
            </w:r>
          </w:p>
        </w:tc>
        <w:tc>
          <w:tcPr>
            <w:tcW w:w="429" w:type="pct"/>
            <w:tcBorders>
              <w:top w:val="single" w:sz="2" w:space="0" w:color="auto"/>
              <w:left w:val="nil"/>
              <w:bottom w:val="single" w:sz="4" w:space="0" w:color="auto"/>
              <w:right w:val="nil"/>
            </w:tcBorders>
            <w:shd w:val="clear" w:color="auto" w:fill="auto"/>
            <w:vAlign w:val="center"/>
            <w:hideMark/>
          </w:tcPr>
          <w:p w14:paraId="3FB12DDC"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43</w:t>
            </w:r>
          </w:p>
        </w:tc>
        <w:tc>
          <w:tcPr>
            <w:tcW w:w="432" w:type="pct"/>
            <w:tcBorders>
              <w:top w:val="single" w:sz="2" w:space="0" w:color="auto"/>
              <w:left w:val="nil"/>
              <w:bottom w:val="single" w:sz="4" w:space="0" w:color="auto"/>
              <w:right w:val="nil"/>
            </w:tcBorders>
            <w:shd w:val="clear" w:color="auto" w:fill="auto"/>
            <w:vAlign w:val="center"/>
            <w:hideMark/>
          </w:tcPr>
          <w:p w14:paraId="0B392B4A"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10</w:t>
            </w:r>
          </w:p>
        </w:tc>
        <w:tc>
          <w:tcPr>
            <w:tcW w:w="396" w:type="pct"/>
            <w:tcBorders>
              <w:top w:val="single" w:sz="2" w:space="0" w:color="auto"/>
              <w:left w:val="nil"/>
              <w:bottom w:val="single" w:sz="4" w:space="0" w:color="auto"/>
              <w:right w:val="nil"/>
            </w:tcBorders>
            <w:shd w:val="clear" w:color="000000" w:fill="FFFFFF" w:themeFill="background1"/>
            <w:vAlign w:val="center"/>
          </w:tcPr>
          <w:p w14:paraId="2B3E6B9C" w14:textId="77777777" w:rsidR="0088085F" w:rsidRPr="00CF6E96" w:rsidRDefault="0088085F" w:rsidP="00C13CE1">
            <w:pPr>
              <w:pStyle w:val="cuatexto"/>
              <w:tabs>
                <w:tab w:val="left" w:pos="210"/>
              </w:tabs>
              <w:jc w:val="right"/>
              <w:rPr>
                <w:rFonts w:cs="Calibri"/>
                <w:color w:val="000000" w:themeColor="text1"/>
                <w:sz w:val="19"/>
                <w:szCs w:val="19"/>
                <w:lang w:val="es-ES" w:eastAsia="es-ES"/>
              </w:rPr>
            </w:pPr>
            <w:r w:rsidRPr="00CF6E96">
              <w:rPr>
                <w:rFonts w:cs="Calibri"/>
                <w:color w:val="000000" w:themeColor="text1"/>
                <w:sz w:val="19"/>
                <w:szCs w:val="19"/>
                <w:lang w:val="es-ES" w:eastAsia="es-ES"/>
              </w:rPr>
              <w:t>-(**)</w:t>
            </w:r>
          </w:p>
        </w:tc>
      </w:tr>
    </w:tbl>
    <w:p w14:paraId="31829AD4" w14:textId="77777777" w:rsidR="0088085F" w:rsidRPr="002070E0" w:rsidRDefault="00CF6E96" w:rsidP="00FE3101">
      <w:pPr>
        <w:pStyle w:val="texto"/>
        <w:spacing w:before="80" w:after="60"/>
        <w:ind w:left="28" w:firstLine="0"/>
        <w:rPr>
          <w:rFonts w:ascii="Arial" w:hAnsi="Arial" w:cs="Arial"/>
          <w:color w:val="000000" w:themeColor="text1"/>
          <w:sz w:val="16"/>
          <w:szCs w:val="16"/>
        </w:rPr>
      </w:pPr>
      <w:r w:rsidRPr="002070E0">
        <w:rPr>
          <w:rFonts w:ascii="Arial" w:hAnsi="Arial" w:cs="Arial"/>
          <w:color w:val="000000" w:themeColor="text1"/>
          <w:sz w:val="16"/>
          <w:szCs w:val="16"/>
        </w:rPr>
        <w:t xml:space="preserve"> </w:t>
      </w:r>
      <w:r w:rsidR="0088085F" w:rsidRPr="002070E0">
        <w:rPr>
          <w:rFonts w:ascii="Arial" w:hAnsi="Arial" w:cs="Arial"/>
          <w:color w:val="000000" w:themeColor="text1"/>
          <w:sz w:val="16"/>
          <w:szCs w:val="16"/>
        </w:rPr>
        <w:t>(*) Indicadores consolidados con SCPSA</w:t>
      </w:r>
      <w:r w:rsidR="00FE3101">
        <w:rPr>
          <w:rFonts w:ascii="Arial" w:hAnsi="Arial" w:cs="Arial"/>
          <w:color w:val="000000" w:themeColor="text1"/>
          <w:sz w:val="16"/>
          <w:szCs w:val="16"/>
        </w:rPr>
        <w:t>.</w:t>
      </w:r>
    </w:p>
    <w:p w14:paraId="7A7A907A" w14:textId="77777777" w:rsidR="0088085F" w:rsidRPr="002070E0" w:rsidRDefault="00CF6E96" w:rsidP="00FE3101">
      <w:pPr>
        <w:pStyle w:val="texto"/>
        <w:spacing w:after="40"/>
        <w:ind w:left="28" w:firstLine="0"/>
        <w:rPr>
          <w:rFonts w:ascii="Arial" w:hAnsi="Arial" w:cs="Arial"/>
          <w:color w:val="000000" w:themeColor="text1"/>
          <w:sz w:val="16"/>
          <w:szCs w:val="16"/>
        </w:rPr>
      </w:pPr>
      <w:r w:rsidRPr="002070E0">
        <w:rPr>
          <w:rFonts w:ascii="Arial" w:hAnsi="Arial" w:cs="Arial"/>
          <w:color w:val="000000" w:themeColor="text1"/>
          <w:sz w:val="16"/>
          <w:szCs w:val="16"/>
        </w:rPr>
        <w:t xml:space="preserve"> </w:t>
      </w:r>
      <w:r w:rsidR="0088085F" w:rsidRPr="002070E0">
        <w:rPr>
          <w:rFonts w:ascii="Arial" w:hAnsi="Arial" w:cs="Arial"/>
          <w:color w:val="000000" w:themeColor="text1"/>
          <w:sz w:val="16"/>
          <w:szCs w:val="16"/>
        </w:rPr>
        <w:t>(**) No se dispone de este indicador consolidado</w:t>
      </w:r>
      <w:r w:rsidR="00FE3101">
        <w:rPr>
          <w:rFonts w:ascii="Arial" w:hAnsi="Arial" w:cs="Arial"/>
          <w:color w:val="000000" w:themeColor="text1"/>
          <w:sz w:val="16"/>
          <w:szCs w:val="16"/>
        </w:rPr>
        <w:t>.</w:t>
      </w:r>
    </w:p>
    <w:p w14:paraId="4B0593E0" w14:textId="77777777" w:rsidR="0088085F" w:rsidRPr="00B81E61" w:rsidRDefault="0088085F" w:rsidP="0088085F">
      <w:pPr>
        <w:pStyle w:val="texto"/>
        <w:spacing w:before="100" w:after="60"/>
        <w:ind w:firstLine="0"/>
        <w:rPr>
          <w:rFonts w:ascii="Arial Narrow" w:hAnsi="Arial Narrow"/>
          <w:i/>
          <w:color w:val="000000" w:themeColor="text1"/>
          <w:sz w:val="18"/>
          <w:szCs w:val="18"/>
        </w:rPr>
      </w:pPr>
    </w:p>
    <w:p w14:paraId="3006E672" w14:textId="77777777" w:rsidR="0088085F" w:rsidRPr="00262228" w:rsidRDefault="0088085F" w:rsidP="00262228">
      <w:pPr>
        <w:pStyle w:val="texto"/>
      </w:pPr>
      <w:r w:rsidRPr="00262228">
        <w:lastRenderedPageBreak/>
        <w:t>De los datos del cuadro anterior destacamos los siguientes aspectos:</w:t>
      </w:r>
    </w:p>
    <w:p w14:paraId="13C376BD"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En comparación con 2018, los gastos aumentaron un 12 por ciento mientras que los ingresos un seis por ciento. La evolución respecto a 2015 presenta el mismo signo </w:t>
      </w:r>
      <w:r w:rsidR="00FD5739">
        <w:rPr>
          <w:spacing w:val="6"/>
          <w:sz w:val="26"/>
          <w:szCs w:val="26"/>
        </w:rPr>
        <w:t xml:space="preserve">positivo </w:t>
      </w:r>
      <w:r w:rsidRPr="00CE5750">
        <w:rPr>
          <w:spacing w:val="6"/>
          <w:sz w:val="26"/>
          <w:szCs w:val="26"/>
        </w:rPr>
        <w:t>si bien los porcentajes de variación han sido de un 21 por ciento en cuanto a los gastos y un 19 por ciento en cuanto a los ingresos.</w:t>
      </w:r>
    </w:p>
    <w:p w14:paraId="4CAEE389" w14:textId="77777777" w:rsidR="0088085F" w:rsidRPr="009A521B" w:rsidRDefault="0088085F" w:rsidP="00CE5750">
      <w:pPr>
        <w:numPr>
          <w:ilvl w:val="0"/>
          <w:numId w:val="2"/>
        </w:numPr>
        <w:tabs>
          <w:tab w:val="clear" w:pos="502"/>
          <w:tab w:val="left" w:pos="480"/>
          <w:tab w:val="num" w:pos="720"/>
          <w:tab w:val="num" w:pos="6597"/>
        </w:tabs>
        <w:ind w:left="0" w:firstLine="289"/>
        <w:rPr>
          <w:color w:val="000000" w:themeColor="text1"/>
          <w:spacing w:val="6"/>
          <w:sz w:val="26"/>
          <w:szCs w:val="26"/>
        </w:rPr>
      </w:pPr>
      <w:r w:rsidRPr="00CE5750">
        <w:rPr>
          <w:spacing w:val="6"/>
          <w:sz w:val="26"/>
          <w:szCs w:val="26"/>
        </w:rPr>
        <w:t xml:space="preserve">Los gastos de capital supusieron 199,42 millones, siendo el gasto que más </w:t>
      </w:r>
      <w:r w:rsidRPr="009A521B">
        <w:rPr>
          <w:color w:val="000000" w:themeColor="text1"/>
          <w:spacing w:val="6"/>
          <w:sz w:val="26"/>
          <w:szCs w:val="26"/>
        </w:rPr>
        <w:t xml:space="preserve">aumenta respecto al ejercicio 2018, un incremento </w:t>
      </w:r>
      <w:r w:rsidR="00FD5739" w:rsidRPr="009A521B">
        <w:rPr>
          <w:color w:val="000000" w:themeColor="text1"/>
          <w:spacing w:val="6"/>
          <w:sz w:val="26"/>
          <w:szCs w:val="26"/>
        </w:rPr>
        <w:t>d</w:t>
      </w:r>
      <w:r w:rsidRPr="009A521B">
        <w:rPr>
          <w:color w:val="000000" w:themeColor="text1"/>
          <w:spacing w:val="6"/>
          <w:sz w:val="26"/>
          <w:szCs w:val="26"/>
        </w:rPr>
        <w:t>el 59 por ciento.</w:t>
      </w:r>
    </w:p>
    <w:p w14:paraId="6C5BE56B" w14:textId="77777777" w:rsidR="0088085F" w:rsidRPr="009A521B" w:rsidRDefault="0088085F" w:rsidP="00CE5750">
      <w:pPr>
        <w:numPr>
          <w:ilvl w:val="0"/>
          <w:numId w:val="2"/>
        </w:numPr>
        <w:tabs>
          <w:tab w:val="clear" w:pos="502"/>
          <w:tab w:val="left" w:pos="480"/>
          <w:tab w:val="num" w:pos="720"/>
          <w:tab w:val="num" w:pos="6597"/>
        </w:tabs>
        <w:ind w:left="0" w:firstLine="289"/>
        <w:rPr>
          <w:color w:val="000000" w:themeColor="text1"/>
          <w:spacing w:val="6"/>
          <w:sz w:val="26"/>
          <w:szCs w:val="26"/>
        </w:rPr>
      </w:pPr>
      <w:r w:rsidRPr="009A521B">
        <w:rPr>
          <w:color w:val="000000" w:themeColor="text1"/>
          <w:spacing w:val="6"/>
          <w:sz w:val="26"/>
          <w:szCs w:val="26"/>
        </w:rPr>
        <w:t>En 2019, el sector público local generó un ahorro neto de 107,14 millones, una vez atendidos los gastos de funcionamiento y la carga financiera de la deuda. Este ahorro es superior al obtenido en 2015 en un 70 por ciento y ha aumentado respecto a 2018 en un 17 por ciento. Dicho incremento se debe tanto al aumento del ahorro bruto, así como al decremento de carga financiera, esta última ha disminuido un 13 por ciento respecto a 2018.</w:t>
      </w:r>
    </w:p>
    <w:p w14:paraId="1C7D343B"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9A521B">
        <w:rPr>
          <w:color w:val="000000" w:themeColor="text1"/>
          <w:spacing w:val="6"/>
          <w:sz w:val="26"/>
          <w:szCs w:val="26"/>
        </w:rPr>
        <w:t xml:space="preserve">La deuda viva de las entidades locales de Navarra en 2019 ascendía a 179,61 millones, a un tipo medio de interés del 1,50 por ciento y con un plazo medio de vencimiento de 9,38 años. Si comparamos </w:t>
      </w:r>
      <w:r w:rsidR="00FD5739" w:rsidRPr="009A521B">
        <w:rPr>
          <w:color w:val="000000" w:themeColor="text1"/>
          <w:spacing w:val="6"/>
          <w:sz w:val="26"/>
          <w:szCs w:val="26"/>
        </w:rPr>
        <w:t xml:space="preserve">la deuda de 2019 con la del </w:t>
      </w:r>
      <w:r w:rsidRPr="009A521B">
        <w:rPr>
          <w:color w:val="000000" w:themeColor="text1"/>
          <w:spacing w:val="6"/>
          <w:sz w:val="26"/>
          <w:szCs w:val="26"/>
        </w:rPr>
        <w:t xml:space="preserve">2015 y 2018, se observa un descenso del 40 y del 13 por ciento, respectivamente. Estas </w:t>
      </w:r>
      <w:r w:rsidRPr="00CE5750">
        <w:rPr>
          <w:spacing w:val="6"/>
          <w:sz w:val="26"/>
          <w:szCs w:val="26"/>
        </w:rPr>
        <w:t>disminuciones tan significativas se deben, en parte, a las exigencias de la Ley Orgánica 2/2012, de 27 de abril, de Estabilidad Presupuestaria y Sostenibilidad Financiera (</w:t>
      </w:r>
      <w:proofErr w:type="spellStart"/>
      <w:r w:rsidRPr="00CE5750">
        <w:rPr>
          <w:spacing w:val="6"/>
          <w:sz w:val="26"/>
          <w:szCs w:val="26"/>
        </w:rPr>
        <w:t>LOEPySF</w:t>
      </w:r>
      <w:proofErr w:type="spellEnd"/>
      <w:r w:rsidRPr="00CE5750">
        <w:rPr>
          <w:spacing w:val="6"/>
          <w:sz w:val="26"/>
          <w:szCs w:val="26"/>
        </w:rPr>
        <w:t xml:space="preserve"> en adelante), que han hecho que en 2019 se amortizara deuda por importe de 28,91 millones mientras que la nueva deuda concertada fue tan solo de 2,94 millones.</w:t>
      </w:r>
    </w:p>
    <w:p w14:paraId="0A4986BD" w14:textId="77777777" w:rsidR="0088085F" w:rsidRPr="00CE5750" w:rsidRDefault="0088085F" w:rsidP="00EB3A45">
      <w:pPr>
        <w:numPr>
          <w:ilvl w:val="0"/>
          <w:numId w:val="2"/>
        </w:numPr>
        <w:tabs>
          <w:tab w:val="clear" w:pos="502"/>
          <w:tab w:val="left" w:pos="480"/>
          <w:tab w:val="num" w:pos="720"/>
          <w:tab w:val="num" w:pos="6597"/>
        </w:tabs>
        <w:spacing w:after="360"/>
        <w:ind w:left="0" w:firstLine="289"/>
        <w:rPr>
          <w:spacing w:val="6"/>
          <w:sz w:val="26"/>
          <w:szCs w:val="26"/>
        </w:rPr>
      </w:pPr>
      <w:r w:rsidRPr="00CE5750">
        <w:rPr>
          <w:spacing w:val="6"/>
          <w:sz w:val="26"/>
          <w:szCs w:val="26"/>
        </w:rPr>
        <w:t>El remanente de tesorería para gastos generales, excedente de recursos generados que puede ser utilizado para financiar modificaciones presupuestarias de gastos en ejercicios siguientes, ascendió en 2019 a 275,17 millones, presentando también una tendencia creciente respecto a 2015 y 2018 al aumentar un 43 y un diez por ciento respectivamente.</w:t>
      </w:r>
    </w:p>
    <w:p w14:paraId="41C2C931" w14:textId="77777777" w:rsidR="0088085F" w:rsidRPr="00B81E61" w:rsidRDefault="0088085F" w:rsidP="0088085F">
      <w:pPr>
        <w:pStyle w:val="atitulo2"/>
        <w:rPr>
          <w:color w:val="000000" w:themeColor="text1"/>
        </w:rPr>
      </w:pPr>
      <w:bookmarkStart w:id="81" w:name="_Toc529773885"/>
      <w:bookmarkStart w:id="82" w:name="_Toc24100146"/>
      <w:bookmarkStart w:id="83" w:name="_Toc52348294"/>
      <w:bookmarkStart w:id="84" w:name="_Toc89161271"/>
      <w:bookmarkStart w:id="85" w:name="_Toc90969150"/>
      <w:r w:rsidRPr="00B81E61">
        <w:rPr>
          <w:color w:val="000000" w:themeColor="text1"/>
        </w:rPr>
        <w:t>V.4. Objetivos de estabilidad presupuestaria y sostenibilidad financiera</w:t>
      </w:r>
      <w:bookmarkEnd w:id="81"/>
      <w:bookmarkEnd w:id="82"/>
      <w:bookmarkEnd w:id="83"/>
      <w:bookmarkEnd w:id="84"/>
      <w:bookmarkEnd w:id="85"/>
    </w:p>
    <w:p w14:paraId="68AD300B" w14:textId="77777777" w:rsidR="0088085F" w:rsidRPr="00262228" w:rsidRDefault="0088085F" w:rsidP="00262228">
      <w:pPr>
        <w:pStyle w:val="texto"/>
      </w:pPr>
      <w:r w:rsidRPr="00262228">
        <w:t xml:space="preserve">De acuerdo con la </w:t>
      </w:r>
      <w:proofErr w:type="spellStart"/>
      <w:r w:rsidRPr="00262228">
        <w:t>LOEPySF</w:t>
      </w:r>
      <w:proofErr w:type="spellEnd"/>
      <w:r w:rsidRPr="00262228">
        <w:t>, el sector “Administración Pública Local” debe cumplir las siguientes reglas fiscales:</w:t>
      </w:r>
    </w:p>
    <w:p w14:paraId="57190EA1"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 Estabilidad presupuestaria, o equilibrio/capacidad de financiación en el ejercicio, medido en términos de contabilidad nacional.</w:t>
      </w:r>
    </w:p>
    <w:p w14:paraId="77532142"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Regla de gasto, la variación del gasto computable del sector en 2019 sobre el gasto de 2018 no puede superar la tasa de referencia del crecimiento del PIB, que para el citado ejercicio se fijó en el 2,7 por ciento.</w:t>
      </w:r>
    </w:p>
    <w:p w14:paraId="4B2FDAF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Sostenibilidad de la deuda pública o que la deuda del sector, en términos de contabilidad nacional, no supere el 110 por ciento de sus ingresos corrientes.</w:t>
      </w:r>
    </w:p>
    <w:p w14:paraId="05EFDE1F" w14:textId="77777777" w:rsidR="0088085F" w:rsidRPr="00CE5750" w:rsidRDefault="0088085F" w:rsidP="00EB3A45">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lastRenderedPageBreak/>
        <w:t>Sostenibilidad de la deuda comercial, o el periodo medio de pago a proveedores no puede superar, en términos generales, el plazo de 30 días.</w:t>
      </w:r>
    </w:p>
    <w:p w14:paraId="5E28FB11" w14:textId="77777777" w:rsidR="0088085F" w:rsidRPr="00262228" w:rsidRDefault="0088085F" w:rsidP="00EB3A45">
      <w:pPr>
        <w:pStyle w:val="texto"/>
      </w:pPr>
      <w:r w:rsidRPr="009A521B">
        <w:t>En este ámbito, la información aportada por la Dirección General de Administración Local y Despoblación se limita a las entidades locales y sus organismos autónomos, sin configurar propiamente, en términos de contabilidad nacional, el sector “Administración Pública Local de Navarra”. De acuerdo con estos datos, señalamos lo siguiente:</w:t>
      </w:r>
    </w:p>
    <w:p w14:paraId="653490AB" w14:textId="77777777" w:rsidR="0088085F" w:rsidRPr="00B81E61" w:rsidRDefault="0088085F" w:rsidP="002933DC">
      <w:pPr>
        <w:tabs>
          <w:tab w:val="center" w:pos="2835"/>
          <w:tab w:val="center" w:pos="3969"/>
          <w:tab w:val="center" w:pos="5103"/>
          <w:tab w:val="center" w:pos="6237"/>
          <w:tab w:val="center" w:pos="7371"/>
        </w:tabs>
        <w:spacing w:after="120"/>
        <w:ind w:firstLine="284"/>
        <w:rPr>
          <w:color w:val="000000" w:themeColor="text1"/>
          <w:spacing w:val="6"/>
          <w:sz w:val="26"/>
          <w:szCs w:val="24"/>
        </w:rPr>
      </w:pPr>
      <w:r w:rsidRPr="00B81E61">
        <w:rPr>
          <w:color w:val="000000" w:themeColor="text1"/>
          <w:spacing w:val="6"/>
          <w:sz w:val="26"/>
          <w:szCs w:val="24"/>
        </w:rPr>
        <w:t>a) La capacidad de financiación del sector público local en 201</w:t>
      </w:r>
      <w:r>
        <w:rPr>
          <w:color w:val="000000" w:themeColor="text1"/>
          <w:spacing w:val="6"/>
          <w:sz w:val="26"/>
          <w:szCs w:val="24"/>
        </w:rPr>
        <w:t>9</w:t>
      </w:r>
      <w:r w:rsidRPr="00B81E61">
        <w:rPr>
          <w:color w:val="000000" w:themeColor="text1"/>
          <w:spacing w:val="6"/>
          <w:sz w:val="26"/>
          <w:szCs w:val="24"/>
        </w:rPr>
        <w:t xml:space="preserve"> asciende a </w:t>
      </w:r>
      <w:r>
        <w:rPr>
          <w:color w:val="000000" w:themeColor="text1"/>
          <w:spacing w:val="6"/>
          <w:sz w:val="26"/>
          <w:szCs w:val="24"/>
        </w:rPr>
        <w:t>37,78</w:t>
      </w:r>
      <w:r w:rsidRPr="00B81E61">
        <w:rPr>
          <w:color w:val="000000" w:themeColor="text1"/>
          <w:spacing w:val="6"/>
          <w:sz w:val="26"/>
          <w:szCs w:val="24"/>
        </w:rPr>
        <w:t xml:space="preserve"> millones</w:t>
      </w:r>
      <w:r>
        <w:rPr>
          <w:color w:val="000000" w:themeColor="text1"/>
          <w:spacing w:val="6"/>
          <w:sz w:val="26"/>
          <w:szCs w:val="24"/>
        </w:rPr>
        <w:t xml:space="preserve">, </w:t>
      </w:r>
      <w:r w:rsidRPr="00B81E61">
        <w:rPr>
          <w:color w:val="000000" w:themeColor="text1"/>
          <w:spacing w:val="6"/>
          <w:sz w:val="26"/>
          <w:szCs w:val="24"/>
        </w:rPr>
        <w:t>se ha cumplido, por lo tanto, con esta regla fiscal tal y como se desprende del siguiente cuadro:</w:t>
      </w:r>
    </w:p>
    <w:p w14:paraId="2C9ED3A1" w14:textId="77777777" w:rsidR="0088085F" w:rsidRPr="004859D2" w:rsidRDefault="0088085F" w:rsidP="00EB3A45">
      <w:pPr>
        <w:pStyle w:val="Prrafodelista"/>
        <w:tabs>
          <w:tab w:val="left" w:pos="567"/>
        </w:tabs>
        <w:spacing w:before="120" w:after="60"/>
        <w:ind w:left="284"/>
        <w:contextualSpacing w:val="0"/>
        <w:jc w:val="both"/>
        <w:rPr>
          <w:rFonts w:ascii="Arial" w:hAnsi="Arial" w:cs="Arial"/>
          <w:color w:val="000000" w:themeColor="text1"/>
          <w:spacing w:val="6"/>
          <w:sz w:val="16"/>
          <w:szCs w:val="16"/>
        </w:rPr>
      </w:pPr>
      <w:r w:rsidRPr="004859D2">
        <w:rPr>
          <w:rFonts w:ascii="Arial" w:hAnsi="Arial" w:cs="Arial"/>
          <w:color w:val="000000" w:themeColor="text1"/>
          <w:sz w:val="16"/>
          <w:szCs w:val="16"/>
        </w:rPr>
        <w:t xml:space="preserve"> </w:t>
      </w:r>
      <w:r w:rsidR="00EB3A45" w:rsidRPr="004859D2">
        <w:rPr>
          <w:rFonts w:ascii="Arial" w:hAnsi="Arial" w:cs="Arial"/>
          <w:color w:val="000000" w:themeColor="text1"/>
          <w:sz w:val="16"/>
          <w:szCs w:val="16"/>
        </w:rPr>
        <w:t xml:space="preserve">                                                                                                                      </w:t>
      </w:r>
      <w:r w:rsidR="004859D2">
        <w:rPr>
          <w:rFonts w:ascii="Arial" w:hAnsi="Arial" w:cs="Arial"/>
          <w:color w:val="000000" w:themeColor="text1"/>
          <w:sz w:val="16"/>
          <w:szCs w:val="16"/>
        </w:rPr>
        <w:t xml:space="preserve">                       </w:t>
      </w:r>
      <w:r w:rsidR="00EB3A45" w:rsidRPr="004859D2">
        <w:rPr>
          <w:rFonts w:ascii="Arial" w:hAnsi="Arial" w:cs="Arial"/>
          <w:color w:val="000000" w:themeColor="text1"/>
          <w:sz w:val="16"/>
          <w:szCs w:val="16"/>
        </w:rPr>
        <w:t xml:space="preserve">                            </w:t>
      </w:r>
      <w:r w:rsidRPr="004859D2">
        <w:rPr>
          <w:rFonts w:ascii="Arial" w:hAnsi="Arial" w:cs="Arial"/>
          <w:color w:val="000000" w:themeColor="text1"/>
          <w:sz w:val="16"/>
          <w:szCs w:val="16"/>
        </w:rPr>
        <w:t>(en millones)</w:t>
      </w:r>
    </w:p>
    <w:tbl>
      <w:tblPr>
        <w:tblW w:w="0" w:type="auto"/>
        <w:jc w:val="center"/>
        <w:tblBorders>
          <w:top w:val="single" w:sz="4" w:space="0" w:color="auto"/>
          <w:bottom w:val="single" w:sz="4" w:space="0" w:color="auto"/>
        </w:tblBorders>
        <w:tblLook w:val="00A0" w:firstRow="1" w:lastRow="0" w:firstColumn="1" w:lastColumn="0" w:noHBand="0" w:noVBand="0"/>
      </w:tblPr>
      <w:tblGrid>
        <w:gridCol w:w="4541"/>
        <w:gridCol w:w="4234"/>
      </w:tblGrid>
      <w:tr w:rsidR="0088085F" w:rsidRPr="00B81E61" w14:paraId="6A45C78F" w14:textId="77777777" w:rsidTr="00D4444C">
        <w:trPr>
          <w:trHeight w:val="255"/>
          <w:jc w:val="center"/>
        </w:trPr>
        <w:tc>
          <w:tcPr>
            <w:tcW w:w="4541" w:type="dxa"/>
            <w:tcBorders>
              <w:top w:val="single" w:sz="4" w:space="0" w:color="auto"/>
              <w:bottom w:val="single" w:sz="4" w:space="0" w:color="auto"/>
            </w:tcBorders>
            <w:shd w:val="clear" w:color="auto" w:fill="FABF8F" w:themeFill="accent6" w:themeFillTint="99"/>
            <w:vAlign w:val="center"/>
          </w:tcPr>
          <w:p w14:paraId="6429835B" w14:textId="77777777" w:rsidR="0088085F" w:rsidRPr="00B81E61" w:rsidRDefault="0088085F" w:rsidP="00775915">
            <w:pPr>
              <w:pStyle w:val="cuadroCabe"/>
              <w:jc w:val="left"/>
              <w:rPr>
                <w:color w:val="000000" w:themeColor="text1"/>
              </w:rPr>
            </w:pPr>
            <w:r w:rsidRPr="00B81E61">
              <w:rPr>
                <w:color w:val="000000" w:themeColor="text1"/>
              </w:rPr>
              <w:t>Capacidad/necesidad de financiación</w:t>
            </w:r>
          </w:p>
        </w:tc>
        <w:tc>
          <w:tcPr>
            <w:tcW w:w="4234" w:type="dxa"/>
            <w:tcBorders>
              <w:top w:val="single" w:sz="4" w:space="0" w:color="auto"/>
              <w:bottom w:val="single" w:sz="4" w:space="0" w:color="auto"/>
            </w:tcBorders>
            <w:shd w:val="clear" w:color="auto" w:fill="FABF8F" w:themeFill="accent6" w:themeFillTint="99"/>
            <w:vAlign w:val="center"/>
          </w:tcPr>
          <w:p w14:paraId="27A118EB" w14:textId="77777777" w:rsidR="0088085F" w:rsidRPr="00B81E61" w:rsidRDefault="0088085F" w:rsidP="00775915">
            <w:pPr>
              <w:pStyle w:val="cuadroCabe"/>
              <w:jc w:val="right"/>
              <w:rPr>
                <w:color w:val="000000" w:themeColor="text1"/>
              </w:rPr>
            </w:pPr>
            <w:r w:rsidRPr="00B81E61">
              <w:rPr>
                <w:color w:val="000000" w:themeColor="text1"/>
              </w:rPr>
              <w:t>Importe</w:t>
            </w:r>
          </w:p>
        </w:tc>
      </w:tr>
      <w:tr w:rsidR="0088085F" w:rsidRPr="00B81E61" w14:paraId="05AF7533" w14:textId="77777777" w:rsidTr="00D4444C">
        <w:trPr>
          <w:trHeight w:val="198"/>
          <w:jc w:val="center"/>
        </w:trPr>
        <w:tc>
          <w:tcPr>
            <w:tcW w:w="4541" w:type="dxa"/>
            <w:tcBorders>
              <w:top w:val="single" w:sz="4" w:space="0" w:color="auto"/>
              <w:bottom w:val="single" w:sz="2" w:space="0" w:color="auto"/>
            </w:tcBorders>
            <w:vAlign w:val="center"/>
          </w:tcPr>
          <w:p w14:paraId="1205B123" w14:textId="77777777" w:rsidR="0088085F" w:rsidRPr="00B81E61" w:rsidRDefault="0088085F" w:rsidP="00775915">
            <w:pPr>
              <w:pStyle w:val="cuatexto"/>
              <w:jc w:val="left"/>
            </w:pPr>
            <w:r w:rsidRPr="00B81E61">
              <w:t>Saldo presupuestario no financiero</w:t>
            </w:r>
          </w:p>
        </w:tc>
        <w:tc>
          <w:tcPr>
            <w:tcW w:w="4234" w:type="dxa"/>
            <w:tcBorders>
              <w:top w:val="single" w:sz="4" w:space="0" w:color="auto"/>
              <w:bottom w:val="single" w:sz="2" w:space="0" w:color="auto"/>
            </w:tcBorders>
            <w:vAlign w:val="center"/>
          </w:tcPr>
          <w:p w14:paraId="7F694CAD" w14:textId="77777777" w:rsidR="0088085F" w:rsidRPr="00B81E61" w:rsidRDefault="0088085F" w:rsidP="00775915">
            <w:pPr>
              <w:pStyle w:val="cuatexto"/>
              <w:jc w:val="right"/>
            </w:pPr>
            <w:r>
              <w:t>31,16</w:t>
            </w:r>
          </w:p>
        </w:tc>
      </w:tr>
      <w:tr w:rsidR="0088085F" w:rsidRPr="00B81E61" w14:paraId="5B13CE07" w14:textId="77777777" w:rsidTr="00D4444C">
        <w:trPr>
          <w:trHeight w:val="198"/>
          <w:jc w:val="center"/>
        </w:trPr>
        <w:tc>
          <w:tcPr>
            <w:tcW w:w="4541" w:type="dxa"/>
            <w:tcBorders>
              <w:top w:val="single" w:sz="2" w:space="0" w:color="auto"/>
              <w:bottom w:val="single" w:sz="4" w:space="0" w:color="auto"/>
            </w:tcBorders>
            <w:vAlign w:val="center"/>
          </w:tcPr>
          <w:p w14:paraId="372FCBD1" w14:textId="77777777" w:rsidR="0088085F" w:rsidRPr="00B81E61" w:rsidRDefault="0088085F" w:rsidP="00775915">
            <w:pPr>
              <w:pStyle w:val="cuatexto"/>
              <w:jc w:val="left"/>
            </w:pPr>
            <w:r w:rsidRPr="00B81E61">
              <w:t>Ajustes:</w:t>
            </w:r>
          </w:p>
          <w:p w14:paraId="3FAAE3CC" w14:textId="77777777" w:rsidR="0088085F" w:rsidRPr="00B81E61" w:rsidRDefault="00775915" w:rsidP="00775915">
            <w:pPr>
              <w:pStyle w:val="cuatexto"/>
              <w:jc w:val="left"/>
            </w:pPr>
            <w:r>
              <w:t xml:space="preserve">   </w:t>
            </w:r>
            <w:r w:rsidR="0088085F" w:rsidRPr="00B81E61">
              <w:t>Ingresos de recaudación incierta</w:t>
            </w:r>
          </w:p>
          <w:p w14:paraId="19F1DEE8" w14:textId="77777777" w:rsidR="0088085F" w:rsidRPr="00B81E61" w:rsidRDefault="00775915" w:rsidP="00775915">
            <w:pPr>
              <w:pStyle w:val="cuatexto"/>
              <w:jc w:val="left"/>
            </w:pPr>
            <w:r>
              <w:t xml:space="preserve">   </w:t>
            </w:r>
            <w:r w:rsidR="0088085F" w:rsidRPr="00B81E61">
              <w:t>Transferencias recibidas de otras AAPP</w:t>
            </w:r>
          </w:p>
        </w:tc>
        <w:tc>
          <w:tcPr>
            <w:tcW w:w="4234" w:type="dxa"/>
            <w:tcBorders>
              <w:top w:val="single" w:sz="2" w:space="0" w:color="auto"/>
              <w:bottom w:val="single" w:sz="4" w:space="0" w:color="auto"/>
            </w:tcBorders>
            <w:vAlign w:val="center"/>
          </w:tcPr>
          <w:p w14:paraId="6F011CEE" w14:textId="77777777" w:rsidR="0088085F" w:rsidRPr="00B81E61" w:rsidRDefault="0088085F" w:rsidP="00775915">
            <w:pPr>
              <w:pStyle w:val="cuatexto"/>
              <w:jc w:val="right"/>
            </w:pPr>
          </w:p>
          <w:p w14:paraId="18BFCE93" w14:textId="77777777" w:rsidR="0088085F" w:rsidRPr="00B81E61" w:rsidRDefault="0088085F" w:rsidP="00775915">
            <w:pPr>
              <w:pStyle w:val="cuatexto"/>
              <w:jc w:val="right"/>
            </w:pPr>
            <w:r w:rsidRPr="00B81E61">
              <w:t>(</w:t>
            </w:r>
            <w:r>
              <w:t>6,23</w:t>
            </w:r>
            <w:r w:rsidRPr="00B81E61">
              <w:t>)</w:t>
            </w:r>
          </w:p>
          <w:p w14:paraId="1164977A" w14:textId="77777777" w:rsidR="0088085F" w:rsidRPr="00B81E61" w:rsidRDefault="0088085F" w:rsidP="00775915">
            <w:pPr>
              <w:pStyle w:val="cuatexto"/>
              <w:jc w:val="right"/>
            </w:pPr>
            <w:r>
              <w:t>12</w:t>
            </w:r>
            <w:r w:rsidRPr="00B81E61">
              <w:t>,</w:t>
            </w:r>
            <w:r>
              <w:t>85</w:t>
            </w:r>
          </w:p>
        </w:tc>
      </w:tr>
      <w:tr w:rsidR="0088085F" w:rsidRPr="00B81E61" w14:paraId="35A325DD" w14:textId="77777777" w:rsidTr="00D4444C">
        <w:trPr>
          <w:trHeight w:val="255"/>
          <w:jc w:val="center"/>
        </w:trPr>
        <w:tc>
          <w:tcPr>
            <w:tcW w:w="4541" w:type="dxa"/>
            <w:tcBorders>
              <w:top w:val="single" w:sz="4" w:space="0" w:color="auto"/>
              <w:bottom w:val="single" w:sz="4" w:space="0" w:color="auto"/>
            </w:tcBorders>
            <w:shd w:val="clear" w:color="auto" w:fill="FABF8F" w:themeFill="accent6" w:themeFillTint="99"/>
            <w:vAlign w:val="center"/>
          </w:tcPr>
          <w:p w14:paraId="21D3D0EA" w14:textId="77777777" w:rsidR="0088085F" w:rsidRPr="00B81E61" w:rsidRDefault="0088085F" w:rsidP="00775915">
            <w:pPr>
              <w:pStyle w:val="cuadroCabe"/>
              <w:jc w:val="left"/>
            </w:pPr>
            <w:r w:rsidRPr="00B81E61">
              <w:t>Capacidad de financiación 201</w:t>
            </w:r>
            <w:r>
              <w:t>9</w:t>
            </w:r>
          </w:p>
        </w:tc>
        <w:tc>
          <w:tcPr>
            <w:tcW w:w="4234" w:type="dxa"/>
            <w:tcBorders>
              <w:top w:val="single" w:sz="4" w:space="0" w:color="auto"/>
              <w:bottom w:val="single" w:sz="4" w:space="0" w:color="auto"/>
            </w:tcBorders>
            <w:shd w:val="clear" w:color="auto" w:fill="FABF8F" w:themeFill="accent6" w:themeFillTint="99"/>
            <w:vAlign w:val="center"/>
          </w:tcPr>
          <w:p w14:paraId="560269D6" w14:textId="77777777" w:rsidR="0088085F" w:rsidRPr="00B81E61" w:rsidRDefault="0088085F" w:rsidP="00775915">
            <w:pPr>
              <w:pStyle w:val="cuadroCabe"/>
              <w:jc w:val="right"/>
            </w:pPr>
            <w:r>
              <w:t>37,78</w:t>
            </w:r>
          </w:p>
        </w:tc>
      </w:tr>
    </w:tbl>
    <w:p w14:paraId="4EF05112" w14:textId="77777777" w:rsidR="0088085F" w:rsidRPr="00B81E61" w:rsidRDefault="0088085F" w:rsidP="00017DCC">
      <w:pPr>
        <w:tabs>
          <w:tab w:val="center" w:pos="2835"/>
          <w:tab w:val="center" w:pos="3969"/>
          <w:tab w:val="center" w:pos="5103"/>
          <w:tab w:val="center" w:pos="6237"/>
          <w:tab w:val="center" w:pos="7371"/>
        </w:tabs>
        <w:spacing w:before="240"/>
        <w:ind w:firstLine="284"/>
        <w:rPr>
          <w:color w:val="000000" w:themeColor="text1"/>
          <w:spacing w:val="6"/>
          <w:sz w:val="26"/>
          <w:szCs w:val="24"/>
        </w:rPr>
      </w:pPr>
      <w:r w:rsidRPr="00B81E61">
        <w:rPr>
          <w:color w:val="000000" w:themeColor="text1"/>
          <w:spacing w:val="6"/>
          <w:sz w:val="26"/>
          <w:szCs w:val="24"/>
        </w:rPr>
        <w:t>b) La deuda viva del sector a 31 de diciembre de 201</w:t>
      </w:r>
      <w:r>
        <w:rPr>
          <w:color w:val="000000" w:themeColor="text1"/>
          <w:spacing w:val="6"/>
          <w:sz w:val="26"/>
          <w:szCs w:val="24"/>
        </w:rPr>
        <w:t>9</w:t>
      </w:r>
      <w:r w:rsidRPr="00B81E61">
        <w:rPr>
          <w:color w:val="000000" w:themeColor="text1"/>
          <w:spacing w:val="6"/>
          <w:sz w:val="26"/>
          <w:szCs w:val="24"/>
        </w:rPr>
        <w:t xml:space="preserve"> ascendía a </w:t>
      </w:r>
      <w:r>
        <w:rPr>
          <w:color w:val="000000" w:themeColor="text1"/>
          <w:spacing w:val="6"/>
          <w:sz w:val="26"/>
          <w:szCs w:val="24"/>
        </w:rPr>
        <w:t>179,61</w:t>
      </w:r>
      <w:r w:rsidRPr="00B81E61">
        <w:rPr>
          <w:color w:val="000000" w:themeColor="text1"/>
          <w:spacing w:val="6"/>
          <w:sz w:val="26"/>
          <w:szCs w:val="24"/>
        </w:rPr>
        <w:t xml:space="preserve"> millones lo que representa el 2</w:t>
      </w:r>
      <w:r>
        <w:rPr>
          <w:color w:val="000000" w:themeColor="text1"/>
          <w:spacing w:val="6"/>
          <w:sz w:val="26"/>
          <w:szCs w:val="24"/>
        </w:rPr>
        <w:t>3</w:t>
      </w:r>
      <w:r w:rsidRPr="00B81E61">
        <w:rPr>
          <w:color w:val="000000" w:themeColor="text1"/>
          <w:spacing w:val="6"/>
          <w:sz w:val="26"/>
          <w:szCs w:val="24"/>
        </w:rPr>
        <w:t xml:space="preserve"> por ciento de los ingresos corrientes. Este porcentaje es inferior al límite del 110 por ciento establecido en la legislación vigente, cumpliéndose, en consecuencia, con esta regla.</w:t>
      </w:r>
    </w:p>
    <w:p w14:paraId="74630BCF" w14:textId="77777777" w:rsidR="0088085F" w:rsidRPr="009A521B" w:rsidRDefault="0088085F" w:rsidP="0088085F">
      <w:pPr>
        <w:tabs>
          <w:tab w:val="center" w:pos="2835"/>
          <w:tab w:val="center" w:pos="3969"/>
          <w:tab w:val="center" w:pos="5103"/>
          <w:tab w:val="center" w:pos="6237"/>
          <w:tab w:val="center" w:pos="7371"/>
        </w:tabs>
        <w:spacing w:before="120" w:after="240"/>
        <w:ind w:firstLine="284"/>
        <w:rPr>
          <w:color w:val="000000" w:themeColor="text1"/>
          <w:spacing w:val="6"/>
          <w:sz w:val="26"/>
          <w:szCs w:val="24"/>
        </w:rPr>
      </w:pPr>
      <w:r w:rsidRPr="00965B5E">
        <w:rPr>
          <w:color w:val="000000" w:themeColor="text1"/>
          <w:spacing w:val="6"/>
          <w:sz w:val="26"/>
          <w:szCs w:val="24"/>
        </w:rPr>
        <w:t xml:space="preserve">c) No se aporta información sobre la regla de gasto y sobre los plazos de pago de la deuda comercial. Sobre esta última regla, se ha verificado, de acuerdo con </w:t>
      </w:r>
      <w:r w:rsidRPr="009A521B">
        <w:rPr>
          <w:color w:val="000000" w:themeColor="text1"/>
          <w:spacing w:val="6"/>
          <w:sz w:val="26"/>
          <w:szCs w:val="24"/>
        </w:rPr>
        <w:t xml:space="preserve">la publicación del Ministerio de Hacienda, que solo consta tal información de un total de </w:t>
      </w:r>
      <w:r w:rsidR="0026436D" w:rsidRPr="009A521B">
        <w:rPr>
          <w:color w:val="000000" w:themeColor="text1"/>
          <w:spacing w:val="6"/>
          <w:sz w:val="26"/>
          <w:szCs w:val="24"/>
        </w:rPr>
        <w:t>60</w:t>
      </w:r>
      <w:r w:rsidRPr="009A521B">
        <w:rPr>
          <w:color w:val="000000" w:themeColor="text1"/>
          <w:spacing w:val="6"/>
          <w:sz w:val="26"/>
          <w:szCs w:val="24"/>
        </w:rPr>
        <w:t xml:space="preserve"> entidades locales de Navarra para los cuatro trimestres de 2019; de acuerdo con ella, el periodo medio de pago, como promedio del último trimestre del año se sitúa en 14,64 días, es decir, es un plazo inferior al límite de 30 días establecido. Las entidades que envían datos al Ministerio representan solamente el </w:t>
      </w:r>
      <w:r w:rsidR="0026436D" w:rsidRPr="009A521B">
        <w:rPr>
          <w:color w:val="000000" w:themeColor="text1"/>
          <w:spacing w:val="6"/>
          <w:sz w:val="26"/>
          <w:szCs w:val="24"/>
        </w:rPr>
        <w:t>nueve</w:t>
      </w:r>
      <w:r w:rsidRPr="009A521B">
        <w:rPr>
          <w:color w:val="000000" w:themeColor="text1"/>
          <w:spacing w:val="6"/>
          <w:sz w:val="26"/>
          <w:szCs w:val="24"/>
        </w:rPr>
        <w:t xml:space="preserve"> por ciento del total de entidades locales de Navarra.</w:t>
      </w:r>
    </w:p>
    <w:p w14:paraId="16C8F019" w14:textId="77777777" w:rsidR="0088085F" w:rsidRPr="009A521B" w:rsidRDefault="0088085F" w:rsidP="0088085F">
      <w:pPr>
        <w:spacing w:after="0"/>
        <w:ind w:firstLine="0"/>
        <w:jc w:val="left"/>
        <w:rPr>
          <w:rFonts w:ascii="Arial" w:hAnsi="Arial"/>
          <w:b/>
          <w:color w:val="000000" w:themeColor="text1"/>
          <w:kern w:val="28"/>
          <w:sz w:val="25"/>
          <w:szCs w:val="26"/>
        </w:rPr>
      </w:pPr>
      <w:bookmarkStart w:id="86" w:name="_Toc24100147"/>
      <w:bookmarkStart w:id="87" w:name="_Toc52348295"/>
      <w:r w:rsidRPr="009A521B">
        <w:rPr>
          <w:color w:val="000000" w:themeColor="text1"/>
        </w:rPr>
        <w:br w:type="page"/>
      </w:r>
    </w:p>
    <w:p w14:paraId="35AFB823" w14:textId="77777777" w:rsidR="0088085F" w:rsidRPr="00B81E61" w:rsidRDefault="0088085F" w:rsidP="0088085F">
      <w:pPr>
        <w:pStyle w:val="atitulo1"/>
        <w:rPr>
          <w:color w:val="000000" w:themeColor="text1"/>
        </w:rPr>
      </w:pPr>
      <w:bookmarkStart w:id="88" w:name="_Toc89161272"/>
      <w:bookmarkStart w:id="89" w:name="_Toc90969151"/>
      <w:r w:rsidRPr="000B6565">
        <w:rPr>
          <w:color w:val="000000" w:themeColor="text1"/>
        </w:rPr>
        <w:lastRenderedPageBreak/>
        <w:t>VI. Contratación administrativa</w:t>
      </w:r>
      <w:bookmarkEnd w:id="86"/>
      <w:bookmarkEnd w:id="87"/>
      <w:bookmarkEnd w:id="88"/>
      <w:bookmarkEnd w:id="89"/>
    </w:p>
    <w:p w14:paraId="3137F460" w14:textId="77777777" w:rsidR="0088085F" w:rsidRPr="00262228" w:rsidRDefault="0088085F" w:rsidP="00227824">
      <w:pPr>
        <w:pStyle w:val="texto"/>
      </w:pPr>
      <w:r w:rsidRPr="00262228">
        <w:t xml:space="preserve">En este epígrafe se analizan los contratos adjudicados en el año 2019 por las entidades locales y sus entes dependientes, según la información del registro de contratos gestionado por la Junta de Contratación Pública. </w:t>
      </w:r>
    </w:p>
    <w:p w14:paraId="4AA6E2A9" w14:textId="77777777" w:rsidR="0088085F" w:rsidRPr="00262228" w:rsidRDefault="0088085F" w:rsidP="00227824">
      <w:pPr>
        <w:pStyle w:val="texto"/>
        <w:spacing w:after="220"/>
      </w:pPr>
      <w:r w:rsidRPr="00262228">
        <w:t>Los datos de los contratos adjudicados por las entidades locales fueron los siguientes:</w:t>
      </w:r>
    </w:p>
    <w:tbl>
      <w:tblPr>
        <w:tblW w:w="5000" w:type="pct"/>
        <w:jc w:val="center"/>
        <w:tblCellMar>
          <w:left w:w="0" w:type="dxa"/>
          <w:right w:w="0" w:type="dxa"/>
        </w:tblCellMar>
        <w:tblLook w:val="04A0" w:firstRow="1" w:lastRow="0" w:firstColumn="1" w:lastColumn="0" w:noHBand="0" w:noVBand="1"/>
      </w:tblPr>
      <w:tblGrid>
        <w:gridCol w:w="1759"/>
        <w:gridCol w:w="422"/>
        <w:gridCol w:w="887"/>
        <w:gridCol w:w="504"/>
        <w:gridCol w:w="766"/>
        <w:gridCol w:w="132"/>
        <w:gridCol w:w="427"/>
        <w:gridCol w:w="808"/>
        <w:gridCol w:w="237"/>
        <w:gridCol w:w="404"/>
        <w:gridCol w:w="816"/>
        <w:gridCol w:w="744"/>
        <w:gridCol w:w="883"/>
      </w:tblGrid>
      <w:tr w:rsidR="006F2195" w:rsidRPr="00965C64" w14:paraId="49B45CA9" w14:textId="77777777" w:rsidTr="00A005AA">
        <w:trPr>
          <w:trHeight w:hRule="exact" w:val="255"/>
          <w:jc w:val="center"/>
        </w:trPr>
        <w:tc>
          <w:tcPr>
            <w:tcW w:w="1002"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7F525AC9" w14:textId="77777777" w:rsidR="0088085F" w:rsidRPr="00965C64" w:rsidRDefault="0088085F" w:rsidP="00965C64">
            <w:pPr>
              <w:pStyle w:val="cuadroCabe"/>
              <w:rPr>
                <w:color w:val="000000"/>
                <w:sz w:val="16"/>
                <w:szCs w:val="16"/>
                <w:lang w:val="es-ES" w:eastAsia="es-ES"/>
              </w:rPr>
            </w:pPr>
            <w:r w:rsidRPr="00965C64">
              <w:rPr>
                <w:sz w:val="16"/>
                <w:szCs w:val="16"/>
                <w:lang w:val="es-ES" w:eastAsia="es-ES"/>
              </w:rPr>
              <w:t>Tipo de contrato</w:t>
            </w:r>
          </w:p>
        </w:tc>
        <w:tc>
          <w:tcPr>
            <w:tcW w:w="747" w:type="pct"/>
            <w:gridSpan w:val="2"/>
            <w:tcBorders>
              <w:top w:val="single" w:sz="4" w:space="0" w:color="auto"/>
              <w:left w:val="nil"/>
              <w:bottom w:val="single" w:sz="2" w:space="0" w:color="auto"/>
              <w:right w:val="nil"/>
            </w:tcBorders>
            <w:shd w:val="clear" w:color="auto" w:fill="FABF8F" w:themeFill="accent6" w:themeFillTint="99"/>
            <w:noWrap/>
            <w:vAlign w:val="center"/>
            <w:hideMark/>
          </w:tcPr>
          <w:p w14:paraId="1571D8B8" w14:textId="77777777" w:rsidR="0088085F" w:rsidRPr="00965C64" w:rsidRDefault="00A07973" w:rsidP="00A07973">
            <w:pPr>
              <w:pStyle w:val="cuadroCabe"/>
              <w:jc w:val="center"/>
              <w:rPr>
                <w:color w:val="000000"/>
                <w:sz w:val="16"/>
                <w:szCs w:val="16"/>
                <w:lang w:val="es-ES" w:eastAsia="es-ES"/>
              </w:rPr>
            </w:pPr>
            <w:r>
              <w:rPr>
                <w:color w:val="000000"/>
                <w:sz w:val="16"/>
                <w:szCs w:val="16"/>
                <w:lang w:eastAsia="es-ES"/>
              </w:rPr>
              <w:t xml:space="preserve">     </w:t>
            </w:r>
            <w:r w:rsidR="0088085F" w:rsidRPr="00965C64">
              <w:rPr>
                <w:color w:val="000000"/>
                <w:sz w:val="16"/>
                <w:szCs w:val="16"/>
                <w:lang w:eastAsia="es-ES"/>
              </w:rPr>
              <w:t>Municipios</w:t>
            </w:r>
          </w:p>
        </w:tc>
        <w:tc>
          <w:tcPr>
            <w:tcW w:w="800" w:type="pct"/>
            <w:gridSpan w:val="3"/>
            <w:tcBorders>
              <w:top w:val="single" w:sz="4" w:space="0" w:color="auto"/>
              <w:left w:val="nil"/>
              <w:bottom w:val="single" w:sz="2" w:space="0" w:color="auto"/>
              <w:right w:val="nil"/>
            </w:tcBorders>
            <w:shd w:val="clear" w:color="auto" w:fill="FABF8F" w:themeFill="accent6" w:themeFillTint="99"/>
            <w:noWrap/>
            <w:vAlign w:val="center"/>
            <w:hideMark/>
          </w:tcPr>
          <w:p w14:paraId="4B93BC85" w14:textId="77777777" w:rsidR="0088085F" w:rsidRPr="00965C64" w:rsidRDefault="00A07973" w:rsidP="006F2195">
            <w:pPr>
              <w:pStyle w:val="cuadroCabe"/>
              <w:jc w:val="center"/>
              <w:rPr>
                <w:color w:val="000000"/>
                <w:sz w:val="16"/>
                <w:szCs w:val="16"/>
                <w:lang w:val="es-ES" w:eastAsia="es-ES"/>
              </w:rPr>
            </w:pPr>
            <w:r>
              <w:rPr>
                <w:color w:val="000000"/>
                <w:sz w:val="16"/>
                <w:szCs w:val="16"/>
                <w:lang w:eastAsia="es-ES"/>
              </w:rPr>
              <w:t xml:space="preserve">    </w:t>
            </w:r>
            <w:r w:rsidR="0088085F" w:rsidRPr="00965C64">
              <w:rPr>
                <w:color w:val="000000"/>
                <w:sz w:val="16"/>
                <w:szCs w:val="16"/>
                <w:lang w:eastAsia="es-ES"/>
              </w:rPr>
              <w:t>Concejos</w:t>
            </w:r>
          </w:p>
        </w:tc>
        <w:tc>
          <w:tcPr>
            <w:tcW w:w="835" w:type="pct"/>
            <w:gridSpan w:val="3"/>
            <w:tcBorders>
              <w:top w:val="single" w:sz="4" w:space="0" w:color="auto"/>
              <w:left w:val="nil"/>
              <w:bottom w:val="single" w:sz="2" w:space="0" w:color="auto"/>
              <w:right w:val="nil"/>
            </w:tcBorders>
            <w:shd w:val="clear" w:color="auto" w:fill="FABF8F" w:themeFill="accent6" w:themeFillTint="99"/>
            <w:noWrap/>
            <w:vAlign w:val="center"/>
            <w:hideMark/>
          </w:tcPr>
          <w:p w14:paraId="7DB42490" w14:textId="77777777" w:rsidR="0088085F" w:rsidRPr="00965C64" w:rsidRDefault="006F2195" w:rsidP="00A07973">
            <w:pPr>
              <w:pStyle w:val="cuadroCabe"/>
              <w:rPr>
                <w:color w:val="000000"/>
                <w:sz w:val="16"/>
                <w:szCs w:val="16"/>
                <w:lang w:val="es-ES" w:eastAsia="es-ES"/>
              </w:rPr>
            </w:pPr>
            <w:r>
              <w:rPr>
                <w:color w:val="000000"/>
                <w:sz w:val="16"/>
                <w:szCs w:val="16"/>
                <w:lang w:val="es-ES" w:eastAsia="es-ES"/>
              </w:rPr>
              <w:t xml:space="preserve">   </w:t>
            </w:r>
            <w:r w:rsidR="00A07973">
              <w:rPr>
                <w:color w:val="000000"/>
                <w:sz w:val="16"/>
                <w:szCs w:val="16"/>
                <w:lang w:val="es-ES" w:eastAsia="es-ES"/>
              </w:rPr>
              <w:t xml:space="preserve"> </w:t>
            </w:r>
            <w:r w:rsidR="0088085F" w:rsidRPr="00965C64">
              <w:rPr>
                <w:color w:val="000000"/>
                <w:sz w:val="16"/>
                <w:szCs w:val="16"/>
                <w:lang w:val="es-ES" w:eastAsia="es-ES"/>
              </w:rPr>
              <w:t>Agrupaciones</w:t>
            </w:r>
            <w:r w:rsidR="00A07973">
              <w:rPr>
                <w:color w:val="000000"/>
                <w:sz w:val="16"/>
                <w:szCs w:val="16"/>
                <w:lang w:val="es-ES" w:eastAsia="es-ES"/>
              </w:rPr>
              <w:t xml:space="preserve">   </w:t>
            </w:r>
          </w:p>
        </w:tc>
        <w:tc>
          <w:tcPr>
            <w:tcW w:w="1113" w:type="pct"/>
            <w:gridSpan w:val="3"/>
            <w:tcBorders>
              <w:top w:val="single" w:sz="4" w:space="0" w:color="auto"/>
              <w:left w:val="nil"/>
              <w:bottom w:val="single" w:sz="2" w:space="0" w:color="auto"/>
              <w:right w:val="nil"/>
            </w:tcBorders>
            <w:shd w:val="clear" w:color="auto" w:fill="FABF8F" w:themeFill="accent6" w:themeFillTint="99"/>
            <w:vAlign w:val="center"/>
            <w:hideMark/>
          </w:tcPr>
          <w:p w14:paraId="02EB97E3" w14:textId="77777777" w:rsidR="0088085F" w:rsidRPr="00965C64" w:rsidRDefault="00A07973" w:rsidP="006F2195">
            <w:pPr>
              <w:pStyle w:val="cuadroCabe"/>
              <w:ind w:right="-87"/>
              <w:rPr>
                <w:color w:val="000000"/>
                <w:sz w:val="16"/>
                <w:szCs w:val="16"/>
                <w:lang w:val="es-ES" w:eastAsia="es-ES"/>
              </w:rPr>
            </w:pPr>
            <w:r>
              <w:rPr>
                <w:color w:val="000000"/>
                <w:sz w:val="16"/>
                <w:szCs w:val="16"/>
                <w:lang w:eastAsia="es-ES"/>
              </w:rPr>
              <w:t xml:space="preserve">  </w:t>
            </w:r>
            <w:r w:rsidR="0088085F" w:rsidRPr="00965C64">
              <w:rPr>
                <w:color w:val="000000"/>
                <w:sz w:val="16"/>
                <w:szCs w:val="16"/>
                <w:lang w:eastAsia="es-ES"/>
              </w:rPr>
              <w:t>Mancomunidades</w:t>
            </w:r>
          </w:p>
        </w:tc>
        <w:tc>
          <w:tcPr>
            <w:tcW w:w="503" w:type="pct"/>
            <w:tcBorders>
              <w:top w:val="single" w:sz="4" w:space="0" w:color="auto"/>
              <w:left w:val="nil"/>
              <w:bottom w:val="single" w:sz="2" w:space="0" w:color="auto"/>
              <w:right w:val="nil"/>
            </w:tcBorders>
            <w:shd w:val="clear" w:color="auto" w:fill="FABF8F" w:themeFill="accent6" w:themeFillTint="99"/>
            <w:noWrap/>
            <w:vAlign w:val="center"/>
            <w:hideMark/>
          </w:tcPr>
          <w:p w14:paraId="232E7E6A" w14:textId="77777777" w:rsidR="0088085F" w:rsidRPr="00965C64" w:rsidRDefault="00A07973" w:rsidP="00A07973">
            <w:pPr>
              <w:pStyle w:val="cuadroCabe"/>
              <w:rPr>
                <w:color w:val="000000"/>
                <w:sz w:val="16"/>
                <w:szCs w:val="16"/>
                <w:lang w:val="es-ES" w:eastAsia="es-ES"/>
              </w:rPr>
            </w:pPr>
            <w:r>
              <w:rPr>
                <w:color w:val="000000"/>
                <w:sz w:val="16"/>
                <w:szCs w:val="16"/>
                <w:lang w:val="es-ES" w:eastAsia="es-ES"/>
              </w:rPr>
              <w:t xml:space="preserve">  </w:t>
            </w:r>
            <w:r w:rsidR="007A717F" w:rsidRPr="00965C64">
              <w:rPr>
                <w:color w:val="000000"/>
                <w:sz w:val="16"/>
                <w:szCs w:val="16"/>
                <w:lang w:val="es-ES" w:eastAsia="es-ES"/>
              </w:rPr>
              <w:t>Total</w:t>
            </w:r>
          </w:p>
        </w:tc>
      </w:tr>
      <w:tr w:rsidR="006F2195" w:rsidRPr="00965C64" w14:paraId="1A98EB84" w14:textId="77777777" w:rsidTr="00A005AA">
        <w:trPr>
          <w:trHeight w:hRule="exact" w:val="255"/>
          <w:jc w:val="center"/>
        </w:trPr>
        <w:tc>
          <w:tcPr>
            <w:tcW w:w="1002" w:type="pct"/>
            <w:vMerge/>
            <w:tcBorders>
              <w:top w:val="single" w:sz="2" w:space="0" w:color="auto"/>
              <w:left w:val="nil"/>
              <w:bottom w:val="single" w:sz="4" w:space="0" w:color="auto"/>
              <w:right w:val="nil"/>
            </w:tcBorders>
            <w:shd w:val="clear" w:color="auto" w:fill="FABF8F" w:themeFill="accent6" w:themeFillTint="99"/>
            <w:vAlign w:val="center"/>
            <w:hideMark/>
          </w:tcPr>
          <w:p w14:paraId="27539A0F" w14:textId="77777777" w:rsidR="0088085F" w:rsidRPr="00965C64" w:rsidRDefault="0088085F" w:rsidP="00965C64">
            <w:pPr>
              <w:pStyle w:val="cuadroCabe"/>
              <w:rPr>
                <w:color w:val="000000"/>
                <w:sz w:val="16"/>
                <w:szCs w:val="16"/>
                <w:lang w:val="es-ES" w:eastAsia="es-ES"/>
              </w:rPr>
            </w:pPr>
          </w:p>
        </w:tc>
        <w:tc>
          <w:tcPr>
            <w:tcW w:w="241" w:type="pct"/>
            <w:tcBorders>
              <w:top w:val="single" w:sz="2" w:space="0" w:color="auto"/>
              <w:left w:val="nil"/>
              <w:bottom w:val="single" w:sz="4" w:space="0" w:color="auto"/>
              <w:right w:val="nil"/>
            </w:tcBorders>
            <w:shd w:val="clear" w:color="auto" w:fill="FABF8F" w:themeFill="accent6" w:themeFillTint="99"/>
            <w:noWrap/>
            <w:vAlign w:val="center"/>
            <w:hideMark/>
          </w:tcPr>
          <w:p w14:paraId="4D4A030C" w14:textId="77777777" w:rsidR="0088085F" w:rsidRPr="00965C64" w:rsidRDefault="008D7C40" w:rsidP="006F2195">
            <w:pPr>
              <w:pStyle w:val="cuadroCabe"/>
              <w:ind w:right="-8"/>
              <w:jc w:val="right"/>
              <w:rPr>
                <w:color w:val="000000"/>
                <w:sz w:val="16"/>
                <w:szCs w:val="16"/>
                <w:lang w:val="es-ES" w:eastAsia="es-ES"/>
              </w:rPr>
            </w:pPr>
            <w:r>
              <w:rPr>
                <w:color w:val="000000"/>
                <w:sz w:val="16"/>
                <w:szCs w:val="16"/>
                <w:lang w:val="es-ES" w:eastAsia="es-ES"/>
              </w:rPr>
              <w:t xml:space="preserve">  </w:t>
            </w:r>
            <w:r w:rsidR="0088085F" w:rsidRPr="00965C64">
              <w:rPr>
                <w:color w:val="000000"/>
                <w:sz w:val="16"/>
                <w:szCs w:val="16"/>
                <w:lang w:val="es-ES" w:eastAsia="es-ES"/>
              </w:rPr>
              <w:t>Nº</w:t>
            </w:r>
          </w:p>
        </w:tc>
        <w:tc>
          <w:tcPr>
            <w:tcW w:w="506" w:type="pct"/>
            <w:tcBorders>
              <w:top w:val="single" w:sz="2" w:space="0" w:color="auto"/>
              <w:left w:val="nil"/>
              <w:bottom w:val="single" w:sz="4" w:space="0" w:color="auto"/>
              <w:right w:val="nil"/>
            </w:tcBorders>
            <w:shd w:val="clear" w:color="auto" w:fill="FABF8F" w:themeFill="accent6" w:themeFillTint="99"/>
            <w:vAlign w:val="center"/>
            <w:hideMark/>
          </w:tcPr>
          <w:p w14:paraId="2B63B5C8"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 xml:space="preserve">Importe </w:t>
            </w:r>
          </w:p>
        </w:tc>
        <w:tc>
          <w:tcPr>
            <w:tcW w:w="288" w:type="pct"/>
            <w:tcBorders>
              <w:top w:val="single" w:sz="2" w:space="0" w:color="auto"/>
              <w:left w:val="nil"/>
              <w:bottom w:val="single" w:sz="4" w:space="0" w:color="auto"/>
              <w:right w:val="nil"/>
            </w:tcBorders>
            <w:shd w:val="clear" w:color="auto" w:fill="FABF8F" w:themeFill="accent6" w:themeFillTint="99"/>
            <w:noWrap/>
            <w:vAlign w:val="center"/>
            <w:hideMark/>
          </w:tcPr>
          <w:p w14:paraId="2B418C01" w14:textId="77777777" w:rsidR="0088085F" w:rsidRPr="00965C64" w:rsidRDefault="0088085F" w:rsidP="006F2195">
            <w:pPr>
              <w:pStyle w:val="cuadroCabe"/>
              <w:ind w:right="-18"/>
              <w:jc w:val="right"/>
              <w:rPr>
                <w:color w:val="000000"/>
                <w:sz w:val="16"/>
                <w:szCs w:val="16"/>
                <w:lang w:val="es-ES" w:eastAsia="es-ES"/>
              </w:rPr>
            </w:pPr>
            <w:r w:rsidRPr="00965C64">
              <w:rPr>
                <w:color w:val="000000"/>
                <w:sz w:val="16"/>
                <w:szCs w:val="16"/>
                <w:lang w:val="es-ES" w:eastAsia="es-ES"/>
              </w:rPr>
              <w:t>Nº</w:t>
            </w:r>
          </w:p>
        </w:tc>
        <w:tc>
          <w:tcPr>
            <w:tcW w:w="436" w:type="pct"/>
            <w:tcBorders>
              <w:top w:val="single" w:sz="2" w:space="0" w:color="auto"/>
              <w:left w:val="nil"/>
              <w:bottom w:val="single" w:sz="4" w:space="0" w:color="auto"/>
              <w:right w:val="nil"/>
            </w:tcBorders>
            <w:shd w:val="clear" w:color="auto" w:fill="FABF8F" w:themeFill="accent6" w:themeFillTint="99"/>
            <w:vAlign w:val="center"/>
            <w:hideMark/>
          </w:tcPr>
          <w:p w14:paraId="0CA4CDBF"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 xml:space="preserve">Importe </w:t>
            </w:r>
          </w:p>
        </w:tc>
        <w:tc>
          <w:tcPr>
            <w:tcW w:w="320" w:type="pct"/>
            <w:gridSpan w:val="2"/>
            <w:tcBorders>
              <w:top w:val="single" w:sz="2" w:space="0" w:color="auto"/>
              <w:left w:val="nil"/>
              <w:bottom w:val="single" w:sz="4" w:space="0" w:color="auto"/>
              <w:right w:val="nil"/>
            </w:tcBorders>
            <w:shd w:val="clear" w:color="auto" w:fill="FABF8F" w:themeFill="accent6" w:themeFillTint="99"/>
            <w:noWrap/>
            <w:vAlign w:val="center"/>
            <w:hideMark/>
          </w:tcPr>
          <w:p w14:paraId="2975C186" w14:textId="77777777" w:rsidR="0088085F" w:rsidRPr="00965C64" w:rsidRDefault="0088085F" w:rsidP="006F2195">
            <w:pPr>
              <w:pStyle w:val="cuadroCabe"/>
              <w:ind w:right="-14"/>
              <w:jc w:val="right"/>
              <w:rPr>
                <w:color w:val="000000"/>
                <w:sz w:val="16"/>
                <w:szCs w:val="16"/>
                <w:lang w:val="es-ES" w:eastAsia="es-ES"/>
              </w:rPr>
            </w:pPr>
            <w:r w:rsidRPr="00965C64">
              <w:rPr>
                <w:color w:val="000000"/>
                <w:sz w:val="16"/>
                <w:szCs w:val="16"/>
                <w:lang w:val="es-ES" w:eastAsia="es-ES"/>
              </w:rPr>
              <w:t>Nº</w:t>
            </w:r>
          </w:p>
        </w:tc>
        <w:tc>
          <w:tcPr>
            <w:tcW w:w="460" w:type="pct"/>
            <w:tcBorders>
              <w:top w:val="single" w:sz="2" w:space="0" w:color="auto"/>
              <w:left w:val="nil"/>
              <w:bottom w:val="single" w:sz="4" w:space="0" w:color="auto"/>
              <w:right w:val="nil"/>
            </w:tcBorders>
            <w:shd w:val="clear" w:color="auto" w:fill="FABF8F" w:themeFill="accent6" w:themeFillTint="99"/>
            <w:vAlign w:val="center"/>
            <w:hideMark/>
          </w:tcPr>
          <w:p w14:paraId="258E00CE"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 xml:space="preserve">Importe </w:t>
            </w:r>
          </w:p>
        </w:tc>
        <w:tc>
          <w:tcPr>
            <w:tcW w:w="355" w:type="pct"/>
            <w:gridSpan w:val="2"/>
            <w:tcBorders>
              <w:top w:val="single" w:sz="2" w:space="0" w:color="auto"/>
              <w:left w:val="nil"/>
              <w:bottom w:val="single" w:sz="4" w:space="0" w:color="auto"/>
              <w:right w:val="nil"/>
            </w:tcBorders>
            <w:shd w:val="clear" w:color="auto" w:fill="FABF8F" w:themeFill="accent6" w:themeFillTint="99"/>
            <w:noWrap/>
            <w:vAlign w:val="center"/>
            <w:hideMark/>
          </w:tcPr>
          <w:p w14:paraId="53C1B17B" w14:textId="77777777" w:rsidR="0088085F" w:rsidRPr="00965C64" w:rsidRDefault="00A005AA" w:rsidP="00A005AA">
            <w:pPr>
              <w:pStyle w:val="cuadroCabe"/>
              <w:ind w:right="-37"/>
              <w:jc w:val="center"/>
              <w:rPr>
                <w:color w:val="000000"/>
                <w:sz w:val="16"/>
                <w:szCs w:val="16"/>
                <w:lang w:val="es-ES" w:eastAsia="es-ES"/>
              </w:rPr>
            </w:pPr>
            <w:r>
              <w:rPr>
                <w:color w:val="000000"/>
                <w:sz w:val="16"/>
                <w:szCs w:val="16"/>
                <w:lang w:val="es-ES" w:eastAsia="es-ES"/>
              </w:rPr>
              <w:t xml:space="preserve">         </w:t>
            </w:r>
            <w:r w:rsidR="0088085F" w:rsidRPr="00965C64">
              <w:rPr>
                <w:color w:val="000000"/>
                <w:sz w:val="16"/>
                <w:szCs w:val="16"/>
                <w:lang w:val="es-ES" w:eastAsia="es-ES"/>
              </w:rPr>
              <w:t>Nº</w:t>
            </w:r>
          </w:p>
        </w:tc>
        <w:tc>
          <w:tcPr>
            <w:tcW w:w="465" w:type="pct"/>
            <w:tcBorders>
              <w:top w:val="single" w:sz="2" w:space="0" w:color="auto"/>
              <w:left w:val="nil"/>
              <w:bottom w:val="single" w:sz="4" w:space="0" w:color="auto"/>
              <w:right w:val="nil"/>
            </w:tcBorders>
            <w:shd w:val="clear" w:color="auto" w:fill="FABF8F" w:themeFill="accent6" w:themeFillTint="99"/>
            <w:vAlign w:val="center"/>
            <w:hideMark/>
          </w:tcPr>
          <w:p w14:paraId="48C2A2EF"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 xml:space="preserve">Importe </w:t>
            </w:r>
          </w:p>
        </w:tc>
        <w:tc>
          <w:tcPr>
            <w:tcW w:w="424" w:type="pct"/>
            <w:tcBorders>
              <w:top w:val="single" w:sz="2" w:space="0" w:color="auto"/>
              <w:left w:val="nil"/>
              <w:bottom w:val="single" w:sz="4" w:space="0" w:color="auto"/>
              <w:right w:val="nil"/>
            </w:tcBorders>
            <w:shd w:val="clear" w:color="auto" w:fill="FABF8F" w:themeFill="accent6" w:themeFillTint="99"/>
            <w:vAlign w:val="center"/>
            <w:hideMark/>
          </w:tcPr>
          <w:p w14:paraId="6DF19033"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Nº</w:t>
            </w:r>
          </w:p>
        </w:tc>
        <w:tc>
          <w:tcPr>
            <w:tcW w:w="503" w:type="pct"/>
            <w:tcBorders>
              <w:top w:val="single" w:sz="2" w:space="0" w:color="auto"/>
              <w:left w:val="nil"/>
              <w:bottom w:val="single" w:sz="4" w:space="0" w:color="auto"/>
              <w:right w:val="nil"/>
            </w:tcBorders>
            <w:shd w:val="clear" w:color="auto" w:fill="FABF8F" w:themeFill="accent6" w:themeFillTint="99"/>
            <w:vAlign w:val="center"/>
            <w:hideMark/>
          </w:tcPr>
          <w:p w14:paraId="6735EB83"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 xml:space="preserve">Importe </w:t>
            </w:r>
          </w:p>
        </w:tc>
      </w:tr>
      <w:tr w:rsidR="006F2195" w:rsidRPr="008D7C40" w14:paraId="2C51F368" w14:textId="77777777" w:rsidTr="001B6540">
        <w:trPr>
          <w:trHeight w:val="227"/>
          <w:jc w:val="center"/>
        </w:trPr>
        <w:tc>
          <w:tcPr>
            <w:tcW w:w="1002" w:type="pct"/>
            <w:tcBorders>
              <w:top w:val="single" w:sz="4" w:space="0" w:color="auto"/>
              <w:left w:val="nil"/>
              <w:bottom w:val="single" w:sz="2" w:space="0" w:color="auto"/>
              <w:right w:val="nil"/>
            </w:tcBorders>
            <w:shd w:val="clear" w:color="auto" w:fill="auto"/>
            <w:noWrap/>
            <w:vAlign w:val="center"/>
            <w:hideMark/>
          </w:tcPr>
          <w:p w14:paraId="778FE225" w14:textId="77777777" w:rsidR="0088085F" w:rsidRPr="008D7C40" w:rsidRDefault="0088085F" w:rsidP="00965C64">
            <w:pPr>
              <w:pStyle w:val="cuatexto"/>
              <w:rPr>
                <w:color w:val="000000"/>
                <w:sz w:val="17"/>
                <w:szCs w:val="17"/>
                <w:lang w:val="es-ES" w:eastAsia="es-ES"/>
              </w:rPr>
            </w:pPr>
            <w:r w:rsidRPr="008D7C40">
              <w:rPr>
                <w:sz w:val="17"/>
                <w:szCs w:val="17"/>
                <w:lang w:val="es-ES" w:eastAsia="es-ES"/>
              </w:rPr>
              <w:t>Obras</w:t>
            </w:r>
          </w:p>
        </w:tc>
        <w:tc>
          <w:tcPr>
            <w:tcW w:w="241" w:type="pct"/>
            <w:tcBorders>
              <w:top w:val="single" w:sz="4" w:space="0" w:color="auto"/>
              <w:left w:val="nil"/>
              <w:bottom w:val="single" w:sz="2" w:space="0" w:color="auto"/>
              <w:right w:val="nil"/>
            </w:tcBorders>
            <w:shd w:val="clear" w:color="auto" w:fill="auto"/>
            <w:vAlign w:val="center"/>
            <w:hideMark/>
          </w:tcPr>
          <w:p w14:paraId="65E3924F"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214</w:t>
            </w:r>
          </w:p>
        </w:tc>
        <w:tc>
          <w:tcPr>
            <w:tcW w:w="506" w:type="pct"/>
            <w:tcBorders>
              <w:top w:val="single" w:sz="4" w:space="0" w:color="auto"/>
              <w:left w:val="nil"/>
              <w:bottom w:val="single" w:sz="2" w:space="0" w:color="auto"/>
              <w:right w:val="nil"/>
            </w:tcBorders>
            <w:shd w:val="clear" w:color="auto" w:fill="auto"/>
            <w:vAlign w:val="center"/>
            <w:hideMark/>
          </w:tcPr>
          <w:p w14:paraId="6670DE0D"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41.027.894</w:t>
            </w:r>
          </w:p>
        </w:tc>
        <w:tc>
          <w:tcPr>
            <w:tcW w:w="288" w:type="pct"/>
            <w:tcBorders>
              <w:top w:val="single" w:sz="4" w:space="0" w:color="auto"/>
              <w:left w:val="nil"/>
              <w:bottom w:val="single" w:sz="2" w:space="0" w:color="auto"/>
              <w:right w:val="nil"/>
            </w:tcBorders>
            <w:shd w:val="clear" w:color="auto" w:fill="auto"/>
            <w:vAlign w:val="center"/>
            <w:hideMark/>
          </w:tcPr>
          <w:p w14:paraId="13039482"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17</w:t>
            </w:r>
          </w:p>
        </w:tc>
        <w:tc>
          <w:tcPr>
            <w:tcW w:w="436" w:type="pct"/>
            <w:tcBorders>
              <w:top w:val="single" w:sz="4" w:space="0" w:color="auto"/>
              <w:left w:val="nil"/>
              <w:bottom w:val="single" w:sz="2" w:space="0" w:color="auto"/>
              <w:right w:val="nil"/>
            </w:tcBorders>
            <w:shd w:val="clear" w:color="auto" w:fill="auto"/>
            <w:vAlign w:val="center"/>
            <w:hideMark/>
          </w:tcPr>
          <w:p w14:paraId="0B64F567"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1.951.592</w:t>
            </w:r>
          </w:p>
        </w:tc>
        <w:tc>
          <w:tcPr>
            <w:tcW w:w="320" w:type="pct"/>
            <w:gridSpan w:val="2"/>
            <w:tcBorders>
              <w:top w:val="single" w:sz="4" w:space="0" w:color="auto"/>
              <w:left w:val="nil"/>
              <w:bottom w:val="single" w:sz="2" w:space="0" w:color="auto"/>
              <w:right w:val="nil"/>
            </w:tcBorders>
            <w:shd w:val="clear" w:color="auto" w:fill="auto"/>
            <w:noWrap/>
            <w:vAlign w:val="center"/>
            <w:hideMark/>
          </w:tcPr>
          <w:p w14:paraId="3B273068"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6</w:t>
            </w:r>
          </w:p>
        </w:tc>
        <w:tc>
          <w:tcPr>
            <w:tcW w:w="460" w:type="pct"/>
            <w:tcBorders>
              <w:top w:val="single" w:sz="4" w:space="0" w:color="auto"/>
              <w:left w:val="nil"/>
              <w:bottom w:val="single" w:sz="2" w:space="0" w:color="auto"/>
              <w:right w:val="nil"/>
            </w:tcBorders>
            <w:shd w:val="clear" w:color="auto" w:fill="auto"/>
            <w:vAlign w:val="center"/>
            <w:hideMark/>
          </w:tcPr>
          <w:p w14:paraId="6978E443"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1.134.554</w:t>
            </w:r>
          </w:p>
        </w:tc>
        <w:tc>
          <w:tcPr>
            <w:tcW w:w="355" w:type="pct"/>
            <w:gridSpan w:val="2"/>
            <w:tcBorders>
              <w:top w:val="single" w:sz="4" w:space="0" w:color="auto"/>
              <w:left w:val="nil"/>
              <w:bottom w:val="single" w:sz="2" w:space="0" w:color="auto"/>
              <w:right w:val="nil"/>
            </w:tcBorders>
            <w:shd w:val="clear" w:color="auto" w:fill="auto"/>
            <w:noWrap/>
            <w:vAlign w:val="center"/>
            <w:hideMark/>
          </w:tcPr>
          <w:p w14:paraId="5DD9E06A"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14</w:t>
            </w:r>
          </w:p>
        </w:tc>
        <w:tc>
          <w:tcPr>
            <w:tcW w:w="465" w:type="pct"/>
            <w:tcBorders>
              <w:top w:val="single" w:sz="4" w:space="0" w:color="auto"/>
              <w:left w:val="nil"/>
              <w:bottom w:val="single" w:sz="2" w:space="0" w:color="auto"/>
              <w:right w:val="nil"/>
            </w:tcBorders>
            <w:shd w:val="clear" w:color="auto" w:fill="auto"/>
            <w:noWrap/>
            <w:vAlign w:val="center"/>
            <w:hideMark/>
          </w:tcPr>
          <w:p w14:paraId="0A8328F0"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6.005.225</w:t>
            </w:r>
          </w:p>
        </w:tc>
        <w:tc>
          <w:tcPr>
            <w:tcW w:w="424" w:type="pct"/>
            <w:tcBorders>
              <w:top w:val="single" w:sz="4" w:space="0" w:color="auto"/>
              <w:left w:val="nil"/>
              <w:bottom w:val="single" w:sz="2" w:space="0" w:color="auto"/>
              <w:right w:val="nil"/>
            </w:tcBorders>
            <w:shd w:val="clear" w:color="auto" w:fill="auto"/>
            <w:noWrap/>
            <w:vAlign w:val="center"/>
            <w:hideMark/>
          </w:tcPr>
          <w:p w14:paraId="64C63E46"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251</w:t>
            </w:r>
          </w:p>
        </w:tc>
        <w:tc>
          <w:tcPr>
            <w:tcW w:w="503" w:type="pct"/>
            <w:tcBorders>
              <w:top w:val="single" w:sz="4" w:space="0" w:color="auto"/>
              <w:left w:val="nil"/>
              <w:bottom w:val="single" w:sz="2" w:space="0" w:color="auto"/>
              <w:right w:val="nil"/>
            </w:tcBorders>
            <w:shd w:val="clear" w:color="auto" w:fill="auto"/>
            <w:noWrap/>
            <w:vAlign w:val="center"/>
            <w:hideMark/>
          </w:tcPr>
          <w:p w14:paraId="24500163"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50.119.266</w:t>
            </w:r>
          </w:p>
        </w:tc>
      </w:tr>
      <w:tr w:rsidR="006F2195" w:rsidRPr="008D7C40" w14:paraId="615D9886" w14:textId="77777777" w:rsidTr="001B6540">
        <w:trPr>
          <w:trHeight w:val="227"/>
          <w:jc w:val="center"/>
        </w:trPr>
        <w:tc>
          <w:tcPr>
            <w:tcW w:w="1002" w:type="pct"/>
            <w:tcBorders>
              <w:top w:val="single" w:sz="2" w:space="0" w:color="auto"/>
              <w:left w:val="nil"/>
              <w:bottom w:val="single" w:sz="2" w:space="0" w:color="auto"/>
              <w:right w:val="nil"/>
            </w:tcBorders>
            <w:shd w:val="clear" w:color="auto" w:fill="auto"/>
            <w:noWrap/>
            <w:vAlign w:val="center"/>
            <w:hideMark/>
          </w:tcPr>
          <w:p w14:paraId="5EF39859" w14:textId="77777777" w:rsidR="0088085F" w:rsidRPr="008D7C40" w:rsidRDefault="0088085F" w:rsidP="00965C64">
            <w:pPr>
              <w:pStyle w:val="cuatexto"/>
              <w:rPr>
                <w:color w:val="000000"/>
                <w:sz w:val="17"/>
                <w:szCs w:val="17"/>
                <w:lang w:val="es-ES" w:eastAsia="es-ES"/>
              </w:rPr>
            </w:pPr>
            <w:r w:rsidRPr="008D7C40">
              <w:rPr>
                <w:sz w:val="17"/>
                <w:szCs w:val="17"/>
                <w:lang w:val="es-ES" w:eastAsia="es-ES"/>
              </w:rPr>
              <w:t>Servicios</w:t>
            </w:r>
          </w:p>
        </w:tc>
        <w:tc>
          <w:tcPr>
            <w:tcW w:w="241" w:type="pct"/>
            <w:tcBorders>
              <w:top w:val="single" w:sz="2" w:space="0" w:color="auto"/>
              <w:left w:val="nil"/>
              <w:bottom w:val="single" w:sz="2" w:space="0" w:color="auto"/>
              <w:right w:val="nil"/>
            </w:tcBorders>
            <w:shd w:val="clear" w:color="auto" w:fill="auto"/>
            <w:vAlign w:val="center"/>
            <w:hideMark/>
          </w:tcPr>
          <w:p w14:paraId="422877AE"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114</w:t>
            </w:r>
          </w:p>
        </w:tc>
        <w:tc>
          <w:tcPr>
            <w:tcW w:w="506" w:type="pct"/>
            <w:tcBorders>
              <w:top w:val="single" w:sz="2" w:space="0" w:color="auto"/>
              <w:left w:val="nil"/>
              <w:bottom w:val="single" w:sz="2" w:space="0" w:color="auto"/>
              <w:right w:val="nil"/>
            </w:tcBorders>
            <w:shd w:val="clear" w:color="auto" w:fill="auto"/>
            <w:vAlign w:val="center"/>
            <w:hideMark/>
          </w:tcPr>
          <w:p w14:paraId="258436E3"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17.517.058</w:t>
            </w:r>
          </w:p>
        </w:tc>
        <w:tc>
          <w:tcPr>
            <w:tcW w:w="288" w:type="pct"/>
            <w:tcBorders>
              <w:top w:val="single" w:sz="2" w:space="0" w:color="auto"/>
              <w:left w:val="nil"/>
              <w:bottom w:val="single" w:sz="2" w:space="0" w:color="auto"/>
              <w:right w:val="nil"/>
            </w:tcBorders>
            <w:shd w:val="clear" w:color="auto" w:fill="auto"/>
            <w:vAlign w:val="center"/>
            <w:hideMark/>
          </w:tcPr>
          <w:p w14:paraId="5C3A72C9"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 </w:t>
            </w:r>
          </w:p>
        </w:tc>
        <w:tc>
          <w:tcPr>
            <w:tcW w:w="436" w:type="pct"/>
            <w:tcBorders>
              <w:top w:val="single" w:sz="2" w:space="0" w:color="auto"/>
              <w:left w:val="nil"/>
              <w:bottom w:val="single" w:sz="2" w:space="0" w:color="auto"/>
              <w:right w:val="nil"/>
            </w:tcBorders>
            <w:shd w:val="clear" w:color="auto" w:fill="auto"/>
            <w:vAlign w:val="center"/>
            <w:hideMark/>
          </w:tcPr>
          <w:p w14:paraId="49527E6F"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 </w:t>
            </w:r>
          </w:p>
        </w:tc>
        <w:tc>
          <w:tcPr>
            <w:tcW w:w="320" w:type="pct"/>
            <w:gridSpan w:val="2"/>
            <w:tcBorders>
              <w:top w:val="single" w:sz="2" w:space="0" w:color="auto"/>
              <w:left w:val="nil"/>
              <w:bottom w:val="single" w:sz="2" w:space="0" w:color="auto"/>
              <w:right w:val="nil"/>
            </w:tcBorders>
            <w:shd w:val="clear" w:color="auto" w:fill="auto"/>
            <w:noWrap/>
            <w:vAlign w:val="center"/>
            <w:hideMark/>
          </w:tcPr>
          <w:p w14:paraId="7CC93400"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1</w:t>
            </w:r>
          </w:p>
        </w:tc>
        <w:tc>
          <w:tcPr>
            <w:tcW w:w="460" w:type="pct"/>
            <w:tcBorders>
              <w:top w:val="single" w:sz="2" w:space="0" w:color="auto"/>
              <w:left w:val="nil"/>
              <w:bottom w:val="single" w:sz="2" w:space="0" w:color="auto"/>
              <w:right w:val="nil"/>
            </w:tcBorders>
            <w:shd w:val="clear" w:color="auto" w:fill="auto"/>
            <w:vAlign w:val="center"/>
            <w:hideMark/>
          </w:tcPr>
          <w:p w14:paraId="4DDCCF5F"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56.600</w:t>
            </w:r>
          </w:p>
        </w:tc>
        <w:tc>
          <w:tcPr>
            <w:tcW w:w="355" w:type="pct"/>
            <w:gridSpan w:val="2"/>
            <w:tcBorders>
              <w:top w:val="single" w:sz="2" w:space="0" w:color="auto"/>
              <w:left w:val="nil"/>
              <w:bottom w:val="single" w:sz="2" w:space="0" w:color="auto"/>
              <w:right w:val="nil"/>
            </w:tcBorders>
            <w:shd w:val="clear" w:color="auto" w:fill="auto"/>
            <w:noWrap/>
            <w:vAlign w:val="center"/>
            <w:hideMark/>
          </w:tcPr>
          <w:p w14:paraId="2B0C5497"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11</w:t>
            </w:r>
          </w:p>
        </w:tc>
        <w:tc>
          <w:tcPr>
            <w:tcW w:w="465" w:type="pct"/>
            <w:tcBorders>
              <w:top w:val="single" w:sz="2" w:space="0" w:color="auto"/>
              <w:left w:val="nil"/>
              <w:bottom w:val="single" w:sz="2" w:space="0" w:color="auto"/>
              <w:right w:val="nil"/>
            </w:tcBorders>
            <w:shd w:val="clear" w:color="auto" w:fill="auto"/>
            <w:noWrap/>
            <w:vAlign w:val="center"/>
            <w:hideMark/>
          </w:tcPr>
          <w:p w14:paraId="1315FFF9"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311.633</w:t>
            </w:r>
          </w:p>
        </w:tc>
        <w:tc>
          <w:tcPr>
            <w:tcW w:w="424" w:type="pct"/>
            <w:tcBorders>
              <w:top w:val="single" w:sz="2" w:space="0" w:color="auto"/>
              <w:left w:val="nil"/>
              <w:bottom w:val="single" w:sz="2" w:space="0" w:color="auto"/>
              <w:right w:val="nil"/>
            </w:tcBorders>
            <w:shd w:val="clear" w:color="auto" w:fill="auto"/>
            <w:noWrap/>
            <w:vAlign w:val="center"/>
            <w:hideMark/>
          </w:tcPr>
          <w:p w14:paraId="4E09A223"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126</w:t>
            </w:r>
          </w:p>
        </w:tc>
        <w:tc>
          <w:tcPr>
            <w:tcW w:w="503" w:type="pct"/>
            <w:tcBorders>
              <w:top w:val="single" w:sz="2" w:space="0" w:color="auto"/>
              <w:left w:val="nil"/>
              <w:bottom w:val="single" w:sz="2" w:space="0" w:color="auto"/>
              <w:right w:val="nil"/>
            </w:tcBorders>
            <w:shd w:val="clear" w:color="auto" w:fill="auto"/>
            <w:noWrap/>
            <w:vAlign w:val="center"/>
            <w:hideMark/>
          </w:tcPr>
          <w:p w14:paraId="629DF8C5"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17.885.291</w:t>
            </w:r>
          </w:p>
        </w:tc>
      </w:tr>
      <w:tr w:rsidR="006F2195" w:rsidRPr="008D7C40" w14:paraId="750BD441" w14:textId="77777777" w:rsidTr="001B6540">
        <w:trPr>
          <w:trHeight w:val="227"/>
          <w:jc w:val="center"/>
        </w:trPr>
        <w:tc>
          <w:tcPr>
            <w:tcW w:w="1002" w:type="pct"/>
            <w:tcBorders>
              <w:top w:val="single" w:sz="2" w:space="0" w:color="auto"/>
              <w:left w:val="nil"/>
              <w:bottom w:val="single" w:sz="2" w:space="0" w:color="auto"/>
              <w:right w:val="nil"/>
            </w:tcBorders>
            <w:shd w:val="clear" w:color="auto" w:fill="auto"/>
            <w:noWrap/>
            <w:vAlign w:val="center"/>
            <w:hideMark/>
          </w:tcPr>
          <w:p w14:paraId="5EB1294A" w14:textId="77777777" w:rsidR="0088085F" w:rsidRPr="008D7C40" w:rsidRDefault="0088085F" w:rsidP="00965C64">
            <w:pPr>
              <w:pStyle w:val="cuatexto"/>
              <w:rPr>
                <w:color w:val="000000"/>
                <w:sz w:val="17"/>
                <w:szCs w:val="17"/>
                <w:lang w:val="es-ES" w:eastAsia="es-ES"/>
              </w:rPr>
            </w:pPr>
            <w:r w:rsidRPr="008D7C40">
              <w:rPr>
                <w:sz w:val="17"/>
                <w:szCs w:val="17"/>
                <w:lang w:val="es-ES" w:eastAsia="es-ES"/>
              </w:rPr>
              <w:t>Suministros</w:t>
            </w:r>
          </w:p>
        </w:tc>
        <w:tc>
          <w:tcPr>
            <w:tcW w:w="241" w:type="pct"/>
            <w:tcBorders>
              <w:top w:val="single" w:sz="2" w:space="0" w:color="auto"/>
              <w:left w:val="nil"/>
              <w:bottom w:val="single" w:sz="2" w:space="0" w:color="auto"/>
              <w:right w:val="nil"/>
            </w:tcBorders>
            <w:shd w:val="clear" w:color="auto" w:fill="auto"/>
            <w:vAlign w:val="center"/>
            <w:hideMark/>
          </w:tcPr>
          <w:p w14:paraId="4D89E934"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45</w:t>
            </w:r>
          </w:p>
        </w:tc>
        <w:tc>
          <w:tcPr>
            <w:tcW w:w="506" w:type="pct"/>
            <w:tcBorders>
              <w:top w:val="single" w:sz="2" w:space="0" w:color="auto"/>
              <w:left w:val="nil"/>
              <w:bottom w:val="single" w:sz="2" w:space="0" w:color="auto"/>
              <w:right w:val="nil"/>
            </w:tcBorders>
            <w:shd w:val="clear" w:color="auto" w:fill="auto"/>
            <w:vAlign w:val="center"/>
            <w:hideMark/>
          </w:tcPr>
          <w:p w14:paraId="3EC44A41"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4.947.145</w:t>
            </w:r>
          </w:p>
        </w:tc>
        <w:tc>
          <w:tcPr>
            <w:tcW w:w="288" w:type="pct"/>
            <w:tcBorders>
              <w:top w:val="single" w:sz="2" w:space="0" w:color="auto"/>
              <w:left w:val="nil"/>
              <w:bottom w:val="single" w:sz="2" w:space="0" w:color="auto"/>
              <w:right w:val="nil"/>
            </w:tcBorders>
            <w:shd w:val="clear" w:color="auto" w:fill="auto"/>
            <w:vAlign w:val="center"/>
            <w:hideMark/>
          </w:tcPr>
          <w:p w14:paraId="0B617BB4"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 </w:t>
            </w:r>
          </w:p>
        </w:tc>
        <w:tc>
          <w:tcPr>
            <w:tcW w:w="436" w:type="pct"/>
            <w:tcBorders>
              <w:top w:val="single" w:sz="2" w:space="0" w:color="auto"/>
              <w:left w:val="nil"/>
              <w:bottom w:val="single" w:sz="2" w:space="0" w:color="auto"/>
              <w:right w:val="nil"/>
            </w:tcBorders>
            <w:shd w:val="clear" w:color="auto" w:fill="auto"/>
            <w:vAlign w:val="center"/>
            <w:hideMark/>
          </w:tcPr>
          <w:p w14:paraId="35D364EF"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 </w:t>
            </w:r>
          </w:p>
        </w:tc>
        <w:tc>
          <w:tcPr>
            <w:tcW w:w="320" w:type="pct"/>
            <w:gridSpan w:val="2"/>
            <w:tcBorders>
              <w:top w:val="single" w:sz="2" w:space="0" w:color="auto"/>
              <w:left w:val="nil"/>
              <w:bottom w:val="single" w:sz="2" w:space="0" w:color="auto"/>
              <w:right w:val="nil"/>
            </w:tcBorders>
            <w:shd w:val="clear" w:color="auto" w:fill="auto"/>
            <w:noWrap/>
            <w:vAlign w:val="center"/>
            <w:hideMark/>
          </w:tcPr>
          <w:p w14:paraId="09D3F5AD"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2</w:t>
            </w:r>
          </w:p>
        </w:tc>
        <w:tc>
          <w:tcPr>
            <w:tcW w:w="460" w:type="pct"/>
            <w:tcBorders>
              <w:top w:val="single" w:sz="2" w:space="0" w:color="auto"/>
              <w:left w:val="nil"/>
              <w:bottom w:val="single" w:sz="2" w:space="0" w:color="auto"/>
              <w:right w:val="nil"/>
            </w:tcBorders>
            <w:shd w:val="clear" w:color="auto" w:fill="auto"/>
            <w:vAlign w:val="center"/>
            <w:hideMark/>
          </w:tcPr>
          <w:p w14:paraId="2384A0F3"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90.805</w:t>
            </w:r>
          </w:p>
        </w:tc>
        <w:tc>
          <w:tcPr>
            <w:tcW w:w="355" w:type="pct"/>
            <w:gridSpan w:val="2"/>
            <w:tcBorders>
              <w:top w:val="single" w:sz="2" w:space="0" w:color="auto"/>
              <w:left w:val="nil"/>
              <w:bottom w:val="single" w:sz="2" w:space="0" w:color="auto"/>
              <w:right w:val="nil"/>
            </w:tcBorders>
            <w:shd w:val="clear" w:color="auto" w:fill="auto"/>
            <w:noWrap/>
            <w:vAlign w:val="center"/>
            <w:hideMark/>
          </w:tcPr>
          <w:p w14:paraId="321F5F79"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4</w:t>
            </w:r>
          </w:p>
        </w:tc>
        <w:tc>
          <w:tcPr>
            <w:tcW w:w="465" w:type="pct"/>
            <w:tcBorders>
              <w:top w:val="single" w:sz="2" w:space="0" w:color="auto"/>
              <w:left w:val="nil"/>
              <w:bottom w:val="single" w:sz="2" w:space="0" w:color="auto"/>
              <w:right w:val="nil"/>
            </w:tcBorders>
            <w:shd w:val="clear" w:color="auto" w:fill="auto"/>
            <w:noWrap/>
            <w:vAlign w:val="center"/>
            <w:hideMark/>
          </w:tcPr>
          <w:p w14:paraId="789E6C96"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545.890</w:t>
            </w:r>
          </w:p>
        </w:tc>
        <w:tc>
          <w:tcPr>
            <w:tcW w:w="424" w:type="pct"/>
            <w:tcBorders>
              <w:top w:val="single" w:sz="2" w:space="0" w:color="auto"/>
              <w:left w:val="nil"/>
              <w:bottom w:val="single" w:sz="2" w:space="0" w:color="auto"/>
              <w:right w:val="nil"/>
            </w:tcBorders>
            <w:shd w:val="clear" w:color="auto" w:fill="auto"/>
            <w:noWrap/>
            <w:vAlign w:val="center"/>
            <w:hideMark/>
          </w:tcPr>
          <w:p w14:paraId="70B8A934"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51</w:t>
            </w:r>
          </w:p>
        </w:tc>
        <w:tc>
          <w:tcPr>
            <w:tcW w:w="503" w:type="pct"/>
            <w:tcBorders>
              <w:top w:val="single" w:sz="2" w:space="0" w:color="auto"/>
              <w:left w:val="nil"/>
              <w:bottom w:val="single" w:sz="2" w:space="0" w:color="auto"/>
              <w:right w:val="nil"/>
            </w:tcBorders>
            <w:shd w:val="clear" w:color="auto" w:fill="auto"/>
            <w:noWrap/>
            <w:vAlign w:val="center"/>
            <w:hideMark/>
          </w:tcPr>
          <w:p w14:paraId="774033B0"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5.585.840</w:t>
            </w:r>
          </w:p>
        </w:tc>
      </w:tr>
      <w:tr w:rsidR="006F2195" w:rsidRPr="008D7C40" w14:paraId="14367003" w14:textId="77777777" w:rsidTr="001B6540">
        <w:trPr>
          <w:trHeight w:val="227"/>
          <w:jc w:val="center"/>
        </w:trPr>
        <w:tc>
          <w:tcPr>
            <w:tcW w:w="1002" w:type="pct"/>
            <w:tcBorders>
              <w:top w:val="single" w:sz="2" w:space="0" w:color="auto"/>
              <w:left w:val="nil"/>
              <w:bottom w:val="single" w:sz="4" w:space="0" w:color="auto"/>
              <w:right w:val="nil"/>
            </w:tcBorders>
            <w:shd w:val="clear" w:color="auto" w:fill="auto"/>
            <w:noWrap/>
            <w:vAlign w:val="center"/>
            <w:hideMark/>
          </w:tcPr>
          <w:p w14:paraId="61DAC26A" w14:textId="77777777" w:rsidR="0088085F" w:rsidRPr="008D7C40" w:rsidRDefault="0088085F" w:rsidP="00965C64">
            <w:pPr>
              <w:pStyle w:val="cuatexto"/>
              <w:rPr>
                <w:color w:val="000000"/>
                <w:sz w:val="17"/>
                <w:szCs w:val="17"/>
                <w:lang w:val="es-ES" w:eastAsia="es-ES"/>
              </w:rPr>
            </w:pPr>
            <w:r w:rsidRPr="008D7C40">
              <w:rPr>
                <w:sz w:val="17"/>
                <w:szCs w:val="17"/>
                <w:lang w:val="es-ES" w:eastAsia="es-ES"/>
              </w:rPr>
              <w:t>Concesión de servicios</w:t>
            </w:r>
          </w:p>
        </w:tc>
        <w:tc>
          <w:tcPr>
            <w:tcW w:w="241" w:type="pct"/>
            <w:tcBorders>
              <w:top w:val="single" w:sz="2" w:space="0" w:color="auto"/>
              <w:left w:val="nil"/>
              <w:bottom w:val="single" w:sz="4" w:space="0" w:color="auto"/>
              <w:right w:val="nil"/>
            </w:tcBorders>
            <w:shd w:val="clear" w:color="auto" w:fill="auto"/>
            <w:vAlign w:val="center"/>
            <w:hideMark/>
          </w:tcPr>
          <w:p w14:paraId="20613FA4"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11</w:t>
            </w:r>
          </w:p>
        </w:tc>
        <w:tc>
          <w:tcPr>
            <w:tcW w:w="506" w:type="pct"/>
            <w:tcBorders>
              <w:top w:val="single" w:sz="2" w:space="0" w:color="auto"/>
              <w:left w:val="nil"/>
              <w:bottom w:val="single" w:sz="4" w:space="0" w:color="auto"/>
              <w:right w:val="nil"/>
            </w:tcBorders>
            <w:shd w:val="clear" w:color="auto" w:fill="auto"/>
            <w:vAlign w:val="center"/>
            <w:hideMark/>
          </w:tcPr>
          <w:p w14:paraId="4DD335F8"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207.528</w:t>
            </w:r>
          </w:p>
        </w:tc>
        <w:tc>
          <w:tcPr>
            <w:tcW w:w="288" w:type="pct"/>
            <w:tcBorders>
              <w:top w:val="single" w:sz="2" w:space="0" w:color="auto"/>
              <w:left w:val="nil"/>
              <w:bottom w:val="single" w:sz="4" w:space="0" w:color="auto"/>
              <w:right w:val="nil"/>
            </w:tcBorders>
            <w:shd w:val="clear" w:color="auto" w:fill="auto"/>
            <w:vAlign w:val="center"/>
            <w:hideMark/>
          </w:tcPr>
          <w:p w14:paraId="3ACA3832"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1</w:t>
            </w:r>
          </w:p>
        </w:tc>
        <w:tc>
          <w:tcPr>
            <w:tcW w:w="436" w:type="pct"/>
            <w:tcBorders>
              <w:top w:val="single" w:sz="2" w:space="0" w:color="auto"/>
              <w:left w:val="nil"/>
              <w:bottom w:val="single" w:sz="4" w:space="0" w:color="auto"/>
              <w:right w:val="nil"/>
            </w:tcBorders>
            <w:shd w:val="clear" w:color="auto" w:fill="auto"/>
            <w:vAlign w:val="center"/>
            <w:hideMark/>
          </w:tcPr>
          <w:p w14:paraId="7ADAAC7A"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33.333</w:t>
            </w:r>
          </w:p>
        </w:tc>
        <w:tc>
          <w:tcPr>
            <w:tcW w:w="320" w:type="pct"/>
            <w:gridSpan w:val="2"/>
            <w:tcBorders>
              <w:top w:val="single" w:sz="2" w:space="0" w:color="auto"/>
              <w:left w:val="nil"/>
              <w:bottom w:val="single" w:sz="4" w:space="0" w:color="auto"/>
              <w:right w:val="nil"/>
            </w:tcBorders>
            <w:shd w:val="clear" w:color="auto" w:fill="auto"/>
            <w:noWrap/>
            <w:vAlign w:val="center"/>
            <w:hideMark/>
          </w:tcPr>
          <w:p w14:paraId="3217CE1D"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 </w:t>
            </w:r>
          </w:p>
        </w:tc>
        <w:tc>
          <w:tcPr>
            <w:tcW w:w="460" w:type="pct"/>
            <w:tcBorders>
              <w:top w:val="single" w:sz="2" w:space="0" w:color="auto"/>
              <w:left w:val="nil"/>
              <w:bottom w:val="single" w:sz="4" w:space="0" w:color="auto"/>
              <w:right w:val="nil"/>
            </w:tcBorders>
            <w:shd w:val="clear" w:color="auto" w:fill="auto"/>
            <w:vAlign w:val="center"/>
            <w:hideMark/>
          </w:tcPr>
          <w:p w14:paraId="564B09DF"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 </w:t>
            </w:r>
          </w:p>
        </w:tc>
        <w:tc>
          <w:tcPr>
            <w:tcW w:w="355" w:type="pct"/>
            <w:gridSpan w:val="2"/>
            <w:tcBorders>
              <w:top w:val="single" w:sz="2" w:space="0" w:color="auto"/>
              <w:left w:val="nil"/>
              <w:bottom w:val="single" w:sz="4" w:space="0" w:color="auto"/>
              <w:right w:val="nil"/>
            </w:tcBorders>
            <w:shd w:val="clear" w:color="auto" w:fill="auto"/>
            <w:noWrap/>
            <w:vAlign w:val="center"/>
            <w:hideMark/>
          </w:tcPr>
          <w:p w14:paraId="17C699F7"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1</w:t>
            </w:r>
          </w:p>
        </w:tc>
        <w:tc>
          <w:tcPr>
            <w:tcW w:w="465" w:type="pct"/>
            <w:tcBorders>
              <w:top w:val="single" w:sz="2" w:space="0" w:color="auto"/>
              <w:left w:val="nil"/>
              <w:bottom w:val="single" w:sz="4" w:space="0" w:color="auto"/>
              <w:right w:val="nil"/>
            </w:tcBorders>
            <w:shd w:val="clear" w:color="000000" w:fill="FFFFFF" w:themeFill="background1"/>
            <w:noWrap/>
            <w:vAlign w:val="center"/>
            <w:hideMark/>
          </w:tcPr>
          <w:p w14:paraId="390D4610" w14:textId="77777777" w:rsidR="0088085F" w:rsidRPr="008D7C40" w:rsidRDefault="0088085F" w:rsidP="006F2195">
            <w:pPr>
              <w:pStyle w:val="cuatexto"/>
              <w:jc w:val="right"/>
              <w:rPr>
                <w:color w:val="000000"/>
                <w:sz w:val="17"/>
                <w:szCs w:val="17"/>
                <w:lang w:val="es-ES" w:eastAsia="es-ES"/>
              </w:rPr>
            </w:pPr>
            <w:r w:rsidRPr="008D7C40">
              <w:rPr>
                <w:color w:val="000000"/>
                <w:sz w:val="17"/>
                <w:szCs w:val="17"/>
                <w:lang w:val="es-ES" w:eastAsia="es-ES"/>
              </w:rPr>
              <w:t>0(*)</w:t>
            </w:r>
          </w:p>
        </w:tc>
        <w:tc>
          <w:tcPr>
            <w:tcW w:w="424" w:type="pct"/>
            <w:tcBorders>
              <w:top w:val="single" w:sz="2" w:space="0" w:color="auto"/>
              <w:left w:val="nil"/>
              <w:bottom w:val="single" w:sz="4" w:space="0" w:color="auto"/>
              <w:right w:val="nil"/>
            </w:tcBorders>
            <w:shd w:val="clear" w:color="auto" w:fill="auto"/>
            <w:noWrap/>
            <w:vAlign w:val="center"/>
            <w:hideMark/>
          </w:tcPr>
          <w:p w14:paraId="4D45A988"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13</w:t>
            </w:r>
          </w:p>
        </w:tc>
        <w:tc>
          <w:tcPr>
            <w:tcW w:w="503" w:type="pct"/>
            <w:tcBorders>
              <w:top w:val="single" w:sz="2" w:space="0" w:color="auto"/>
              <w:left w:val="nil"/>
              <w:bottom w:val="single" w:sz="4" w:space="0" w:color="auto"/>
              <w:right w:val="nil"/>
            </w:tcBorders>
            <w:shd w:val="clear" w:color="auto" w:fill="auto"/>
            <w:noWrap/>
            <w:vAlign w:val="center"/>
            <w:hideMark/>
          </w:tcPr>
          <w:p w14:paraId="04859875" w14:textId="77777777" w:rsidR="0088085F" w:rsidRPr="008D7C40" w:rsidRDefault="0088085F" w:rsidP="006F2195">
            <w:pPr>
              <w:pStyle w:val="cuatexto"/>
              <w:jc w:val="right"/>
              <w:rPr>
                <w:color w:val="000000"/>
                <w:sz w:val="17"/>
                <w:szCs w:val="17"/>
                <w:lang w:val="es-ES" w:eastAsia="es-ES"/>
              </w:rPr>
            </w:pPr>
            <w:r w:rsidRPr="008D7C40">
              <w:rPr>
                <w:sz w:val="17"/>
                <w:szCs w:val="17"/>
                <w:lang w:val="es-ES" w:eastAsia="es-ES"/>
              </w:rPr>
              <w:t>240.862</w:t>
            </w:r>
          </w:p>
        </w:tc>
      </w:tr>
      <w:tr w:rsidR="006F2195" w:rsidRPr="00965C64" w14:paraId="736321A3" w14:textId="77777777" w:rsidTr="001B6540">
        <w:trPr>
          <w:trHeight w:val="300"/>
          <w:jc w:val="center"/>
        </w:trPr>
        <w:tc>
          <w:tcPr>
            <w:tcW w:w="1002" w:type="pct"/>
            <w:tcBorders>
              <w:top w:val="nil"/>
              <w:left w:val="nil"/>
              <w:bottom w:val="single" w:sz="4" w:space="0" w:color="auto"/>
              <w:right w:val="nil"/>
            </w:tcBorders>
            <w:shd w:val="clear" w:color="auto" w:fill="FABF8F" w:themeFill="accent6" w:themeFillTint="99"/>
            <w:noWrap/>
            <w:vAlign w:val="center"/>
            <w:hideMark/>
          </w:tcPr>
          <w:p w14:paraId="0773DCB7" w14:textId="77777777" w:rsidR="0088085F" w:rsidRPr="00965C64" w:rsidRDefault="0088085F" w:rsidP="00965C64">
            <w:pPr>
              <w:pStyle w:val="cuadroCabe"/>
              <w:rPr>
                <w:color w:val="000000"/>
                <w:sz w:val="16"/>
                <w:szCs w:val="16"/>
                <w:lang w:val="es-ES" w:eastAsia="es-ES"/>
              </w:rPr>
            </w:pPr>
            <w:r w:rsidRPr="00965C64">
              <w:rPr>
                <w:sz w:val="16"/>
                <w:szCs w:val="16"/>
                <w:lang w:val="es-ES" w:eastAsia="es-ES"/>
              </w:rPr>
              <w:t>Total general</w:t>
            </w:r>
          </w:p>
        </w:tc>
        <w:tc>
          <w:tcPr>
            <w:tcW w:w="241" w:type="pct"/>
            <w:tcBorders>
              <w:top w:val="nil"/>
              <w:left w:val="nil"/>
              <w:bottom w:val="single" w:sz="4" w:space="0" w:color="auto"/>
              <w:right w:val="nil"/>
            </w:tcBorders>
            <w:shd w:val="clear" w:color="auto" w:fill="FABF8F" w:themeFill="accent6" w:themeFillTint="99"/>
            <w:vAlign w:val="center"/>
            <w:hideMark/>
          </w:tcPr>
          <w:p w14:paraId="02E6FFBF"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384</w:t>
            </w:r>
          </w:p>
        </w:tc>
        <w:tc>
          <w:tcPr>
            <w:tcW w:w="506" w:type="pct"/>
            <w:tcBorders>
              <w:top w:val="nil"/>
              <w:left w:val="nil"/>
              <w:bottom w:val="single" w:sz="4" w:space="0" w:color="auto"/>
              <w:right w:val="nil"/>
            </w:tcBorders>
            <w:shd w:val="clear" w:color="auto" w:fill="FABF8F" w:themeFill="accent6" w:themeFillTint="99"/>
            <w:vAlign w:val="center"/>
            <w:hideMark/>
          </w:tcPr>
          <w:p w14:paraId="72EDFCC1"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63.699.626</w:t>
            </w:r>
          </w:p>
        </w:tc>
        <w:tc>
          <w:tcPr>
            <w:tcW w:w="288" w:type="pct"/>
            <w:tcBorders>
              <w:top w:val="nil"/>
              <w:left w:val="nil"/>
              <w:bottom w:val="single" w:sz="4" w:space="0" w:color="auto"/>
              <w:right w:val="nil"/>
            </w:tcBorders>
            <w:shd w:val="clear" w:color="auto" w:fill="FABF8F" w:themeFill="accent6" w:themeFillTint="99"/>
            <w:vAlign w:val="center"/>
            <w:hideMark/>
          </w:tcPr>
          <w:p w14:paraId="2F066510"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18</w:t>
            </w:r>
          </w:p>
        </w:tc>
        <w:tc>
          <w:tcPr>
            <w:tcW w:w="436" w:type="pct"/>
            <w:tcBorders>
              <w:top w:val="nil"/>
              <w:left w:val="nil"/>
              <w:bottom w:val="single" w:sz="4" w:space="0" w:color="auto"/>
              <w:right w:val="nil"/>
            </w:tcBorders>
            <w:shd w:val="clear" w:color="auto" w:fill="FABF8F" w:themeFill="accent6" w:themeFillTint="99"/>
            <w:vAlign w:val="center"/>
            <w:hideMark/>
          </w:tcPr>
          <w:p w14:paraId="235FE56A"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1.984.925</w:t>
            </w:r>
          </w:p>
        </w:tc>
        <w:tc>
          <w:tcPr>
            <w:tcW w:w="320" w:type="pct"/>
            <w:gridSpan w:val="2"/>
            <w:tcBorders>
              <w:top w:val="nil"/>
              <w:left w:val="nil"/>
              <w:bottom w:val="single" w:sz="4" w:space="0" w:color="auto"/>
              <w:right w:val="nil"/>
            </w:tcBorders>
            <w:shd w:val="clear" w:color="auto" w:fill="FABF8F" w:themeFill="accent6" w:themeFillTint="99"/>
            <w:noWrap/>
            <w:vAlign w:val="center"/>
            <w:hideMark/>
          </w:tcPr>
          <w:p w14:paraId="30F0DBBD" w14:textId="77777777" w:rsidR="0088085F" w:rsidRPr="00965C64" w:rsidRDefault="0088085F" w:rsidP="006F2195">
            <w:pPr>
              <w:pStyle w:val="cuadroCabe"/>
              <w:jc w:val="right"/>
              <w:rPr>
                <w:color w:val="000000"/>
                <w:sz w:val="16"/>
                <w:szCs w:val="16"/>
                <w:lang w:val="es-ES" w:eastAsia="es-ES"/>
              </w:rPr>
            </w:pPr>
            <w:r w:rsidRPr="00965C64">
              <w:rPr>
                <w:sz w:val="16"/>
                <w:szCs w:val="16"/>
                <w:lang w:val="es-ES" w:eastAsia="es-ES"/>
              </w:rPr>
              <w:t>9</w:t>
            </w:r>
          </w:p>
        </w:tc>
        <w:tc>
          <w:tcPr>
            <w:tcW w:w="460" w:type="pct"/>
            <w:tcBorders>
              <w:top w:val="nil"/>
              <w:left w:val="nil"/>
              <w:bottom w:val="single" w:sz="4" w:space="0" w:color="auto"/>
              <w:right w:val="nil"/>
            </w:tcBorders>
            <w:shd w:val="clear" w:color="auto" w:fill="FABF8F" w:themeFill="accent6" w:themeFillTint="99"/>
            <w:noWrap/>
            <w:vAlign w:val="center"/>
            <w:hideMark/>
          </w:tcPr>
          <w:p w14:paraId="232ABF66" w14:textId="77777777" w:rsidR="0088085F" w:rsidRPr="00965C64" w:rsidRDefault="0088085F" w:rsidP="006F2195">
            <w:pPr>
              <w:pStyle w:val="cuadroCabe"/>
              <w:jc w:val="right"/>
              <w:rPr>
                <w:color w:val="000000"/>
                <w:sz w:val="16"/>
                <w:szCs w:val="16"/>
                <w:lang w:val="es-ES" w:eastAsia="es-ES"/>
              </w:rPr>
            </w:pPr>
            <w:r w:rsidRPr="00965C64">
              <w:rPr>
                <w:sz w:val="16"/>
                <w:szCs w:val="16"/>
                <w:lang w:val="es-ES" w:eastAsia="es-ES"/>
              </w:rPr>
              <w:t>1.283.959</w:t>
            </w:r>
          </w:p>
        </w:tc>
        <w:tc>
          <w:tcPr>
            <w:tcW w:w="355" w:type="pct"/>
            <w:gridSpan w:val="2"/>
            <w:tcBorders>
              <w:top w:val="nil"/>
              <w:left w:val="nil"/>
              <w:bottom w:val="single" w:sz="4" w:space="0" w:color="auto"/>
              <w:right w:val="nil"/>
            </w:tcBorders>
            <w:shd w:val="clear" w:color="auto" w:fill="FABF8F" w:themeFill="accent6" w:themeFillTint="99"/>
            <w:noWrap/>
            <w:vAlign w:val="center"/>
            <w:hideMark/>
          </w:tcPr>
          <w:p w14:paraId="39FD6873"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30</w:t>
            </w:r>
          </w:p>
        </w:tc>
        <w:tc>
          <w:tcPr>
            <w:tcW w:w="465" w:type="pct"/>
            <w:tcBorders>
              <w:top w:val="nil"/>
              <w:left w:val="nil"/>
              <w:bottom w:val="single" w:sz="4" w:space="0" w:color="auto"/>
              <w:right w:val="nil"/>
            </w:tcBorders>
            <w:shd w:val="clear" w:color="auto" w:fill="FABF8F" w:themeFill="accent6" w:themeFillTint="99"/>
            <w:noWrap/>
            <w:vAlign w:val="center"/>
            <w:hideMark/>
          </w:tcPr>
          <w:p w14:paraId="499CC6B0" w14:textId="77777777" w:rsidR="0088085F" w:rsidRPr="00965C64" w:rsidRDefault="0088085F" w:rsidP="006F2195">
            <w:pPr>
              <w:pStyle w:val="cuadroCabe"/>
              <w:jc w:val="right"/>
              <w:rPr>
                <w:color w:val="000000"/>
                <w:sz w:val="16"/>
                <w:szCs w:val="16"/>
                <w:lang w:val="es-ES" w:eastAsia="es-ES"/>
              </w:rPr>
            </w:pPr>
            <w:r w:rsidRPr="00965C64">
              <w:rPr>
                <w:color w:val="000000"/>
                <w:sz w:val="16"/>
                <w:szCs w:val="16"/>
                <w:lang w:val="es-ES" w:eastAsia="es-ES"/>
              </w:rPr>
              <w:t>6.862.748</w:t>
            </w:r>
          </w:p>
        </w:tc>
        <w:tc>
          <w:tcPr>
            <w:tcW w:w="424" w:type="pct"/>
            <w:tcBorders>
              <w:top w:val="nil"/>
              <w:left w:val="nil"/>
              <w:bottom w:val="single" w:sz="4" w:space="0" w:color="auto"/>
              <w:right w:val="nil"/>
            </w:tcBorders>
            <w:shd w:val="clear" w:color="auto" w:fill="FABF8F" w:themeFill="accent6" w:themeFillTint="99"/>
            <w:noWrap/>
            <w:vAlign w:val="center"/>
            <w:hideMark/>
          </w:tcPr>
          <w:p w14:paraId="1E7F2FA5" w14:textId="77777777" w:rsidR="0088085F" w:rsidRPr="00965C64" w:rsidRDefault="0088085F" w:rsidP="006F2195">
            <w:pPr>
              <w:pStyle w:val="cuadroCabe"/>
              <w:jc w:val="right"/>
              <w:rPr>
                <w:color w:val="000000"/>
                <w:sz w:val="16"/>
                <w:szCs w:val="16"/>
                <w:lang w:val="es-ES" w:eastAsia="es-ES"/>
              </w:rPr>
            </w:pPr>
            <w:r w:rsidRPr="00965C64">
              <w:rPr>
                <w:sz w:val="16"/>
                <w:szCs w:val="16"/>
                <w:lang w:val="es-ES" w:eastAsia="es-ES"/>
              </w:rPr>
              <w:t>441</w:t>
            </w:r>
          </w:p>
        </w:tc>
        <w:tc>
          <w:tcPr>
            <w:tcW w:w="503" w:type="pct"/>
            <w:tcBorders>
              <w:top w:val="nil"/>
              <w:left w:val="nil"/>
              <w:bottom w:val="single" w:sz="4" w:space="0" w:color="auto"/>
              <w:right w:val="nil"/>
            </w:tcBorders>
            <w:shd w:val="clear" w:color="auto" w:fill="FABF8F" w:themeFill="accent6" w:themeFillTint="99"/>
            <w:noWrap/>
            <w:vAlign w:val="center"/>
            <w:hideMark/>
          </w:tcPr>
          <w:p w14:paraId="1053A164" w14:textId="77777777" w:rsidR="0088085F" w:rsidRPr="00965C64" w:rsidRDefault="0088085F" w:rsidP="006F2195">
            <w:pPr>
              <w:pStyle w:val="cuadroCabe"/>
              <w:jc w:val="right"/>
              <w:rPr>
                <w:color w:val="000000"/>
                <w:sz w:val="16"/>
                <w:szCs w:val="16"/>
                <w:lang w:val="es-ES" w:eastAsia="es-ES"/>
              </w:rPr>
            </w:pPr>
            <w:r w:rsidRPr="00965C64">
              <w:rPr>
                <w:sz w:val="16"/>
                <w:szCs w:val="16"/>
                <w:lang w:val="es-ES" w:eastAsia="es-ES"/>
              </w:rPr>
              <w:t>73.831.258</w:t>
            </w:r>
          </w:p>
        </w:tc>
      </w:tr>
    </w:tbl>
    <w:p w14:paraId="3D0E5FC7" w14:textId="77777777" w:rsidR="0088085F" w:rsidRPr="0095705D" w:rsidRDefault="0088085F" w:rsidP="00965C64">
      <w:pPr>
        <w:pStyle w:val="texto"/>
        <w:spacing w:before="80" w:after="40"/>
        <w:ind w:firstLine="0"/>
        <w:rPr>
          <w:rFonts w:ascii="Arial" w:hAnsi="Arial" w:cs="Arial"/>
          <w:color w:val="000000" w:themeColor="text1"/>
          <w:w w:val="103"/>
          <w:sz w:val="16"/>
          <w:szCs w:val="16"/>
        </w:rPr>
      </w:pPr>
      <w:r w:rsidRPr="0095705D">
        <w:rPr>
          <w:rFonts w:ascii="Arial" w:hAnsi="Arial" w:cs="Arial"/>
          <w:color w:val="000000" w:themeColor="text1"/>
          <w:w w:val="103"/>
          <w:sz w:val="16"/>
          <w:szCs w:val="16"/>
        </w:rPr>
        <w:t xml:space="preserve">(*) El importe de adjudicación es cero debido a que el adjudicatario percibe directamente del usuario el importe de la prestación del servicio. </w:t>
      </w:r>
    </w:p>
    <w:p w14:paraId="6B7D2EFB" w14:textId="77777777" w:rsidR="0088085F" w:rsidRPr="00262228" w:rsidRDefault="0088085F" w:rsidP="00227824">
      <w:pPr>
        <w:pStyle w:val="texto"/>
        <w:spacing w:before="180"/>
      </w:pPr>
      <w:r w:rsidRPr="00262228">
        <w:t>En 2019, las entidades locales adjudicaron 441 contratos por un importe total de 73,83 millones, un nueve por ciento menos que el importe adjudicado en 2018. El 57 por ciento de los contratos son de obras y representan el 68 por ciento del importe total adjudicado. Los contratos de servicios suponen el 29 por ciento del total de contratos, si bien su importe representa el 24 por ciento del total.</w:t>
      </w:r>
    </w:p>
    <w:p w14:paraId="3C803D48" w14:textId="77777777" w:rsidR="0088085F" w:rsidRPr="00262228" w:rsidRDefault="0088085F" w:rsidP="0088085F">
      <w:pPr>
        <w:pStyle w:val="texto"/>
      </w:pPr>
      <w:r w:rsidRPr="00262228">
        <w:t>Del total de contratos, un 87 por ciento fueron adjudicados por los municipios y un siete por ciento por mancomunidades, si bien en importe representan un 86 y el nueve por ciento respectivamente.</w:t>
      </w:r>
    </w:p>
    <w:p w14:paraId="1EBBD4CA" w14:textId="77777777" w:rsidR="0088085F" w:rsidRPr="00262228" w:rsidRDefault="0088085F" w:rsidP="0095705D">
      <w:pPr>
        <w:pStyle w:val="texto"/>
        <w:spacing w:after="240"/>
      </w:pPr>
      <w:r w:rsidRPr="00262228">
        <w:t>En 2019, los entes dependientes de las entidades locales adjudicaron los siguientes contratos:</w:t>
      </w:r>
    </w:p>
    <w:tbl>
      <w:tblPr>
        <w:tblW w:w="4993" w:type="pct"/>
        <w:jc w:val="center"/>
        <w:tblLayout w:type="fixed"/>
        <w:tblCellMar>
          <w:left w:w="70" w:type="dxa"/>
          <w:right w:w="70" w:type="dxa"/>
        </w:tblCellMar>
        <w:tblLook w:val="04A0" w:firstRow="1" w:lastRow="0" w:firstColumn="1" w:lastColumn="0" w:noHBand="0" w:noVBand="1"/>
      </w:tblPr>
      <w:tblGrid>
        <w:gridCol w:w="1876"/>
        <w:gridCol w:w="840"/>
        <w:gridCol w:w="1060"/>
        <w:gridCol w:w="190"/>
        <w:gridCol w:w="627"/>
        <w:gridCol w:w="1050"/>
        <w:gridCol w:w="149"/>
        <w:gridCol w:w="448"/>
        <w:gridCol w:w="874"/>
        <w:gridCol w:w="35"/>
        <w:gridCol w:w="620"/>
        <w:gridCol w:w="1008"/>
      </w:tblGrid>
      <w:tr w:rsidR="00A54021" w:rsidRPr="009361CC" w14:paraId="77A24D5C" w14:textId="77777777" w:rsidTr="00451107">
        <w:trPr>
          <w:trHeight w:val="227"/>
          <w:jc w:val="center"/>
        </w:trPr>
        <w:tc>
          <w:tcPr>
            <w:tcW w:w="1069" w:type="pct"/>
            <w:vMerge w:val="restart"/>
            <w:tcBorders>
              <w:top w:val="single" w:sz="4" w:space="0" w:color="auto"/>
              <w:left w:val="nil"/>
              <w:right w:val="nil"/>
            </w:tcBorders>
            <w:shd w:val="clear" w:color="auto" w:fill="FABF8F" w:themeFill="accent6" w:themeFillTint="99"/>
            <w:noWrap/>
            <w:vAlign w:val="center"/>
          </w:tcPr>
          <w:p w14:paraId="26DF16DC" w14:textId="77777777" w:rsidR="00A54021" w:rsidRPr="009361CC" w:rsidRDefault="00A54021" w:rsidP="009361CC">
            <w:pPr>
              <w:pStyle w:val="cuadroCabe"/>
              <w:rPr>
                <w:sz w:val="16"/>
                <w:szCs w:val="16"/>
                <w:lang w:val="es-ES" w:eastAsia="es-ES"/>
              </w:rPr>
            </w:pPr>
            <w:r w:rsidRPr="009361CC">
              <w:rPr>
                <w:sz w:val="16"/>
                <w:szCs w:val="16"/>
                <w:lang w:val="es-ES" w:eastAsia="es-ES"/>
              </w:rPr>
              <w:t>Tipo de contrato</w:t>
            </w:r>
          </w:p>
        </w:tc>
        <w:tc>
          <w:tcPr>
            <w:tcW w:w="1191" w:type="pct"/>
            <w:gridSpan w:val="3"/>
            <w:tcBorders>
              <w:top w:val="single" w:sz="4" w:space="0" w:color="auto"/>
              <w:left w:val="nil"/>
              <w:bottom w:val="single" w:sz="2" w:space="0" w:color="auto"/>
              <w:right w:val="nil"/>
            </w:tcBorders>
            <w:shd w:val="clear" w:color="auto" w:fill="FABF8F" w:themeFill="accent6" w:themeFillTint="99"/>
            <w:vAlign w:val="center"/>
          </w:tcPr>
          <w:p w14:paraId="577CC8B7" w14:textId="77777777" w:rsidR="00A54021" w:rsidRPr="009361CC" w:rsidRDefault="00203A6F" w:rsidP="00E63EE0">
            <w:pPr>
              <w:pStyle w:val="cuadroCabe"/>
              <w:jc w:val="right"/>
              <w:rPr>
                <w:sz w:val="16"/>
                <w:szCs w:val="16"/>
                <w:lang w:val="es-ES" w:eastAsia="es-ES"/>
              </w:rPr>
            </w:pPr>
            <w:r>
              <w:rPr>
                <w:sz w:val="16"/>
                <w:szCs w:val="16"/>
                <w:lang w:val="es-ES" w:eastAsia="es-ES"/>
              </w:rPr>
              <w:t xml:space="preserve"> </w:t>
            </w:r>
            <w:r w:rsidR="00A54021" w:rsidRPr="009361CC">
              <w:rPr>
                <w:sz w:val="16"/>
                <w:szCs w:val="16"/>
                <w:lang w:val="es-ES" w:eastAsia="es-ES"/>
              </w:rPr>
              <w:t>Organismos autónomos</w:t>
            </w:r>
          </w:p>
        </w:tc>
        <w:tc>
          <w:tcPr>
            <w:tcW w:w="1040" w:type="pct"/>
            <w:gridSpan w:val="3"/>
            <w:tcBorders>
              <w:top w:val="single" w:sz="4" w:space="0" w:color="auto"/>
              <w:left w:val="nil"/>
              <w:bottom w:val="single" w:sz="2" w:space="0" w:color="auto"/>
              <w:right w:val="nil"/>
            </w:tcBorders>
            <w:shd w:val="clear" w:color="auto" w:fill="FABF8F" w:themeFill="accent6" w:themeFillTint="99"/>
            <w:vAlign w:val="center"/>
          </w:tcPr>
          <w:p w14:paraId="692D09AB" w14:textId="77777777" w:rsidR="00A54021" w:rsidRPr="009361CC" w:rsidRDefault="000B0250" w:rsidP="00E63EE0">
            <w:pPr>
              <w:pStyle w:val="cuadroCabe"/>
              <w:jc w:val="right"/>
              <w:rPr>
                <w:sz w:val="16"/>
                <w:szCs w:val="16"/>
                <w:lang w:val="es-ES" w:eastAsia="es-ES"/>
              </w:rPr>
            </w:pPr>
            <w:r>
              <w:rPr>
                <w:sz w:val="16"/>
                <w:szCs w:val="16"/>
                <w:lang w:val="es-ES" w:eastAsia="es-ES"/>
              </w:rPr>
              <w:t xml:space="preserve"> </w:t>
            </w:r>
            <w:r w:rsidR="0000793A">
              <w:rPr>
                <w:sz w:val="16"/>
                <w:szCs w:val="16"/>
                <w:lang w:val="es-ES" w:eastAsia="es-ES"/>
              </w:rPr>
              <w:t xml:space="preserve"> </w:t>
            </w:r>
            <w:r w:rsidR="00A54021" w:rsidRPr="009361CC">
              <w:rPr>
                <w:sz w:val="16"/>
                <w:szCs w:val="16"/>
                <w:lang w:val="es-ES" w:eastAsia="es-ES"/>
              </w:rPr>
              <w:t>Sociedades públicas</w:t>
            </w:r>
          </w:p>
        </w:tc>
        <w:tc>
          <w:tcPr>
            <w:tcW w:w="753" w:type="pct"/>
            <w:gridSpan w:val="2"/>
            <w:tcBorders>
              <w:top w:val="single" w:sz="4" w:space="0" w:color="auto"/>
              <w:left w:val="nil"/>
              <w:bottom w:val="single" w:sz="2" w:space="0" w:color="auto"/>
              <w:right w:val="nil"/>
            </w:tcBorders>
            <w:shd w:val="clear" w:color="auto" w:fill="FABF8F" w:themeFill="accent6" w:themeFillTint="99"/>
            <w:vAlign w:val="center"/>
          </w:tcPr>
          <w:p w14:paraId="7FD8C241" w14:textId="77777777" w:rsidR="00A54021" w:rsidRPr="009361CC" w:rsidRDefault="00451107" w:rsidP="00451107">
            <w:pPr>
              <w:pStyle w:val="cuadroCabe"/>
              <w:jc w:val="center"/>
              <w:rPr>
                <w:sz w:val="16"/>
                <w:szCs w:val="16"/>
                <w:lang w:val="es-ES" w:eastAsia="es-ES"/>
              </w:rPr>
            </w:pPr>
            <w:r>
              <w:rPr>
                <w:sz w:val="16"/>
                <w:szCs w:val="16"/>
                <w:lang w:val="es-ES" w:eastAsia="es-ES"/>
              </w:rPr>
              <w:t xml:space="preserve">    </w:t>
            </w:r>
            <w:r w:rsidR="00A54021" w:rsidRPr="009361CC">
              <w:rPr>
                <w:sz w:val="16"/>
                <w:szCs w:val="16"/>
                <w:lang w:val="es-ES" w:eastAsia="es-ES"/>
              </w:rPr>
              <w:t>Consorcios</w:t>
            </w:r>
          </w:p>
        </w:tc>
        <w:tc>
          <w:tcPr>
            <w:tcW w:w="947" w:type="pct"/>
            <w:gridSpan w:val="3"/>
            <w:tcBorders>
              <w:top w:val="single" w:sz="4" w:space="0" w:color="auto"/>
              <w:left w:val="nil"/>
              <w:bottom w:val="single" w:sz="2" w:space="0" w:color="auto"/>
              <w:right w:val="nil"/>
            </w:tcBorders>
            <w:shd w:val="clear" w:color="auto" w:fill="FABF8F" w:themeFill="accent6" w:themeFillTint="99"/>
            <w:noWrap/>
            <w:vAlign w:val="center"/>
          </w:tcPr>
          <w:p w14:paraId="39A12F59" w14:textId="77777777" w:rsidR="00A54021" w:rsidRPr="009361CC" w:rsidRDefault="007B097F" w:rsidP="00451107">
            <w:pPr>
              <w:pStyle w:val="cuadroCabe"/>
              <w:jc w:val="center"/>
              <w:rPr>
                <w:sz w:val="16"/>
                <w:szCs w:val="16"/>
                <w:lang w:val="es-ES" w:eastAsia="es-ES"/>
              </w:rPr>
            </w:pPr>
            <w:r>
              <w:rPr>
                <w:sz w:val="16"/>
                <w:szCs w:val="16"/>
                <w:lang w:val="es-ES" w:eastAsia="es-ES"/>
              </w:rPr>
              <w:t xml:space="preserve">  </w:t>
            </w:r>
            <w:r w:rsidR="00451107">
              <w:rPr>
                <w:sz w:val="16"/>
                <w:szCs w:val="16"/>
                <w:lang w:val="es-ES" w:eastAsia="es-ES"/>
              </w:rPr>
              <w:t xml:space="preserve"> </w:t>
            </w:r>
            <w:r w:rsidR="00A54021" w:rsidRPr="009361CC">
              <w:rPr>
                <w:sz w:val="16"/>
                <w:szCs w:val="16"/>
                <w:lang w:val="es-ES" w:eastAsia="es-ES"/>
              </w:rPr>
              <w:t>Total</w:t>
            </w:r>
          </w:p>
        </w:tc>
      </w:tr>
      <w:tr w:rsidR="00A54021" w:rsidRPr="009361CC" w14:paraId="4E14B050" w14:textId="77777777" w:rsidTr="00D809C2">
        <w:trPr>
          <w:trHeight w:val="227"/>
          <w:jc w:val="center"/>
        </w:trPr>
        <w:tc>
          <w:tcPr>
            <w:tcW w:w="1069" w:type="pct"/>
            <w:vMerge/>
            <w:tcBorders>
              <w:left w:val="nil"/>
              <w:bottom w:val="single" w:sz="2" w:space="0" w:color="auto"/>
              <w:right w:val="nil"/>
            </w:tcBorders>
            <w:shd w:val="clear" w:color="auto" w:fill="FABF8F" w:themeFill="accent6" w:themeFillTint="99"/>
            <w:noWrap/>
            <w:vAlign w:val="center"/>
          </w:tcPr>
          <w:p w14:paraId="287EAF12" w14:textId="77777777" w:rsidR="00A54021" w:rsidRPr="009361CC" w:rsidRDefault="00A54021" w:rsidP="009361CC">
            <w:pPr>
              <w:pStyle w:val="cuadroCabe"/>
              <w:rPr>
                <w:sz w:val="16"/>
                <w:szCs w:val="16"/>
                <w:lang w:val="es-ES" w:eastAsia="es-ES"/>
              </w:rPr>
            </w:pPr>
          </w:p>
        </w:tc>
        <w:tc>
          <w:tcPr>
            <w:tcW w:w="479" w:type="pct"/>
            <w:tcBorders>
              <w:top w:val="single" w:sz="2" w:space="0" w:color="auto"/>
              <w:left w:val="nil"/>
              <w:bottom w:val="single" w:sz="4" w:space="0" w:color="auto"/>
              <w:right w:val="nil"/>
            </w:tcBorders>
            <w:shd w:val="clear" w:color="auto" w:fill="FABF8F" w:themeFill="accent6" w:themeFillTint="99"/>
            <w:vAlign w:val="center"/>
          </w:tcPr>
          <w:p w14:paraId="1F0F07B4" w14:textId="77777777" w:rsidR="00A54021" w:rsidRPr="009361CC" w:rsidRDefault="00A54021" w:rsidP="00E63EE0">
            <w:pPr>
              <w:pStyle w:val="cuadroCabe"/>
              <w:jc w:val="right"/>
              <w:rPr>
                <w:sz w:val="16"/>
                <w:szCs w:val="16"/>
                <w:lang w:val="es-ES" w:eastAsia="es-ES"/>
              </w:rPr>
            </w:pPr>
            <w:r w:rsidRPr="009361CC">
              <w:rPr>
                <w:sz w:val="16"/>
                <w:szCs w:val="16"/>
                <w:lang w:val="es-ES" w:eastAsia="es-ES"/>
              </w:rPr>
              <w:t xml:space="preserve"> </w:t>
            </w:r>
            <w:r w:rsidR="000B0250">
              <w:rPr>
                <w:sz w:val="16"/>
                <w:szCs w:val="16"/>
                <w:lang w:val="es-ES" w:eastAsia="es-ES"/>
              </w:rPr>
              <w:t xml:space="preserve">      </w:t>
            </w:r>
            <w:r w:rsidRPr="009361CC">
              <w:rPr>
                <w:sz w:val="16"/>
                <w:szCs w:val="16"/>
                <w:lang w:val="es-ES" w:eastAsia="es-ES"/>
              </w:rPr>
              <w:t>Nº</w:t>
            </w:r>
          </w:p>
        </w:tc>
        <w:tc>
          <w:tcPr>
            <w:tcW w:w="604" w:type="pct"/>
            <w:tcBorders>
              <w:top w:val="single" w:sz="2" w:space="0" w:color="auto"/>
              <w:left w:val="nil"/>
              <w:bottom w:val="single" w:sz="4" w:space="0" w:color="auto"/>
              <w:right w:val="nil"/>
            </w:tcBorders>
            <w:shd w:val="clear" w:color="auto" w:fill="FABF8F" w:themeFill="accent6" w:themeFillTint="99"/>
            <w:vAlign w:val="center"/>
          </w:tcPr>
          <w:p w14:paraId="1EA746C8" w14:textId="77777777" w:rsidR="00A54021" w:rsidRPr="009361CC" w:rsidRDefault="00A54021" w:rsidP="00451107">
            <w:pPr>
              <w:pStyle w:val="cuadroCabe"/>
              <w:ind w:right="92"/>
              <w:jc w:val="right"/>
              <w:rPr>
                <w:sz w:val="16"/>
                <w:szCs w:val="16"/>
                <w:lang w:val="es-ES" w:eastAsia="es-ES"/>
              </w:rPr>
            </w:pPr>
            <w:r w:rsidRPr="009361CC">
              <w:rPr>
                <w:sz w:val="16"/>
                <w:szCs w:val="16"/>
                <w:lang w:val="es-ES" w:eastAsia="es-ES"/>
              </w:rPr>
              <w:t xml:space="preserve"> Importe</w:t>
            </w:r>
          </w:p>
        </w:tc>
        <w:tc>
          <w:tcPr>
            <w:tcW w:w="465" w:type="pct"/>
            <w:gridSpan w:val="2"/>
            <w:tcBorders>
              <w:top w:val="single" w:sz="2" w:space="0" w:color="auto"/>
              <w:left w:val="nil"/>
              <w:bottom w:val="single" w:sz="4" w:space="0" w:color="auto"/>
              <w:right w:val="nil"/>
            </w:tcBorders>
            <w:shd w:val="clear" w:color="auto" w:fill="FABF8F" w:themeFill="accent6" w:themeFillTint="99"/>
            <w:vAlign w:val="center"/>
          </w:tcPr>
          <w:p w14:paraId="12531796" w14:textId="77777777" w:rsidR="00A54021" w:rsidRPr="009361CC" w:rsidRDefault="00A54021" w:rsidP="00E63EE0">
            <w:pPr>
              <w:pStyle w:val="cuadroCabe"/>
              <w:jc w:val="right"/>
              <w:rPr>
                <w:sz w:val="16"/>
                <w:szCs w:val="16"/>
                <w:lang w:val="es-ES" w:eastAsia="es-ES"/>
              </w:rPr>
            </w:pPr>
            <w:r w:rsidRPr="009361CC">
              <w:rPr>
                <w:sz w:val="16"/>
                <w:szCs w:val="16"/>
                <w:lang w:val="es-ES" w:eastAsia="es-ES"/>
              </w:rPr>
              <w:t xml:space="preserve">    </w:t>
            </w:r>
            <w:r w:rsidR="000B0250">
              <w:rPr>
                <w:sz w:val="16"/>
                <w:szCs w:val="16"/>
                <w:lang w:val="es-ES" w:eastAsia="es-ES"/>
              </w:rPr>
              <w:t xml:space="preserve">  </w:t>
            </w:r>
            <w:r w:rsidRPr="009361CC">
              <w:rPr>
                <w:sz w:val="16"/>
                <w:szCs w:val="16"/>
                <w:lang w:val="es-ES" w:eastAsia="es-ES"/>
              </w:rPr>
              <w:t>Nº</w:t>
            </w:r>
          </w:p>
        </w:tc>
        <w:tc>
          <w:tcPr>
            <w:tcW w:w="598" w:type="pct"/>
            <w:tcBorders>
              <w:top w:val="single" w:sz="2" w:space="0" w:color="auto"/>
              <w:left w:val="nil"/>
              <w:bottom w:val="single" w:sz="4" w:space="0" w:color="auto"/>
              <w:right w:val="nil"/>
            </w:tcBorders>
            <w:shd w:val="clear" w:color="auto" w:fill="FABF8F" w:themeFill="accent6" w:themeFillTint="99"/>
            <w:vAlign w:val="center"/>
          </w:tcPr>
          <w:p w14:paraId="18BCA06C" w14:textId="77777777" w:rsidR="00A54021" w:rsidRPr="009361CC" w:rsidRDefault="000B0250" w:rsidP="00E63EE0">
            <w:pPr>
              <w:pStyle w:val="cuadroCabe"/>
              <w:jc w:val="right"/>
              <w:rPr>
                <w:sz w:val="16"/>
                <w:szCs w:val="16"/>
                <w:lang w:val="es-ES" w:eastAsia="es-ES"/>
              </w:rPr>
            </w:pPr>
            <w:r>
              <w:rPr>
                <w:sz w:val="16"/>
                <w:szCs w:val="16"/>
                <w:lang w:val="es-ES" w:eastAsia="es-ES"/>
              </w:rPr>
              <w:t xml:space="preserve">    </w:t>
            </w:r>
            <w:r w:rsidR="00A54021" w:rsidRPr="009361CC">
              <w:rPr>
                <w:sz w:val="16"/>
                <w:szCs w:val="16"/>
                <w:lang w:val="es-ES" w:eastAsia="es-ES"/>
              </w:rPr>
              <w:t>Importe</w:t>
            </w:r>
          </w:p>
        </w:tc>
        <w:tc>
          <w:tcPr>
            <w:tcW w:w="340" w:type="pct"/>
            <w:gridSpan w:val="2"/>
            <w:tcBorders>
              <w:top w:val="single" w:sz="2" w:space="0" w:color="auto"/>
              <w:left w:val="nil"/>
              <w:bottom w:val="single" w:sz="4" w:space="0" w:color="auto"/>
              <w:right w:val="nil"/>
            </w:tcBorders>
            <w:shd w:val="clear" w:color="auto" w:fill="FABF8F" w:themeFill="accent6" w:themeFillTint="99"/>
            <w:vAlign w:val="center"/>
          </w:tcPr>
          <w:p w14:paraId="17631B4A" w14:textId="77777777" w:rsidR="00A54021" w:rsidRPr="009361CC" w:rsidRDefault="00A54021" w:rsidP="00E63EE0">
            <w:pPr>
              <w:pStyle w:val="cuadroCabe"/>
              <w:jc w:val="right"/>
              <w:rPr>
                <w:sz w:val="16"/>
                <w:szCs w:val="16"/>
                <w:lang w:val="es-ES" w:eastAsia="es-ES"/>
              </w:rPr>
            </w:pPr>
            <w:r w:rsidRPr="009361CC">
              <w:rPr>
                <w:sz w:val="16"/>
                <w:szCs w:val="16"/>
                <w:lang w:val="es-ES" w:eastAsia="es-ES"/>
              </w:rPr>
              <w:t xml:space="preserve">  </w:t>
            </w:r>
            <w:r w:rsidR="000B0250">
              <w:rPr>
                <w:sz w:val="16"/>
                <w:szCs w:val="16"/>
                <w:lang w:val="es-ES" w:eastAsia="es-ES"/>
              </w:rPr>
              <w:t xml:space="preserve"> </w:t>
            </w:r>
            <w:r w:rsidRPr="009361CC">
              <w:rPr>
                <w:sz w:val="16"/>
                <w:szCs w:val="16"/>
                <w:lang w:val="es-ES" w:eastAsia="es-ES"/>
              </w:rPr>
              <w:t xml:space="preserve"> Nº</w:t>
            </w:r>
          </w:p>
        </w:tc>
        <w:tc>
          <w:tcPr>
            <w:tcW w:w="518" w:type="pct"/>
            <w:gridSpan w:val="2"/>
            <w:tcBorders>
              <w:top w:val="single" w:sz="2" w:space="0" w:color="auto"/>
              <w:left w:val="nil"/>
              <w:bottom w:val="single" w:sz="4" w:space="0" w:color="auto"/>
              <w:right w:val="nil"/>
            </w:tcBorders>
            <w:shd w:val="clear" w:color="auto" w:fill="FABF8F" w:themeFill="accent6" w:themeFillTint="99"/>
            <w:vAlign w:val="center"/>
          </w:tcPr>
          <w:p w14:paraId="501AA75F" w14:textId="77777777" w:rsidR="00A54021" w:rsidRPr="009361CC" w:rsidRDefault="000B0250" w:rsidP="00E63EE0">
            <w:pPr>
              <w:pStyle w:val="cuadroCabe"/>
              <w:jc w:val="right"/>
              <w:rPr>
                <w:sz w:val="16"/>
                <w:szCs w:val="16"/>
                <w:lang w:val="es-ES" w:eastAsia="es-ES"/>
              </w:rPr>
            </w:pPr>
            <w:r>
              <w:rPr>
                <w:sz w:val="16"/>
                <w:szCs w:val="16"/>
                <w:lang w:val="es-ES" w:eastAsia="es-ES"/>
              </w:rPr>
              <w:t xml:space="preserve"> </w:t>
            </w:r>
            <w:r w:rsidR="00A54021" w:rsidRPr="009361CC">
              <w:rPr>
                <w:sz w:val="16"/>
                <w:szCs w:val="16"/>
                <w:lang w:val="es-ES" w:eastAsia="es-ES"/>
              </w:rPr>
              <w:t>Importe</w:t>
            </w:r>
          </w:p>
        </w:tc>
        <w:tc>
          <w:tcPr>
            <w:tcW w:w="353" w:type="pct"/>
            <w:tcBorders>
              <w:top w:val="single" w:sz="2" w:space="0" w:color="auto"/>
              <w:left w:val="nil"/>
              <w:bottom w:val="single" w:sz="4" w:space="0" w:color="auto"/>
              <w:right w:val="nil"/>
            </w:tcBorders>
            <w:shd w:val="clear" w:color="auto" w:fill="FABF8F" w:themeFill="accent6" w:themeFillTint="99"/>
            <w:noWrap/>
            <w:vAlign w:val="center"/>
          </w:tcPr>
          <w:p w14:paraId="2993B7E9" w14:textId="77777777" w:rsidR="00A54021" w:rsidRPr="009361CC" w:rsidRDefault="000B0250" w:rsidP="00E63EE0">
            <w:pPr>
              <w:pStyle w:val="cuadroCabe"/>
              <w:jc w:val="right"/>
              <w:rPr>
                <w:sz w:val="16"/>
                <w:szCs w:val="16"/>
                <w:lang w:val="es-ES" w:eastAsia="es-ES"/>
              </w:rPr>
            </w:pPr>
            <w:r>
              <w:rPr>
                <w:sz w:val="16"/>
                <w:szCs w:val="16"/>
                <w:lang w:val="es-ES" w:eastAsia="es-ES"/>
              </w:rPr>
              <w:t xml:space="preserve">     </w:t>
            </w:r>
            <w:r w:rsidR="00A54021" w:rsidRPr="009361CC">
              <w:rPr>
                <w:sz w:val="16"/>
                <w:szCs w:val="16"/>
                <w:lang w:val="es-ES" w:eastAsia="es-ES"/>
              </w:rPr>
              <w:t>Nº</w:t>
            </w:r>
          </w:p>
        </w:tc>
        <w:tc>
          <w:tcPr>
            <w:tcW w:w="574" w:type="pct"/>
            <w:tcBorders>
              <w:top w:val="single" w:sz="2" w:space="0" w:color="auto"/>
              <w:left w:val="nil"/>
              <w:bottom w:val="single" w:sz="4" w:space="0" w:color="auto"/>
              <w:right w:val="nil"/>
            </w:tcBorders>
            <w:shd w:val="clear" w:color="auto" w:fill="FABF8F" w:themeFill="accent6" w:themeFillTint="99"/>
            <w:noWrap/>
            <w:vAlign w:val="center"/>
          </w:tcPr>
          <w:p w14:paraId="23033BAA" w14:textId="77777777" w:rsidR="00A54021" w:rsidRPr="009361CC" w:rsidRDefault="00A54021" w:rsidP="00E63EE0">
            <w:pPr>
              <w:pStyle w:val="cuadroCabe"/>
              <w:jc w:val="right"/>
              <w:rPr>
                <w:sz w:val="16"/>
                <w:szCs w:val="16"/>
                <w:lang w:val="es-ES" w:eastAsia="es-ES"/>
              </w:rPr>
            </w:pPr>
            <w:r w:rsidRPr="009361CC">
              <w:rPr>
                <w:sz w:val="16"/>
                <w:szCs w:val="16"/>
                <w:lang w:val="es-ES" w:eastAsia="es-ES"/>
              </w:rPr>
              <w:t>Importe</w:t>
            </w:r>
          </w:p>
        </w:tc>
      </w:tr>
      <w:tr w:rsidR="00195193" w:rsidRPr="0000793A" w14:paraId="55410D45" w14:textId="77777777" w:rsidTr="00D809C2">
        <w:trPr>
          <w:trHeight w:val="227"/>
          <w:jc w:val="center"/>
        </w:trPr>
        <w:tc>
          <w:tcPr>
            <w:tcW w:w="1069" w:type="pct"/>
            <w:tcBorders>
              <w:top w:val="single" w:sz="4" w:space="0" w:color="auto"/>
              <w:left w:val="nil"/>
              <w:bottom w:val="single" w:sz="2" w:space="0" w:color="auto"/>
              <w:right w:val="nil"/>
            </w:tcBorders>
            <w:shd w:val="clear" w:color="auto" w:fill="auto"/>
            <w:noWrap/>
            <w:vAlign w:val="center"/>
            <w:hideMark/>
          </w:tcPr>
          <w:p w14:paraId="0ABCD8D0" w14:textId="77777777" w:rsidR="0088085F" w:rsidRPr="0000793A" w:rsidRDefault="0088085F" w:rsidP="0095705D">
            <w:pPr>
              <w:pStyle w:val="cuatexto"/>
              <w:jc w:val="left"/>
              <w:rPr>
                <w:sz w:val="17"/>
                <w:szCs w:val="17"/>
                <w:lang w:val="es-ES" w:eastAsia="es-ES"/>
              </w:rPr>
            </w:pPr>
            <w:r w:rsidRPr="0000793A">
              <w:rPr>
                <w:sz w:val="17"/>
                <w:szCs w:val="17"/>
                <w:lang w:val="es-ES" w:eastAsia="es-ES"/>
              </w:rPr>
              <w:t>Obras</w:t>
            </w:r>
          </w:p>
        </w:tc>
        <w:tc>
          <w:tcPr>
            <w:tcW w:w="479" w:type="pct"/>
            <w:tcBorders>
              <w:top w:val="single" w:sz="4" w:space="0" w:color="auto"/>
              <w:left w:val="nil"/>
              <w:bottom w:val="single" w:sz="2" w:space="0" w:color="auto"/>
              <w:right w:val="nil"/>
            </w:tcBorders>
            <w:shd w:val="clear" w:color="auto" w:fill="auto"/>
            <w:vAlign w:val="center"/>
            <w:hideMark/>
          </w:tcPr>
          <w:p w14:paraId="09D65EAF"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1</w:t>
            </w:r>
          </w:p>
        </w:tc>
        <w:tc>
          <w:tcPr>
            <w:tcW w:w="604" w:type="pct"/>
            <w:tcBorders>
              <w:top w:val="single" w:sz="4" w:space="0" w:color="auto"/>
              <w:left w:val="nil"/>
              <w:bottom w:val="single" w:sz="2" w:space="0" w:color="auto"/>
              <w:right w:val="nil"/>
            </w:tcBorders>
            <w:shd w:val="clear" w:color="auto" w:fill="auto"/>
            <w:vAlign w:val="center"/>
            <w:hideMark/>
          </w:tcPr>
          <w:p w14:paraId="7FFB1F1C" w14:textId="77777777" w:rsidR="0088085F" w:rsidRPr="0000793A" w:rsidRDefault="0088085F" w:rsidP="00451107">
            <w:pPr>
              <w:pStyle w:val="cuatexto"/>
              <w:ind w:right="92"/>
              <w:jc w:val="right"/>
              <w:rPr>
                <w:sz w:val="17"/>
                <w:szCs w:val="17"/>
                <w:lang w:val="es-ES" w:eastAsia="es-ES"/>
              </w:rPr>
            </w:pPr>
            <w:r w:rsidRPr="0000793A">
              <w:rPr>
                <w:sz w:val="17"/>
                <w:szCs w:val="17"/>
                <w:lang w:val="es-ES" w:eastAsia="es-ES"/>
              </w:rPr>
              <w:t>234.837</w:t>
            </w:r>
          </w:p>
        </w:tc>
        <w:tc>
          <w:tcPr>
            <w:tcW w:w="465" w:type="pct"/>
            <w:gridSpan w:val="2"/>
            <w:tcBorders>
              <w:top w:val="single" w:sz="4" w:space="0" w:color="auto"/>
              <w:left w:val="nil"/>
              <w:bottom w:val="single" w:sz="2" w:space="0" w:color="auto"/>
              <w:right w:val="nil"/>
            </w:tcBorders>
            <w:shd w:val="clear" w:color="auto" w:fill="auto"/>
            <w:vAlign w:val="center"/>
            <w:hideMark/>
          </w:tcPr>
          <w:p w14:paraId="5FE57692" w14:textId="77777777" w:rsidR="0088085F" w:rsidRPr="0000793A" w:rsidRDefault="00A54021" w:rsidP="00E63EE0">
            <w:pPr>
              <w:pStyle w:val="cuatexto"/>
              <w:jc w:val="right"/>
              <w:rPr>
                <w:sz w:val="17"/>
                <w:szCs w:val="17"/>
                <w:lang w:val="es-ES" w:eastAsia="es-ES"/>
              </w:rPr>
            </w:pPr>
            <w:r w:rsidRPr="0000793A">
              <w:rPr>
                <w:sz w:val="17"/>
                <w:szCs w:val="17"/>
                <w:lang w:val="es-ES" w:eastAsia="es-ES"/>
              </w:rPr>
              <w:t xml:space="preserve">   </w:t>
            </w:r>
            <w:r w:rsidR="0088085F" w:rsidRPr="0000793A">
              <w:rPr>
                <w:sz w:val="17"/>
                <w:szCs w:val="17"/>
                <w:lang w:val="es-ES" w:eastAsia="es-ES"/>
              </w:rPr>
              <w:t>14</w:t>
            </w:r>
          </w:p>
        </w:tc>
        <w:tc>
          <w:tcPr>
            <w:tcW w:w="598" w:type="pct"/>
            <w:tcBorders>
              <w:top w:val="single" w:sz="4" w:space="0" w:color="auto"/>
              <w:left w:val="nil"/>
              <w:bottom w:val="single" w:sz="2" w:space="0" w:color="auto"/>
              <w:right w:val="nil"/>
            </w:tcBorders>
            <w:shd w:val="clear" w:color="auto" w:fill="auto"/>
            <w:vAlign w:val="center"/>
            <w:hideMark/>
          </w:tcPr>
          <w:p w14:paraId="0102B38F"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17.537.133</w:t>
            </w:r>
          </w:p>
        </w:tc>
        <w:tc>
          <w:tcPr>
            <w:tcW w:w="340" w:type="pct"/>
            <w:gridSpan w:val="2"/>
            <w:tcBorders>
              <w:top w:val="single" w:sz="4" w:space="0" w:color="auto"/>
              <w:left w:val="nil"/>
              <w:bottom w:val="single" w:sz="2" w:space="0" w:color="auto"/>
              <w:right w:val="nil"/>
            </w:tcBorders>
            <w:shd w:val="clear" w:color="auto" w:fill="auto"/>
            <w:vAlign w:val="center"/>
            <w:hideMark/>
          </w:tcPr>
          <w:p w14:paraId="5FAF135E"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 </w:t>
            </w:r>
          </w:p>
        </w:tc>
        <w:tc>
          <w:tcPr>
            <w:tcW w:w="518" w:type="pct"/>
            <w:gridSpan w:val="2"/>
            <w:tcBorders>
              <w:top w:val="single" w:sz="4" w:space="0" w:color="auto"/>
              <w:left w:val="nil"/>
              <w:bottom w:val="single" w:sz="2" w:space="0" w:color="auto"/>
              <w:right w:val="nil"/>
            </w:tcBorders>
            <w:shd w:val="clear" w:color="auto" w:fill="auto"/>
            <w:vAlign w:val="center"/>
            <w:hideMark/>
          </w:tcPr>
          <w:p w14:paraId="5A86F39C"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 </w:t>
            </w:r>
          </w:p>
        </w:tc>
        <w:tc>
          <w:tcPr>
            <w:tcW w:w="353" w:type="pct"/>
            <w:tcBorders>
              <w:top w:val="single" w:sz="4" w:space="0" w:color="auto"/>
              <w:left w:val="nil"/>
              <w:bottom w:val="single" w:sz="2" w:space="0" w:color="auto"/>
              <w:right w:val="nil"/>
            </w:tcBorders>
            <w:shd w:val="clear" w:color="auto" w:fill="auto"/>
            <w:noWrap/>
            <w:vAlign w:val="center"/>
            <w:hideMark/>
          </w:tcPr>
          <w:p w14:paraId="063C93A6" w14:textId="77777777" w:rsidR="0088085F" w:rsidRPr="0000793A" w:rsidRDefault="000B0250" w:rsidP="00E63EE0">
            <w:pPr>
              <w:pStyle w:val="cuatexto"/>
              <w:jc w:val="right"/>
              <w:rPr>
                <w:sz w:val="17"/>
                <w:szCs w:val="17"/>
                <w:lang w:val="es-ES" w:eastAsia="es-ES"/>
              </w:rPr>
            </w:pPr>
            <w:r w:rsidRPr="0000793A">
              <w:rPr>
                <w:sz w:val="17"/>
                <w:szCs w:val="17"/>
                <w:lang w:val="es-ES" w:eastAsia="es-ES"/>
              </w:rPr>
              <w:t xml:space="preserve">     </w:t>
            </w:r>
          </w:p>
        </w:tc>
        <w:tc>
          <w:tcPr>
            <w:tcW w:w="574" w:type="pct"/>
            <w:tcBorders>
              <w:top w:val="single" w:sz="4" w:space="0" w:color="auto"/>
              <w:left w:val="nil"/>
              <w:bottom w:val="single" w:sz="2" w:space="0" w:color="auto"/>
              <w:right w:val="nil"/>
            </w:tcBorders>
            <w:shd w:val="clear" w:color="auto" w:fill="auto"/>
            <w:noWrap/>
            <w:vAlign w:val="center"/>
            <w:hideMark/>
          </w:tcPr>
          <w:p w14:paraId="5CF8F0F7"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 xml:space="preserve">17.771.970 </w:t>
            </w:r>
          </w:p>
        </w:tc>
      </w:tr>
      <w:tr w:rsidR="00195193" w:rsidRPr="0000793A" w14:paraId="7157BC6E" w14:textId="77777777" w:rsidTr="00D809C2">
        <w:trPr>
          <w:trHeight w:val="227"/>
          <w:jc w:val="center"/>
        </w:trPr>
        <w:tc>
          <w:tcPr>
            <w:tcW w:w="1069" w:type="pct"/>
            <w:tcBorders>
              <w:top w:val="single" w:sz="2" w:space="0" w:color="auto"/>
              <w:left w:val="nil"/>
              <w:bottom w:val="single" w:sz="2" w:space="0" w:color="auto"/>
              <w:right w:val="nil"/>
            </w:tcBorders>
            <w:shd w:val="clear" w:color="auto" w:fill="auto"/>
            <w:noWrap/>
            <w:vAlign w:val="center"/>
            <w:hideMark/>
          </w:tcPr>
          <w:p w14:paraId="3BA6EC3B" w14:textId="77777777" w:rsidR="0088085F" w:rsidRPr="0000793A" w:rsidRDefault="0088085F" w:rsidP="0095705D">
            <w:pPr>
              <w:pStyle w:val="cuatexto"/>
              <w:jc w:val="left"/>
              <w:rPr>
                <w:sz w:val="17"/>
                <w:szCs w:val="17"/>
                <w:lang w:val="es-ES" w:eastAsia="es-ES"/>
              </w:rPr>
            </w:pPr>
            <w:r w:rsidRPr="0000793A">
              <w:rPr>
                <w:sz w:val="17"/>
                <w:szCs w:val="17"/>
                <w:lang w:val="es-ES" w:eastAsia="es-ES"/>
              </w:rPr>
              <w:t>Servicios</w:t>
            </w:r>
          </w:p>
        </w:tc>
        <w:tc>
          <w:tcPr>
            <w:tcW w:w="479" w:type="pct"/>
            <w:tcBorders>
              <w:top w:val="single" w:sz="2" w:space="0" w:color="auto"/>
              <w:left w:val="nil"/>
              <w:bottom w:val="single" w:sz="2" w:space="0" w:color="auto"/>
              <w:right w:val="nil"/>
            </w:tcBorders>
            <w:shd w:val="clear" w:color="auto" w:fill="auto"/>
            <w:vAlign w:val="center"/>
            <w:hideMark/>
          </w:tcPr>
          <w:p w14:paraId="0DC156F3"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1</w:t>
            </w:r>
          </w:p>
        </w:tc>
        <w:tc>
          <w:tcPr>
            <w:tcW w:w="604" w:type="pct"/>
            <w:tcBorders>
              <w:top w:val="single" w:sz="2" w:space="0" w:color="auto"/>
              <w:left w:val="nil"/>
              <w:bottom w:val="single" w:sz="2" w:space="0" w:color="auto"/>
              <w:right w:val="nil"/>
            </w:tcBorders>
            <w:shd w:val="clear" w:color="auto" w:fill="auto"/>
            <w:vAlign w:val="center"/>
            <w:hideMark/>
          </w:tcPr>
          <w:p w14:paraId="4D314EA4" w14:textId="77777777" w:rsidR="0088085F" w:rsidRPr="0000793A" w:rsidRDefault="0088085F" w:rsidP="00451107">
            <w:pPr>
              <w:pStyle w:val="cuatexto"/>
              <w:ind w:right="92"/>
              <w:jc w:val="right"/>
              <w:rPr>
                <w:sz w:val="17"/>
                <w:szCs w:val="17"/>
                <w:lang w:val="es-ES" w:eastAsia="es-ES"/>
              </w:rPr>
            </w:pPr>
            <w:r w:rsidRPr="0000793A">
              <w:rPr>
                <w:sz w:val="17"/>
                <w:szCs w:val="17"/>
                <w:lang w:val="es-ES" w:eastAsia="es-ES"/>
              </w:rPr>
              <w:t>163.950</w:t>
            </w:r>
          </w:p>
        </w:tc>
        <w:tc>
          <w:tcPr>
            <w:tcW w:w="465" w:type="pct"/>
            <w:gridSpan w:val="2"/>
            <w:tcBorders>
              <w:top w:val="single" w:sz="2" w:space="0" w:color="auto"/>
              <w:left w:val="nil"/>
              <w:bottom w:val="single" w:sz="2" w:space="0" w:color="auto"/>
              <w:right w:val="nil"/>
            </w:tcBorders>
            <w:shd w:val="clear" w:color="auto" w:fill="auto"/>
            <w:vAlign w:val="center"/>
            <w:hideMark/>
          </w:tcPr>
          <w:p w14:paraId="77A2C36A" w14:textId="77777777" w:rsidR="0088085F" w:rsidRPr="0000793A" w:rsidRDefault="00A54021" w:rsidP="00E63EE0">
            <w:pPr>
              <w:pStyle w:val="cuatexto"/>
              <w:jc w:val="right"/>
              <w:rPr>
                <w:sz w:val="17"/>
                <w:szCs w:val="17"/>
                <w:lang w:val="es-ES" w:eastAsia="es-ES"/>
              </w:rPr>
            </w:pPr>
            <w:r w:rsidRPr="0000793A">
              <w:rPr>
                <w:sz w:val="17"/>
                <w:szCs w:val="17"/>
                <w:lang w:val="es-ES" w:eastAsia="es-ES"/>
              </w:rPr>
              <w:t xml:space="preserve">   </w:t>
            </w:r>
            <w:r w:rsidR="0088085F" w:rsidRPr="0000793A">
              <w:rPr>
                <w:sz w:val="17"/>
                <w:szCs w:val="17"/>
                <w:lang w:val="es-ES" w:eastAsia="es-ES"/>
              </w:rPr>
              <w:t>18</w:t>
            </w:r>
          </w:p>
        </w:tc>
        <w:tc>
          <w:tcPr>
            <w:tcW w:w="598" w:type="pct"/>
            <w:tcBorders>
              <w:top w:val="single" w:sz="2" w:space="0" w:color="auto"/>
              <w:left w:val="nil"/>
              <w:bottom w:val="single" w:sz="2" w:space="0" w:color="auto"/>
              <w:right w:val="nil"/>
            </w:tcBorders>
            <w:shd w:val="clear" w:color="auto" w:fill="auto"/>
            <w:vAlign w:val="center"/>
            <w:hideMark/>
          </w:tcPr>
          <w:p w14:paraId="3A2FB18B" w14:textId="77777777" w:rsidR="0088085F" w:rsidRPr="0000793A" w:rsidRDefault="00A54021" w:rsidP="00E63EE0">
            <w:pPr>
              <w:pStyle w:val="cuatexto"/>
              <w:jc w:val="right"/>
              <w:rPr>
                <w:sz w:val="17"/>
                <w:szCs w:val="17"/>
                <w:lang w:val="es-ES" w:eastAsia="es-ES"/>
              </w:rPr>
            </w:pPr>
            <w:r w:rsidRPr="0000793A">
              <w:rPr>
                <w:sz w:val="17"/>
                <w:szCs w:val="17"/>
                <w:lang w:val="es-ES" w:eastAsia="es-ES"/>
              </w:rPr>
              <w:t xml:space="preserve">  </w:t>
            </w:r>
            <w:r w:rsidR="0088085F" w:rsidRPr="0000793A">
              <w:rPr>
                <w:sz w:val="17"/>
                <w:szCs w:val="17"/>
                <w:lang w:val="es-ES" w:eastAsia="es-ES"/>
              </w:rPr>
              <w:t>1.498.205</w:t>
            </w:r>
          </w:p>
        </w:tc>
        <w:tc>
          <w:tcPr>
            <w:tcW w:w="340" w:type="pct"/>
            <w:gridSpan w:val="2"/>
            <w:tcBorders>
              <w:top w:val="single" w:sz="2" w:space="0" w:color="auto"/>
              <w:left w:val="nil"/>
              <w:bottom w:val="single" w:sz="2" w:space="0" w:color="auto"/>
              <w:right w:val="nil"/>
            </w:tcBorders>
            <w:shd w:val="clear" w:color="auto" w:fill="auto"/>
            <w:vAlign w:val="center"/>
            <w:hideMark/>
          </w:tcPr>
          <w:p w14:paraId="52BAFB09" w14:textId="77777777" w:rsidR="0088085F" w:rsidRPr="0000793A" w:rsidRDefault="000B0250" w:rsidP="00E63EE0">
            <w:pPr>
              <w:pStyle w:val="cuatexto"/>
              <w:jc w:val="right"/>
              <w:rPr>
                <w:sz w:val="17"/>
                <w:szCs w:val="17"/>
                <w:lang w:val="es-ES" w:eastAsia="es-ES"/>
              </w:rPr>
            </w:pPr>
            <w:r w:rsidRPr="0000793A">
              <w:rPr>
                <w:sz w:val="17"/>
                <w:szCs w:val="17"/>
                <w:lang w:val="es-ES" w:eastAsia="es-ES"/>
              </w:rPr>
              <w:t xml:space="preserve">     </w:t>
            </w:r>
            <w:r w:rsidR="0088085F" w:rsidRPr="0000793A">
              <w:rPr>
                <w:sz w:val="17"/>
                <w:szCs w:val="17"/>
                <w:lang w:val="es-ES" w:eastAsia="es-ES"/>
              </w:rPr>
              <w:t>5</w:t>
            </w:r>
          </w:p>
        </w:tc>
        <w:tc>
          <w:tcPr>
            <w:tcW w:w="518" w:type="pct"/>
            <w:gridSpan w:val="2"/>
            <w:tcBorders>
              <w:top w:val="single" w:sz="2" w:space="0" w:color="auto"/>
              <w:left w:val="nil"/>
              <w:bottom w:val="single" w:sz="2" w:space="0" w:color="auto"/>
              <w:right w:val="nil"/>
            </w:tcBorders>
            <w:shd w:val="clear" w:color="auto" w:fill="auto"/>
            <w:vAlign w:val="center"/>
            <w:hideMark/>
          </w:tcPr>
          <w:p w14:paraId="6A3D646E"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158.418</w:t>
            </w:r>
          </w:p>
        </w:tc>
        <w:tc>
          <w:tcPr>
            <w:tcW w:w="353" w:type="pct"/>
            <w:tcBorders>
              <w:top w:val="single" w:sz="2" w:space="0" w:color="auto"/>
              <w:left w:val="nil"/>
              <w:bottom w:val="single" w:sz="2" w:space="0" w:color="auto"/>
              <w:right w:val="nil"/>
            </w:tcBorders>
            <w:shd w:val="clear" w:color="auto" w:fill="auto"/>
            <w:noWrap/>
            <w:vAlign w:val="center"/>
            <w:hideMark/>
          </w:tcPr>
          <w:p w14:paraId="5042B9D5"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24</w:t>
            </w:r>
          </w:p>
        </w:tc>
        <w:tc>
          <w:tcPr>
            <w:tcW w:w="574" w:type="pct"/>
            <w:tcBorders>
              <w:top w:val="single" w:sz="2" w:space="0" w:color="auto"/>
              <w:left w:val="nil"/>
              <w:bottom w:val="single" w:sz="2" w:space="0" w:color="auto"/>
              <w:right w:val="nil"/>
            </w:tcBorders>
            <w:shd w:val="clear" w:color="auto" w:fill="auto"/>
            <w:noWrap/>
            <w:vAlign w:val="center"/>
            <w:hideMark/>
          </w:tcPr>
          <w:p w14:paraId="2AE01378"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 xml:space="preserve">1.820.573 </w:t>
            </w:r>
          </w:p>
        </w:tc>
      </w:tr>
      <w:tr w:rsidR="00195193" w:rsidRPr="0000793A" w14:paraId="39D62349" w14:textId="77777777" w:rsidTr="00D809C2">
        <w:trPr>
          <w:trHeight w:val="227"/>
          <w:jc w:val="center"/>
        </w:trPr>
        <w:tc>
          <w:tcPr>
            <w:tcW w:w="1069" w:type="pct"/>
            <w:tcBorders>
              <w:top w:val="single" w:sz="2" w:space="0" w:color="auto"/>
              <w:left w:val="nil"/>
              <w:bottom w:val="single" w:sz="2" w:space="0" w:color="auto"/>
              <w:right w:val="nil"/>
            </w:tcBorders>
            <w:shd w:val="clear" w:color="auto" w:fill="auto"/>
            <w:noWrap/>
            <w:vAlign w:val="center"/>
            <w:hideMark/>
          </w:tcPr>
          <w:p w14:paraId="4DE4BFFF" w14:textId="77777777" w:rsidR="0088085F" w:rsidRPr="0000793A" w:rsidRDefault="0088085F" w:rsidP="0095705D">
            <w:pPr>
              <w:pStyle w:val="cuatexto"/>
              <w:jc w:val="left"/>
              <w:rPr>
                <w:sz w:val="17"/>
                <w:szCs w:val="17"/>
                <w:lang w:val="es-ES" w:eastAsia="es-ES"/>
              </w:rPr>
            </w:pPr>
            <w:r w:rsidRPr="0000793A">
              <w:rPr>
                <w:sz w:val="17"/>
                <w:szCs w:val="17"/>
                <w:lang w:val="es-ES" w:eastAsia="es-ES"/>
              </w:rPr>
              <w:t>Suministros</w:t>
            </w:r>
          </w:p>
        </w:tc>
        <w:tc>
          <w:tcPr>
            <w:tcW w:w="479" w:type="pct"/>
            <w:tcBorders>
              <w:top w:val="single" w:sz="2" w:space="0" w:color="auto"/>
              <w:left w:val="nil"/>
              <w:bottom w:val="single" w:sz="2" w:space="0" w:color="auto"/>
              <w:right w:val="nil"/>
            </w:tcBorders>
            <w:shd w:val="clear" w:color="auto" w:fill="auto"/>
            <w:vAlign w:val="center"/>
            <w:hideMark/>
          </w:tcPr>
          <w:p w14:paraId="5BA6732D"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2</w:t>
            </w:r>
          </w:p>
        </w:tc>
        <w:tc>
          <w:tcPr>
            <w:tcW w:w="604" w:type="pct"/>
            <w:tcBorders>
              <w:top w:val="single" w:sz="2" w:space="0" w:color="auto"/>
              <w:left w:val="nil"/>
              <w:bottom w:val="single" w:sz="2" w:space="0" w:color="auto"/>
              <w:right w:val="nil"/>
            </w:tcBorders>
            <w:shd w:val="clear" w:color="auto" w:fill="auto"/>
            <w:vAlign w:val="center"/>
            <w:hideMark/>
          </w:tcPr>
          <w:p w14:paraId="1B9D6183" w14:textId="77777777" w:rsidR="0088085F" w:rsidRPr="0000793A" w:rsidRDefault="0088085F" w:rsidP="00451107">
            <w:pPr>
              <w:pStyle w:val="cuatexto"/>
              <w:ind w:right="92"/>
              <w:jc w:val="right"/>
              <w:rPr>
                <w:sz w:val="17"/>
                <w:szCs w:val="17"/>
                <w:lang w:val="es-ES" w:eastAsia="es-ES"/>
              </w:rPr>
            </w:pPr>
            <w:r w:rsidRPr="0000793A">
              <w:rPr>
                <w:sz w:val="17"/>
                <w:szCs w:val="17"/>
                <w:lang w:val="es-ES" w:eastAsia="es-ES"/>
              </w:rPr>
              <w:t>297.465</w:t>
            </w:r>
          </w:p>
        </w:tc>
        <w:tc>
          <w:tcPr>
            <w:tcW w:w="465" w:type="pct"/>
            <w:gridSpan w:val="2"/>
            <w:tcBorders>
              <w:top w:val="single" w:sz="2" w:space="0" w:color="auto"/>
              <w:left w:val="nil"/>
              <w:bottom w:val="single" w:sz="2" w:space="0" w:color="auto"/>
              <w:right w:val="nil"/>
            </w:tcBorders>
            <w:shd w:val="clear" w:color="auto" w:fill="auto"/>
            <w:vAlign w:val="center"/>
            <w:hideMark/>
          </w:tcPr>
          <w:p w14:paraId="7FB2A219" w14:textId="77777777" w:rsidR="0088085F" w:rsidRPr="0000793A" w:rsidRDefault="00A54021" w:rsidP="00E63EE0">
            <w:pPr>
              <w:pStyle w:val="cuatexto"/>
              <w:jc w:val="right"/>
              <w:rPr>
                <w:sz w:val="17"/>
                <w:szCs w:val="17"/>
                <w:lang w:val="es-ES" w:eastAsia="es-ES"/>
              </w:rPr>
            </w:pPr>
            <w:r w:rsidRPr="0000793A">
              <w:rPr>
                <w:sz w:val="17"/>
                <w:szCs w:val="17"/>
                <w:lang w:val="es-ES" w:eastAsia="es-ES"/>
              </w:rPr>
              <w:t xml:space="preserve">    </w:t>
            </w:r>
            <w:r w:rsidR="0088085F" w:rsidRPr="0000793A">
              <w:rPr>
                <w:sz w:val="17"/>
                <w:szCs w:val="17"/>
                <w:lang w:val="es-ES" w:eastAsia="es-ES"/>
              </w:rPr>
              <w:t>20</w:t>
            </w:r>
          </w:p>
        </w:tc>
        <w:tc>
          <w:tcPr>
            <w:tcW w:w="598" w:type="pct"/>
            <w:tcBorders>
              <w:top w:val="single" w:sz="2" w:space="0" w:color="auto"/>
              <w:left w:val="nil"/>
              <w:bottom w:val="single" w:sz="2" w:space="0" w:color="auto"/>
              <w:right w:val="nil"/>
            </w:tcBorders>
            <w:shd w:val="clear" w:color="auto" w:fill="auto"/>
            <w:vAlign w:val="center"/>
            <w:hideMark/>
          </w:tcPr>
          <w:p w14:paraId="03018C2D" w14:textId="77777777" w:rsidR="0088085F" w:rsidRPr="0000793A" w:rsidRDefault="00A54021" w:rsidP="00E63EE0">
            <w:pPr>
              <w:pStyle w:val="cuatexto"/>
              <w:jc w:val="right"/>
              <w:rPr>
                <w:sz w:val="17"/>
                <w:szCs w:val="17"/>
                <w:lang w:val="es-ES" w:eastAsia="es-ES"/>
              </w:rPr>
            </w:pPr>
            <w:r w:rsidRPr="0000793A">
              <w:rPr>
                <w:sz w:val="17"/>
                <w:szCs w:val="17"/>
                <w:lang w:val="es-ES" w:eastAsia="es-ES"/>
              </w:rPr>
              <w:t xml:space="preserve"> </w:t>
            </w:r>
            <w:r w:rsidR="0088085F" w:rsidRPr="0000793A">
              <w:rPr>
                <w:sz w:val="17"/>
                <w:szCs w:val="17"/>
                <w:lang w:val="es-ES" w:eastAsia="es-ES"/>
              </w:rPr>
              <w:t>8.554.251</w:t>
            </w:r>
          </w:p>
        </w:tc>
        <w:tc>
          <w:tcPr>
            <w:tcW w:w="340" w:type="pct"/>
            <w:gridSpan w:val="2"/>
            <w:tcBorders>
              <w:top w:val="single" w:sz="2" w:space="0" w:color="auto"/>
              <w:left w:val="nil"/>
              <w:bottom w:val="single" w:sz="2" w:space="0" w:color="auto"/>
              <w:right w:val="nil"/>
            </w:tcBorders>
            <w:shd w:val="clear" w:color="auto" w:fill="auto"/>
            <w:vAlign w:val="center"/>
            <w:hideMark/>
          </w:tcPr>
          <w:p w14:paraId="6D6B4DD2" w14:textId="77777777" w:rsidR="0088085F" w:rsidRPr="0000793A" w:rsidRDefault="000B0250" w:rsidP="00E63EE0">
            <w:pPr>
              <w:pStyle w:val="cuatexto"/>
              <w:jc w:val="right"/>
              <w:rPr>
                <w:sz w:val="17"/>
                <w:szCs w:val="17"/>
                <w:lang w:val="es-ES" w:eastAsia="es-ES"/>
              </w:rPr>
            </w:pPr>
            <w:r w:rsidRPr="0000793A">
              <w:rPr>
                <w:sz w:val="17"/>
                <w:szCs w:val="17"/>
                <w:lang w:val="es-ES" w:eastAsia="es-ES"/>
              </w:rPr>
              <w:t xml:space="preserve">     </w:t>
            </w:r>
            <w:r w:rsidR="0088085F" w:rsidRPr="0000793A">
              <w:rPr>
                <w:sz w:val="17"/>
                <w:szCs w:val="17"/>
                <w:lang w:val="es-ES" w:eastAsia="es-ES"/>
              </w:rPr>
              <w:t>2</w:t>
            </w:r>
          </w:p>
        </w:tc>
        <w:tc>
          <w:tcPr>
            <w:tcW w:w="518" w:type="pct"/>
            <w:gridSpan w:val="2"/>
            <w:tcBorders>
              <w:top w:val="single" w:sz="2" w:space="0" w:color="auto"/>
              <w:left w:val="nil"/>
              <w:bottom w:val="single" w:sz="2" w:space="0" w:color="auto"/>
              <w:right w:val="nil"/>
            </w:tcBorders>
            <w:shd w:val="clear" w:color="auto" w:fill="auto"/>
            <w:vAlign w:val="center"/>
            <w:hideMark/>
          </w:tcPr>
          <w:p w14:paraId="48956954"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63.202</w:t>
            </w:r>
          </w:p>
        </w:tc>
        <w:tc>
          <w:tcPr>
            <w:tcW w:w="353" w:type="pct"/>
            <w:tcBorders>
              <w:top w:val="single" w:sz="2" w:space="0" w:color="auto"/>
              <w:left w:val="nil"/>
              <w:bottom w:val="single" w:sz="2" w:space="0" w:color="auto"/>
              <w:right w:val="nil"/>
            </w:tcBorders>
            <w:shd w:val="clear" w:color="auto" w:fill="auto"/>
            <w:noWrap/>
            <w:vAlign w:val="center"/>
            <w:hideMark/>
          </w:tcPr>
          <w:p w14:paraId="26F6859F"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24</w:t>
            </w:r>
          </w:p>
        </w:tc>
        <w:tc>
          <w:tcPr>
            <w:tcW w:w="574" w:type="pct"/>
            <w:tcBorders>
              <w:top w:val="single" w:sz="2" w:space="0" w:color="auto"/>
              <w:left w:val="nil"/>
              <w:bottom w:val="single" w:sz="2" w:space="0" w:color="auto"/>
              <w:right w:val="nil"/>
            </w:tcBorders>
            <w:shd w:val="clear" w:color="auto" w:fill="auto"/>
            <w:noWrap/>
            <w:vAlign w:val="center"/>
            <w:hideMark/>
          </w:tcPr>
          <w:p w14:paraId="5A70F0E3" w14:textId="77777777" w:rsidR="0088085F" w:rsidRPr="0000793A" w:rsidRDefault="0088085F" w:rsidP="00E63EE0">
            <w:pPr>
              <w:pStyle w:val="cuatexto"/>
              <w:jc w:val="right"/>
              <w:rPr>
                <w:sz w:val="17"/>
                <w:szCs w:val="17"/>
                <w:lang w:val="es-ES" w:eastAsia="es-ES"/>
              </w:rPr>
            </w:pPr>
            <w:r w:rsidRPr="0000793A">
              <w:rPr>
                <w:sz w:val="17"/>
                <w:szCs w:val="17"/>
                <w:lang w:val="es-ES" w:eastAsia="es-ES"/>
              </w:rPr>
              <w:t xml:space="preserve">8.914.918 </w:t>
            </w:r>
          </w:p>
        </w:tc>
      </w:tr>
      <w:tr w:rsidR="00195193" w:rsidRPr="0095705D" w14:paraId="4F4B0F11" w14:textId="77777777" w:rsidTr="00D809C2">
        <w:trPr>
          <w:trHeight w:val="284"/>
          <w:jc w:val="center"/>
        </w:trPr>
        <w:tc>
          <w:tcPr>
            <w:tcW w:w="1069" w:type="pct"/>
            <w:tcBorders>
              <w:top w:val="single" w:sz="4" w:space="0" w:color="auto"/>
              <w:left w:val="nil"/>
              <w:bottom w:val="single" w:sz="4" w:space="0" w:color="auto"/>
              <w:right w:val="nil"/>
            </w:tcBorders>
            <w:shd w:val="clear" w:color="auto" w:fill="FABF8F" w:themeFill="accent6" w:themeFillTint="99"/>
            <w:noWrap/>
            <w:vAlign w:val="center"/>
          </w:tcPr>
          <w:p w14:paraId="671473CB" w14:textId="77777777" w:rsidR="0088085F" w:rsidRPr="0095705D" w:rsidRDefault="0088085F" w:rsidP="0095705D">
            <w:pPr>
              <w:pStyle w:val="cuadroCabe"/>
              <w:jc w:val="left"/>
              <w:rPr>
                <w:sz w:val="16"/>
                <w:szCs w:val="16"/>
                <w:lang w:val="es-ES" w:eastAsia="es-ES"/>
              </w:rPr>
            </w:pPr>
            <w:r w:rsidRPr="0095705D">
              <w:rPr>
                <w:sz w:val="16"/>
                <w:szCs w:val="16"/>
                <w:lang w:val="es-ES" w:eastAsia="es-ES"/>
              </w:rPr>
              <w:t>Total general</w:t>
            </w:r>
          </w:p>
        </w:tc>
        <w:tc>
          <w:tcPr>
            <w:tcW w:w="479" w:type="pct"/>
            <w:tcBorders>
              <w:top w:val="single" w:sz="4" w:space="0" w:color="auto"/>
              <w:left w:val="nil"/>
              <w:bottom w:val="single" w:sz="4" w:space="0" w:color="auto"/>
              <w:right w:val="nil"/>
            </w:tcBorders>
            <w:shd w:val="clear" w:color="auto" w:fill="FABF8F" w:themeFill="accent6" w:themeFillTint="99"/>
            <w:vAlign w:val="center"/>
          </w:tcPr>
          <w:p w14:paraId="16AB2F81" w14:textId="77777777" w:rsidR="0088085F" w:rsidRPr="0095705D" w:rsidRDefault="0088085F" w:rsidP="00E63EE0">
            <w:pPr>
              <w:pStyle w:val="cuadroCabe"/>
              <w:jc w:val="right"/>
              <w:rPr>
                <w:sz w:val="16"/>
                <w:szCs w:val="16"/>
                <w:lang w:val="es-ES" w:eastAsia="es-ES"/>
              </w:rPr>
            </w:pPr>
            <w:r w:rsidRPr="0095705D">
              <w:rPr>
                <w:sz w:val="16"/>
                <w:szCs w:val="16"/>
                <w:lang w:val="es-ES" w:eastAsia="es-ES"/>
              </w:rPr>
              <w:t>4</w:t>
            </w:r>
          </w:p>
        </w:tc>
        <w:tc>
          <w:tcPr>
            <w:tcW w:w="604" w:type="pct"/>
            <w:tcBorders>
              <w:top w:val="single" w:sz="4" w:space="0" w:color="auto"/>
              <w:left w:val="nil"/>
              <w:bottom w:val="single" w:sz="4" w:space="0" w:color="auto"/>
              <w:right w:val="nil"/>
            </w:tcBorders>
            <w:shd w:val="clear" w:color="auto" w:fill="FABF8F" w:themeFill="accent6" w:themeFillTint="99"/>
            <w:vAlign w:val="center"/>
          </w:tcPr>
          <w:p w14:paraId="404A2BE6" w14:textId="77777777" w:rsidR="0088085F" w:rsidRPr="0095705D" w:rsidRDefault="00A54021" w:rsidP="00451107">
            <w:pPr>
              <w:pStyle w:val="cuadroCabe"/>
              <w:ind w:right="92"/>
              <w:jc w:val="right"/>
              <w:rPr>
                <w:sz w:val="16"/>
                <w:szCs w:val="16"/>
                <w:lang w:val="es-ES" w:eastAsia="es-ES"/>
              </w:rPr>
            </w:pPr>
            <w:r>
              <w:rPr>
                <w:sz w:val="16"/>
                <w:szCs w:val="16"/>
                <w:lang w:val="es-ES" w:eastAsia="es-ES"/>
              </w:rPr>
              <w:t xml:space="preserve"> </w:t>
            </w:r>
            <w:r w:rsidR="0088085F" w:rsidRPr="0095705D">
              <w:rPr>
                <w:sz w:val="16"/>
                <w:szCs w:val="16"/>
                <w:lang w:val="es-ES" w:eastAsia="es-ES"/>
              </w:rPr>
              <w:t>696.252</w:t>
            </w:r>
          </w:p>
        </w:tc>
        <w:tc>
          <w:tcPr>
            <w:tcW w:w="465" w:type="pct"/>
            <w:gridSpan w:val="2"/>
            <w:tcBorders>
              <w:top w:val="single" w:sz="4" w:space="0" w:color="auto"/>
              <w:left w:val="nil"/>
              <w:bottom w:val="single" w:sz="4" w:space="0" w:color="auto"/>
              <w:right w:val="nil"/>
            </w:tcBorders>
            <w:shd w:val="clear" w:color="auto" w:fill="FABF8F" w:themeFill="accent6" w:themeFillTint="99"/>
            <w:vAlign w:val="center"/>
          </w:tcPr>
          <w:p w14:paraId="7882EDB1" w14:textId="77777777" w:rsidR="0088085F" w:rsidRPr="0095705D" w:rsidRDefault="0088085F" w:rsidP="00E63EE0">
            <w:pPr>
              <w:pStyle w:val="cuadroCabe"/>
              <w:jc w:val="right"/>
              <w:rPr>
                <w:sz w:val="16"/>
                <w:szCs w:val="16"/>
                <w:lang w:val="es-ES" w:eastAsia="es-ES"/>
              </w:rPr>
            </w:pPr>
            <w:r w:rsidRPr="0095705D">
              <w:rPr>
                <w:sz w:val="16"/>
                <w:szCs w:val="16"/>
                <w:lang w:val="es-ES" w:eastAsia="es-ES"/>
              </w:rPr>
              <w:t>52</w:t>
            </w:r>
          </w:p>
        </w:tc>
        <w:tc>
          <w:tcPr>
            <w:tcW w:w="598" w:type="pct"/>
            <w:tcBorders>
              <w:top w:val="single" w:sz="4" w:space="0" w:color="auto"/>
              <w:left w:val="nil"/>
              <w:bottom w:val="single" w:sz="4" w:space="0" w:color="auto"/>
              <w:right w:val="nil"/>
            </w:tcBorders>
            <w:shd w:val="clear" w:color="auto" w:fill="FABF8F" w:themeFill="accent6" w:themeFillTint="99"/>
            <w:vAlign w:val="center"/>
          </w:tcPr>
          <w:p w14:paraId="51E5A905" w14:textId="77777777" w:rsidR="0088085F" w:rsidRPr="0095705D" w:rsidRDefault="0088085F" w:rsidP="00E63EE0">
            <w:pPr>
              <w:pStyle w:val="cuadroCabe"/>
              <w:jc w:val="right"/>
              <w:rPr>
                <w:sz w:val="16"/>
                <w:szCs w:val="16"/>
                <w:lang w:val="es-ES" w:eastAsia="es-ES"/>
              </w:rPr>
            </w:pPr>
            <w:r w:rsidRPr="0095705D">
              <w:rPr>
                <w:sz w:val="16"/>
                <w:szCs w:val="16"/>
                <w:lang w:val="es-ES" w:eastAsia="es-ES"/>
              </w:rPr>
              <w:t>27.589.588</w:t>
            </w:r>
          </w:p>
        </w:tc>
        <w:tc>
          <w:tcPr>
            <w:tcW w:w="340" w:type="pct"/>
            <w:gridSpan w:val="2"/>
            <w:tcBorders>
              <w:top w:val="single" w:sz="4" w:space="0" w:color="auto"/>
              <w:left w:val="nil"/>
              <w:bottom w:val="single" w:sz="4" w:space="0" w:color="auto"/>
              <w:right w:val="nil"/>
            </w:tcBorders>
            <w:shd w:val="clear" w:color="auto" w:fill="FABF8F" w:themeFill="accent6" w:themeFillTint="99"/>
            <w:vAlign w:val="center"/>
          </w:tcPr>
          <w:p w14:paraId="7291F942" w14:textId="77777777" w:rsidR="0088085F" w:rsidRPr="0095705D" w:rsidRDefault="0088085F" w:rsidP="00E63EE0">
            <w:pPr>
              <w:pStyle w:val="cuadroCabe"/>
              <w:jc w:val="right"/>
              <w:rPr>
                <w:sz w:val="16"/>
                <w:szCs w:val="16"/>
                <w:lang w:val="es-ES" w:eastAsia="es-ES"/>
              </w:rPr>
            </w:pPr>
            <w:r w:rsidRPr="0095705D">
              <w:rPr>
                <w:sz w:val="16"/>
                <w:szCs w:val="16"/>
                <w:lang w:val="es-ES" w:eastAsia="es-ES"/>
              </w:rPr>
              <w:t>7</w:t>
            </w:r>
          </w:p>
        </w:tc>
        <w:tc>
          <w:tcPr>
            <w:tcW w:w="518" w:type="pct"/>
            <w:gridSpan w:val="2"/>
            <w:tcBorders>
              <w:top w:val="single" w:sz="4" w:space="0" w:color="auto"/>
              <w:left w:val="nil"/>
              <w:bottom w:val="single" w:sz="4" w:space="0" w:color="auto"/>
              <w:right w:val="nil"/>
            </w:tcBorders>
            <w:shd w:val="clear" w:color="auto" w:fill="FABF8F" w:themeFill="accent6" w:themeFillTint="99"/>
            <w:vAlign w:val="center"/>
          </w:tcPr>
          <w:p w14:paraId="65144E03" w14:textId="77777777" w:rsidR="0088085F" w:rsidRPr="0095705D" w:rsidRDefault="0088085F" w:rsidP="00E63EE0">
            <w:pPr>
              <w:pStyle w:val="cuadroCabe"/>
              <w:jc w:val="right"/>
              <w:rPr>
                <w:sz w:val="16"/>
                <w:szCs w:val="16"/>
                <w:lang w:val="es-ES" w:eastAsia="es-ES"/>
              </w:rPr>
            </w:pPr>
            <w:r w:rsidRPr="0095705D">
              <w:rPr>
                <w:sz w:val="16"/>
                <w:szCs w:val="16"/>
                <w:lang w:val="es-ES" w:eastAsia="es-ES"/>
              </w:rPr>
              <w:t>221.620</w:t>
            </w:r>
          </w:p>
        </w:tc>
        <w:tc>
          <w:tcPr>
            <w:tcW w:w="353" w:type="pct"/>
            <w:tcBorders>
              <w:top w:val="single" w:sz="4" w:space="0" w:color="auto"/>
              <w:left w:val="nil"/>
              <w:bottom w:val="single" w:sz="4" w:space="0" w:color="auto"/>
              <w:right w:val="nil"/>
            </w:tcBorders>
            <w:shd w:val="clear" w:color="auto" w:fill="FABF8F" w:themeFill="accent6" w:themeFillTint="99"/>
            <w:noWrap/>
            <w:vAlign w:val="center"/>
          </w:tcPr>
          <w:p w14:paraId="5701BECD" w14:textId="77777777" w:rsidR="0088085F" w:rsidRPr="0095705D" w:rsidRDefault="0088085F" w:rsidP="00E63EE0">
            <w:pPr>
              <w:pStyle w:val="cuadroCabe"/>
              <w:jc w:val="right"/>
              <w:rPr>
                <w:sz w:val="16"/>
                <w:szCs w:val="16"/>
                <w:lang w:val="es-ES" w:eastAsia="es-ES"/>
              </w:rPr>
            </w:pPr>
            <w:r w:rsidRPr="0095705D">
              <w:rPr>
                <w:sz w:val="16"/>
                <w:szCs w:val="16"/>
                <w:lang w:val="es-ES" w:eastAsia="es-ES"/>
              </w:rPr>
              <w:t>63</w:t>
            </w:r>
          </w:p>
        </w:tc>
        <w:tc>
          <w:tcPr>
            <w:tcW w:w="574" w:type="pct"/>
            <w:tcBorders>
              <w:top w:val="single" w:sz="4" w:space="0" w:color="auto"/>
              <w:left w:val="nil"/>
              <w:bottom w:val="single" w:sz="4" w:space="0" w:color="auto"/>
              <w:right w:val="nil"/>
            </w:tcBorders>
            <w:shd w:val="clear" w:color="auto" w:fill="FABF8F" w:themeFill="accent6" w:themeFillTint="99"/>
            <w:noWrap/>
            <w:vAlign w:val="center"/>
          </w:tcPr>
          <w:p w14:paraId="7901A605" w14:textId="77777777" w:rsidR="0088085F" w:rsidRPr="0095705D" w:rsidRDefault="0088085F" w:rsidP="00E63EE0">
            <w:pPr>
              <w:pStyle w:val="cuadroCabe"/>
              <w:jc w:val="right"/>
              <w:rPr>
                <w:sz w:val="16"/>
                <w:szCs w:val="16"/>
                <w:lang w:val="es-ES" w:eastAsia="es-ES"/>
              </w:rPr>
            </w:pPr>
            <w:r w:rsidRPr="0095705D">
              <w:rPr>
                <w:sz w:val="16"/>
                <w:szCs w:val="16"/>
                <w:lang w:val="es-ES" w:eastAsia="es-ES"/>
              </w:rPr>
              <w:t>28.507.460</w:t>
            </w:r>
          </w:p>
        </w:tc>
      </w:tr>
    </w:tbl>
    <w:p w14:paraId="0D8DE5C2" w14:textId="77777777" w:rsidR="0088085F" w:rsidRPr="00262228" w:rsidRDefault="0088085F" w:rsidP="0095705D">
      <w:pPr>
        <w:pStyle w:val="texto"/>
        <w:spacing w:before="220"/>
      </w:pPr>
      <w:r w:rsidRPr="00262228">
        <w:t xml:space="preserve">Los organismos autónomos, sociedades públicas y consorcios han adjudicado un total de 63 contratos por importe de 28,51 millones, importe superior al del año 2018 en un 31 por ciento. </w:t>
      </w:r>
    </w:p>
    <w:p w14:paraId="17B3EA24" w14:textId="77777777" w:rsidR="0088085F" w:rsidRPr="00262228" w:rsidRDefault="0088085F" w:rsidP="0088085F">
      <w:pPr>
        <w:pStyle w:val="texto"/>
      </w:pPr>
      <w:r w:rsidRPr="00262228">
        <w:t>Del número total de contratos adjudicados en 2019, el 83 por ciento corresponde a sociedades públicas por 27,59 millones y supone el 97 por ciento del importe total. El resto de contratos fueron adjudicados por organismos autónomos y por consorcios representando ambos el tres por ciento del importe total.</w:t>
      </w:r>
    </w:p>
    <w:p w14:paraId="6C2A366D" w14:textId="77777777" w:rsidR="0088085F" w:rsidRPr="00262228" w:rsidRDefault="0088085F" w:rsidP="0088085F">
      <w:pPr>
        <w:pStyle w:val="texto"/>
      </w:pPr>
      <w:r w:rsidRPr="00262228">
        <w:lastRenderedPageBreak/>
        <w:t>En resumen, en el año 2019 los entes locales y sus entes dependientes adjudicaron 504 contratos por un total de 102,34 millones, cifras muy similares a las del año anterior.</w:t>
      </w:r>
    </w:p>
    <w:p w14:paraId="2A76DB26" w14:textId="77777777" w:rsidR="0088085F" w:rsidRPr="00262228" w:rsidRDefault="0088085F" w:rsidP="00923043">
      <w:pPr>
        <w:pStyle w:val="texto"/>
        <w:spacing w:after="240"/>
      </w:pPr>
      <w:r w:rsidRPr="00262228">
        <w:t>A continuación, mostramos el número de contratos e importe por procedimiento de contratación:</w:t>
      </w:r>
    </w:p>
    <w:tbl>
      <w:tblPr>
        <w:tblW w:w="5000" w:type="pct"/>
        <w:jc w:val="center"/>
        <w:tblCellMar>
          <w:left w:w="70" w:type="dxa"/>
          <w:right w:w="70" w:type="dxa"/>
        </w:tblCellMar>
        <w:tblLook w:val="04A0" w:firstRow="1" w:lastRow="0" w:firstColumn="1" w:lastColumn="0" w:noHBand="0" w:noVBand="1"/>
      </w:tblPr>
      <w:tblGrid>
        <w:gridCol w:w="1811"/>
        <w:gridCol w:w="444"/>
        <w:gridCol w:w="1034"/>
        <w:gridCol w:w="425"/>
        <w:gridCol w:w="936"/>
        <w:gridCol w:w="445"/>
        <w:gridCol w:w="1038"/>
        <w:gridCol w:w="326"/>
        <w:gridCol w:w="788"/>
        <w:gridCol w:w="446"/>
        <w:gridCol w:w="1096"/>
      </w:tblGrid>
      <w:tr w:rsidR="0088085F" w:rsidRPr="009361CC" w14:paraId="4572B4D5" w14:textId="77777777" w:rsidTr="00B9085A">
        <w:trPr>
          <w:trHeight w:val="340"/>
          <w:jc w:val="center"/>
        </w:trPr>
        <w:tc>
          <w:tcPr>
            <w:tcW w:w="1031" w:type="pct"/>
            <w:vMerge w:val="restart"/>
            <w:tcBorders>
              <w:top w:val="single" w:sz="4" w:space="0" w:color="auto"/>
              <w:left w:val="nil"/>
              <w:bottom w:val="single" w:sz="2" w:space="0" w:color="auto"/>
            </w:tcBorders>
            <w:shd w:val="clear" w:color="auto" w:fill="FABF8F" w:themeFill="accent6" w:themeFillTint="99"/>
            <w:noWrap/>
            <w:vAlign w:val="center"/>
            <w:hideMark/>
          </w:tcPr>
          <w:p w14:paraId="2CC21BD8" w14:textId="77777777" w:rsidR="0088085F" w:rsidRPr="009361CC" w:rsidRDefault="0088085F" w:rsidP="00C13CE1">
            <w:pPr>
              <w:pStyle w:val="cuadroCabe"/>
              <w:jc w:val="center"/>
              <w:rPr>
                <w:rFonts w:cs="Arial"/>
                <w:color w:val="000000" w:themeColor="text1"/>
                <w:sz w:val="16"/>
                <w:szCs w:val="16"/>
                <w:lang w:val="es-ES" w:eastAsia="es-ES"/>
              </w:rPr>
            </w:pPr>
          </w:p>
        </w:tc>
        <w:tc>
          <w:tcPr>
            <w:tcW w:w="842" w:type="pct"/>
            <w:gridSpan w:val="2"/>
            <w:tcBorders>
              <w:top w:val="single" w:sz="4" w:space="0" w:color="auto"/>
              <w:bottom w:val="single" w:sz="2" w:space="0" w:color="auto"/>
            </w:tcBorders>
            <w:shd w:val="clear" w:color="auto" w:fill="FABF8F" w:themeFill="accent6" w:themeFillTint="99"/>
            <w:vAlign w:val="center"/>
            <w:hideMark/>
          </w:tcPr>
          <w:p w14:paraId="2DB2FB8C" w14:textId="77777777" w:rsidR="0088085F" w:rsidRPr="009361CC" w:rsidRDefault="00DE492F" w:rsidP="00DE492F">
            <w:pPr>
              <w:pStyle w:val="cuadroCabe"/>
              <w:jc w:val="center"/>
              <w:rPr>
                <w:rFonts w:cs="Arial"/>
                <w:color w:val="000000" w:themeColor="text1"/>
                <w:sz w:val="16"/>
                <w:szCs w:val="16"/>
                <w:lang w:val="es-ES" w:eastAsia="es-ES"/>
              </w:rPr>
            </w:pPr>
            <w:r>
              <w:rPr>
                <w:rFonts w:cs="Arial"/>
                <w:color w:val="000000" w:themeColor="text1"/>
                <w:sz w:val="16"/>
                <w:szCs w:val="16"/>
                <w:lang w:val="es-ES" w:eastAsia="es-ES"/>
              </w:rPr>
              <w:t xml:space="preserve">   </w:t>
            </w:r>
            <w:r w:rsidR="0088085F" w:rsidRPr="009361CC">
              <w:rPr>
                <w:rFonts w:cs="Arial"/>
                <w:color w:val="000000" w:themeColor="text1"/>
                <w:sz w:val="16"/>
                <w:szCs w:val="16"/>
                <w:lang w:val="es-ES" w:eastAsia="es-ES"/>
              </w:rPr>
              <w:t>Abierto</w:t>
            </w:r>
          </w:p>
        </w:tc>
        <w:tc>
          <w:tcPr>
            <w:tcW w:w="773" w:type="pct"/>
            <w:gridSpan w:val="2"/>
            <w:tcBorders>
              <w:top w:val="single" w:sz="4" w:space="0" w:color="auto"/>
              <w:bottom w:val="single" w:sz="2" w:space="0" w:color="auto"/>
            </w:tcBorders>
            <w:shd w:val="clear" w:color="auto" w:fill="FABF8F" w:themeFill="accent6" w:themeFillTint="99"/>
            <w:vAlign w:val="center"/>
            <w:hideMark/>
          </w:tcPr>
          <w:p w14:paraId="4668E7AD" w14:textId="77777777" w:rsidR="0088085F" w:rsidRPr="009361CC" w:rsidRDefault="00DE492F" w:rsidP="00DE492F">
            <w:pPr>
              <w:pStyle w:val="cuadroCabe"/>
              <w:jc w:val="center"/>
              <w:rPr>
                <w:rFonts w:cs="Arial"/>
                <w:color w:val="000000" w:themeColor="text1"/>
                <w:sz w:val="16"/>
                <w:szCs w:val="16"/>
                <w:lang w:val="es-ES" w:eastAsia="es-ES"/>
              </w:rPr>
            </w:pPr>
            <w:r>
              <w:rPr>
                <w:rFonts w:cs="Arial"/>
                <w:color w:val="000000" w:themeColor="text1"/>
                <w:sz w:val="16"/>
                <w:szCs w:val="16"/>
                <w:lang w:val="es-ES" w:eastAsia="es-ES"/>
              </w:rPr>
              <w:t xml:space="preserve">  </w:t>
            </w:r>
            <w:r w:rsidR="0088085F" w:rsidRPr="009361CC">
              <w:rPr>
                <w:rFonts w:cs="Arial"/>
                <w:color w:val="000000" w:themeColor="text1"/>
                <w:sz w:val="16"/>
                <w:szCs w:val="16"/>
                <w:lang w:val="es-ES" w:eastAsia="es-ES"/>
              </w:rPr>
              <w:t>Simplificado</w:t>
            </w:r>
          </w:p>
        </w:tc>
        <w:tc>
          <w:tcPr>
            <w:tcW w:w="845" w:type="pct"/>
            <w:gridSpan w:val="2"/>
            <w:tcBorders>
              <w:top w:val="single" w:sz="4" w:space="0" w:color="auto"/>
              <w:bottom w:val="single" w:sz="2" w:space="0" w:color="auto"/>
            </w:tcBorders>
            <w:shd w:val="clear" w:color="auto" w:fill="FABF8F" w:themeFill="accent6" w:themeFillTint="99"/>
            <w:vAlign w:val="center"/>
            <w:hideMark/>
          </w:tcPr>
          <w:p w14:paraId="418CAC11" w14:textId="77777777" w:rsidR="0088085F" w:rsidRPr="009361CC" w:rsidRDefault="00DE492F" w:rsidP="00DE492F">
            <w:pPr>
              <w:pStyle w:val="cuadroCabe"/>
              <w:jc w:val="center"/>
              <w:rPr>
                <w:rFonts w:cs="Arial"/>
                <w:color w:val="000000" w:themeColor="text1"/>
                <w:sz w:val="16"/>
                <w:szCs w:val="16"/>
                <w:lang w:val="es-ES" w:eastAsia="es-ES"/>
              </w:rPr>
            </w:pPr>
            <w:r>
              <w:rPr>
                <w:rFonts w:cs="Arial"/>
                <w:color w:val="000000" w:themeColor="text1"/>
                <w:sz w:val="16"/>
                <w:szCs w:val="16"/>
                <w:lang w:val="es-ES" w:eastAsia="es-ES"/>
              </w:rPr>
              <w:t xml:space="preserve">   </w:t>
            </w:r>
            <w:r w:rsidR="0088085F" w:rsidRPr="009361CC">
              <w:rPr>
                <w:rFonts w:cs="Arial"/>
                <w:color w:val="000000" w:themeColor="text1"/>
                <w:sz w:val="16"/>
                <w:szCs w:val="16"/>
                <w:lang w:val="es-ES" w:eastAsia="es-ES"/>
              </w:rPr>
              <w:t xml:space="preserve">Negociado sin </w:t>
            </w:r>
            <w:r w:rsidR="0023151B" w:rsidRPr="009361CC">
              <w:rPr>
                <w:rFonts w:cs="Arial"/>
                <w:color w:val="000000" w:themeColor="text1"/>
                <w:sz w:val="16"/>
                <w:szCs w:val="16"/>
                <w:lang w:val="es-ES" w:eastAsia="es-ES"/>
              </w:rPr>
              <w:t xml:space="preserve">  </w:t>
            </w:r>
            <w:r w:rsidR="00923043" w:rsidRPr="009361CC">
              <w:rPr>
                <w:rFonts w:cs="Arial"/>
                <w:color w:val="000000" w:themeColor="text1"/>
                <w:sz w:val="16"/>
                <w:szCs w:val="16"/>
                <w:lang w:val="es-ES" w:eastAsia="es-ES"/>
              </w:rPr>
              <w:t xml:space="preserve">   </w:t>
            </w:r>
            <w:r w:rsidR="0023151B" w:rsidRPr="009361CC">
              <w:rPr>
                <w:rFonts w:cs="Arial"/>
                <w:color w:val="000000" w:themeColor="text1"/>
                <w:sz w:val="16"/>
                <w:szCs w:val="16"/>
                <w:lang w:val="es-ES" w:eastAsia="es-ES"/>
              </w:rPr>
              <w:t xml:space="preserve"> </w:t>
            </w:r>
            <w:r>
              <w:rPr>
                <w:rFonts w:cs="Arial"/>
                <w:color w:val="000000" w:themeColor="text1"/>
                <w:sz w:val="16"/>
                <w:szCs w:val="16"/>
                <w:lang w:val="es-ES" w:eastAsia="es-ES"/>
              </w:rPr>
              <w:t xml:space="preserve">     </w:t>
            </w:r>
            <w:r w:rsidR="0088085F" w:rsidRPr="009361CC">
              <w:rPr>
                <w:rFonts w:cs="Arial"/>
                <w:color w:val="000000" w:themeColor="text1"/>
                <w:sz w:val="16"/>
                <w:szCs w:val="16"/>
                <w:lang w:val="es-ES" w:eastAsia="es-ES"/>
              </w:rPr>
              <w:t xml:space="preserve">convocatoria </w:t>
            </w:r>
            <w:proofErr w:type="spellStart"/>
            <w:r w:rsidR="0088085F" w:rsidRPr="009361CC">
              <w:rPr>
                <w:rFonts w:cs="Arial"/>
                <w:color w:val="000000" w:themeColor="text1"/>
                <w:sz w:val="16"/>
                <w:szCs w:val="16"/>
                <w:lang w:val="es-ES" w:eastAsia="es-ES"/>
              </w:rPr>
              <w:t>licit</w:t>
            </w:r>
            <w:proofErr w:type="spellEnd"/>
            <w:r w:rsidR="0088085F" w:rsidRPr="009361CC">
              <w:rPr>
                <w:rFonts w:cs="Arial"/>
                <w:color w:val="000000" w:themeColor="text1"/>
                <w:sz w:val="16"/>
                <w:szCs w:val="16"/>
                <w:lang w:val="es-ES" w:eastAsia="es-ES"/>
              </w:rPr>
              <w:t>.</w:t>
            </w:r>
          </w:p>
        </w:tc>
        <w:tc>
          <w:tcPr>
            <w:tcW w:w="634" w:type="pct"/>
            <w:gridSpan w:val="2"/>
            <w:tcBorders>
              <w:top w:val="single" w:sz="4" w:space="0" w:color="auto"/>
              <w:bottom w:val="single" w:sz="2" w:space="0" w:color="auto"/>
            </w:tcBorders>
            <w:shd w:val="clear" w:color="auto" w:fill="FABF8F" w:themeFill="accent6" w:themeFillTint="99"/>
            <w:vAlign w:val="center"/>
            <w:hideMark/>
          </w:tcPr>
          <w:p w14:paraId="4CB1E84F" w14:textId="77777777" w:rsidR="0088085F" w:rsidRPr="009361CC" w:rsidRDefault="00DE492F" w:rsidP="00DE492F">
            <w:pPr>
              <w:pStyle w:val="cuadroCabe"/>
              <w:jc w:val="center"/>
              <w:rPr>
                <w:rFonts w:cs="Arial"/>
                <w:color w:val="000000" w:themeColor="text1"/>
                <w:sz w:val="16"/>
                <w:szCs w:val="16"/>
                <w:lang w:val="es-ES" w:eastAsia="es-ES"/>
              </w:rPr>
            </w:pPr>
            <w:r>
              <w:rPr>
                <w:rFonts w:cs="Arial"/>
                <w:color w:val="000000" w:themeColor="text1"/>
                <w:sz w:val="16"/>
                <w:szCs w:val="16"/>
                <w:lang w:val="es-ES" w:eastAsia="es-ES"/>
              </w:rPr>
              <w:t xml:space="preserve">  </w:t>
            </w:r>
            <w:r w:rsidR="0088085F" w:rsidRPr="009361CC">
              <w:rPr>
                <w:rFonts w:cs="Arial"/>
                <w:color w:val="000000" w:themeColor="text1"/>
                <w:sz w:val="16"/>
                <w:szCs w:val="16"/>
                <w:lang w:val="es-ES" w:eastAsia="es-ES"/>
              </w:rPr>
              <w:t>Negociado</w:t>
            </w:r>
          </w:p>
        </w:tc>
        <w:tc>
          <w:tcPr>
            <w:tcW w:w="875" w:type="pct"/>
            <w:gridSpan w:val="2"/>
            <w:tcBorders>
              <w:top w:val="single" w:sz="4" w:space="0" w:color="auto"/>
              <w:bottom w:val="single" w:sz="2" w:space="0" w:color="auto"/>
              <w:right w:val="nil"/>
            </w:tcBorders>
            <w:shd w:val="clear" w:color="auto" w:fill="FABF8F" w:themeFill="accent6" w:themeFillTint="99"/>
            <w:vAlign w:val="center"/>
            <w:hideMark/>
          </w:tcPr>
          <w:p w14:paraId="6029FA43" w14:textId="77777777" w:rsidR="0088085F" w:rsidRPr="009361CC" w:rsidRDefault="00DE492F" w:rsidP="00DE492F">
            <w:pPr>
              <w:pStyle w:val="cuadroCabe"/>
              <w:jc w:val="center"/>
              <w:rPr>
                <w:rFonts w:cs="Arial"/>
                <w:color w:val="000000" w:themeColor="text1"/>
                <w:sz w:val="16"/>
                <w:szCs w:val="16"/>
                <w:lang w:val="es-ES" w:eastAsia="es-ES"/>
              </w:rPr>
            </w:pPr>
            <w:r>
              <w:rPr>
                <w:rFonts w:cs="Arial"/>
                <w:color w:val="000000" w:themeColor="text1"/>
                <w:sz w:val="16"/>
                <w:szCs w:val="16"/>
                <w:lang w:val="es-ES" w:eastAsia="es-ES"/>
              </w:rPr>
              <w:t xml:space="preserve">   </w:t>
            </w:r>
            <w:r w:rsidR="0088085F" w:rsidRPr="009361CC">
              <w:rPr>
                <w:rFonts w:cs="Arial"/>
                <w:color w:val="000000" w:themeColor="text1"/>
                <w:sz w:val="16"/>
                <w:szCs w:val="16"/>
                <w:lang w:val="es-ES" w:eastAsia="es-ES"/>
              </w:rPr>
              <w:t>Total general</w:t>
            </w:r>
          </w:p>
        </w:tc>
      </w:tr>
      <w:tr w:rsidR="0088085F" w:rsidRPr="009361CC" w14:paraId="6FF53B14" w14:textId="77777777" w:rsidTr="00A005AA">
        <w:trPr>
          <w:trHeight w:hRule="exact" w:val="255"/>
          <w:jc w:val="center"/>
        </w:trPr>
        <w:tc>
          <w:tcPr>
            <w:tcW w:w="1031" w:type="pct"/>
            <w:vMerge/>
            <w:tcBorders>
              <w:top w:val="single" w:sz="2" w:space="0" w:color="auto"/>
              <w:left w:val="nil"/>
              <w:bottom w:val="single" w:sz="4" w:space="0" w:color="000000"/>
            </w:tcBorders>
            <w:vAlign w:val="center"/>
            <w:hideMark/>
          </w:tcPr>
          <w:p w14:paraId="5C9016B6" w14:textId="77777777" w:rsidR="0088085F" w:rsidRPr="009361CC" w:rsidRDefault="0088085F" w:rsidP="00C13CE1">
            <w:pPr>
              <w:pStyle w:val="cuadroCabe"/>
              <w:rPr>
                <w:rFonts w:cs="Arial"/>
                <w:color w:val="000000" w:themeColor="text1"/>
                <w:sz w:val="16"/>
                <w:szCs w:val="16"/>
                <w:lang w:val="es-ES" w:eastAsia="es-ES"/>
              </w:rPr>
            </w:pPr>
          </w:p>
        </w:tc>
        <w:tc>
          <w:tcPr>
            <w:tcW w:w="253" w:type="pct"/>
            <w:tcBorders>
              <w:top w:val="single" w:sz="2" w:space="0" w:color="auto"/>
              <w:bottom w:val="single" w:sz="4" w:space="0" w:color="auto"/>
            </w:tcBorders>
            <w:shd w:val="clear" w:color="000000" w:fill="FABF8F"/>
            <w:vAlign w:val="center"/>
            <w:hideMark/>
          </w:tcPr>
          <w:p w14:paraId="1EC41AF6" w14:textId="77777777" w:rsidR="0088085F" w:rsidRPr="009361CC" w:rsidRDefault="0088085F" w:rsidP="001E5CF2">
            <w:pPr>
              <w:pStyle w:val="cuadroCabe"/>
              <w:jc w:val="right"/>
              <w:rPr>
                <w:rFonts w:cs="Arial"/>
                <w:color w:val="000000" w:themeColor="text1"/>
                <w:sz w:val="16"/>
                <w:szCs w:val="16"/>
                <w:lang w:val="es-ES" w:eastAsia="es-ES"/>
              </w:rPr>
            </w:pPr>
            <w:r w:rsidRPr="009361CC">
              <w:rPr>
                <w:rFonts w:cs="Arial"/>
                <w:color w:val="000000" w:themeColor="text1"/>
                <w:sz w:val="16"/>
                <w:szCs w:val="16"/>
                <w:lang w:val="es-ES" w:eastAsia="es-ES"/>
              </w:rPr>
              <w:t>Nº</w:t>
            </w:r>
          </w:p>
        </w:tc>
        <w:tc>
          <w:tcPr>
            <w:tcW w:w="589" w:type="pct"/>
            <w:tcBorders>
              <w:top w:val="single" w:sz="2" w:space="0" w:color="auto"/>
              <w:bottom w:val="single" w:sz="4" w:space="0" w:color="auto"/>
            </w:tcBorders>
            <w:shd w:val="clear" w:color="000000" w:fill="FABF8F"/>
            <w:vAlign w:val="center"/>
            <w:hideMark/>
          </w:tcPr>
          <w:p w14:paraId="644B16D9" w14:textId="77777777" w:rsidR="0088085F" w:rsidRPr="009361CC" w:rsidRDefault="0088085F" w:rsidP="001E5CF2">
            <w:pPr>
              <w:pStyle w:val="cuadroCabe"/>
              <w:jc w:val="right"/>
              <w:rPr>
                <w:rFonts w:cs="Arial"/>
                <w:color w:val="000000" w:themeColor="text1"/>
                <w:sz w:val="16"/>
                <w:szCs w:val="16"/>
                <w:lang w:val="es-ES" w:eastAsia="es-ES"/>
              </w:rPr>
            </w:pPr>
            <w:r w:rsidRPr="009361CC">
              <w:rPr>
                <w:rFonts w:cs="Arial"/>
                <w:color w:val="000000" w:themeColor="text1"/>
                <w:sz w:val="16"/>
                <w:szCs w:val="16"/>
                <w:lang w:val="es-ES" w:eastAsia="es-ES"/>
              </w:rPr>
              <w:t>Imp</w:t>
            </w:r>
            <w:r w:rsidR="005C6682">
              <w:rPr>
                <w:rFonts w:cs="Arial"/>
                <w:color w:val="000000" w:themeColor="text1"/>
                <w:sz w:val="16"/>
                <w:szCs w:val="16"/>
                <w:lang w:val="es-ES" w:eastAsia="es-ES"/>
              </w:rPr>
              <w:t>orte</w:t>
            </w:r>
          </w:p>
        </w:tc>
        <w:tc>
          <w:tcPr>
            <w:tcW w:w="241" w:type="pct"/>
            <w:tcBorders>
              <w:top w:val="single" w:sz="2" w:space="0" w:color="auto"/>
              <w:bottom w:val="single" w:sz="4" w:space="0" w:color="auto"/>
            </w:tcBorders>
            <w:shd w:val="clear" w:color="000000" w:fill="FABF8F"/>
            <w:vAlign w:val="center"/>
            <w:hideMark/>
          </w:tcPr>
          <w:p w14:paraId="2FB8679D" w14:textId="77777777" w:rsidR="0088085F" w:rsidRPr="009361CC" w:rsidRDefault="0088085F" w:rsidP="001E5CF2">
            <w:pPr>
              <w:pStyle w:val="cuadroCabe"/>
              <w:jc w:val="right"/>
              <w:rPr>
                <w:rFonts w:cs="Arial"/>
                <w:color w:val="000000" w:themeColor="text1"/>
                <w:sz w:val="16"/>
                <w:szCs w:val="16"/>
                <w:lang w:val="es-ES" w:eastAsia="es-ES"/>
              </w:rPr>
            </w:pPr>
            <w:r w:rsidRPr="009361CC">
              <w:rPr>
                <w:rFonts w:cs="Arial"/>
                <w:color w:val="000000" w:themeColor="text1"/>
                <w:sz w:val="16"/>
                <w:szCs w:val="16"/>
                <w:lang w:val="es-ES" w:eastAsia="es-ES"/>
              </w:rPr>
              <w:t>Nº</w:t>
            </w:r>
          </w:p>
        </w:tc>
        <w:tc>
          <w:tcPr>
            <w:tcW w:w="533" w:type="pct"/>
            <w:tcBorders>
              <w:top w:val="single" w:sz="2" w:space="0" w:color="auto"/>
              <w:bottom w:val="single" w:sz="4" w:space="0" w:color="auto"/>
            </w:tcBorders>
            <w:shd w:val="clear" w:color="000000" w:fill="FABF8F"/>
            <w:vAlign w:val="center"/>
            <w:hideMark/>
          </w:tcPr>
          <w:p w14:paraId="506BB146" w14:textId="77777777" w:rsidR="0088085F" w:rsidRPr="009361CC" w:rsidRDefault="0088085F" w:rsidP="001E5CF2">
            <w:pPr>
              <w:pStyle w:val="cuadroCabe"/>
              <w:jc w:val="right"/>
              <w:rPr>
                <w:rFonts w:cs="Arial"/>
                <w:color w:val="000000" w:themeColor="text1"/>
                <w:sz w:val="16"/>
                <w:szCs w:val="16"/>
                <w:lang w:val="es-ES" w:eastAsia="es-ES"/>
              </w:rPr>
            </w:pPr>
            <w:r w:rsidRPr="009361CC">
              <w:rPr>
                <w:rFonts w:cs="Arial"/>
                <w:color w:val="000000" w:themeColor="text1"/>
                <w:sz w:val="16"/>
                <w:szCs w:val="16"/>
                <w:lang w:val="es-ES" w:eastAsia="es-ES"/>
              </w:rPr>
              <w:t>Imp</w:t>
            </w:r>
            <w:r w:rsidR="005C6682">
              <w:rPr>
                <w:rFonts w:cs="Arial"/>
                <w:color w:val="000000" w:themeColor="text1"/>
                <w:sz w:val="16"/>
                <w:szCs w:val="16"/>
                <w:lang w:val="es-ES" w:eastAsia="es-ES"/>
              </w:rPr>
              <w:t>orte</w:t>
            </w:r>
          </w:p>
        </w:tc>
        <w:tc>
          <w:tcPr>
            <w:tcW w:w="254" w:type="pct"/>
            <w:tcBorders>
              <w:top w:val="single" w:sz="2" w:space="0" w:color="auto"/>
              <w:bottom w:val="single" w:sz="4" w:space="0" w:color="auto"/>
            </w:tcBorders>
            <w:shd w:val="clear" w:color="000000" w:fill="FABF8F"/>
            <w:vAlign w:val="center"/>
            <w:hideMark/>
          </w:tcPr>
          <w:p w14:paraId="4E7CAFF5" w14:textId="77777777" w:rsidR="0088085F" w:rsidRPr="009361CC" w:rsidRDefault="00117107" w:rsidP="001E5CF2">
            <w:pPr>
              <w:pStyle w:val="cuadroCabe"/>
              <w:ind w:right="-42"/>
              <w:jc w:val="right"/>
              <w:rPr>
                <w:rFonts w:cs="Arial"/>
                <w:color w:val="000000" w:themeColor="text1"/>
                <w:sz w:val="16"/>
                <w:szCs w:val="16"/>
                <w:lang w:val="es-ES" w:eastAsia="es-ES"/>
              </w:rPr>
            </w:pPr>
            <w:r>
              <w:rPr>
                <w:rFonts w:cs="Arial"/>
                <w:color w:val="000000" w:themeColor="text1"/>
                <w:sz w:val="16"/>
                <w:szCs w:val="16"/>
                <w:lang w:val="es-ES" w:eastAsia="es-ES"/>
              </w:rPr>
              <w:t xml:space="preserve"> </w:t>
            </w:r>
            <w:r w:rsidR="0088085F" w:rsidRPr="009361CC">
              <w:rPr>
                <w:rFonts w:cs="Arial"/>
                <w:color w:val="000000" w:themeColor="text1"/>
                <w:sz w:val="16"/>
                <w:szCs w:val="16"/>
                <w:lang w:val="es-ES" w:eastAsia="es-ES"/>
              </w:rPr>
              <w:t>Nº</w:t>
            </w:r>
          </w:p>
        </w:tc>
        <w:tc>
          <w:tcPr>
            <w:tcW w:w="590" w:type="pct"/>
            <w:tcBorders>
              <w:top w:val="single" w:sz="2" w:space="0" w:color="auto"/>
              <w:bottom w:val="single" w:sz="4" w:space="0" w:color="auto"/>
            </w:tcBorders>
            <w:shd w:val="clear" w:color="000000" w:fill="FABF8F"/>
            <w:vAlign w:val="center"/>
            <w:hideMark/>
          </w:tcPr>
          <w:p w14:paraId="20772891" w14:textId="77777777" w:rsidR="0088085F" w:rsidRPr="009361CC" w:rsidRDefault="0088085F" w:rsidP="001E5CF2">
            <w:pPr>
              <w:pStyle w:val="cuadroCabe"/>
              <w:ind w:right="92"/>
              <w:jc w:val="right"/>
              <w:rPr>
                <w:rFonts w:cs="Arial"/>
                <w:color w:val="000000" w:themeColor="text1"/>
                <w:sz w:val="16"/>
                <w:szCs w:val="16"/>
                <w:lang w:val="es-ES" w:eastAsia="es-ES"/>
              </w:rPr>
            </w:pPr>
            <w:r w:rsidRPr="009361CC">
              <w:rPr>
                <w:rFonts w:cs="Arial"/>
                <w:color w:val="000000" w:themeColor="text1"/>
                <w:sz w:val="16"/>
                <w:szCs w:val="16"/>
                <w:lang w:val="es-ES" w:eastAsia="es-ES"/>
              </w:rPr>
              <w:t>Imp</w:t>
            </w:r>
            <w:r w:rsidR="005C6682">
              <w:rPr>
                <w:rFonts w:cs="Arial"/>
                <w:color w:val="000000" w:themeColor="text1"/>
                <w:sz w:val="16"/>
                <w:szCs w:val="16"/>
                <w:lang w:val="es-ES" w:eastAsia="es-ES"/>
              </w:rPr>
              <w:t>orte</w:t>
            </w:r>
          </w:p>
        </w:tc>
        <w:tc>
          <w:tcPr>
            <w:tcW w:w="185" w:type="pct"/>
            <w:tcBorders>
              <w:top w:val="single" w:sz="2" w:space="0" w:color="auto"/>
              <w:bottom w:val="single" w:sz="4" w:space="0" w:color="auto"/>
            </w:tcBorders>
            <w:shd w:val="clear" w:color="000000" w:fill="FABF8F"/>
            <w:vAlign w:val="center"/>
            <w:hideMark/>
          </w:tcPr>
          <w:p w14:paraId="165BFEFF" w14:textId="77777777" w:rsidR="0088085F" w:rsidRPr="009361CC" w:rsidRDefault="0088085F" w:rsidP="001E5CF2">
            <w:pPr>
              <w:pStyle w:val="cuadroCabe"/>
              <w:ind w:right="-59"/>
              <w:jc w:val="right"/>
              <w:rPr>
                <w:rFonts w:cs="Arial"/>
                <w:color w:val="000000" w:themeColor="text1"/>
                <w:sz w:val="16"/>
                <w:szCs w:val="16"/>
                <w:lang w:val="es-ES" w:eastAsia="es-ES"/>
              </w:rPr>
            </w:pPr>
            <w:r w:rsidRPr="009361CC">
              <w:rPr>
                <w:rFonts w:cs="Arial"/>
                <w:color w:val="000000" w:themeColor="text1"/>
                <w:sz w:val="16"/>
                <w:szCs w:val="16"/>
                <w:lang w:val="es-ES" w:eastAsia="es-ES"/>
              </w:rPr>
              <w:t>Nº</w:t>
            </w:r>
          </w:p>
        </w:tc>
        <w:tc>
          <w:tcPr>
            <w:tcW w:w="449" w:type="pct"/>
            <w:tcBorders>
              <w:top w:val="single" w:sz="2" w:space="0" w:color="auto"/>
              <w:bottom w:val="single" w:sz="4" w:space="0" w:color="auto"/>
            </w:tcBorders>
            <w:shd w:val="clear" w:color="000000" w:fill="FABF8F"/>
            <w:vAlign w:val="center"/>
            <w:hideMark/>
          </w:tcPr>
          <w:p w14:paraId="62523894" w14:textId="77777777" w:rsidR="0088085F" w:rsidRPr="009361CC" w:rsidRDefault="0088085F" w:rsidP="001E5CF2">
            <w:pPr>
              <w:pStyle w:val="cuadroCabe"/>
              <w:jc w:val="right"/>
              <w:rPr>
                <w:rFonts w:cs="Arial"/>
                <w:color w:val="000000" w:themeColor="text1"/>
                <w:sz w:val="16"/>
                <w:szCs w:val="16"/>
                <w:lang w:val="es-ES" w:eastAsia="es-ES"/>
              </w:rPr>
            </w:pPr>
            <w:r w:rsidRPr="009361CC">
              <w:rPr>
                <w:rFonts w:cs="Arial"/>
                <w:color w:val="000000" w:themeColor="text1"/>
                <w:sz w:val="16"/>
                <w:szCs w:val="16"/>
                <w:lang w:val="es-ES" w:eastAsia="es-ES"/>
              </w:rPr>
              <w:t>Imp</w:t>
            </w:r>
            <w:r w:rsidR="005C6682">
              <w:rPr>
                <w:rFonts w:cs="Arial"/>
                <w:color w:val="000000" w:themeColor="text1"/>
                <w:sz w:val="16"/>
                <w:szCs w:val="16"/>
                <w:lang w:val="es-ES" w:eastAsia="es-ES"/>
              </w:rPr>
              <w:t>orte</w:t>
            </w:r>
          </w:p>
        </w:tc>
        <w:tc>
          <w:tcPr>
            <w:tcW w:w="254" w:type="pct"/>
            <w:tcBorders>
              <w:top w:val="single" w:sz="2" w:space="0" w:color="auto"/>
              <w:bottom w:val="single" w:sz="4" w:space="0" w:color="auto"/>
            </w:tcBorders>
            <w:shd w:val="clear" w:color="000000" w:fill="FABF8F"/>
            <w:vAlign w:val="center"/>
            <w:hideMark/>
          </w:tcPr>
          <w:p w14:paraId="07516B99" w14:textId="77777777" w:rsidR="0088085F" w:rsidRPr="009361CC" w:rsidRDefault="00DE492F" w:rsidP="001E5CF2">
            <w:pPr>
              <w:pStyle w:val="cuadroCabe"/>
              <w:ind w:right="-57"/>
              <w:jc w:val="right"/>
              <w:rPr>
                <w:rFonts w:cs="Arial"/>
                <w:color w:val="000000" w:themeColor="text1"/>
                <w:sz w:val="16"/>
                <w:szCs w:val="16"/>
                <w:lang w:val="es-ES" w:eastAsia="es-ES"/>
              </w:rPr>
            </w:pPr>
            <w:r>
              <w:rPr>
                <w:rFonts w:cs="Arial"/>
                <w:color w:val="000000" w:themeColor="text1"/>
                <w:sz w:val="16"/>
                <w:szCs w:val="16"/>
                <w:lang w:val="es-ES" w:eastAsia="es-ES"/>
              </w:rPr>
              <w:t xml:space="preserve"> </w:t>
            </w:r>
            <w:r w:rsidR="0088085F" w:rsidRPr="009361CC">
              <w:rPr>
                <w:rFonts w:cs="Arial"/>
                <w:color w:val="000000" w:themeColor="text1"/>
                <w:sz w:val="16"/>
                <w:szCs w:val="16"/>
                <w:lang w:val="es-ES" w:eastAsia="es-ES"/>
              </w:rPr>
              <w:t>Nº</w:t>
            </w:r>
          </w:p>
        </w:tc>
        <w:tc>
          <w:tcPr>
            <w:tcW w:w="621" w:type="pct"/>
            <w:tcBorders>
              <w:top w:val="single" w:sz="2" w:space="0" w:color="auto"/>
              <w:bottom w:val="single" w:sz="4" w:space="0" w:color="auto"/>
              <w:right w:val="nil"/>
            </w:tcBorders>
            <w:shd w:val="clear" w:color="000000" w:fill="FABF8F"/>
            <w:vAlign w:val="center"/>
            <w:hideMark/>
          </w:tcPr>
          <w:p w14:paraId="59997A49" w14:textId="77777777" w:rsidR="0088085F" w:rsidRPr="009361CC" w:rsidRDefault="0088085F" w:rsidP="001E5CF2">
            <w:pPr>
              <w:pStyle w:val="cuadroCabe"/>
              <w:jc w:val="right"/>
              <w:rPr>
                <w:rFonts w:cs="Arial"/>
                <w:color w:val="000000" w:themeColor="text1"/>
                <w:sz w:val="16"/>
                <w:szCs w:val="16"/>
                <w:lang w:val="es-ES" w:eastAsia="es-ES"/>
              </w:rPr>
            </w:pPr>
            <w:r w:rsidRPr="009361CC">
              <w:rPr>
                <w:rFonts w:cs="Arial"/>
                <w:color w:val="000000" w:themeColor="text1"/>
                <w:sz w:val="16"/>
                <w:szCs w:val="16"/>
                <w:lang w:val="es-ES" w:eastAsia="es-ES"/>
              </w:rPr>
              <w:t>Imp</w:t>
            </w:r>
            <w:r w:rsidR="005C6682">
              <w:rPr>
                <w:rFonts w:cs="Arial"/>
                <w:color w:val="000000" w:themeColor="text1"/>
                <w:sz w:val="16"/>
                <w:szCs w:val="16"/>
                <w:lang w:val="es-ES" w:eastAsia="es-ES"/>
              </w:rPr>
              <w:t>orte</w:t>
            </w:r>
          </w:p>
        </w:tc>
      </w:tr>
      <w:tr w:rsidR="0088085F" w:rsidRPr="006F00A7" w14:paraId="507893BE" w14:textId="77777777" w:rsidTr="00DE492F">
        <w:trPr>
          <w:trHeight w:val="227"/>
          <w:jc w:val="center"/>
        </w:trPr>
        <w:tc>
          <w:tcPr>
            <w:tcW w:w="1031" w:type="pct"/>
            <w:tcBorders>
              <w:top w:val="nil"/>
              <w:left w:val="nil"/>
              <w:bottom w:val="single" w:sz="2" w:space="0" w:color="auto"/>
            </w:tcBorders>
            <w:shd w:val="clear" w:color="auto" w:fill="auto"/>
            <w:noWrap/>
            <w:vAlign w:val="center"/>
            <w:hideMark/>
          </w:tcPr>
          <w:p w14:paraId="2DE85212" w14:textId="77777777" w:rsidR="0088085F" w:rsidRPr="006F00A7" w:rsidRDefault="0088085F" w:rsidP="00C13CE1">
            <w:pPr>
              <w:pStyle w:val="cuatexto"/>
              <w:rPr>
                <w:color w:val="000000" w:themeColor="text1"/>
                <w:sz w:val="17"/>
                <w:szCs w:val="17"/>
                <w:lang w:val="es-ES" w:eastAsia="es-ES"/>
              </w:rPr>
            </w:pPr>
            <w:r w:rsidRPr="006F00A7">
              <w:rPr>
                <w:color w:val="000000" w:themeColor="text1"/>
                <w:sz w:val="17"/>
                <w:szCs w:val="17"/>
                <w:lang w:val="es-ES" w:eastAsia="es-ES"/>
              </w:rPr>
              <w:t>Obras</w:t>
            </w:r>
          </w:p>
        </w:tc>
        <w:tc>
          <w:tcPr>
            <w:tcW w:w="253" w:type="pct"/>
            <w:tcBorders>
              <w:top w:val="nil"/>
              <w:bottom w:val="single" w:sz="2" w:space="0" w:color="auto"/>
            </w:tcBorders>
            <w:shd w:val="clear" w:color="auto" w:fill="auto"/>
            <w:noWrap/>
            <w:vAlign w:val="center"/>
            <w:hideMark/>
          </w:tcPr>
          <w:p w14:paraId="44A15448"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179</w:t>
            </w:r>
          </w:p>
        </w:tc>
        <w:tc>
          <w:tcPr>
            <w:tcW w:w="589" w:type="pct"/>
            <w:tcBorders>
              <w:top w:val="nil"/>
              <w:bottom w:val="single" w:sz="2" w:space="0" w:color="auto"/>
            </w:tcBorders>
            <w:shd w:val="clear" w:color="auto" w:fill="auto"/>
            <w:noWrap/>
            <w:vAlign w:val="center"/>
            <w:hideMark/>
          </w:tcPr>
          <w:p w14:paraId="7C2B1C87"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60.850.906</w:t>
            </w:r>
          </w:p>
        </w:tc>
        <w:tc>
          <w:tcPr>
            <w:tcW w:w="241" w:type="pct"/>
            <w:tcBorders>
              <w:top w:val="nil"/>
              <w:bottom w:val="single" w:sz="2" w:space="0" w:color="auto"/>
            </w:tcBorders>
            <w:shd w:val="clear" w:color="auto" w:fill="auto"/>
            <w:noWrap/>
            <w:vAlign w:val="center"/>
            <w:hideMark/>
          </w:tcPr>
          <w:p w14:paraId="1CF26719"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79</w:t>
            </w:r>
          </w:p>
        </w:tc>
        <w:tc>
          <w:tcPr>
            <w:tcW w:w="533" w:type="pct"/>
            <w:tcBorders>
              <w:top w:val="nil"/>
              <w:bottom w:val="single" w:sz="2" w:space="0" w:color="auto"/>
            </w:tcBorders>
            <w:shd w:val="clear" w:color="auto" w:fill="auto"/>
            <w:noWrap/>
            <w:vAlign w:val="center"/>
            <w:hideMark/>
          </w:tcPr>
          <w:p w14:paraId="1A69EDE5"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6.008.396</w:t>
            </w:r>
          </w:p>
        </w:tc>
        <w:tc>
          <w:tcPr>
            <w:tcW w:w="254" w:type="pct"/>
            <w:tcBorders>
              <w:top w:val="nil"/>
              <w:bottom w:val="single" w:sz="2" w:space="0" w:color="auto"/>
            </w:tcBorders>
            <w:shd w:val="clear" w:color="auto" w:fill="auto"/>
            <w:noWrap/>
            <w:vAlign w:val="center"/>
            <w:hideMark/>
          </w:tcPr>
          <w:p w14:paraId="6CD82C6D"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8</w:t>
            </w:r>
          </w:p>
        </w:tc>
        <w:tc>
          <w:tcPr>
            <w:tcW w:w="590" w:type="pct"/>
            <w:tcBorders>
              <w:top w:val="nil"/>
              <w:bottom w:val="single" w:sz="2" w:space="0" w:color="auto"/>
            </w:tcBorders>
            <w:shd w:val="clear" w:color="auto" w:fill="auto"/>
            <w:noWrap/>
            <w:vAlign w:val="center"/>
            <w:hideMark/>
          </w:tcPr>
          <w:p w14:paraId="3C2D4151" w14:textId="77777777" w:rsidR="0088085F" w:rsidRPr="006F00A7" w:rsidRDefault="0088085F" w:rsidP="001E5CF2">
            <w:pPr>
              <w:pStyle w:val="cuatexto"/>
              <w:ind w:right="92"/>
              <w:jc w:val="right"/>
              <w:rPr>
                <w:color w:val="000000" w:themeColor="text1"/>
                <w:sz w:val="17"/>
                <w:szCs w:val="17"/>
                <w:lang w:val="es-ES" w:eastAsia="es-ES"/>
              </w:rPr>
            </w:pPr>
            <w:r w:rsidRPr="006F00A7">
              <w:rPr>
                <w:color w:val="000000" w:themeColor="text1"/>
                <w:sz w:val="17"/>
                <w:szCs w:val="17"/>
                <w:lang w:val="es-ES" w:eastAsia="es-ES"/>
              </w:rPr>
              <w:t>1.031.934</w:t>
            </w:r>
          </w:p>
        </w:tc>
        <w:tc>
          <w:tcPr>
            <w:tcW w:w="185" w:type="pct"/>
            <w:tcBorders>
              <w:top w:val="nil"/>
              <w:bottom w:val="single" w:sz="2" w:space="0" w:color="auto"/>
            </w:tcBorders>
            <w:shd w:val="clear" w:color="auto" w:fill="auto"/>
            <w:noWrap/>
            <w:vAlign w:val="center"/>
            <w:hideMark/>
          </w:tcPr>
          <w:p w14:paraId="2F2F93AC" w14:textId="77777777" w:rsidR="0088085F" w:rsidRPr="006F00A7" w:rsidRDefault="0088085F" w:rsidP="001E5CF2">
            <w:pPr>
              <w:pStyle w:val="cuatexto"/>
              <w:ind w:right="-59"/>
              <w:jc w:val="right"/>
              <w:rPr>
                <w:color w:val="000000" w:themeColor="text1"/>
                <w:sz w:val="17"/>
                <w:szCs w:val="17"/>
                <w:lang w:val="es-ES" w:eastAsia="es-ES"/>
              </w:rPr>
            </w:pPr>
            <w:r w:rsidRPr="006F00A7">
              <w:rPr>
                <w:color w:val="000000" w:themeColor="text1"/>
                <w:sz w:val="17"/>
                <w:szCs w:val="17"/>
                <w:lang w:val="es-ES" w:eastAsia="es-ES"/>
              </w:rPr>
              <w:t> </w:t>
            </w:r>
          </w:p>
        </w:tc>
        <w:tc>
          <w:tcPr>
            <w:tcW w:w="449" w:type="pct"/>
            <w:tcBorders>
              <w:top w:val="nil"/>
              <w:bottom w:val="single" w:sz="2" w:space="0" w:color="auto"/>
            </w:tcBorders>
            <w:shd w:val="clear" w:color="auto" w:fill="auto"/>
            <w:noWrap/>
            <w:vAlign w:val="center"/>
            <w:hideMark/>
          </w:tcPr>
          <w:p w14:paraId="4F40FFC1"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 </w:t>
            </w:r>
          </w:p>
        </w:tc>
        <w:tc>
          <w:tcPr>
            <w:tcW w:w="254" w:type="pct"/>
            <w:tcBorders>
              <w:top w:val="nil"/>
              <w:bottom w:val="single" w:sz="2" w:space="0" w:color="auto"/>
            </w:tcBorders>
            <w:shd w:val="clear" w:color="auto" w:fill="auto"/>
            <w:noWrap/>
            <w:vAlign w:val="center"/>
            <w:hideMark/>
          </w:tcPr>
          <w:p w14:paraId="0BA079E4" w14:textId="77777777" w:rsidR="0088085F" w:rsidRPr="006F00A7" w:rsidRDefault="0088085F" w:rsidP="001E5CF2">
            <w:pPr>
              <w:pStyle w:val="cuatexto"/>
              <w:ind w:right="-57"/>
              <w:jc w:val="right"/>
              <w:rPr>
                <w:color w:val="000000" w:themeColor="text1"/>
                <w:sz w:val="17"/>
                <w:szCs w:val="17"/>
                <w:lang w:val="es-ES" w:eastAsia="es-ES"/>
              </w:rPr>
            </w:pPr>
            <w:r w:rsidRPr="006F00A7">
              <w:rPr>
                <w:color w:val="000000" w:themeColor="text1"/>
                <w:sz w:val="17"/>
                <w:szCs w:val="17"/>
                <w:lang w:val="es-ES" w:eastAsia="es-ES"/>
              </w:rPr>
              <w:t>266</w:t>
            </w:r>
          </w:p>
        </w:tc>
        <w:tc>
          <w:tcPr>
            <w:tcW w:w="621" w:type="pct"/>
            <w:tcBorders>
              <w:top w:val="nil"/>
              <w:bottom w:val="single" w:sz="2" w:space="0" w:color="auto"/>
              <w:right w:val="nil"/>
            </w:tcBorders>
            <w:shd w:val="clear" w:color="auto" w:fill="auto"/>
            <w:noWrap/>
            <w:vAlign w:val="center"/>
          </w:tcPr>
          <w:p w14:paraId="2670CD16"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67.891.235</w:t>
            </w:r>
          </w:p>
        </w:tc>
      </w:tr>
      <w:tr w:rsidR="0088085F" w:rsidRPr="006F00A7" w14:paraId="25EC76BF" w14:textId="77777777" w:rsidTr="00DE492F">
        <w:trPr>
          <w:trHeight w:val="227"/>
          <w:jc w:val="center"/>
        </w:trPr>
        <w:tc>
          <w:tcPr>
            <w:tcW w:w="1031" w:type="pct"/>
            <w:tcBorders>
              <w:top w:val="single" w:sz="2" w:space="0" w:color="auto"/>
              <w:left w:val="nil"/>
              <w:bottom w:val="single" w:sz="2" w:space="0" w:color="auto"/>
            </w:tcBorders>
            <w:shd w:val="clear" w:color="auto" w:fill="auto"/>
            <w:noWrap/>
            <w:vAlign w:val="center"/>
            <w:hideMark/>
          </w:tcPr>
          <w:p w14:paraId="3CC8B631" w14:textId="77777777" w:rsidR="0088085F" w:rsidRPr="006F00A7" w:rsidRDefault="0088085F" w:rsidP="00C13CE1">
            <w:pPr>
              <w:pStyle w:val="cuatexto"/>
              <w:rPr>
                <w:color w:val="000000" w:themeColor="text1"/>
                <w:sz w:val="17"/>
                <w:szCs w:val="17"/>
                <w:lang w:val="es-ES" w:eastAsia="es-ES"/>
              </w:rPr>
            </w:pPr>
            <w:r w:rsidRPr="006F00A7">
              <w:rPr>
                <w:color w:val="000000" w:themeColor="text1"/>
                <w:sz w:val="17"/>
                <w:szCs w:val="17"/>
                <w:lang w:val="es-ES" w:eastAsia="es-ES"/>
              </w:rPr>
              <w:t>Servicios</w:t>
            </w:r>
          </w:p>
        </w:tc>
        <w:tc>
          <w:tcPr>
            <w:tcW w:w="253" w:type="pct"/>
            <w:tcBorders>
              <w:top w:val="single" w:sz="2" w:space="0" w:color="auto"/>
              <w:bottom w:val="single" w:sz="2" w:space="0" w:color="auto"/>
            </w:tcBorders>
            <w:shd w:val="clear" w:color="auto" w:fill="auto"/>
            <w:noWrap/>
            <w:vAlign w:val="center"/>
            <w:hideMark/>
          </w:tcPr>
          <w:p w14:paraId="7B024B4A"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119</w:t>
            </w:r>
          </w:p>
        </w:tc>
        <w:tc>
          <w:tcPr>
            <w:tcW w:w="589" w:type="pct"/>
            <w:tcBorders>
              <w:top w:val="single" w:sz="2" w:space="0" w:color="auto"/>
              <w:bottom w:val="single" w:sz="2" w:space="0" w:color="auto"/>
            </w:tcBorders>
            <w:shd w:val="clear" w:color="auto" w:fill="auto"/>
            <w:noWrap/>
            <w:vAlign w:val="center"/>
            <w:hideMark/>
          </w:tcPr>
          <w:p w14:paraId="220F5FC1"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18.568.470</w:t>
            </w:r>
          </w:p>
        </w:tc>
        <w:tc>
          <w:tcPr>
            <w:tcW w:w="241" w:type="pct"/>
            <w:tcBorders>
              <w:top w:val="single" w:sz="2" w:space="0" w:color="auto"/>
              <w:bottom w:val="single" w:sz="2" w:space="0" w:color="auto"/>
            </w:tcBorders>
            <w:shd w:val="clear" w:color="auto" w:fill="auto"/>
            <w:noWrap/>
            <w:vAlign w:val="center"/>
            <w:hideMark/>
          </w:tcPr>
          <w:p w14:paraId="42D92AFB"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13</w:t>
            </w:r>
          </w:p>
        </w:tc>
        <w:tc>
          <w:tcPr>
            <w:tcW w:w="533" w:type="pct"/>
            <w:tcBorders>
              <w:top w:val="single" w:sz="2" w:space="0" w:color="auto"/>
              <w:bottom w:val="single" w:sz="2" w:space="0" w:color="auto"/>
            </w:tcBorders>
            <w:shd w:val="clear" w:color="auto" w:fill="auto"/>
            <w:noWrap/>
            <w:vAlign w:val="center"/>
            <w:hideMark/>
          </w:tcPr>
          <w:p w14:paraId="2052BE0C"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264.367</w:t>
            </w:r>
          </w:p>
        </w:tc>
        <w:tc>
          <w:tcPr>
            <w:tcW w:w="254" w:type="pct"/>
            <w:tcBorders>
              <w:top w:val="single" w:sz="2" w:space="0" w:color="auto"/>
              <w:bottom w:val="single" w:sz="2" w:space="0" w:color="auto"/>
            </w:tcBorders>
            <w:shd w:val="clear" w:color="auto" w:fill="auto"/>
            <w:noWrap/>
            <w:vAlign w:val="center"/>
            <w:hideMark/>
          </w:tcPr>
          <w:p w14:paraId="21518430"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12</w:t>
            </w:r>
          </w:p>
        </w:tc>
        <w:tc>
          <w:tcPr>
            <w:tcW w:w="590" w:type="pct"/>
            <w:tcBorders>
              <w:top w:val="single" w:sz="2" w:space="0" w:color="auto"/>
              <w:bottom w:val="single" w:sz="2" w:space="0" w:color="auto"/>
            </w:tcBorders>
            <w:shd w:val="clear" w:color="auto" w:fill="auto"/>
            <w:noWrap/>
            <w:vAlign w:val="center"/>
            <w:hideMark/>
          </w:tcPr>
          <w:p w14:paraId="4F48F742" w14:textId="77777777" w:rsidR="0088085F" w:rsidRPr="006F00A7" w:rsidRDefault="0088085F" w:rsidP="001E5CF2">
            <w:pPr>
              <w:pStyle w:val="cuatexto"/>
              <w:ind w:right="92"/>
              <w:jc w:val="right"/>
              <w:rPr>
                <w:color w:val="000000" w:themeColor="text1"/>
                <w:sz w:val="17"/>
                <w:szCs w:val="17"/>
                <w:lang w:val="es-ES" w:eastAsia="es-ES"/>
              </w:rPr>
            </w:pPr>
            <w:r w:rsidRPr="006F00A7">
              <w:rPr>
                <w:color w:val="000000" w:themeColor="text1"/>
                <w:sz w:val="17"/>
                <w:szCs w:val="17"/>
                <w:lang w:val="es-ES" w:eastAsia="es-ES"/>
              </w:rPr>
              <w:t>721.218</w:t>
            </w:r>
          </w:p>
        </w:tc>
        <w:tc>
          <w:tcPr>
            <w:tcW w:w="185" w:type="pct"/>
            <w:tcBorders>
              <w:top w:val="single" w:sz="2" w:space="0" w:color="auto"/>
              <w:bottom w:val="single" w:sz="2" w:space="0" w:color="auto"/>
            </w:tcBorders>
            <w:shd w:val="clear" w:color="auto" w:fill="auto"/>
            <w:noWrap/>
            <w:vAlign w:val="center"/>
            <w:hideMark/>
          </w:tcPr>
          <w:p w14:paraId="3D42864E" w14:textId="77777777" w:rsidR="0088085F" w:rsidRPr="006F00A7" w:rsidRDefault="0088085F" w:rsidP="001E5CF2">
            <w:pPr>
              <w:pStyle w:val="cuatexto"/>
              <w:ind w:right="-59"/>
              <w:jc w:val="right"/>
              <w:rPr>
                <w:color w:val="000000" w:themeColor="text1"/>
                <w:sz w:val="17"/>
                <w:szCs w:val="17"/>
                <w:lang w:val="es-ES" w:eastAsia="es-ES"/>
              </w:rPr>
            </w:pPr>
            <w:r w:rsidRPr="006F00A7">
              <w:rPr>
                <w:color w:val="000000" w:themeColor="text1"/>
                <w:sz w:val="17"/>
                <w:szCs w:val="17"/>
                <w:lang w:val="es-ES" w:eastAsia="es-ES"/>
              </w:rPr>
              <w:t>6</w:t>
            </w:r>
          </w:p>
        </w:tc>
        <w:tc>
          <w:tcPr>
            <w:tcW w:w="449" w:type="pct"/>
            <w:tcBorders>
              <w:top w:val="single" w:sz="2" w:space="0" w:color="auto"/>
              <w:bottom w:val="single" w:sz="2" w:space="0" w:color="auto"/>
            </w:tcBorders>
            <w:shd w:val="clear" w:color="auto" w:fill="auto"/>
            <w:noWrap/>
            <w:vAlign w:val="center"/>
            <w:hideMark/>
          </w:tcPr>
          <w:p w14:paraId="3C272452"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151.809</w:t>
            </w:r>
          </w:p>
        </w:tc>
        <w:tc>
          <w:tcPr>
            <w:tcW w:w="254" w:type="pct"/>
            <w:tcBorders>
              <w:top w:val="single" w:sz="2" w:space="0" w:color="auto"/>
              <w:bottom w:val="single" w:sz="2" w:space="0" w:color="auto"/>
            </w:tcBorders>
            <w:shd w:val="clear" w:color="auto" w:fill="auto"/>
            <w:noWrap/>
            <w:vAlign w:val="center"/>
            <w:hideMark/>
          </w:tcPr>
          <w:p w14:paraId="44A92A4A" w14:textId="77777777" w:rsidR="0088085F" w:rsidRPr="006F00A7" w:rsidRDefault="0088085F" w:rsidP="001E5CF2">
            <w:pPr>
              <w:pStyle w:val="cuatexto"/>
              <w:ind w:right="-57"/>
              <w:jc w:val="right"/>
              <w:rPr>
                <w:color w:val="000000" w:themeColor="text1"/>
                <w:sz w:val="17"/>
                <w:szCs w:val="17"/>
                <w:lang w:val="es-ES" w:eastAsia="es-ES"/>
              </w:rPr>
            </w:pPr>
            <w:r w:rsidRPr="006F00A7">
              <w:rPr>
                <w:color w:val="000000" w:themeColor="text1"/>
                <w:sz w:val="17"/>
                <w:szCs w:val="17"/>
                <w:lang w:val="es-ES" w:eastAsia="es-ES"/>
              </w:rPr>
              <w:t>150</w:t>
            </w:r>
          </w:p>
        </w:tc>
        <w:tc>
          <w:tcPr>
            <w:tcW w:w="621" w:type="pct"/>
            <w:tcBorders>
              <w:top w:val="single" w:sz="2" w:space="0" w:color="auto"/>
              <w:bottom w:val="single" w:sz="2" w:space="0" w:color="auto"/>
              <w:right w:val="nil"/>
            </w:tcBorders>
            <w:shd w:val="clear" w:color="auto" w:fill="auto"/>
            <w:noWrap/>
            <w:vAlign w:val="center"/>
          </w:tcPr>
          <w:p w14:paraId="28C8442F"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19.705.864</w:t>
            </w:r>
          </w:p>
        </w:tc>
      </w:tr>
      <w:tr w:rsidR="0088085F" w:rsidRPr="006F00A7" w14:paraId="5C08BDB3" w14:textId="77777777" w:rsidTr="00DE492F">
        <w:trPr>
          <w:trHeight w:val="227"/>
          <w:jc w:val="center"/>
        </w:trPr>
        <w:tc>
          <w:tcPr>
            <w:tcW w:w="1031" w:type="pct"/>
            <w:tcBorders>
              <w:top w:val="single" w:sz="2" w:space="0" w:color="auto"/>
              <w:left w:val="nil"/>
              <w:bottom w:val="single" w:sz="2" w:space="0" w:color="auto"/>
            </w:tcBorders>
            <w:shd w:val="clear" w:color="auto" w:fill="auto"/>
            <w:noWrap/>
            <w:vAlign w:val="center"/>
            <w:hideMark/>
          </w:tcPr>
          <w:p w14:paraId="7B9455A6" w14:textId="77777777" w:rsidR="0088085F" w:rsidRPr="006F00A7" w:rsidRDefault="0088085F" w:rsidP="00C13CE1">
            <w:pPr>
              <w:pStyle w:val="cuatexto"/>
              <w:rPr>
                <w:color w:val="000000" w:themeColor="text1"/>
                <w:sz w:val="17"/>
                <w:szCs w:val="17"/>
                <w:lang w:val="es-ES" w:eastAsia="es-ES"/>
              </w:rPr>
            </w:pPr>
            <w:r w:rsidRPr="006F00A7">
              <w:rPr>
                <w:color w:val="000000" w:themeColor="text1"/>
                <w:sz w:val="17"/>
                <w:szCs w:val="17"/>
                <w:lang w:val="es-ES" w:eastAsia="es-ES"/>
              </w:rPr>
              <w:t>Suministros</w:t>
            </w:r>
          </w:p>
        </w:tc>
        <w:tc>
          <w:tcPr>
            <w:tcW w:w="253" w:type="pct"/>
            <w:tcBorders>
              <w:top w:val="single" w:sz="2" w:space="0" w:color="auto"/>
              <w:bottom w:val="single" w:sz="2" w:space="0" w:color="auto"/>
            </w:tcBorders>
            <w:shd w:val="clear" w:color="auto" w:fill="auto"/>
            <w:noWrap/>
            <w:vAlign w:val="center"/>
            <w:hideMark/>
          </w:tcPr>
          <w:p w14:paraId="04A6C076"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62</w:t>
            </w:r>
          </w:p>
        </w:tc>
        <w:tc>
          <w:tcPr>
            <w:tcW w:w="589" w:type="pct"/>
            <w:tcBorders>
              <w:top w:val="single" w:sz="2" w:space="0" w:color="auto"/>
              <w:bottom w:val="single" w:sz="2" w:space="0" w:color="auto"/>
            </w:tcBorders>
            <w:shd w:val="clear" w:color="auto" w:fill="auto"/>
            <w:noWrap/>
            <w:vAlign w:val="center"/>
            <w:hideMark/>
          </w:tcPr>
          <w:p w14:paraId="0C322BCA"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14.053.107</w:t>
            </w:r>
          </w:p>
        </w:tc>
        <w:tc>
          <w:tcPr>
            <w:tcW w:w="241" w:type="pct"/>
            <w:tcBorders>
              <w:top w:val="single" w:sz="2" w:space="0" w:color="auto"/>
              <w:bottom w:val="single" w:sz="2" w:space="0" w:color="auto"/>
            </w:tcBorders>
            <w:shd w:val="clear" w:color="auto" w:fill="auto"/>
            <w:noWrap/>
            <w:vAlign w:val="center"/>
            <w:hideMark/>
          </w:tcPr>
          <w:p w14:paraId="7BC68B58"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12</w:t>
            </w:r>
          </w:p>
        </w:tc>
        <w:tc>
          <w:tcPr>
            <w:tcW w:w="533" w:type="pct"/>
            <w:tcBorders>
              <w:top w:val="single" w:sz="2" w:space="0" w:color="auto"/>
              <w:bottom w:val="single" w:sz="2" w:space="0" w:color="auto"/>
            </w:tcBorders>
            <w:shd w:val="clear" w:color="auto" w:fill="auto"/>
            <w:noWrap/>
            <w:vAlign w:val="center"/>
            <w:hideMark/>
          </w:tcPr>
          <w:p w14:paraId="0ADC9A32"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404.045</w:t>
            </w:r>
          </w:p>
        </w:tc>
        <w:tc>
          <w:tcPr>
            <w:tcW w:w="254" w:type="pct"/>
            <w:tcBorders>
              <w:top w:val="single" w:sz="2" w:space="0" w:color="auto"/>
              <w:bottom w:val="single" w:sz="2" w:space="0" w:color="auto"/>
            </w:tcBorders>
            <w:shd w:val="clear" w:color="auto" w:fill="auto"/>
            <w:noWrap/>
            <w:vAlign w:val="center"/>
            <w:hideMark/>
          </w:tcPr>
          <w:p w14:paraId="4C1420F1"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w:t>
            </w:r>
          </w:p>
        </w:tc>
        <w:tc>
          <w:tcPr>
            <w:tcW w:w="590" w:type="pct"/>
            <w:tcBorders>
              <w:top w:val="single" w:sz="2" w:space="0" w:color="auto"/>
              <w:bottom w:val="single" w:sz="2" w:space="0" w:color="auto"/>
            </w:tcBorders>
            <w:shd w:val="clear" w:color="auto" w:fill="auto"/>
            <w:noWrap/>
            <w:vAlign w:val="center"/>
            <w:hideMark/>
          </w:tcPr>
          <w:p w14:paraId="3B40A0E8" w14:textId="77777777" w:rsidR="0088085F" w:rsidRPr="006F00A7" w:rsidRDefault="0088085F" w:rsidP="001E5CF2">
            <w:pPr>
              <w:pStyle w:val="cuatexto"/>
              <w:ind w:right="92"/>
              <w:jc w:val="right"/>
              <w:rPr>
                <w:color w:val="000000" w:themeColor="text1"/>
                <w:sz w:val="17"/>
                <w:szCs w:val="17"/>
                <w:lang w:val="es-ES" w:eastAsia="es-ES"/>
              </w:rPr>
            </w:pPr>
            <w:r w:rsidRPr="006F00A7">
              <w:rPr>
                <w:color w:val="000000" w:themeColor="text1"/>
                <w:sz w:val="17"/>
                <w:szCs w:val="17"/>
                <w:lang w:val="es-ES" w:eastAsia="es-ES"/>
              </w:rPr>
              <w:t>43.605</w:t>
            </w:r>
          </w:p>
        </w:tc>
        <w:tc>
          <w:tcPr>
            <w:tcW w:w="185" w:type="pct"/>
            <w:tcBorders>
              <w:top w:val="single" w:sz="2" w:space="0" w:color="auto"/>
              <w:bottom w:val="single" w:sz="2" w:space="0" w:color="auto"/>
            </w:tcBorders>
            <w:shd w:val="clear" w:color="auto" w:fill="auto"/>
            <w:noWrap/>
            <w:vAlign w:val="center"/>
            <w:hideMark/>
          </w:tcPr>
          <w:p w14:paraId="3969B894"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 </w:t>
            </w:r>
          </w:p>
        </w:tc>
        <w:tc>
          <w:tcPr>
            <w:tcW w:w="449" w:type="pct"/>
            <w:tcBorders>
              <w:top w:val="single" w:sz="2" w:space="0" w:color="auto"/>
              <w:bottom w:val="single" w:sz="2" w:space="0" w:color="auto"/>
            </w:tcBorders>
            <w:shd w:val="clear" w:color="auto" w:fill="auto"/>
            <w:noWrap/>
            <w:vAlign w:val="center"/>
            <w:hideMark/>
          </w:tcPr>
          <w:p w14:paraId="27DAC681"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 </w:t>
            </w:r>
          </w:p>
        </w:tc>
        <w:tc>
          <w:tcPr>
            <w:tcW w:w="254" w:type="pct"/>
            <w:tcBorders>
              <w:top w:val="single" w:sz="2" w:space="0" w:color="auto"/>
              <w:bottom w:val="single" w:sz="2" w:space="0" w:color="auto"/>
            </w:tcBorders>
            <w:shd w:val="clear" w:color="auto" w:fill="auto"/>
            <w:noWrap/>
            <w:vAlign w:val="center"/>
            <w:hideMark/>
          </w:tcPr>
          <w:p w14:paraId="0EFE1A4F" w14:textId="77777777" w:rsidR="0088085F" w:rsidRPr="006F00A7" w:rsidRDefault="0088085F" w:rsidP="001E5CF2">
            <w:pPr>
              <w:pStyle w:val="cuatexto"/>
              <w:ind w:right="-57"/>
              <w:jc w:val="right"/>
              <w:rPr>
                <w:color w:val="000000" w:themeColor="text1"/>
                <w:sz w:val="17"/>
                <w:szCs w:val="17"/>
                <w:lang w:val="es-ES" w:eastAsia="es-ES"/>
              </w:rPr>
            </w:pPr>
            <w:r w:rsidRPr="006F00A7">
              <w:rPr>
                <w:color w:val="000000" w:themeColor="text1"/>
                <w:sz w:val="17"/>
                <w:szCs w:val="17"/>
                <w:lang w:val="es-ES" w:eastAsia="es-ES"/>
              </w:rPr>
              <w:t>75</w:t>
            </w:r>
          </w:p>
        </w:tc>
        <w:tc>
          <w:tcPr>
            <w:tcW w:w="621" w:type="pct"/>
            <w:tcBorders>
              <w:top w:val="single" w:sz="2" w:space="0" w:color="auto"/>
              <w:bottom w:val="single" w:sz="2" w:space="0" w:color="auto"/>
              <w:right w:val="nil"/>
            </w:tcBorders>
            <w:shd w:val="clear" w:color="auto" w:fill="auto"/>
            <w:noWrap/>
            <w:vAlign w:val="center"/>
          </w:tcPr>
          <w:p w14:paraId="4543FB33"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14.500.757</w:t>
            </w:r>
          </w:p>
        </w:tc>
      </w:tr>
      <w:tr w:rsidR="0088085F" w:rsidRPr="006F00A7" w14:paraId="4ED158AD" w14:textId="77777777" w:rsidTr="00DE492F">
        <w:trPr>
          <w:trHeight w:val="227"/>
          <w:jc w:val="center"/>
        </w:trPr>
        <w:tc>
          <w:tcPr>
            <w:tcW w:w="1031" w:type="pct"/>
            <w:tcBorders>
              <w:top w:val="single" w:sz="2" w:space="0" w:color="auto"/>
              <w:left w:val="nil"/>
              <w:bottom w:val="single" w:sz="4" w:space="0" w:color="auto"/>
            </w:tcBorders>
            <w:shd w:val="clear" w:color="auto" w:fill="auto"/>
            <w:noWrap/>
            <w:vAlign w:val="center"/>
            <w:hideMark/>
          </w:tcPr>
          <w:p w14:paraId="566264A0" w14:textId="77777777" w:rsidR="0088085F" w:rsidRPr="006F00A7" w:rsidRDefault="0088085F" w:rsidP="00C13CE1">
            <w:pPr>
              <w:pStyle w:val="cuatexto"/>
              <w:rPr>
                <w:color w:val="000000" w:themeColor="text1"/>
                <w:sz w:val="17"/>
                <w:szCs w:val="17"/>
                <w:lang w:val="es-ES" w:eastAsia="es-ES"/>
              </w:rPr>
            </w:pPr>
            <w:r w:rsidRPr="006F00A7">
              <w:rPr>
                <w:color w:val="000000" w:themeColor="text1"/>
                <w:sz w:val="17"/>
                <w:szCs w:val="17"/>
                <w:lang w:val="es-ES" w:eastAsia="es-ES"/>
              </w:rPr>
              <w:t>Concesión  servicios</w:t>
            </w:r>
          </w:p>
        </w:tc>
        <w:tc>
          <w:tcPr>
            <w:tcW w:w="253" w:type="pct"/>
            <w:tcBorders>
              <w:top w:val="single" w:sz="2" w:space="0" w:color="auto"/>
              <w:bottom w:val="single" w:sz="4" w:space="0" w:color="auto"/>
            </w:tcBorders>
            <w:shd w:val="clear" w:color="auto" w:fill="auto"/>
            <w:noWrap/>
            <w:vAlign w:val="center"/>
            <w:hideMark/>
          </w:tcPr>
          <w:p w14:paraId="17BB3DD9"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13</w:t>
            </w:r>
          </w:p>
        </w:tc>
        <w:tc>
          <w:tcPr>
            <w:tcW w:w="589" w:type="pct"/>
            <w:tcBorders>
              <w:top w:val="single" w:sz="2" w:space="0" w:color="auto"/>
              <w:bottom w:val="single" w:sz="4" w:space="0" w:color="auto"/>
            </w:tcBorders>
            <w:shd w:val="clear" w:color="auto" w:fill="auto"/>
            <w:noWrap/>
            <w:vAlign w:val="center"/>
            <w:hideMark/>
          </w:tcPr>
          <w:p w14:paraId="05405AA5"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240.862</w:t>
            </w:r>
          </w:p>
        </w:tc>
        <w:tc>
          <w:tcPr>
            <w:tcW w:w="241" w:type="pct"/>
            <w:tcBorders>
              <w:top w:val="single" w:sz="2" w:space="0" w:color="auto"/>
              <w:bottom w:val="single" w:sz="4" w:space="0" w:color="auto"/>
            </w:tcBorders>
            <w:shd w:val="clear" w:color="auto" w:fill="auto"/>
            <w:noWrap/>
            <w:vAlign w:val="center"/>
          </w:tcPr>
          <w:p w14:paraId="10E210E2" w14:textId="77777777" w:rsidR="0088085F" w:rsidRPr="006F00A7" w:rsidRDefault="0088085F" w:rsidP="001E5CF2">
            <w:pPr>
              <w:pStyle w:val="cuatexto"/>
              <w:jc w:val="right"/>
              <w:rPr>
                <w:color w:val="000000" w:themeColor="text1"/>
                <w:sz w:val="17"/>
                <w:szCs w:val="17"/>
                <w:lang w:val="es-ES" w:eastAsia="es-ES"/>
              </w:rPr>
            </w:pPr>
          </w:p>
        </w:tc>
        <w:tc>
          <w:tcPr>
            <w:tcW w:w="533" w:type="pct"/>
            <w:tcBorders>
              <w:top w:val="single" w:sz="2" w:space="0" w:color="auto"/>
              <w:bottom w:val="single" w:sz="4" w:space="0" w:color="auto"/>
            </w:tcBorders>
            <w:shd w:val="clear" w:color="auto" w:fill="auto"/>
            <w:noWrap/>
            <w:vAlign w:val="center"/>
          </w:tcPr>
          <w:p w14:paraId="4BAE76A2" w14:textId="77777777" w:rsidR="0088085F" w:rsidRPr="006F00A7" w:rsidRDefault="0088085F" w:rsidP="001E5CF2">
            <w:pPr>
              <w:pStyle w:val="cuatexto"/>
              <w:jc w:val="right"/>
              <w:rPr>
                <w:color w:val="000000" w:themeColor="text1"/>
                <w:sz w:val="17"/>
                <w:szCs w:val="17"/>
                <w:lang w:val="es-ES" w:eastAsia="es-ES"/>
              </w:rPr>
            </w:pPr>
          </w:p>
        </w:tc>
        <w:tc>
          <w:tcPr>
            <w:tcW w:w="254" w:type="pct"/>
            <w:tcBorders>
              <w:top w:val="single" w:sz="2" w:space="0" w:color="auto"/>
              <w:bottom w:val="single" w:sz="4" w:space="0" w:color="auto"/>
            </w:tcBorders>
            <w:shd w:val="clear" w:color="auto" w:fill="auto"/>
            <w:noWrap/>
            <w:vAlign w:val="center"/>
            <w:hideMark/>
          </w:tcPr>
          <w:p w14:paraId="7F09F818"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 </w:t>
            </w:r>
          </w:p>
        </w:tc>
        <w:tc>
          <w:tcPr>
            <w:tcW w:w="590" w:type="pct"/>
            <w:tcBorders>
              <w:top w:val="single" w:sz="2" w:space="0" w:color="auto"/>
              <w:bottom w:val="single" w:sz="4" w:space="0" w:color="auto"/>
            </w:tcBorders>
            <w:shd w:val="clear" w:color="auto" w:fill="auto"/>
            <w:noWrap/>
            <w:vAlign w:val="center"/>
            <w:hideMark/>
          </w:tcPr>
          <w:p w14:paraId="3C7FA95B"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 </w:t>
            </w:r>
          </w:p>
        </w:tc>
        <w:tc>
          <w:tcPr>
            <w:tcW w:w="185" w:type="pct"/>
            <w:tcBorders>
              <w:top w:val="single" w:sz="2" w:space="0" w:color="auto"/>
              <w:bottom w:val="single" w:sz="4" w:space="0" w:color="auto"/>
            </w:tcBorders>
            <w:shd w:val="clear" w:color="auto" w:fill="auto"/>
            <w:noWrap/>
            <w:vAlign w:val="center"/>
            <w:hideMark/>
          </w:tcPr>
          <w:p w14:paraId="0890CC9F"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 </w:t>
            </w:r>
          </w:p>
        </w:tc>
        <w:tc>
          <w:tcPr>
            <w:tcW w:w="449" w:type="pct"/>
            <w:tcBorders>
              <w:top w:val="single" w:sz="2" w:space="0" w:color="auto"/>
              <w:bottom w:val="single" w:sz="4" w:space="0" w:color="auto"/>
            </w:tcBorders>
            <w:shd w:val="clear" w:color="auto" w:fill="auto"/>
            <w:noWrap/>
            <w:vAlign w:val="center"/>
            <w:hideMark/>
          </w:tcPr>
          <w:p w14:paraId="3606AAF5"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 </w:t>
            </w:r>
          </w:p>
        </w:tc>
        <w:tc>
          <w:tcPr>
            <w:tcW w:w="254" w:type="pct"/>
            <w:tcBorders>
              <w:top w:val="single" w:sz="2" w:space="0" w:color="auto"/>
              <w:bottom w:val="single" w:sz="4" w:space="0" w:color="auto"/>
            </w:tcBorders>
            <w:shd w:val="clear" w:color="auto" w:fill="auto"/>
            <w:noWrap/>
            <w:vAlign w:val="center"/>
            <w:hideMark/>
          </w:tcPr>
          <w:p w14:paraId="38D93F83" w14:textId="77777777" w:rsidR="0088085F" w:rsidRPr="006F00A7" w:rsidRDefault="0088085F" w:rsidP="001E5CF2">
            <w:pPr>
              <w:pStyle w:val="cuatexto"/>
              <w:ind w:right="-57"/>
              <w:jc w:val="right"/>
              <w:rPr>
                <w:color w:val="000000" w:themeColor="text1"/>
                <w:sz w:val="17"/>
                <w:szCs w:val="17"/>
                <w:lang w:val="es-ES" w:eastAsia="es-ES"/>
              </w:rPr>
            </w:pPr>
            <w:r w:rsidRPr="006F00A7">
              <w:rPr>
                <w:color w:val="000000" w:themeColor="text1"/>
                <w:sz w:val="17"/>
                <w:szCs w:val="17"/>
                <w:lang w:val="es-ES" w:eastAsia="es-ES"/>
              </w:rPr>
              <w:t>13</w:t>
            </w:r>
          </w:p>
        </w:tc>
        <w:tc>
          <w:tcPr>
            <w:tcW w:w="621" w:type="pct"/>
            <w:tcBorders>
              <w:top w:val="single" w:sz="2" w:space="0" w:color="auto"/>
              <w:bottom w:val="single" w:sz="4" w:space="0" w:color="auto"/>
              <w:right w:val="nil"/>
            </w:tcBorders>
            <w:shd w:val="clear" w:color="auto" w:fill="auto"/>
            <w:noWrap/>
            <w:vAlign w:val="center"/>
          </w:tcPr>
          <w:p w14:paraId="01665B83" w14:textId="77777777" w:rsidR="0088085F" w:rsidRPr="006F00A7" w:rsidRDefault="0088085F" w:rsidP="001E5CF2">
            <w:pPr>
              <w:pStyle w:val="cuatexto"/>
              <w:jc w:val="right"/>
              <w:rPr>
                <w:color w:val="000000" w:themeColor="text1"/>
                <w:sz w:val="17"/>
                <w:szCs w:val="17"/>
                <w:lang w:val="es-ES" w:eastAsia="es-ES"/>
              </w:rPr>
            </w:pPr>
            <w:r w:rsidRPr="006F00A7">
              <w:rPr>
                <w:color w:val="000000" w:themeColor="text1"/>
                <w:sz w:val="17"/>
                <w:szCs w:val="17"/>
                <w:lang w:val="es-ES" w:eastAsia="es-ES"/>
              </w:rPr>
              <w:t>240.862</w:t>
            </w:r>
          </w:p>
        </w:tc>
      </w:tr>
      <w:tr w:rsidR="0088085F" w:rsidRPr="009F458F" w14:paraId="1C20D26A" w14:textId="77777777" w:rsidTr="00A005AA">
        <w:trPr>
          <w:trHeight w:val="255"/>
          <w:jc w:val="center"/>
        </w:trPr>
        <w:tc>
          <w:tcPr>
            <w:tcW w:w="1031" w:type="pct"/>
            <w:tcBorders>
              <w:top w:val="nil"/>
              <w:left w:val="nil"/>
              <w:bottom w:val="single" w:sz="4" w:space="0" w:color="auto"/>
            </w:tcBorders>
            <w:shd w:val="clear" w:color="000000" w:fill="FABF8F"/>
            <w:noWrap/>
            <w:vAlign w:val="center"/>
            <w:hideMark/>
          </w:tcPr>
          <w:p w14:paraId="5043C581" w14:textId="77777777" w:rsidR="0088085F" w:rsidRPr="009F458F" w:rsidRDefault="0088085F" w:rsidP="00C13CE1">
            <w:pPr>
              <w:pStyle w:val="cuadroCabe"/>
              <w:rPr>
                <w:color w:val="000000" w:themeColor="text1"/>
                <w:sz w:val="16"/>
                <w:szCs w:val="14"/>
                <w:lang w:val="es-ES" w:eastAsia="es-ES"/>
              </w:rPr>
            </w:pPr>
            <w:r w:rsidRPr="009F458F">
              <w:rPr>
                <w:color w:val="000000" w:themeColor="text1"/>
                <w:sz w:val="16"/>
                <w:szCs w:val="14"/>
                <w:lang w:val="es-ES" w:eastAsia="es-ES"/>
              </w:rPr>
              <w:t>Total general</w:t>
            </w:r>
          </w:p>
        </w:tc>
        <w:tc>
          <w:tcPr>
            <w:tcW w:w="253" w:type="pct"/>
            <w:tcBorders>
              <w:top w:val="nil"/>
              <w:bottom w:val="single" w:sz="4" w:space="0" w:color="auto"/>
            </w:tcBorders>
            <w:shd w:val="clear" w:color="000000" w:fill="FABF8F"/>
            <w:noWrap/>
            <w:vAlign w:val="center"/>
            <w:hideMark/>
          </w:tcPr>
          <w:p w14:paraId="52FCD74E" w14:textId="77777777" w:rsidR="0088085F" w:rsidRPr="009F458F" w:rsidRDefault="0088085F" w:rsidP="001E5CF2">
            <w:pPr>
              <w:pStyle w:val="cuadroCabe"/>
              <w:jc w:val="right"/>
              <w:rPr>
                <w:color w:val="000000" w:themeColor="text1"/>
                <w:sz w:val="16"/>
                <w:szCs w:val="14"/>
                <w:lang w:val="es-ES" w:eastAsia="es-ES"/>
              </w:rPr>
            </w:pPr>
            <w:r w:rsidRPr="009F458F">
              <w:rPr>
                <w:color w:val="000000" w:themeColor="text1"/>
                <w:sz w:val="16"/>
                <w:szCs w:val="14"/>
                <w:lang w:val="es-ES" w:eastAsia="es-ES"/>
              </w:rPr>
              <w:t>373</w:t>
            </w:r>
          </w:p>
        </w:tc>
        <w:tc>
          <w:tcPr>
            <w:tcW w:w="589" w:type="pct"/>
            <w:tcBorders>
              <w:top w:val="nil"/>
              <w:bottom w:val="single" w:sz="4" w:space="0" w:color="auto"/>
            </w:tcBorders>
            <w:shd w:val="clear" w:color="000000" w:fill="FABF8F"/>
            <w:noWrap/>
            <w:vAlign w:val="center"/>
            <w:hideMark/>
          </w:tcPr>
          <w:p w14:paraId="48DCA553" w14:textId="77777777" w:rsidR="0088085F" w:rsidRPr="009F458F" w:rsidRDefault="0088085F" w:rsidP="001E5CF2">
            <w:pPr>
              <w:pStyle w:val="cuadroCabe"/>
              <w:jc w:val="right"/>
              <w:rPr>
                <w:color w:val="000000" w:themeColor="text1"/>
                <w:sz w:val="16"/>
                <w:szCs w:val="14"/>
                <w:lang w:val="es-ES" w:eastAsia="es-ES"/>
              </w:rPr>
            </w:pPr>
            <w:r w:rsidRPr="009F458F">
              <w:rPr>
                <w:color w:val="000000" w:themeColor="text1"/>
                <w:sz w:val="16"/>
                <w:szCs w:val="14"/>
                <w:lang w:val="es-ES" w:eastAsia="es-ES"/>
              </w:rPr>
              <w:t>93.713.345</w:t>
            </w:r>
          </w:p>
        </w:tc>
        <w:tc>
          <w:tcPr>
            <w:tcW w:w="241" w:type="pct"/>
            <w:tcBorders>
              <w:top w:val="nil"/>
              <w:bottom w:val="single" w:sz="4" w:space="0" w:color="auto"/>
            </w:tcBorders>
            <w:shd w:val="clear" w:color="000000" w:fill="FABF8F"/>
            <w:noWrap/>
            <w:vAlign w:val="center"/>
            <w:hideMark/>
          </w:tcPr>
          <w:p w14:paraId="53BF40C3" w14:textId="77777777" w:rsidR="0088085F" w:rsidRPr="009F458F" w:rsidRDefault="0088085F" w:rsidP="001E5CF2">
            <w:pPr>
              <w:pStyle w:val="cuadroCabe"/>
              <w:jc w:val="right"/>
              <w:rPr>
                <w:color w:val="000000" w:themeColor="text1"/>
                <w:sz w:val="16"/>
                <w:szCs w:val="14"/>
                <w:lang w:val="es-ES" w:eastAsia="es-ES"/>
              </w:rPr>
            </w:pPr>
            <w:r w:rsidRPr="009F458F">
              <w:rPr>
                <w:color w:val="000000" w:themeColor="text1"/>
                <w:sz w:val="16"/>
                <w:szCs w:val="14"/>
                <w:lang w:val="es-ES" w:eastAsia="es-ES"/>
              </w:rPr>
              <w:t>104</w:t>
            </w:r>
          </w:p>
        </w:tc>
        <w:tc>
          <w:tcPr>
            <w:tcW w:w="533" w:type="pct"/>
            <w:tcBorders>
              <w:top w:val="nil"/>
              <w:bottom w:val="single" w:sz="4" w:space="0" w:color="auto"/>
            </w:tcBorders>
            <w:shd w:val="clear" w:color="000000" w:fill="FABF8F"/>
            <w:noWrap/>
            <w:vAlign w:val="center"/>
            <w:hideMark/>
          </w:tcPr>
          <w:p w14:paraId="6B2449FC" w14:textId="77777777" w:rsidR="0088085F" w:rsidRPr="009F458F" w:rsidRDefault="0088085F" w:rsidP="001E5CF2">
            <w:pPr>
              <w:pStyle w:val="cuadroCabe"/>
              <w:jc w:val="right"/>
              <w:rPr>
                <w:color w:val="000000" w:themeColor="text1"/>
                <w:sz w:val="16"/>
                <w:szCs w:val="14"/>
                <w:lang w:val="es-ES" w:eastAsia="es-ES"/>
              </w:rPr>
            </w:pPr>
            <w:r w:rsidRPr="009F458F">
              <w:rPr>
                <w:color w:val="000000" w:themeColor="text1"/>
                <w:sz w:val="16"/>
                <w:szCs w:val="14"/>
                <w:lang w:val="es-ES" w:eastAsia="es-ES"/>
              </w:rPr>
              <w:t>6.676.808</w:t>
            </w:r>
          </w:p>
        </w:tc>
        <w:tc>
          <w:tcPr>
            <w:tcW w:w="254" w:type="pct"/>
            <w:tcBorders>
              <w:top w:val="nil"/>
              <w:bottom w:val="single" w:sz="4" w:space="0" w:color="auto"/>
            </w:tcBorders>
            <w:shd w:val="clear" w:color="000000" w:fill="FABF8F"/>
            <w:noWrap/>
            <w:vAlign w:val="center"/>
            <w:hideMark/>
          </w:tcPr>
          <w:p w14:paraId="6A373DE2" w14:textId="77777777" w:rsidR="0088085F" w:rsidRPr="009F458F" w:rsidRDefault="0088085F" w:rsidP="001E5CF2">
            <w:pPr>
              <w:pStyle w:val="cuadroCabe"/>
              <w:jc w:val="right"/>
              <w:rPr>
                <w:color w:val="000000" w:themeColor="text1"/>
                <w:sz w:val="16"/>
                <w:szCs w:val="14"/>
                <w:lang w:val="es-ES" w:eastAsia="es-ES"/>
              </w:rPr>
            </w:pPr>
            <w:r w:rsidRPr="009F458F">
              <w:rPr>
                <w:color w:val="000000" w:themeColor="text1"/>
                <w:sz w:val="16"/>
                <w:szCs w:val="14"/>
                <w:lang w:val="es-ES" w:eastAsia="es-ES"/>
              </w:rPr>
              <w:t>21</w:t>
            </w:r>
          </w:p>
        </w:tc>
        <w:tc>
          <w:tcPr>
            <w:tcW w:w="590" w:type="pct"/>
            <w:tcBorders>
              <w:top w:val="nil"/>
              <w:bottom w:val="single" w:sz="4" w:space="0" w:color="auto"/>
            </w:tcBorders>
            <w:shd w:val="clear" w:color="000000" w:fill="FABF8F"/>
            <w:noWrap/>
            <w:vAlign w:val="center"/>
            <w:hideMark/>
          </w:tcPr>
          <w:p w14:paraId="644DF252" w14:textId="77777777" w:rsidR="0088085F" w:rsidRPr="009F458F" w:rsidRDefault="0088085F" w:rsidP="001E5CF2">
            <w:pPr>
              <w:pStyle w:val="cuadroCabe"/>
              <w:jc w:val="right"/>
              <w:rPr>
                <w:color w:val="000000" w:themeColor="text1"/>
                <w:sz w:val="16"/>
                <w:szCs w:val="14"/>
                <w:lang w:val="es-ES" w:eastAsia="es-ES"/>
              </w:rPr>
            </w:pPr>
            <w:r w:rsidRPr="009F458F">
              <w:rPr>
                <w:color w:val="000000" w:themeColor="text1"/>
                <w:sz w:val="16"/>
                <w:szCs w:val="14"/>
                <w:lang w:val="es-ES" w:eastAsia="es-ES"/>
              </w:rPr>
              <w:t>1.796.757</w:t>
            </w:r>
          </w:p>
        </w:tc>
        <w:tc>
          <w:tcPr>
            <w:tcW w:w="185" w:type="pct"/>
            <w:tcBorders>
              <w:top w:val="nil"/>
              <w:bottom w:val="single" w:sz="4" w:space="0" w:color="auto"/>
            </w:tcBorders>
            <w:shd w:val="clear" w:color="000000" w:fill="FABF8F"/>
            <w:noWrap/>
            <w:vAlign w:val="center"/>
            <w:hideMark/>
          </w:tcPr>
          <w:p w14:paraId="1D563139" w14:textId="77777777" w:rsidR="0088085F" w:rsidRPr="009F458F" w:rsidRDefault="0088085F" w:rsidP="001E5CF2">
            <w:pPr>
              <w:pStyle w:val="cuadroCabe"/>
              <w:jc w:val="right"/>
              <w:rPr>
                <w:color w:val="000000" w:themeColor="text1"/>
                <w:sz w:val="16"/>
                <w:szCs w:val="14"/>
                <w:lang w:val="es-ES" w:eastAsia="es-ES"/>
              </w:rPr>
            </w:pPr>
            <w:r w:rsidRPr="009F458F">
              <w:rPr>
                <w:color w:val="000000" w:themeColor="text1"/>
                <w:sz w:val="16"/>
                <w:szCs w:val="14"/>
                <w:lang w:val="es-ES" w:eastAsia="es-ES"/>
              </w:rPr>
              <w:t>6</w:t>
            </w:r>
          </w:p>
        </w:tc>
        <w:tc>
          <w:tcPr>
            <w:tcW w:w="449" w:type="pct"/>
            <w:tcBorders>
              <w:top w:val="nil"/>
              <w:bottom w:val="single" w:sz="4" w:space="0" w:color="auto"/>
            </w:tcBorders>
            <w:shd w:val="clear" w:color="000000" w:fill="FABF8F"/>
            <w:noWrap/>
            <w:vAlign w:val="center"/>
            <w:hideMark/>
          </w:tcPr>
          <w:p w14:paraId="0EAB0DBC" w14:textId="77777777" w:rsidR="0088085F" w:rsidRPr="009F458F" w:rsidRDefault="0088085F" w:rsidP="001E5CF2">
            <w:pPr>
              <w:pStyle w:val="cuadroCabe"/>
              <w:jc w:val="right"/>
              <w:rPr>
                <w:color w:val="000000" w:themeColor="text1"/>
                <w:sz w:val="16"/>
                <w:szCs w:val="14"/>
                <w:lang w:val="es-ES" w:eastAsia="es-ES"/>
              </w:rPr>
            </w:pPr>
            <w:r w:rsidRPr="009F458F">
              <w:rPr>
                <w:color w:val="000000" w:themeColor="text1"/>
                <w:sz w:val="16"/>
                <w:szCs w:val="14"/>
                <w:lang w:val="es-ES" w:eastAsia="es-ES"/>
              </w:rPr>
              <w:t>151.809</w:t>
            </w:r>
          </w:p>
        </w:tc>
        <w:tc>
          <w:tcPr>
            <w:tcW w:w="254" w:type="pct"/>
            <w:tcBorders>
              <w:top w:val="nil"/>
              <w:bottom w:val="single" w:sz="4" w:space="0" w:color="auto"/>
            </w:tcBorders>
            <w:shd w:val="clear" w:color="000000" w:fill="FABF8F"/>
            <w:noWrap/>
            <w:vAlign w:val="center"/>
            <w:hideMark/>
          </w:tcPr>
          <w:p w14:paraId="533A9759" w14:textId="77777777" w:rsidR="0088085F" w:rsidRPr="009F458F" w:rsidRDefault="0088085F" w:rsidP="001E5CF2">
            <w:pPr>
              <w:pStyle w:val="cuadroCabe"/>
              <w:ind w:right="-57"/>
              <w:jc w:val="right"/>
              <w:rPr>
                <w:color w:val="000000" w:themeColor="text1"/>
                <w:sz w:val="16"/>
                <w:szCs w:val="14"/>
                <w:lang w:val="es-ES" w:eastAsia="es-ES"/>
              </w:rPr>
            </w:pPr>
            <w:r w:rsidRPr="009F458F">
              <w:rPr>
                <w:color w:val="000000" w:themeColor="text1"/>
                <w:sz w:val="16"/>
                <w:szCs w:val="14"/>
                <w:lang w:val="es-ES" w:eastAsia="es-ES"/>
              </w:rPr>
              <w:t>504</w:t>
            </w:r>
          </w:p>
        </w:tc>
        <w:tc>
          <w:tcPr>
            <w:tcW w:w="621" w:type="pct"/>
            <w:tcBorders>
              <w:top w:val="nil"/>
              <w:bottom w:val="single" w:sz="4" w:space="0" w:color="auto"/>
              <w:right w:val="nil"/>
            </w:tcBorders>
            <w:shd w:val="clear" w:color="000000" w:fill="FABF8F"/>
            <w:noWrap/>
            <w:vAlign w:val="center"/>
          </w:tcPr>
          <w:p w14:paraId="09CD1810" w14:textId="77777777" w:rsidR="0088085F" w:rsidRPr="009F458F" w:rsidRDefault="0088085F" w:rsidP="001E5CF2">
            <w:pPr>
              <w:pStyle w:val="cuadroCabe"/>
              <w:jc w:val="right"/>
              <w:rPr>
                <w:color w:val="000000" w:themeColor="text1"/>
                <w:sz w:val="16"/>
                <w:szCs w:val="14"/>
                <w:lang w:val="es-ES" w:eastAsia="es-ES"/>
              </w:rPr>
            </w:pPr>
            <w:r w:rsidRPr="009F458F">
              <w:rPr>
                <w:color w:val="000000" w:themeColor="text1"/>
                <w:sz w:val="16"/>
                <w:szCs w:val="14"/>
                <w:lang w:val="es-ES" w:eastAsia="es-ES"/>
              </w:rPr>
              <w:t>102.338.718</w:t>
            </w:r>
          </w:p>
        </w:tc>
      </w:tr>
    </w:tbl>
    <w:p w14:paraId="3234F39E" w14:textId="77777777" w:rsidR="0088085F" w:rsidRPr="00262228" w:rsidRDefault="0088085F" w:rsidP="00923043">
      <w:pPr>
        <w:pStyle w:val="texto"/>
        <w:spacing w:before="220"/>
      </w:pPr>
      <w:r w:rsidRPr="00262228">
        <w:t>Destaca la utilización del procedimiento abierto para un 74 por ciento del total de contratos, seguido del procedimiento simplificado y del negociado sin convocatoria de licitación que representan un 21 y un cuatro por ciento respectivamente. En cuanto a importe, el procedimiento abierto ha sido el empleado para adjudicar el 92 por ciento mientras que el siete por ciento se ha adjudicado mediante procedimiento simplificado.</w:t>
      </w:r>
    </w:p>
    <w:p w14:paraId="3472B656" w14:textId="77777777" w:rsidR="0088085F" w:rsidRDefault="0088085F" w:rsidP="00B9085A">
      <w:pPr>
        <w:pStyle w:val="texto"/>
        <w:spacing w:after="240"/>
      </w:pPr>
      <w:r w:rsidRPr="000334D7">
        <w:t>Analizando los importes de ad</w:t>
      </w:r>
      <w:r w:rsidR="00657326">
        <w:t>judicación anual ob</w:t>
      </w:r>
      <w:r w:rsidR="009A521B">
        <w:t xml:space="preserve">tenemos el siguiente resumen </w:t>
      </w:r>
      <w:r w:rsidR="0038773E">
        <w:t xml:space="preserve">de contratos adjudicados por importe superior a 150.000 </w:t>
      </w:r>
      <w:r w:rsidR="00753112">
        <w:t xml:space="preserve">euros: </w:t>
      </w:r>
    </w:p>
    <w:tbl>
      <w:tblPr>
        <w:tblW w:w="5000" w:type="pct"/>
        <w:tblCellMar>
          <w:left w:w="70" w:type="dxa"/>
          <w:right w:w="70" w:type="dxa"/>
        </w:tblCellMar>
        <w:tblLook w:val="04A0" w:firstRow="1" w:lastRow="0" w:firstColumn="1" w:lastColumn="0" w:noHBand="0" w:noVBand="1"/>
      </w:tblPr>
      <w:tblGrid>
        <w:gridCol w:w="2532"/>
        <w:gridCol w:w="754"/>
        <w:gridCol w:w="1281"/>
        <w:gridCol w:w="1035"/>
        <w:gridCol w:w="1693"/>
        <w:gridCol w:w="1494"/>
      </w:tblGrid>
      <w:tr w:rsidR="002A566F" w:rsidRPr="005907A1" w14:paraId="7EBCDADC" w14:textId="77777777" w:rsidTr="005907A1">
        <w:trPr>
          <w:trHeight w:val="284"/>
        </w:trPr>
        <w:tc>
          <w:tcPr>
            <w:tcW w:w="1440" w:type="pct"/>
            <w:vMerge w:val="restart"/>
            <w:tcBorders>
              <w:top w:val="single" w:sz="4" w:space="0" w:color="auto"/>
              <w:left w:val="nil"/>
              <w:bottom w:val="single" w:sz="4" w:space="0" w:color="auto"/>
              <w:right w:val="nil"/>
            </w:tcBorders>
            <w:shd w:val="clear" w:color="000000" w:fill="FABF8F"/>
            <w:vAlign w:val="center"/>
            <w:hideMark/>
          </w:tcPr>
          <w:p w14:paraId="2FC9D517" w14:textId="77777777" w:rsidR="002A566F" w:rsidRPr="005907A1" w:rsidRDefault="002A566F" w:rsidP="005907A1">
            <w:pPr>
              <w:pStyle w:val="cuadroCabe"/>
              <w:rPr>
                <w:sz w:val="16"/>
                <w:szCs w:val="16"/>
                <w:lang w:val="es-ES" w:eastAsia="es-ES"/>
              </w:rPr>
            </w:pPr>
            <w:r w:rsidRPr="005907A1">
              <w:rPr>
                <w:sz w:val="16"/>
                <w:szCs w:val="16"/>
                <w:lang w:val="es-ES" w:eastAsia="es-ES"/>
              </w:rPr>
              <w:t>Tramo</w:t>
            </w:r>
          </w:p>
        </w:tc>
        <w:tc>
          <w:tcPr>
            <w:tcW w:w="2710" w:type="pct"/>
            <w:gridSpan w:val="4"/>
            <w:tcBorders>
              <w:top w:val="single" w:sz="4" w:space="0" w:color="auto"/>
              <w:left w:val="nil"/>
              <w:bottom w:val="single" w:sz="4" w:space="0" w:color="auto"/>
              <w:right w:val="nil"/>
            </w:tcBorders>
            <w:shd w:val="clear" w:color="000000" w:fill="FABF8F"/>
            <w:vAlign w:val="center"/>
            <w:hideMark/>
          </w:tcPr>
          <w:p w14:paraId="6D0090A5" w14:textId="77777777" w:rsidR="002A566F" w:rsidRPr="005907A1" w:rsidRDefault="002A566F" w:rsidP="005907A1">
            <w:pPr>
              <w:pStyle w:val="cuadroCabe"/>
              <w:jc w:val="center"/>
              <w:rPr>
                <w:sz w:val="16"/>
                <w:szCs w:val="16"/>
                <w:lang w:val="es-ES" w:eastAsia="es-ES"/>
              </w:rPr>
            </w:pPr>
            <w:r w:rsidRPr="005907A1">
              <w:rPr>
                <w:sz w:val="16"/>
                <w:szCs w:val="16"/>
                <w:lang w:val="es-ES" w:eastAsia="es-ES"/>
              </w:rPr>
              <w:t>Número de contratos</w:t>
            </w:r>
          </w:p>
        </w:tc>
        <w:tc>
          <w:tcPr>
            <w:tcW w:w="850" w:type="pct"/>
            <w:vMerge w:val="restart"/>
            <w:tcBorders>
              <w:top w:val="single" w:sz="4" w:space="0" w:color="auto"/>
              <w:left w:val="nil"/>
              <w:bottom w:val="single" w:sz="4" w:space="0" w:color="auto"/>
              <w:right w:val="nil"/>
            </w:tcBorders>
            <w:shd w:val="clear" w:color="000000" w:fill="FABF8F"/>
            <w:vAlign w:val="center"/>
            <w:hideMark/>
          </w:tcPr>
          <w:p w14:paraId="49B9FA1C" w14:textId="77777777" w:rsidR="002A566F" w:rsidRPr="005907A1" w:rsidRDefault="002A566F" w:rsidP="005907A1">
            <w:pPr>
              <w:pStyle w:val="cuadroCabe"/>
              <w:jc w:val="right"/>
              <w:rPr>
                <w:sz w:val="16"/>
                <w:szCs w:val="16"/>
                <w:lang w:val="es-ES" w:eastAsia="es-ES"/>
              </w:rPr>
            </w:pPr>
            <w:proofErr w:type="spellStart"/>
            <w:r w:rsidRPr="005907A1">
              <w:rPr>
                <w:sz w:val="16"/>
                <w:szCs w:val="16"/>
                <w:lang w:val="es-ES" w:eastAsia="es-ES"/>
              </w:rPr>
              <w:t>Imp.Adj.Anual</w:t>
            </w:r>
            <w:proofErr w:type="spellEnd"/>
          </w:p>
        </w:tc>
      </w:tr>
      <w:tr w:rsidR="002A566F" w:rsidRPr="005907A1" w14:paraId="22255BC6" w14:textId="77777777" w:rsidTr="007B0CFC">
        <w:trPr>
          <w:trHeight w:val="284"/>
        </w:trPr>
        <w:tc>
          <w:tcPr>
            <w:tcW w:w="1440" w:type="pct"/>
            <w:vMerge/>
            <w:tcBorders>
              <w:top w:val="single" w:sz="4" w:space="0" w:color="auto"/>
              <w:left w:val="nil"/>
              <w:bottom w:val="single" w:sz="4" w:space="0" w:color="auto"/>
              <w:right w:val="nil"/>
            </w:tcBorders>
            <w:vAlign w:val="center"/>
            <w:hideMark/>
          </w:tcPr>
          <w:p w14:paraId="2E253032" w14:textId="77777777" w:rsidR="002A566F" w:rsidRPr="005907A1" w:rsidRDefault="002A566F" w:rsidP="005907A1">
            <w:pPr>
              <w:pStyle w:val="cuadroCabe"/>
              <w:rPr>
                <w:sz w:val="16"/>
                <w:szCs w:val="16"/>
                <w:lang w:val="es-ES" w:eastAsia="es-ES"/>
              </w:rPr>
            </w:pPr>
          </w:p>
        </w:tc>
        <w:tc>
          <w:tcPr>
            <w:tcW w:w="429" w:type="pct"/>
            <w:tcBorders>
              <w:top w:val="nil"/>
              <w:left w:val="nil"/>
              <w:bottom w:val="single" w:sz="4" w:space="0" w:color="auto"/>
              <w:right w:val="nil"/>
            </w:tcBorders>
            <w:shd w:val="clear" w:color="000000" w:fill="FABF8F"/>
            <w:vAlign w:val="center"/>
            <w:hideMark/>
          </w:tcPr>
          <w:p w14:paraId="63B6B4D2" w14:textId="77777777" w:rsidR="002A566F" w:rsidRPr="005907A1" w:rsidRDefault="002A566F" w:rsidP="005907A1">
            <w:pPr>
              <w:pStyle w:val="cuadroCabe"/>
              <w:jc w:val="right"/>
              <w:rPr>
                <w:sz w:val="16"/>
                <w:szCs w:val="16"/>
                <w:lang w:val="es-ES" w:eastAsia="es-ES"/>
              </w:rPr>
            </w:pPr>
            <w:r w:rsidRPr="005907A1">
              <w:rPr>
                <w:sz w:val="16"/>
                <w:szCs w:val="16"/>
                <w:lang w:val="es-ES" w:eastAsia="es-ES"/>
              </w:rPr>
              <w:t>Obras</w:t>
            </w:r>
          </w:p>
        </w:tc>
        <w:tc>
          <w:tcPr>
            <w:tcW w:w="729" w:type="pct"/>
            <w:tcBorders>
              <w:top w:val="nil"/>
              <w:left w:val="nil"/>
              <w:bottom w:val="single" w:sz="4" w:space="0" w:color="auto"/>
              <w:right w:val="nil"/>
            </w:tcBorders>
            <w:shd w:val="clear" w:color="000000" w:fill="FABF8F"/>
            <w:vAlign w:val="center"/>
            <w:hideMark/>
          </w:tcPr>
          <w:p w14:paraId="7343C124" w14:textId="77777777" w:rsidR="002A566F" w:rsidRPr="005907A1" w:rsidRDefault="002A566F" w:rsidP="005907A1">
            <w:pPr>
              <w:pStyle w:val="cuadroCabe"/>
              <w:jc w:val="right"/>
              <w:rPr>
                <w:sz w:val="16"/>
                <w:szCs w:val="16"/>
                <w:lang w:val="es-ES" w:eastAsia="es-ES"/>
              </w:rPr>
            </w:pPr>
            <w:r w:rsidRPr="005907A1">
              <w:rPr>
                <w:sz w:val="16"/>
                <w:szCs w:val="16"/>
                <w:lang w:val="es-ES" w:eastAsia="es-ES"/>
              </w:rPr>
              <w:t>Suministros</w:t>
            </w:r>
          </w:p>
        </w:tc>
        <w:tc>
          <w:tcPr>
            <w:tcW w:w="589" w:type="pct"/>
            <w:tcBorders>
              <w:top w:val="nil"/>
              <w:left w:val="nil"/>
              <w:bottom w:val="single" w:sz="4" w:space="0" w:color="auto"/>
              <w:right w:val="nil"/>
            </w:tcBorders>
            <w:shd w:val="clear" w:color="000000" w:fill="FABF8F"/>
            <w:vAlign w:val="center"/>
            <w:hideMark/>
          </w:tcPr>
          <w:p w14:paraId="09556EA7" w14:textId="77777777" w:rsidR="002A566F" w:rsidRPr="005907A1" w:rsidRDefault="002A566F" w:rsidP="005907A1">
            <w:pPr>
              <w:pStyle w:val="cuadroCabe"/>
              <w:jc w:val="right"/>
              <w:rPr>
                <w:sz w:val="16"/>
                <w:szCs w:val="16"/>
                <w:lang w:val="es-ES" w:eastAsia="es-ES"/>
              </w:rPr>
            </w:pPr>
            <w:r w:rsidRPr="005907A1">
              <w:rPr>
                <w:sz w:val="16"/>
                <w:szCs w:val="16"/>
                <w:lang w:val="es-ES" w:eastAsia="es-ES"/>
              </w:rPr>
              <w:t>Servicios</w:t>
            </w:r>
          </w:p>
        </w:tc>
        <w:tc>
          <w:tcPr>
            <w:tcW w:w="962" w:type="pct"/>
            <w:tcBorders>
              <w:top w:val="nil"/>
              <w:left w:val="nil"/>
              <w:bottom w:val="single" w:sz="4" w:space="0" w:color="auto"/>
              <w:right w:val="nil"/>
            </w:tcBorders>
            <w:shd w:val="clear" w:color="000000" w:fill="FABF8F"/>
            <w:vAlign w:val="center"/>
            <w:hideMark/>
          </w:tcPr>
          <w:p w14:paraId="2D82B7CA" w14:textId="77777777" w:rsidR="002A566F" w:rsidRPr="005907A1" w:rsidRDefault="002A566F" w:rsidP="005907A1">
            <w:pPr>
              <w:pStyle w:val="cuadroCabe"/>
              <w:jc w:val="right"/>
              <w:rPr>
                <w:sz w:val="16"/>
                <w:szCs w:val="16"/>
                <w:lang w:val="es-ES" w:eastAsia="es-ES"/>
              </w:rPr>
            </w:pPr>
            <w:r w:rsidRPr="005907A1">
              <w:rPr>
                <w:sz w:val="16"/>
                <w:szCs w:val="16"/>
                <w:lang w:val="es-ES" w:eastAsia="es-ES"/>
              </w:rPr>
              <w:t>Concesión servicios</w:t>
            </w:r>
          </w:p>
        </w:tc>
        <w:tc>
          <w:tcPr>
            <w:tcW w:w="850" w:type="pct"/>
            <w:vMerge/>
            <w:tcBorders>
              <w:top w:val="single" w:sz="4" w:space="0" w:color="auto"/>
              <w:left w:val="nil"/>
              <w:bottom w:val="single" w:sz="4" w:space="0" w:color="auto"/>
              <w:right w:val="nil"/>
            </w:tcBorders>
            <w:vAlign w:val="center"/>
            <w:hideMark/>
          </w:tcPr>
          <w:p w14:paraId="0AD17FED" w14:textId="77777777" w:rsidR="002A566F" w:rsidRPr="005907A1" w:rsidRDefault="002A566F" w:rsidP="005907A1">
            <w:pPr>
              <w:pStyle w:val="cuadroCabe"/>
              <w:jc w:val="right"/>
              <w:rPr>
                <w:sz w:val="16"/>
                <w:szCs w:val="16"/>
                <w:lang w:val="es-ES" w:eastAsia="es-ES"/>
              </w:rPr>
            </w:pPr>
          </w:p>
        </w:tc>
      </w:tr>
      <w:tr w:rsidR="002A566F" w:rsidRPr="005907A1" w14:paraId="21B53120" w14:textId="77777777" w:rsidTr="007B0CFC">
        <w:trPr>
          <w:trHeight w:hRule="exact" w:val="227"/>
        </w:trPr>
        <w:tc>
          <w:tcPr>
            <w:tcW w:w="1440" w:type="pct"/>
            <w:tcBorders>
              <w:top w:val="single" w:sz="4" w:space="0" w:color="auto"/>
              <w:left w:val="nil"/>
              <w:bottom w:val="single" w:sz="2" w:space="0" w:color="auto"/>
              <w:right w:val="nil"/>
            </w:tcBorders>
            <w:shd w:val="clear" w:color="auto" w:fill="auto"/>
            <w:noWrap/>
            <w:vAlign w:val="center"/>
            <w:hideMark/>
          </w:tcPr>
          <w:p w14:paraId="0E3E8902" w14:textId="77777777" w:rsidR="002A566F" w:rsidRPr="005907A1" w:rsidRDefault="002A566F" w:rsidP="005907A1">
            <w:pPr>
              <w:pStyle w:val="cuatexto"/>
              <w:rPr>
                <w:sz w:val="18"/>
                <w:szCs w:val="18"/>
                <w:lang w:val="es-ES" w:eastAsia="es-ES"/>
              </w:rPr>
            </w:pPr>
            <w:r w:rsidRPr="005907A1">
              <w:rPr>
                <w:sz w:val="18"/>
                <w:szCs w:val="18"/>
                <w:lang w:val="es-ES" w:eastAsia="es-ES"/>
              </w:rPr>
              <w:t>&gt;600.000 €</w:t>
            </w:r>
          </w:p>
        </w:tc>
        <w:tc>
          <w:tcPr>
            <w:tcW w:w="429" w:type="pct"/>
            <w:tcBorders>
              <w:top w:val="single" w:sz="4" w:space="0" w:color="auto"/>
              <w:left w:val="nil"/>
              <w:bottom w:val="single" w:sz="2" w:space="0" w:color="auto"/>
              <w:right w:val="nil"/>
            </w:tcBorders>
            <w:shd w:val="clear" w:color="auto" w:fill="auto"/>
            <w:noWrap/>
            <w:vAlign w:val="center"/>
            <w:hideMark/>
          </w:tcPr>
          <w:p w14:paraId="101ACF8C"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19</w:t>
            </w:r>
          </w:p>
        </w:tc>
        <w:tc>
          <w:tcPr>
            <w:tcW w:w="729" w:type="pct"/>
            <w:tcBorders>
              <w:top w:val="single" w:sz="4" w:space="0" w:color="auto"/>
              <w:left w:val="nil"/>
              <w:bottom w:val="single" w:sz="2" w:space="0" w:color="auto"/>
              <w:right w:val="nil"/>
            </w:tcBorders>
            <w:shd w:val="clear" w:color="auto" w:fill="auto"/>
            <w:noWrap/>
            <w:vAlign w:val="center"/>
            <w:hideMark/>
          </w:tcPr>
          <w:p w14:paraId="6F98DBB7"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5</w:t>
            </w:r>
          </w:p>
        </w:tc>
        <w:tc>
          <w:tcPr>
            <w:tcW w:w="589" w:type="pct"/>
            <w:tcBorders>
              <w:top w:val="single" w:sz="4" w:space="0" w:color="auto"/>
              <w:left w:val="nil"/>
              <w:bottom w:val="single" w:sz="2" w:space="0" w:color="auto"/>
              <w:right w:val="nil"/>
            </w:tcBorders>
            <w:shd w:val="clear" w:color="auto" w:fill="auto"/>
            <w:noWrap/>
            <w:vAlign w:val="center"/>
            <w:hideMark/>
          </w:tcPr>
          <w:p w14:paraId="5631DB9D"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2</w:t>
            </w:r>
          </w:p>
        </w:tc>
        <w:tc>
          <w:tcPr>
            <w:tcW w:w="962" w:type="pct"/>
            <w:tcBorders>
              <w:top w:val="single" w:sz="4" w:space="0" w:color="auto"/>
              <w:left w:val="nil"/>
              <w:bottom w:val="single" w:sz="2" w:space="0" w:color="auto"/>
              <w:right w:val="nil"/>
            </w:tcBorders>
            <w:shd w:val="clear" w:color="auto" w:fill="auto"/>
            <w:noWrap/>
            <w:vAlign w:val="center"/>
            <w:hideMark/>
          </w:tcPr>
          <w:p w14:paraId="51C2F1AC"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1</w:t>
            </w:r>
          </w:p>
        </w:tc>
        <w:tc>
          <w:tcPr>
            <w:tcW w:w="850" w:type="pct"/>
            <w:tcBorders>
              <w:top w:val="single" w:sz="4" w:space="0" w:color="auto"/>
              <w:left w:val="nil"/>
              <w:bottom w:val="single" w:sz="2" w:space="0" w:color="auto"/>
              <w:right w:val="nil"/>
            </w:tcBorders>
            <w:shd w:val="clear" w:color="auto" w:fill="auto"/>
            <w:noWrap/>
            <w:vAlign w:val="center"/>
            <w:hideMark/>
          </w:tcPr>
          <w:p w14:paraId="3EBE32F2"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81.921.873</w:t>
            </w:r>
          </w:p>
        </w:tc>
      </w:tr>
      <w:tr w:rsidR="002A566F" w:rsidRPr="005907A1" w14:paraId="3A3C0A5A" w14:textId="77777777" w:rsidTr="007B0CFC">
        <w:trPr>
          <w:trHeight w:hRule="exact" w:val="227"/>
        </w:trPr>
        <w:tc>
          <w:tcPr>
            <w:tcW w:w="1440" w:type="pct"/>
            <w:tcBorders>
              <w:top w:val="single" w:sz="2" w:space="0" w:color="auto"/>
              <w:left w:val="nil"/>
              <w:bottom w:val="single" w:sz="2" w:space="0" w:color="auto"/>
              <w:right w:val="nil"/>
            </w:tcBorders>
            <w:shd w:val="clear" w:color="auto" w:fill="auto"/>
            <w:noWrap/>
            <w:vAlign w:val="center"/>
            <w:hideMark/>
          </w:tcPr>
          <w:p w14:paraId="3F2A6FD8" w14:textId="77777777" w:rsidR="002A566F" w:rsidRPr="005907A1" w:rsidRDefault="002A566F" w:rsidP="005907A1">
            <w:pPr>
              <w:pStyle w:val="cuatexto"/>
              <w:rPr>
                <w:sz w:val="18"/>
                <w:szCs w:val="18"/>
                <w:lang w:val="es-ES" w:eastAsia="es-ES"/>
              </w:rPr>
            </w:pPr>
            <w:r w:rsidRPr="005907A1">
              <w:rPr>
                <w:sz w:val="18"/>
                <w:szCs w:val="18"/>
                <w:lang w:val="es-ES" w:eastAsia="es-ES"/>
              </w:rPr>
              <w:t>&gt;400.000 y &lt;= 600.000 €</w:t>
            </w:r>
          </w:p>
        </w:tc>
        <w:tc>
          <w:tcPr>
            <w:tcW w:w="429" w:type="pct"/>
            <w:tcBorders>
              <w:top w:val="single" w:sz="2" w:space="0" w:color="auto"/>
              <w:left w:val="nil"/>
              <w:bottom w:val="single" w:sz="2" w:space="0" w:color="auto"/>
              <w:right w:val="nil"/>
            </w:tcBorders>
            <w:shd w:val="clear" w:color="auto" w:fill="auto"/>
            <w:noWrap/>
            <w:vAlign w:val="center"/>
            <w:hideMark/>
          </w:tcPr>
          <w:p w14:paraId="5A11756D"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15</w:t>
            </w:r>
          </w:p>
        </w:tc>
        <w:tc>
          <w:tcPr>
            <w:tcW w:w="729" w:type="pct"/>
            <w:tcBorders>
              <w:top w:val="single" w:sz="2" w:space="0" w:color="auto"/>
              <w:left w:val="nil"/>
              <w:bottom w:val="single" w:sz="2" w:space="0" w:color="auto"/>
              <w:right w:val="nil"/>
            </w:tcBorders>
            <w:shd w:val="clear" w:color="auto" w:fill="auto"/>
            <w:noWrap/>
            <w:vAlign w:val="center"/>
            <w:hideMark/>
          </w:tcPr>
          <w:p w14:paraId="6AD2CD22"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3</w:t>
            </w:r>
          </w:p>
        </w:tc>
        <w:tc>
          <w:tcPr>
            <w:tcW w:w="589" w:type="pct"/>
            <w:tcBorders>
              <w:top w:val="single" w:sz="2" w:space="0" w:color="auto"/>
              <w:left w:val="nil"/>
              <w:bottom w:val="single" w:sz="2" w:space="0" w:color="auto"/>
              <w:right w:val="nil"/>
            </w:tcBorders>
            <w:shd w:val="clear" w:color="auto" w:fill="auto"/>
            <w:noWrap/>
            <w:vAlign w:val="center"/>
            <w:hideMark/>
          </w:tcPr>
          <w:p w14:paraId="341478D4"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2</w:t>
            </w:r>
          </w:p>
        </w:tc>
        <w:tc>
          <w:tcPr>
            <w:tcW w:w="962" w:type="pct"/>
            <w:tcBorders>
              <w:top w:val="single" w:sz="2" w:space="0" w:color="auto"/>
              <w:left w:val="nil"/>
              <w:bottom w:val="single" w:sz="2" w:space="0" w:color="auto"/>
              <w:right w:val="nil"/>
            </w:tcBorders>
            <w:shd w:val="clear" w:color="auto" w:fill="auto"/>
            <w:noWrap/>
            <w:vAlign w:val="center"/>
            <w:hideMark/>
          </w:tcPr>
          <w:p w14:paraId="106C3103" w14:textId="77777777" w:rsidR="002A566F" w:rsidRPr="005907A1" w:rsidRDefault="002A566F" w:rsidP="005907A1">
            <w:pPr>
              <w:pStyle w:val="cuatexto"/>
              <w:jc w:val="right"/>
              <w:rPr>
                <w:sz w:val="18"/>
                <w:szCs w:val="18"/>
                <w:lang w:val="es-ES" w:eastAsia="es-ES"/>
              </w:rPr>
            </w:pPr>
          </w:p>
        </w:tc>
        <w:tc>
          <w:tcPr>
            <w:tcW w:w="850" w:type="pct"/>
            <w:tcBorders>
              <w:top w:val="single" w:sz="2" w:space="0" w:color="auto"/>
              <w:left w:val="nil"/>
              <w:bottom w:val="single" w:sz="2" w:space="0" w:color="auto"/>
              <w:right w:val="nil"/>
            </w:tcBorders>
            <w:shd w:val="clear" w:color="auto" w:fill="auto"/>
            <w:noWrap/>
            <w:vAlign w:val="center"/>
            <w:hideMark/>
          </w:tcPr>
          <w:p w14:paraId="21A10B52"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9.728.611</w:t>
            </w:r>
          </w:p>
        </w:tc>
      </w:tr>
      <w:tr w:rsidR="002A566F" w:rsidRPr="005907A1" w14:paraId="4937D887" w14:textId="77777777" w:rsidTr="007B0CFC">
        <w:trPr>
          <w:trHeight w:hRule="exact" w:val="227"/>
        </w:trPr>
        <w:tc>
          <w:tcPr>
            <w:tcW w:w="1440" w:type="pct"/>
            <w:tcBorders>
              <w:top w:val="single" w:sz="2" w:space="0" w:color="auto"/>
              <w:left w:val="nil"/>
              <w:bottom w:val="single" w:sz="4" w:space="0" w:color="auto"/>
              <w:right w:val="nil"/>
            </w:tcBorders>
            <w:shd w:val="clear" w:color="auto" w:fill="auto"/>
            <w:noWrap/>
            <w:vAlign w:val="center"/>
            <w:hideMark/>
          </w:tcPr>
          <w:p w14:paraId="2C65F610" w14:textId="77777777" w:rsidR="002A566F" w:rsidRPr="005907A1" w:rsidRDefault="002A566F" w:rsidP="005907A1">
            <w:pPr>
              <w:pStyle w:val="cuatexto"/>
              <w:rPr>
                <w:sz w:val="18"/>
                <w:szCs w:val="18"/>
                <w:lang w:val="es-ES" w:eastAsia="es-ES"/>
              </w:rPr>
            </w:pPr>
            <w:r w:rsidRPr="005907A1">
              <w:rPr>
                <w:sz w:val="18"/>
                <w:szCs w:val="18"/>
                <w:lang w:val="es-ES" w:eastAsia="es-ES"/>
              </w:rPr>
              <w:t>&gt;150.000 y &lt;= 400.000 €</w:t>
            </w:r>
          </w:p>
        </w:tc>
        <w:tc>
          <w:tcPr>
            <w:tcW w:w="429" w:type="pct"/>
            <w:tcBorders>
              <w:top w:val="single" w:sz="2" w:space="0" w:color="auto"/>
              <w:left w:val="nil"/>
              <w:bottom w:val="single" w:sz="4" w:space="0" w:color="auto"/>
              <w:right w:val="nil"/>
            </w:tcBorders>
            <w:shd w:val="clear" w:color="auto" w:fill="auto"/>
            <w:noWrap/>
            <w:vAlign w:val="center"/>
            <w:hideMark/>
          </w:tcPr>
          <w:p w14:paraId="5E9D95B5"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59</w:t>
            </w:r>
          </w:p>
        </w:tc>
        <w:tc>
          <w:tcPr>
            <w:tcW w:w="729" w:type="pct"/>
            <w:tcBorders>
              <w:top w:val="single" w:sz="2" w:space="0" w:color="auto"/>
              <w:left w:val="nil"/>
              <w:bottom w:val="single" w:sz="4" w:space="0" w:color="auto"/>
              <w:right w:val="nil"/>
            </w:tcBorders>
            <w:shd w:val="clear" w:color="auto" w:fill="auto"/>
            <w:noWrap/>
            <w:vAlign w:val="center"/>
            <w:hideMark/>
          </w:tcPr>
          <w:p w14:paraId="5E852F0C"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11</w:t>
            </w:r>
          </w:p>
        </w:tc>
        <w:tc>
          <w:tcPr>
            <w:tcW w:w="589" w:type="pct"/>
            <w:tcBorders>
              <w:top w:val="single" w:sz="2" w:space="0" w:color="auto"/>
              <w:left w:val="nil"/>
              <w:bottom w:val="single" w:sz="4" w:space="0" w:color="auto"/>
              <w:right w:val="nil"/>
            </w:tcBorders>
            <w:shd w:val="clear" w:color="auto" w:fill="auto"/>
            <w:noWrap/>
            <w:vAlign w:val="center"/>
            <w:hideMark/>
          </w:tcPr>
          <w:p w14:paraId="366AC796"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10</w:t>
            </w:r>
          </w:p>
        </w:tc>
        <w:tc>
          <w:tcPr>
            <w:tcW w:w="962" w:type="pct"/>
            <w:tcBorders>
              <w:top w:val="single" w:sz="2" w:space="0" w:color="auto"/>
              <w:left w:val="nil"/>
              <w:bottom w:val="single" w:sz="4" w:space="0" w:color="auto"/>
              <w:right w:val="nil"/>
            </w:tcBorders>
            <w:shd w:val="clear" w:color="auto" w:fill="auto"/>
            <w:noWrap/>
            <w:vAlign w:val="center"/>
            <w:hideMark/>
          </w:tcPr>
          <w:p w14:paraId="3977925F"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1</w:t>
            </w:r>
          </w:p>
        </w:tc>
        <w:tc>
          <w:tcPr>
            <w:tcW w:w="850" w:type="pct"/>
            <w:tcBorders>
              <w:top w:val="single" w:sz="2" w:space="0" w:color="auto"/>
              <w:left w:val="nil"/>
              <w:bottom w:val="single" w:sz="4" w:space="0" w:color="auto"/>
              <w:right w:val="nil"/>
            </w:tcBorders>
            <w:shd w:val="clear" w:color="auto" w:fill="auto"/>
            <w:noWrap/>
            <w:vAlign w:val="center"/>
            <w:hideMark/>
          </w:tcPr>
          <w:p w14:paraId="3B3707ED" w14:textId="77777777" w:rsidR="002A566F" w:rsidRPr="005907A1" w:rsidRDefault="002A566F" w:rsidP="005907A1">
            <w:pPr>
              <w:pStyle w:val="cuatexto"/>
              <w:jc w:val="right"/>
              <w:rPr>
                <w:sz w:val="18"/>
                <w:szCs w:val="18"/>
                <w:lang w:val="es-ES" w:eastAsia="es-ES"/>
              </w:rPr>
            </w:pPr>
            <w:r w:rsidRPr="005907A1">
              <w:rPr>
                <w:sz w:val="18"/>
                <w:szCs w:val="18"/>
                <w:lang w:val="es-ES" w:eastAsia="es-ES"/>
              </w:rPr>
              <w:t>19.330.608</w:t>
            </w:r>
          </w:p>
        </w:tc>
      </w:tr>
    </w:tbl>
    <w:p w14:paraId="7E7A8D2E" w14:textId="77777777" w:rsidR="0088085F" w:rsidRPr="00262228" w:rsidRDefault="0088085F" w:rsidP="00E35BF3">
      <w:pPr>
        <w:pStyle w:val="texto"/>
        <w:spacing w:before="260" w:after="240"/>
      </w:pPr>
      <w:r w:rsidRPr="000334D7">
        <w:t>El importe de adjudicación anual para estos contratos, que son más significativos por su cuantía, fue</w:t>
      </w:r>
      <w:r>
        <w:t xml:space="preserve"> el siguiente:</w:t>
      </w:r>
      <w:r w:rsidRPr="00262228">
        <w:t xml:space="preserve"> </w:t>
      </w:r>
    </w:p>
    <w:tbl>
      <w:tblPr>
        <w:tblW w:w="5000" w:type="pct"/>
        <w:jc w:val="center"/>
        <w:tblCellMar>
          <w:left w:w="70" w:type="dxa"/>
          <w:right w:w="70" w:type="dxa"/>
        </w:tblCellMar>
        <w:tblLook w:val="04A0" w:firstRow="1" w:lastRow="0" w:firstColumn="1" w:lastColumn="0" w:noHBand="0" w:noVBand="1"/>
      </w:tblPr>
      <w:tblGrid>
        <w:gridCol w:w="4741"/>
        <w:gridCol w:w="1506"/>
        <w:gridCol w:w="2542"/>
      </w:tblGrid>
      <w:tr w:rsidR="0088085F" w:rsidRPr="00FD7A17" w14:paraId="65607276" w14:textId="77777777" w:rsidTr="001E5CF2">
        <w:trPr>
          <w:trHeight w:val="284"/>
          <w:jc w:val="center"/>
        </w:trPr>
        <w:tc>
          <w:tcPr>
            <w:tcW w:w="2697" w:type="pct"/>
            <w:tcBorders>
              <w:top w:val="single" w:sz="4" w:space="0" w:color="000000"/>
              <w:left w:val="nil"/>
              <w:bottom w:val="single" w:sz="4" w:space="0" w:color="000000"/>
              <w:right w:val="nil"/>
            </w:tcBorders>
            <w:shd w:val="clear" w:color="auto" w:fill="FABF8F" w:themeFill="accent6" w:themeFillTint="99"/>
            <w:noWrap/>
            <w:vAlign w:val="center"/>
            <w:hideMark/>
          </w:tcPr>
          <w:p w14:paraId="3E870B42" w14:textId="77777777" w:rsidR="0088085F" w:rsidRPr="00FD7A17" w:rsidRDefault="0088085F" w:rsidP="00C13CE1">
            <w:pPr>
              <w:pStyle w:val="cuadroCabe"/>
              <w:rPr>
                <w:lang w:val="es-ES" w:eastAsia="es-ES"/>
              </w:rPr>
            </w:pPr>
            <w:r w:rsidRPr="00FD7A17">
              <w:rPr>
                <w:lang w:val="es-ES" w:eastAsia="es-ES"/>
              </w:rPr>
              <w:t>Tipo de contrato</w:t>
            </w:r>
          </w:p>
        </w:tc>
        <w:tc>
          <w:tcPr>
            <w:tcW w:w="857" w:type="pct"/>
            <w:tcBorders>
              <w:top w:val="single" w:sz="4" w:space="0" w:color="000000"/>
              <w:left w:val="nil"/>
              <w:bottom w:val="single" w:sz="4" w:space="0" w:color="000000"/>
              <w:right w:val="nil"/>
            </w:tcBorders>
            <w:shd w:val="clear" w:color="auto" w:fill="FABF8F" w:themeFill="accent6" w:themeFillTint="99"/>
            <w:noWrap/>
            <w:vAlign w:val="center"/>
            <w:hideMark/>
          </w:tcPr>
          <w:p w14:paraId="5DC7AC08" w14:textId="77777777" w:rsidR="0088085F" w:rsidRPr="00FD7A17" w:rsidRDefault="0088085F" w:rsidP="00C13CE1">
            <w:pPr>
              <w:pStyle w:val="cuadroCabe"/>
              <w:jc w:val="right"/>
              <w:rPr>
                <w:lang w:val="es-ES" w:eastAsia="es-ES"/>
              </w:rPr>
            </w:pPr>
            <w:r w:rsidRPr="00FD7A17">
              <w:rPr>
                <w:lang w:val="es-ES" w:eastAsia="es-ES"/>
              </w:rPr>
              <w:t>Número</w:t>
            </w:r>
          </w:p>
        </w:tc>
        <w:tc>
          <w:tcPr>
            <w:tcW w:w="1446" w:type="pct"/>
            <w:tcBorders>
              <w:top w:val="single" w:sz="4" w:space="0" w:color="000000"/>
              <w:left w:val="nil"/>
              <w:bottom w:val="single" w:sz="4" w:space="0" w:color="000000"/>
            </w:tcBorders>
            <w:shd w:val="clear" w:color="auto" w:fill="FABF8F" w:themeFill="accent6" w:themeFillTint="99"/>
            <w:vAlign w:val="center"/>
            <w:hideMark/>
          </w:tcPr>
          <w:p w14:paraId="501F8C91" w14:textId="77777777" w:rsidR="0088085F" w:rsidRPr="00FD7A17" w:rsidRDefault="0088085F" w:rsidP="00C13CE1">
            <w:pPr>
              <w:pStyle w:val="cuadroCabe"/>
              <w:jc w:val="right"/>
              <w:rPr>
                <w:lang w:val="es-ES" w:eastAsia="es-ES"/>
              </w:rPr>
            </w:pPr>
            <w:r w:rsidRPr="00FD7A17">
              <w:rPr>
                <w:lang w:val="es-ES" w:eastAsia="es-ES"/>
              </w:rPr>
              <w:t>Importe adjudicación</w:t>
            </w:r>
          </w:p>
        </w:tc>
      </w:tr>
      <w:tr w:rsidR="0088085F" w:rsidRPr="002E2437" w14:paraId="102B2610" w14:textId="77777777" w:rsidTr="00A77D09">
        <w:trPr>
          <w:trHeight w:hRule="exact" w:val="227"/>
          <w:jc w:val="center"/>
        </w:trPr>
        <w:tc>
          <w:tcPr>
            <w:tcW w:w="2697" w:type="pct"/>
            <w:tcBorders>
              <w:top w:val="single" w:sz="4" w:space="0" w:color="000000"/>
              <w:left w:val="nil"/>
              <w:bottom w:val="single" w:sz="2" w:space="0" w:color="000000"/>
              <w:right w:val="nil"/>
            </w:tcBorders>
            <w:shd w:val="clear" w:color="auto" w:fill="auto"/>
            <w:noWrap/>
            <w:vAlign w:val="center"/>
            <w:hideMark/>
          </w:tcPr>
          <w:p w14:paraId="40140643" w14:textId="77777777" w:rsidR="0088085F" w:rsidRPr="002E2437" w:rsidRDefault="0088085F" w:rsidP="00C13CE1">
            <w:pPr>
              <w:pStyle w:val="cuatexto"/>
              <w:rPr>
                <w:rFonts w:cs="Calibri"/>
                <w:lang w:val="es-ES" w:eastAsia="es-ES"/>
              </w:rPr>
            </w:pPr>
            <w:r w:rsidRPr="002E2437">
              <w:rPr>
                <w:rFonts w:cs="Calibri"/>
                <w:lang w:val="es-ES" w:eastAsia="es-ES"/>
              </w:rPr>
              <w:t>Obras</w:t>
            </w:r>
          </w:p>
        </w:tc>
        <w:tc>
          <w:tcPr>
            <w:tcW w:w="857" w:type="pct"/>
            <w:tcBorders>
              <w:top w:val="single" w:sz="4" w:space="0" w:color="000000"/>
              <w:left w:val="nil"/>
              <w:bottom w:val="single" w:sz="2" w:space="0" w:color="000000"/>
              <w:right w:val="nil"/>
            </w:tcBorders>
            <w:shd w:val="clear" w:color="auto" w:fill="auto"/>
            <w:noWrap/>
            <w:vAlign w:val="center"/>
            <w:hideMark/>
          </w:tcPr>
          <w:p w14:paraId="5B4119AC" w14:textId="77777777" w:rsidR="0088085F" w:rsidRPr="002E2437" w:rsidRDefault="0088085F" w:rsidP="00C13CE1">
            <w:pPr>
              <w:pStyle w:val="cuatexto"/>
              <w:jc w:val="right"/>
              <w:rPr>
                <w:rFonts w:cs="Calibri"/>
                <w:lang w:val="es-ES" w:eastAsia="es-ES"/>
              </w:rPr>
            </w:pPr>
            <w:r>
              <w:rPr>
                <w:rFonts w:cs="Calibri"/>
                <w:lang w:val="es-ES" w:eastAsia="es-ES"/>
              </w:rPr>
              <w:t>93</w:t>
            </w:r>
          </w:p>
        </w:tc>
        <w:tc>
          <w:tcPr>
            <w:tcW w:w="1446" w:type="pct"/>
            <w:tcBorders>
              <w:top w:val="single" w:sz="4" w:space="0" w:color="000000"/>
              <w:left w:val="nil"/>
              <w:bottom w:val="single" w:sz="2" w:space="0" w:color="000000"/>
              <w:right w:val="nil"/>
            </w:tcBorders>
            <w:shd w:val="clear" w:color="auto" w:fill="auto"/>
            <w:noWrap/>
            <w:vAlign w:val="center"/>
            <w:hideMark/>
          </w:tcPr>
          <w:p w14:paraId="6B82B373" w14:textId="77777777" w:rsidR="0088085F" w:rsidRPr="002E2437" w:rsidRDefault="0088085F" w:rsidP="00C13CE1">
            <w:pPr>
              <w:pStyle w:val="cuatexto"/>
              <w:jc w:val="right"/>
              <w:rPr>
                <w:rFonts w:cs="Calibri"/>
                <w:lang w:val="es-ES" w:eastAsia="es-ES"/>
              </w:rPr>
            </w:pPr>
            <w:r>
              <w:rPr>
                <w:rFonts w:cs="Calibri"/>
                <w:lang w:val="es-ES" w:eastAsia="es-ES"/>
              </w:rPr>
              <w:t>55.110.108</w:t>
            </w:r>
          </w:p>
        </w:tc>
      </w:tr>
      <w:tr w:rsidR="0088085F" w:rsidRPr="002E2437" w14:paraId="25408E63" w14:textId="77777777" w:rsidTr="00A77D09">
        <w:trPr>
          <w:trHeight w:hRule="exact" w:val="227"/>
          <w:jc w:val="center"/>
        </w:trPr>
        <w:tc>
          <w:tcPr>
            <w:tcW w:w="2697" w:type="pct"/>
            <w:tcBorders>
              <w:top w:val="single" w:sz="2" w:space="0" w:color="000000"/>
              <w:left w:val="nil"/>
              <w:bottom w:val="single" w:sz="2" w:space="0" w:color="000000"/>
              <w:right w:val="nil"/>
            </w:tcBorders>
            <w:shd w:val="clear" w:color="auto" w:fill="auto"/>
            <w:noWrap/>
            <w:vAlign w:val="center"/>
            <w:hideMark/>
          </w:tcPr>
          <w:p w14:paraId="625FDAD9" w14:textId="77777777" w:rsidR="0088085F" w:rsidRPr="002E2437" w:rsidRDefault="0088085F" w:rsidP="00C13CE1">
            <w:pPr>
              <w:pStyle w:val="cuatexto"/>
              <w:rPr>
                <w:rFonts w:cs="Calibri"/>
                <w:lang w:val="es-ES" w:eastAsia="es-ES"/>
              </w:rPr>
            </w:pPr>
            <w:r>
              <w:rPr>
                <w:rFonts w:cs="Calibri"/>
                <w:lang w:val="es-ES" w:eastAsia="es-ES"/>
              </w:rPr>
              <w:t>Servicios</w:t>
            </w:r>
          </w:p>
        </w:tc>
        <w:tc>
          <w:tcPr>
            <w:tcW w:w="857" w:type="pct"/>
            <w:tcBorders>
              <w:top w:val="single" w:sz="2" w:space="0" w:color="000000"/>
              <w:left w:val="nil"/>
              <w:bottom w:val="single" w:sz="2" w:space="0" w:color="000000"/>
              <w:right w:val="nil"/>
            </w:tcBorders>
            <w:shd w:val="clear" w:color="auto" w:fill="auto"/>
            <w:noWrap/>
            <w:vAlign w:val="center"/>
            <w:hideMark/>
          </w:tcPr>
          <w:p w14:paraId="125BA907" w14:textId="77777777" w:rsidR="0088085F" w:rsidRPr="002E2437" w:rsidRDefault="0088085F" w:rsidP="00C13CE1">
            <w:pPr>
              <w:pStyle w:val="cuatexto"/>
              <w:jc w:val="right"/>
              <w:rPr>
                <w:rFonts w:cs="Calibri"/>
                <w:lang w:val="es-ES" w:eastAsia="es-ES"/>
              </w:rPr>
            </w:pPr>
            <w:r>
              <w:rPr>
                <w:rFonts w:cs="Calibri"/>
                <w:lang w:val="es-ES" w:eastAsia="es-ES"/>
              </w:rPr>
              <w:t>14</w:t>
            </w:r>
          </w:p>
        </w:tc>
        <w:tc>
          <w:tcPr>
            <w:tcW w:w="1446" w:type="pct"/>
            <w:tcBorders>
              <w:top w:val="single" w:sz="2" w:space="0" w:color="000000"/>
              <w:left w:val="nil"/>
              <w:bottom w:val="single" w:sz="2" w:space="0" w:color="000000"/>
              <w:right w:val="nil"/>
            </w:tcBorders>
            <w:shd w:val="clear" w:color="auto" w:fill="auto"/>
            <w:noWrap/>
            <w:vAlign w:val="center"/>
            <w:hideMark/>
          </w:tcPr>
          <w:p w14:paraId="61701E20" w14:textId="77777777" w:rsidR="0088085F" w:rsidRPr="002E2437" w:rsidRDefault="0088085F" w:rsidP="00C13CE1">
            <w:pPr>
              <w:pStyle w:val="cuatexto"/>
              <w:jc w:val="right"/>
              <w:rPr>
                <w:rFonts w:cs="Calibri"/>
                <w:lang w:val="es-ES" w:eastAsia="es-ES"/>
              </w:rPr>
            </w:pPr>
            <w:r>
              <w:rPr>
                <w:rFonts w:cs="Calibri"/>
                <w:lang w:val="es-ES" w:eastAsia="es-ES"/>
              </w:rPr>
              <w:t>13.464.688</w:t>
            </w:r>
          </w:p>
        </w:tc>
      </w:tr>
      <w:tr w:rsidR="0088085F" w:rsidRPr="002E2437" w14:paraId="5703DB3D" w14:textId="77777777" w:rsidTr="00A77D09">
        <w:trPr>
          <w:trHeight w:hRule="exact" w:val="227"/>
          <w:jc w:val="center"/>
        </w:trPr>
        <w:tc>
          <w:tcPr>
            <w:tcW w:w="2697" w:type="pct"/>
            <w:tcBorders>
              <w:top w:val="single" w:sz="2" w:space="0" w:color="000000"/>
              <w:left w:val="nil"/>
              <w:bottom w:val="single" w:sz="4" w:space="0" w:color="auto"/>
              <w:right w:val="nil"/>
            </w:tcBorders>
            <w:shd w:val="clear" w:color="auto" w:fill="auto"/>
            <w:noWrap/>
            <w:vAlign w:val="center"/>
            <w:hideMark/>
          </w:tcPr>
          <w:p w14:paraId="38A340DC" w14:textId="77777777" w:rsidR="0088085F" w:rsidRPr="002E2437" w:rsidRDefault="0088085F" w:rsidP="00C13CE1">
            <w:pPr>
              <w:pStyle w:val="cuatexto"/>
              <w:rPr>
                <w:rFonts w:cs="Calibri"/>
                <w:lang w:val="es-ES" w:eastAsia="es-ES"/>
              </w:rPr>
            </w:pPr>
            <w:r w:rsidRPr="002E2437">
              <w:rPr>
                <w:rFonts w:cs="Calibri"/>
                <w:lang w:val="es-ES" w:eastAsia="es-ES"/>
              </w:rPr>
              <w:t>Suministro</w:t>
            </w:r>
            <w:r>
              <w:rPr>
                <w:rFonts w:cs="Calibri"/>
                <w:lang w:val="es-ES" w:eastAsia="es-ES"/>
              </w:rPr>
              <w:t>s</w:t>
            </w:r>
          </w:p>
        </w:tc>
        <w:tc>
          <w:tcPr>
            <w:tcW w:w="857" w:type="pct"/>
            <w:tcBorders>
              <w:top w:val="single" w:sz="2" w:space="0" w:color="000000"/>
              <w:left w:val="nil"/>
              <w:bottom w:val="single" w:sz="4" w:space="0" w:color="auto"/>
              <w:right w:val="nil"/>
            </w:tcBorders>
            <w:shd w:val="clear" w:color="auto" w:fill="auto"/>
            <w:noWrap/>
            <w:vAlign w:val="center"/>
            <w:hideMark/>
          </w:tcPr>
          <w:p w14:paraId="69FC0A0B" w14:textId="77777777" w:rsidR="0088085F" w:rsidRPr="002E2437" w:rsidRDefault="0088085F" w:rsidP="00C13CE1">
            <w:pPr>
              <w:pStyle w:val="cuatexto"/>
              <w:jc w:val="right"/>
              <w:rPr>
                <w:rFonts w:cs="Calibri"/>
                <w:lang w:val="es-ES" w:eastAsia="es-ES"/>
              </w:rPr>
            </w:pPr>
            <w:r>
              <w:rPr>
                <w:rFonts w:cs="Calibri"/>
                <w:lang w:val="es-ES" w:eastAsia="es-ES"/>
              </w:rPr>
              <w:t>17</w:t>
            </w:r>
          </w:p>
        </w:tc>
        <w:tc>
          <w:tcPr>
            <w:tcW w:w="1446" w:type="pct"/>
            <w:tcBorders>
              <w:top w:val="single" w:sz="2" w:space="0" w:color="000000"/>
              <w:left w:val="nil"/>
              <w:bottom w:val="single" w:sz="4" w:space="0" w:color="auto"/>
              <w:right w:val="nil"/>
            </w:tcBorders>
            <w:shd w:val="clear" w:color="auto" w:fill="auto"/>
            <w:noWrap/>
            <w:vAlign w:val="center"/>
            <w:hideMark/>
          </w:tcPr>
          <w:p w14:paraId="051A24D6" w14:textId="77777777" w:rsidR="0088085F" w:rsidRPr="002E2437" w:rsidRDefault="0088085F" w:rsidP="00C13CE1">
            <w:pPr>
              <w:pStyle w:val="cuatexto"/>
              <w:jc w:val="right"/>
              <w:rPr>
                <w:rFonts w:cs="Calibri"/>
                <w:lang w:val="es-ES" w:eastAsia="es-ES"/>
              </w:rPr>
            </w:pPr>
            <w:r>
              <w:rPr>
                <w:rFonts w:cs="Calibri"/>
                <w:lang w:val="es-ES" w:eastAsia="es-ES"/>
              </w:rPr>
              <w:t>11.609.374</w:t>
            </w:r>
          </w:p>
        </w:tc>
      </w:tr>
      <w:tr w:rsidR="0088085F" w:rsidRPr="00B0783F" w14:paraId="6CD4E461" w14:textId="77777777" w:rsidTr="001E5CF2">
        <w:trPr>
          <w:trHeight w:val="255"/>
          <w:jc w:val="center"/>
        </w:trPr>
        <w:tc>
          <w:tcPr>
            <w:tcW w:w="2697" w:type="pct"/>
            <w:tcBorders>
              <w:top w:val="single" w:sz="4" w:space="0" w:color="auto"/>
              <w:left w:val="nil"/>
              <w:bottom w:val="single" w:sz="4" w:space="0" w:color="000000"/>
              <w:right w:val="nil"/>
            </w:tcBorders>
            <w:shd w:val="clear" w:color="auto" w:fill="FABF8F" w:themeFill="accent6" w:themeFillTint="99"/>
            <w:noWrap/>
            <w:vAlign w:val="center"/>
            <w:hideMark/>
          </w:tcPr>
          <w:p w14:paraId="49FEA786" w14:textId="77777777" w:rsidR="0088085F" w:rsidRPr="00FD7A17" w:rsidRDefault="0088085F" w:rsidP="00C13CE1">
            <w:pPr>
              <w:pStyle w:val="cuadroCabe"/>
              <w:rPr>
                <w:lang w:val="es-ES" w:eastAsia="es-ES"/>
              </w:rPr>
            </w:pPr>
            <w:r w:rsidRPr="00FD7A17">
              <w:rPr>
                <w:lang w:val="es-ES" w:eastAsia="es-ES"/>
              </w:rPr>
              <w:t>Total general</w:t>
            </w:r>
          </w:p>
        </w:tc>
        <w:tc>
          <w:tcPr>
            <w:tcW w:w="857" w:type="pct"/>
            <w:tcBorders>
              <w:top w:val="single" w:sz="4" w:space="0" w:color="auto"/>
              <w:left w:val="nil"/>
              <w:bottom w:val="single" w:sz="4" w:space="0" w:color="000000"/>
              <w:right w:val="nil"/>
            </w:tcBorders>
            <w:shd w:val="clear" w:color="auto" w:fill="FABF8F" w:themeFill="accent6" w:themeFillTint="99"/>
            <w:noWrap/>
            <w:vAlign w:val="center"/>
            <w:hideMark/>
          </w:tcPr>
          <w:p w14:paraId="496D9CE4" w14:textId="77777777" w:rsidR="0088085F" w:rsidRPr="00FD7A17" w:rsidRDefault="0088085F" w:rsidP="00C13CE1">
            <w:pPr>
              <w:pStyle w:val="cuadroCabe"/>
              <w:jc w:val="right"/>
              <w:rPr>
                <w:lang w:val="es-ES" w:eastAsia="es-ES"/>
              </w:rPr>
            </w:pPr>
            <w:r>
              <w:rPr>
                <w:lang w:val="es-ES" w:eastAsia="es-ES"/>
              </w:rPr>
              <w:t>124</w:t>
            </w:r>
          </w:p>
        </w:tc>
        <w:tc>
          <w:tcPr>
            <w:tcW w:w="1446" w:type="pct"/>
            <w:tcBorders>
              <w:top w:val="single" w:sz="4" w:space="0" w:color="auto"/>
              <w:left w:val="nil"/>
              <w:bottom w:val="single" w:sz="4" w:space="0" w:color="000000"/>
            </w:tcBorders>
            <w:shd w:val="clear" w:color="auto" w:fill="FABF8F" w:themeFill="accent6" w:themeFillTint="99"/>
            <w:noWrap/>
            <w:vAlign w:val="center"/>
            <w:hideMark/>
          </w:tcPr>
          <w:p w14:paraId="0D28AF2C" w14:textId="77777777" w:rsidR="0088085F" w:rsidRPr="00FD7A17" w:rsidRDefault="0088085F" w:rsidP="00C13CE1">
            <w:pPr>
              <w:pStyle w:val="cuadroCabe"/>
              <w:jc w:val="right"/>
              <w:rPr>
                <w:lang w:val="es-ES" w:eastAsia="es-ES"/>
              </w:rPr>
            </w:pPr>
            <w:r>
              <w:rPr>
                <w:lang w:val="es-ES" w:eastAsia="es-ES"/>
              </w:rPr>
              <w:t>80.184.170</w:t>
            </w:r>
          </w:p>
        </w:tc>
      </w:tr>
    </w:tbl>
    <w:p w14:paraId="3E4A3C53" w14:textId="77777777" w:rsidR="00ED21C8" w:rsidRDefault="00ED21C8" w:rsidP="00923043">
      <w:pPr>
        <w:pStyle w:val="texto"/>
        <w:spacing w:before="220"/>
      </w:pPr>
    </w:p>
    <w:p w14:paraId="40F902F6" w14:textId="77777777" w:rsidR="00ED21C8" w:rsidRDefault="00ED21C8" w:rsidP="00923043">
      <w:pPr>
        <w:pStyle w:val="texto"/>
        <w:spacing w:before="220"/>
      </w:pPr>
    </w:p>
    <w:p w14:paraId="2BF363CC" w14:textId="77777777" w:rsidR="00ED21C8" w:rsidRDefault="00ED21C8" w:rsidP="00923043">
      <w:pPr>
        <w:pStyle w:val="texto"/>
        <w:spacing w:before="220"/>
      </w:pPr>
    </w:p>
    <w:p w14:paraId="33484714" w14:textId="77777777" w:rsidR="00A005AA" w:rsidRDefault="00A005AA">
      <w:pPr>
        <w:spacing w:after="0"/>
        <w:ind w:firstLine="0"/>
        <w:jc w:val="left"/>
        <w:rPr>
          <w:spacing w:val="6"/>
          <w:sz w:val="26"/>
          <w:szCs w:val="24"/>
        </w:rPr>
      </w:pPr>
      <w:r>
        <w:br w:type="page"/>
      </w:r>
    </w:p>
    <w:p w14:paraId="76DB860E" w14:textId="77777777" w:rsidR="00E96821" w:rsidRDefault="0088085F" w:rsidP="00DB6EDE">
      <w:pPr>
        <w:pStyle w:val="texto"/>
        <w:spacing w:before="220" w:after="100"/>
      </w:pPr>
      <w:r>
        <w:lastRenderedPageBreak/>
        <w:t>R</w:t>
      </w:r>
      <w:r w:rsidRPr="005279EF">
        <w:t>ealizamos el mismo análisis anterior pero tomando los importes totales de</w:t>
      </w:r>
      <w:r w:rsidRPr="005279EF">
        <w:br/>
        <w:t>adjudicación para los años de duración del contrato</w:t>
      </w:r>
      <w:r w:rsidR="00E96821">
        <w:t xml:space="preserve"> y </w:t>
      </w:r>
      <w:r w:rsidR="0038773E">
        <w:t>ob</w:t>
      </w:r>
      <w:r w:rsidR="00E96821">
        <w:t>tenemos los siguientes datos:</w:t>
      </w:r>
    </w:p>
    <w:p w14:paraId="5EB2C557" w14:textId="77777777" w:rsidR="00E96821" w:rsidRPr="00DB6EDE" w:rsidRDefault="00E96821" w:rsidP="00E96821">
      <w:pPr>
        <w:pStyle w:val="texto"/>
        <w:spacing w:after="0"/>
        <w:rPr>
          <w:sz w:val="16"/>
          <w:szCs w:val="16"/>
        </w:rPr>
      </w:pPr>
    </w:p>
    <w:tbl>
      <w:tblPr>
        <w:tblW w:w="4976" w:type="pct"/>
        <w:jc w:val="center"/>
        <w:tblCellMar>
          <w:left w:w="70" w:type="dxa"/>
          <w:right w:w="70" w:type="dxa"/>
        </w:tblCellMar>
        <w:tblLook w:val="04A0" w:firstRow="1" w:lastRow="0" w:firstColumn="1" w:lastColumn="0" w:noHBand="0" w:noVBand="1"/>
      </w:tblPr>
      <w:tblGrid>
        <w:gridCol w:w="2059"/>
        <w:gridCol w:w="754"/>
        <w:gridCol w:w="1282"/>
        <w:gridCol w:w="1036"/>
        <w:gridCol w:w="2126"/>
        <w:gridCol w:w="1490"/>
      </w:tblGrid>
      <w:tr w:rsidR="0026436D" w:rsidRPr="00DE60B7" w14:paraId="33AE38B9" w14:textId="77777777" w:rsidTr="00DE60B7">
        <w:trPr>
          <w:trHeight w:val="227"/>
          <w:jc w:val="center"/>
        </w:trPr>
        <w:tc>
          <w:tcPr>
            <w:tcW w:w="1177" w:type="pct"/>
            <w:vMerge w:val="restart"/>
            <w:tcBorders>
              <w:top w:val="single" w:sz="4" w:space="0" w:color="auto"/>
              <w:left w:val="nil"/>
              <w:bottom w:val="single" w:sz="4" w:space="0" w:color="auto"/>
              <w:right w:val="nil"/>
            </w:tcBorders>
            <w:shd w:val="clear" w:color="000000" w:fill="FABF8F"/>
            <w:vAlign w:val="center"/>
            <w:hideMark/>
          </w:tcPr>
          <w:p w14:paraId="0B4976FF" w14:textId="77777777" w:rsidR="0026436D" w:rsidRPr="00DE60B7" w:rsidRDefault="0026436D" w:rsidP="00B33587">
            <w:pPr>
              <w:pStyle w:val="cuadroCabe"/>
              <w:jc w:val="left"/>
              <w:rPr>
                <w:sz w:val="16"/>
                <w:szCs w:val="16"/>
                <w:lang w:val="es-ES" w:eastAsia="es-ES"/>
              </w:rPr>
            </w:pPr>
            <w:r w:rsidRPr="00DE60B7">
              <w:rPr>
                <w:sz w:val="16"/>
                <w:szCs w:val="16"/>
                <w:lang w:val="es-ES" w:eastAsia="es-ES"/>
              </w:rPr>
              <w:t>Tramo</w:t>
            </w:r>
          </w:p>
        </w:tc>
        <w:tc>
          <w:tcPr>
            <w:tcW w:w="2971" w:type="pct"/>
            <w:gridSpan w:val="4"/>
            <w:tcBorders>
              <w:top w:val="single" w:sz="4" w:space="0" w:color="auto"/>
              <w:left w:val="nil"/>
              <w:bottom w:val="single" w:sz="4" w:space="0" w:color="auto"/>
              <w:right w:val="nil"/>
            </w:tcBorders>
            <w:shd w:val="clear" w:color="000000" w:fill="FABF8F"/>
            <w:vAlign w:val="center"/>
            <w:hideMark/>
          </w:tcPr>
          <w:p w14:paraId="1C66C6B1" w14:textId="77777777" w:rsidR="0026436D" w:rsidRPr="00DE60B7" w:rsidRDefault="0026436D" w:rsidP="00B33587">
            <w:pPr>
              <w:pStyle w:val="cuadroCabe"/>
              <w:jc w:val="center"/>
              <w:rPr>
                <w:sz w:val="16"/>
                <w:szCs w:val="16"/>
                <w:lang w:val="es-ES" w:eastAsia="es-ES"/>
              </w:rPr>
            </w:pPr>
            <w:r w:rsidRPr="00DE60B7">
              <w:rPr>
                <w:sz w:val="16"/>
                <w:szCs w:val="16"/>
                <w:lang w:val="es-ES" w:eastAsia="es-ES"/>
              </w:rPr>
              <w:t>Número de contratos</w:t>
            </w:r>
          </w:p>
        </w:tc>
        <w:tc>
          <w:tcPr>
            <w:tcW w:w="853" w:type="pct"/>
            <w:vMerge w:val="restart"/>
            <w:tcBorders>
              <w:top w:val="single" w:sz="4" w:space="0" w:color="auto"/>
              <w:left w:val="nil"/>
              <w:bottom w:val="single" w:sz="4" w:space="0" w:color="auto"/>
              <w:right w:val="nil"/>
            </w:tcBorders>
            <w:shd w:val="clear" w:color="000000" w:fill="FABF8F"/>
            <w:vAlign w:val="center"/>
            <w:hideMark/>
          </w:tcPr>
          <w:p w14:paraId="2DE134AA" w14:textId="77777777" w:rsidR="0026436D" w:rsidRPr="00DE60B7" w:rsidRDefault="0026436D" w:rsidP="00B33587">
            <w:pPr>
              <w:pStyle w:val="cuadroCabe"/>
              <w:rPr>
                <w:sz w:val="16"/>
                <w:szCs w:val="16"/>
                <w:lang w:val="es-ES" w:eastAsia="es-ES"/>
              </w:rPr>
            </w:pPr>
            <w:proofErr w:type="spellStart"/>
            <w:r w:rsidRPr="00DE60B7">
              <w:rPr>
                <w:sz w:val="16"/>
                <w:szCs w:val="16"/>
                <w:lang w:val="es-ES" w:eastAsia="es-ES"/>
              </w:rPr>
              <w:t>Imp.Adj.Anual</w:t>
            </w:r>
            <w:proofErr w:type="spellEnd"/>
          </w:p>
        </w:tc>
      </w:tr>
      <w:tr w:rsidR="0026436D" w:rsidRPr="00DE60B7" w14:paraId="111A6602" w14:textId="77777777" w:rsidTr="00DE60B7">
        <w:trPr>
          <w:trHeight w:val="284"/>
          <w:jc w:val="center"/>
        </w:trPr>
        <w:tc>
          <w:tcPr>
            <w:tcW w:w="1177" w:type="pct"/>
            <w:vMerge/>
            <w:tcBorders>
              <w:top w:val="single" w:sz="4" w:space="0" w:color="auto"/>
              <w:left w:val="nil"/>
              <w:bottom w:val="single" w:sz="4" w:space="0" w:color="auto"/>
              <w:right w:val="nil"/>
            </w:tcBorders>
            <w:vAlign w:val="center"/>
            <w:hideMark/>
          </w:tcPr>
          <w:p w14:paraId="3DC2D850" w14:textId="77777777" w:rsidR="0026436D" w:rsidRPr="00DE60B7" w:rsidRDefault="0026436D" w:rsidP="00B33587">
            <w:pPr>
              <w:pStyle w:val="cuadroCabe"/>
              <w:jc w:val="left"/>
              <w:rPr>
                <w:sz w:val="16"/>
                <w:szCs w:val="16"/>
                <w:lang w:val="es-ES" w:eastAsia="es-ES"/>
              </w:rPr>
            </w:pPr>
          </w:p>
        </w:tc>
        <w:tc>
          <w:tcPr>
            <w:tcW w:w="431" w:type="pct"/>
            <w:tcBorders>
              <w:top w:val="nil"/>
              <w:left w:val="nil"/>
              <w:bottom w:val="single" w:sz="4" w:space="0" w:color="auto"/>
              <w:right w:val="nil"/>
            </w:tcBorders>
            <w:shd w:val="clear" w:color="000000" w:fill="FABF8F"/>
            <w:vAlign w:val="center"/>
            <w:hideMark/>
          </w:tcPr>
          <w:p w14:paraId="76F15D5C" w14:textId="77777777" w:rsidR="0026436D" w:rsidRPr="00DE60B7" w:rsidRDefault="0026436D" w:rsidP="000A3BD7">
            <w:pPr>
              <w:pStyle w:val="cuadroCabe"/>
              <w:jc w:val="right"/>
              <w:rPr>
                <w:sz w:val="16"/>
                <w:szCs w:val="16"/>
                <w:lang w:val="es-ES" w:eastAsia="es-ES"/>
              </w:rPr>
            </w:pPr>
            <w:r w:rsidRPr="00DE60B7">
              <w:rPr>
                <w:sz w:val="16"/>
                <w:szCs w:val="16"/>
                <w:lang w:val="es-ES" w:eastAsia="es-ES"/>
              </w:rPr>
              <w:t>Obras</w:t>
            </w:r>
          </w:p>
        </w:tc>
        <w:tc>
          <w:tcPr>
            <w:tcW w:w="733" w:type="pct"/>
            <w:tcBorders>
              <w:top w:val="nil"/>
              <w:left w:val="nil"/>
              <w:bottom w:val="single" w:sz="4" w:space="0" w:color="auto"/>
              <w:right w:val="nil"/>
            </w:tcBorders>
            <w:shd w:val="clear" w:color="000000" w:fill="FABF8F"/>
            <w:vAlign w:val="center"/>
            <w:hideMark/>
          </w:tcPr>
          <w:p w14:paraId="24978CA2" w14:textId="77777777" w:rsidR="0026436D" w:rsidRPr="00DE60B7" w:rsidRDefault="0026436D" w:rsidP="000A3BD7">
            <w:pPr>
              <w:pStyle w:val="cuadroCabe"/>
              <w:jc w:val="right"/>
              <w:rPr>
                <w:sz w:val="16"/>
                <w:szCs w:val="16"/>
                <w:lang w:val="es-ES" w:eastAsia="es-ES"/>
              </w:rPr>
            </w:pPr>
            <w:r w:rsidRPr="00DE60B7">
              <w:rPr>
                <w:sz w:val="16"/>
                <w:szCs w:val="16"/>
                <w:lang w:val="es-ES" w:eastAsia="es-ES"/>
              </w:rPr>
              <w:t>Suministros</w:t>
            </w:r>
          </w:p>
        </w:tc>
        <w:tc>
          <w:tcPr>
            <w:tcW w:w="592" w:type="pct"/>
            <w:tcBorders>
              <w:top w:val="nil"/>
              <w:left w:val="nil"/>
              <w:bottom w:val="single" w:sz="4" w:space="0" w:color="auto"/>
              <w:right w:val="nil"/>
            </w:tcBorders>
            <w:shd w:val="clear" w:color="000000" w:fill="FABF8F"/>
            <w:vAlign w:val="center"/>
            <w:hideMark/>
          </w:tcPr>
          <w:p w14:paraId="64FAE037" w14:textId="77777777" w:rsidR="0026436D" w:rsidRPr="00DE60B7" w:rsidRDefault="0026436D" w:rsidP="000A3BD7">
            <w:pPr>
              <w:pStyle w:val="cuadroCabe"/>
              <w:jc w:val="right"/>
              <w:rPr>
                <w:sz w:val="16"/>
                <w:szCs w:val="16"/>
                <w:lang w:val="es-ES" w:eastAsia="es-ES"/>
              </w:rPr>
            </w:pPr>
            <w:r w:rsidRPr="00DE60B7">
              <w:rPr>
                <w:sz w:val="16"/>
                <w:szCs w:val="16"/>
                <w:lang w:val="es-ES" w:eastAsia="es-ES"/>
              </w:rPr>
              <w:t>Servicios</w:t>
            </w:r>
          </w:p>
        </w:tc>
        <w:tc>
          <w:tcPr>
            <w:tcW w:w="1215" w:type="pct"/>
            <w:tcBorders>
              <w:top w:val="nil"/>
              <w:left w:val="nil"/>
              <w:bottom w:val="single" w:sz="4" w:space="0" w:color="auto"/>
              <w:right w:val="nil"/>
            </w:tcBorders>
            <w:shd w:val="clear" w:color="000000" w:fill="FABF8F"/>
            <w:vAlign w:val="center"/>
            <w:hideMark/>
          </w:tcPr>
          <w:p w14:paraId="0778951F" w14:textId="77777777" w:rsidR="0026436D" w:rsidRPr="00DE60B7" w:rsidRDefault="00CE01B8" w:rsidP="00CE01B8">
            <w:pPr>
              <w:pStyle w:val="cuadroCabe"/>
              <w:rPr>
                <w:sz w:val="16"/>
                <w:szCs w:val="16"/>
                <w:lang w:val="es-ES" w:eastAsia="es-ES"/>
              </w:rPr>
            </w:pPr>
            <w:r w:rsidRPr="00DE60B7">
              <w:rPr>
                <w:sz w:val="16"/>
                <w:szCs w:val="16"/>
                <w:lang w:val="es-ES" w:eastAsia="es-ES"/>
              </w:rPr>
              <w:t xml:space="preserve">  </w:t>
            </w:r>
            <w:r w:rsidR="0038773E" w:rsidRPr="00DE60B7">
              <w:rPr>
                <w:sz w:val="16"/>
                <w:szCs w:val="16"/>
                <w:lang w:val="es-ES" w:eastAsia="es-ES"/>
              </w:rPr>
              <w:t>Concesión</w:t>
            </w:r>
            <w:r w:rsidRPr="00DE60B7">
              <w:rPr>
                <w:sz w:val="16"/>
                <w:szCs w:val="16"/>
                <w:lang w:val="es-ES" w:eastAsia="es-ES"/>
              </w:rPr>
              <w:t xml:space="preserve"> </w:t>
            </w:r>
            <w:r w:rsidR="0038773E" w:rsidRPr="00DE60B7">
              <w:rPr>
                <w:sz w:val="16"/>
                <w:szCs w:val="16"/>
                <w:lang w:val="es-ES" w:eastAsia="es-ES"/>
              </w:rPr>
              <w:t>servicios</w:t>
            </w:r>
          </w:p>
        </w:tc>
        <w:tc>
          <w:tcPr>
            <w:tcW w:w="853" w:type="pct"/>
            <w:vMerge/>
            <w:tcBorders>
              <w:top w:val="single" w:sz="4" w:space="0" w:color="auto"/>
              <w:left w:val="nil"/>
              <w:bottom w:val="single" w:sz="4" w:space="0" w:color="auto"/>
              <w:right w:val="nil"/>
            </w:tcBorders>
            <w:vAlign w:val="center"/>
            <w:hideMark/>
          </w:tcPr>
          <w:p w14:paraId="37FD7265" w14:textId="77777777" w:rsidR="0026436D" w:rsidRPr="00DE60B7" w:rsidRDefault="0026436D" w:rsidP="00B33587">
            <w:pPr>
              <w:pStyle w:val="cuadroCabe"/>
              <w:jc w:val="right"/>
              <w:rPr>
                <w:sz w:val="16"/>
                <w:szCs w:val="16"/>
                <w:lang w:val="es-ES" w:eastAsia="es-ES"/>
              </w:rPr>
            </w:pPr>
          </w:p>
        </w:tc>
      </w:tr>
      <w:tr w:rsidR="0026436D" w:rsidRPr="00DE60B7" w14:paraId="6550D419" w14:textId="77777777" w:rsidTr="00DE60B7">
        <w:trPr>
          <w:trHeight w:hRule="exact" w:val="227"/>
          <w:jc w:val="center"/>
        </w:trPr>
        <w:tc>
          <w:tcPr>
            <w:tcW w:w="1177" w:type="pct"/>
            <w:tcBorders>
              <w:top w:val="single" w:sz="4" w:space="0" w:color="auto"/>
              <w:left w:val="nil"/>
              <w:bottom w:val="single" w:sz="2" w:space="0" w:color="auto"/>
              <w:right w:val="nil"/>
            </w:tcBorders>
            <w:shd w:val="clear" w:color="auto" w:fill="auto"/>
            <w:noWrap/>
            <w:vAlign w:val="center"/>
            <w:hideMark/>
          </w:tcPr>
          <w:p w14:paraId="3CC821FC" w14:textId="77777777" w:rsidR="0026436D" w:rsidRPr="00DE60B7" w:rsidRDefault="0026436D" w:rsidP="00B33587">
            <w:pPr>
              <w:pStyle w:val="cuatexto"/>
              <w:jc w:val="left"/>
              <w:rPr>
                <w:sz w:val="18"/>
                <w:szCs w:val="18"/>
                <w:lang w:val="es-ES" w:eastAsia="es-ES"/>
              </w:rPr>
            </w:pPr>
            <w:r w:rsidRPr="00DE60B7">
              <w:rPr>
                <w:sz w:val="18"/>
                <w:szCs w:val="18"/>
                <w:lang w:val="es-ES" w:eastAsia="es-ES"/>
              </w:rPr>
              <w:t>&gt;600.000 €</w:t>
            </w:r>
          </w:p>
        </w:tc>
        <w:tc>
          <w:tcPr>
            <w:tcW w:w="431" w:type="pct"/>
            <w:tcBorders>
              <w:top w:val="single" w:sz="4" w:space="0" w:color="auto"/>
              <w:left w:val="nil"/>
              <w:bottom w:val="single" w:sz="2" w:space="0" w:color="auto"/>
              <w:right w:val="nil"/>
            </w:tcBorders>
            <w:shd w:val="clear" w:color="auto" w:fill="auto"/>
            <w:noWrap/>
            <w:vAlign w:val="center"/>
            <w:hideMark/>
          </w:tcPr>
          <w:p w14:paraId="64CC906B" w14:textId="77777777" w:rsidR="0026436D" w:rsidRPr="00DE60B7" w:rsidRDefault="0026436D" w:rsidP="000A3BD7">
            <w:pPr>
              <w:pStyle w:val="cuatexto"/>
              <w:jc w:val="right"/>
              <w:rPr>
                <w:sz w:val="18"/>
                <w:szCs w:val="18"/>
                <w:lang w:val="es-ES" w:eastAsia="es-ES"/>
              </w:rPr>
            </w:pPr>
            <w:r w:rsidRPr="00DE60B7">
              <w:rPr>
                <w:sz w:val="18"/>
                <w:szCs w:val="18"/>
                <w:lang w:val="es-ES" w:eastAsia="es-ES"/>
              </w:rPr>
              <w:t>19</w:t>
            </w:r>
          </w:p>
        </w:tc>
        <w:tc>
          <w:tcPr>
            <w:tcW w:w="733" w:type="pct"/>
            <w:tcBorders>
              <w:top w:val="single" w:sz="4" w:space="0" w:color="auto"/>
              <w:left w:val="nil"/>
              <w:bottom w:val="single" w:sz="2" w:space="0" w:color="auto"/>
              <w:right w:val="nil"/>
            </w:tcBorders>
            <w:shd w:val="clear" w:color="auto" w:fill="auto"/>
            <w:noWrap/>
            <w:vAlign w:val="center"/>
            <w:hideMark/>
          </w:tcPr>
          <w:p w14:paraId="16CD4AD7" w14:textId="77777777" w:rsidR="0026436D" w:rsidRPr="00DE60B7" w:rsidRDefault="0026436D" w:rsidP="000A3BD7">
            <w:pPr>
              <w:pStyle w:val="cuatexto"/>
              <w:jc w:val="right"/>
              <w:rPr>
                <w:sz w:val="18"/>
                <w:szCs w:val="18"/>
                <w:lang w:val="es-ES" w:eastAsia="es-ES"/>
              </w:rPr>
            </w:pPr>
            <w:r w:rsidRPr="00DE60B7">
              <w:rPr>
                <w:sz w:val="18"/>
                <w:szCs w:val="18"/>
                <w:lang w:val="es-ES" w:eastAsia="es-ES"/>
              </w:rPr>
              <w:t>5</w:t>
            </w:r>
          </w:p>
        </w:tc>
        <w:tc>
          <w:tcPr>
            <w:tcW w:w="592" w:type="pct"/>
            <w:tcBorders>
              <w:top w:val="single" w:sz="4" w:space="0" w:color="auto"/>
              <w:left w:val="nil"/>
              <w:bottom w:val="single" w:sz="2" w:space="0" w:color="auto"/>
              <w:right w:val="nil"/>
            </w:tcBorders>
            <w:shd w:val="clear" w:color="auto" w:fill="auto"/>
            <w:noWrap/>
            <w:vAlign w:val="center"/>
            <w:hideMark/>
          </w:tcPr>
          <w:p w14:paraId="5CBCD825" w14:textId="77777777" w:rsidR="0026436D" w:rsidRPr="00DE60B7" w:rsidRDefault="0026436D" w:rsidP="000A3BD7">
            <w:pPr>
              <w:pStyle w:val="cuatexto"/>
              <w:jc w:val="right"/>
              <w:rPr>
                <w:sz w:val="18"/>
                <w:szCs w:val="18"/>
                <w:lang w:val="es-ES" w:eastAsia="es-ES"/>
              </w:rPr>
            </w:pPr>
            <w:r w:rsidRPr="00DE60B7">
              <w:rPr>
                <w:sz w:val="18"/>
                <w:szCs w:val="18"/>
                <w:lang w:val="es-ES" w:eastAsia="es-ES"/>
              </w:rPr>
              <w:t>2</w:t>
            </w:r>
          </w:p>
        </w:tc>
        <w:tc>
          <w:tcPr>
            <w:tcW w:w="1215" w:type="pct"/>
            <w:tcBorders>
              <w:top w:val="single" w:sz="4" w:space="0" w:color="auto"/>
              <w:left w:val="nil"/>
              <w:bottom w:val="single" w:sz="2" w:space="0" w:color="auto"/>
              <w:right w:val="nil"/>
            </w:tcBorders>
            <w:shd w:val="clear" w:color="auto" w:fill="auto"/>
            <w:noWrap/>
            <w:vAlign w:val="center"/>
            <w:hideMark/>
          </w:tcPr>
          <w:p w14:paraId="53BCEC91" w14:textId="77777777" w:rsidR="0026436D" w:rsidRPr="00DE60B7" w:rsidRDefault="00CE01B8" w:rsidP="00436007">
            <w:pPr>
              <w:pStyle w:val="cuatexto"/>
              <w:jc w:val="center"/>
              <w:rPr>
                <w:sz w:val="18"/>
                <w:szCs w:val="18"/>
                <w:lang w:val="es-ES" w:eastAsia="es-ES"/>
              </w:rPr>
            </w:pPr>
            <w:r w:rsidRPr="00DE60B7">
              <w:rPr>
                <w:sz w:val="18"/>
                <w:szCs w:val="18"/>
                <w:lang w:val="es-ES" w:eastAsia="es-ES"/>
              </w:rPr>
              <w:t xml:space="preserve">                          </w:t>
            </w:r>
            <w:r w:rsidR="0026436D" w:rsidRPr="00DE60B7">
              <w:rPr>
                <w:sz w:val="18"/>
                <w:szCs w:val="18"/>
                <w:lang w:val="es-ES" w:eastAsia="es-ES"/>
              </w:rPr>
              <w:t>1</w:t>
            </w:r>
          </w:p>
        </w:tc>
        <w:tc>
          <w:tcPr>
            <w:tcW w:w="853" w:type="pct"/>
            <w:tcBorders>
              <w:top w:val="single" w:sz="4" w:space="0" w:color="auto"/>
              <w:left w:val="nil"/>
              <w:bottom w:val="single" w:sz="2" w:space="0" w:color="auto"/>
              <w:right w:val="nil"/>
            </w:tcBorders>
            <w:shd w:val="clear" w:color="auto" w:fill="auto"/>
            <w:noWrap/>
            <w:vAlign w:val="center"/>
            <w:hideMark/>
          </w:tcPr>
          <w:p w14:paraId="11CC4A73" w14:textId="77777777" w:rsidR="0026436D" w:rsidRPr="00DE60B7" w:rsidRDefault="00ED21C8" w:rsidP="00B33587">
            <w:pPr>
              <w:pStyle w:val="cuatexto"/>
              <w:jc w:val="right"/>
              <w:rPr>
                <w:sz w:val="18"/>
                <w:szCs w:val="18"/>
                <w:lang w:val="es-ES" w:eastAsia="es-ES"/>
              </w:rPr>
            </w:pPr>
            <w:r w:rsidRPr="00DE60B7">
              <w:rPr>
                <w:sz w:val="18"/>
                <w:szCs w:val="18"/>
                <w:lang w:val="es-ES" w:eastAsia="es-ES"/>
              </w:rPr>
              <w:t>81.</w:t>
            </w:r>
            <w:r w:rsidR="0026436D" w:rsidRPr="00DE60B7">
              <w:rPr>
                <w:sz w:val="18"/>
                <w:szCs w:val="18"/>
                <w:lang w:val="es-ES" w:eastAsia="es-ES"/>
              </w:rPr>
              <w:t>92</w:t>
            </w:r>
            <w:r w:rsidRPr="00DE60B7">
              <w:rPr>
                <w:sz w:val="18"/>
                <w:szCs w:val="18"/>
                <w:lang w:val="es-ES" w:eastAsia="es-ES"/>
              </w:rPr>
              <w:t>1.873</w:t>
            </w:r>
          </w:p>
        </w:tc>
      </w:tr>
      <w:tr w:rsidR="0026436D" w:rsidRPr="00DE60B7" w14:paraId="363E7BB5" w14:textId="77777777" w:rsidTr="00DE60B7">
        <w:trPr>
          <w:trHeight w:hRule="exact" w:val="227"/>
          <w:jc w:val="center"/>
        </w:trPr>
        <w:tc>
          <w:tcPr>
            <w:tcW w:w="1177" w:type="pct"/>
            <w:tcBorders>
              <w:top w:val="single" w:sz="2" w:space="0" w:color="auto"/>
              <w:left w:val="nil"/>
              <w:bottom w:val="single" w:sz="2" w:space="0" w:color="auto"/>
              <w:right w:val="nil"/>
            </w:tcBorders>
            <w:shd w:val="clear" w:color="auto" w:fill="auto"/>
            <w:noWrap/>
            <w:vAlign w:val="center"/>
            <w:hideMark/>
          </w:tcPr>
          <w:p w14:paraId="68E5B75E" w14:textId="77777777" w:rsidR="0026436D" w:rsidRPr="00DE60B7" w:rsidRDefault="0026436D" w:rsidP="00B33587">
            <w:pPr>
              <w:pStyle w:val="cuatexto"/>
              <w:jc w:val="left"/>
              <w:rPr>
                <w:sz w:val="18"/>
                <w:szCs w:val="18"/>
                <w:lang w:val="es-ES" w:eastAsia="es-ES"/>
              </w:rPr>
            </w:pPr>
            <w:r w:rsidRPr="00DE60B7">
              <w:rPr>
                <w:sz w:val="18"/>
                <w:szCs w:val="18"/>
                <w:lang w:val="es-ES" w:eastAsia="es-ES"/>
              </w:rPr>
              <w:t>&gt;400.000 y &lt;= 600.000 €</w:t>
            </w:r>
          </w:p>
        </w:tc>
        <w:tc>
          <w:tcPr>
            <w:tcW w:w="431" w:type="pct"/>
            <w:tcBorders>
              <w:top w:val="single" w:sz="2" w:space="0" w:color="auto"/>
              <w:left w:val="nil"/>
              <w:bottom w:val="single" w:sz="2" w:space="0" w:color="auto"/>
              <w:right w:val="nil"/>
            </w:tcBorders>
            <w:shd w:val="clear" w:color="auto" w:fill="auto"/>
            <w:noWrap/>
            <w:vAlign w:val="center"/>
            <w:hideMark/>
          </w:tcPr>
          <w:p w14:paraId="4FB88DC1" w14:textId="77777777" w:rsidR="0026436D" w:rsidRPr="00DE60B7" w:rsidRDefault="0026436D" w:rsidP="000A3BD7">
            <w:pPr>
              <w:pStyle w:val="cuatexto"/>
              <w:jc w:val="right"/>
              <w:rPr>
                <w:sz w:val="18"/>
                <w:szCs w:val="18"/>
                <w:lang w:val="es-ES" w:eastAsia="es-ES"/>
              </w:rPr>
            </w:pPr>
            <w:r w:rsidRPr="00DE60B7">
              <w:rPr>
                <w:sz w:val="18"/>
                <w:szCs w:val="18"/>
                <w:lang w:val="es-ES" w:eastAsia="es-ES"/>
              </w:rPr>
              <w:t>15</w:t>
            </w:r>
          </w:p>
        </w:tc>
        <w:tc>
          <w:tcPr>
            <w:tcW w:w="733" w:type="pct"/>
            <w:tcBorders>
              <w:top w:val="single" w:sz="2" w:space="0" w:color="auto"/>
              <w:left w:val="nil"/>
              <w:bottom w:val="single" w:sz="2" w:space="0" w:color="auto"/>
              <w:right w:val="nil"/>
            </w:tcBorders>
            <w:shd w:val="clear" w:color="auto" w:fill="auto"/>
            <w:noWrap/>
            <w:vAlign w:val="center"/>
            <w:hideMark/>
          </w:tcPr>
          <w:p w14:paraId="76230192" w14:textId="77777777" w:rsidR="0026436D" w:rsidRPr="00DE60B7" w:rsidRDefault="0026436D" w:rsidP="000A3BD7">
            <w:pPr>
              <w:pStyle w:val="cuatexto"/>
              <w:jc w:val="right"/>
              <w:rPr>
                <w:sz w:val="18"/>
                <w:szCs w:val="18"/>
                <w:lang w:val="es-ES" w:eastAsia="es-ES"/>
              </w:rPr>
            </w:pPr>
            <w:r w:rsidRPr="00DE60B7">
              <w:rPr>
                <w:sz w:val="18"/>
                <w:szCs w:val="18"/>
                <w:lang w:val="es-ES" w:eastAsia="es-ES"/>
              </w:rPr>
              <w:t>3</w:t>
            </w:r>
          </w:p>
        </w:tc>
        <w:tc>
          <w:tcPr>
            <w:tcW w:w="592" w:type="pct"/>
            <w:tcBorders>
              <w:top w:val="single" w:sz="2" w:space="0" w:color="auto"/>
              <w:left w:val="nil"/>
              <w:bottom w:val="single" w:sz="2" w:space="0" w:color="auto"/>
              <w:right w:val="nil"/>
            </w:tcBorders>
            <w:shd w:val="clear" w:color="auto" w:fill="auto"/>
            <w:noWrap/>
            <w:vAlign w:val="center"/>
            <w:hideMark/>
          </w:tcPr>
          <w:p w14:paraId="380043C9" w14:textId="77777777" w:rsidR="0026436D" w:rsidRPr="00DE60B7" w:rsidRDefault="0026436D" w:rsidP="000A3BD7">
            <w:pPr>
              <w:pStyle w:val="cuatexto"/>
              <w:jc w:val="right"/>
              <w:rPr>
                <w:sz w:val="18"/>
                <w:szCs w:val="18"/>
                <w:lang w:val="es-ES" w:eastAsia="es-ES"/>
              </w:rPr>
            </w:pPr>
            <w:r w:rsidRPr="00DE60B7">
              <w:rPr>
                <w:sz w:val="18"/>
                <w:szCs w:val="18"/>
                <w:lang w:val="es-ES" w:eastAsia="es-ES"/>
              </w:rPr>
              <w:t>2</w:t>
            </w:r>
          </w:p>
        </w:tc>
        <w:tc>
          <w:tcPr>
            <w:tcW w:w="1215" w:type="pct"/>
            <w:tcBorders>
              <w:top w:val="single" w:sz="2" w:space="0" w:color="auto"/>
              <w:left w:val="nil"/>
              <w:bottom w:val="single" w:sz="2" w:space="0" w:color="auto"/>
              <w:right w:val="nil"/>
            </w:tcBorders>
            <w:shd w:val="clear" w:color="auto" w:fill="auto"/>
            <w:noWrap/>
            <w:vAlign w:val="center"/>
            <w:hideMark/>
          </w:tcPr>
          <w:p w14:paraId="7D3558B2" w14:textId="77777777" w:rsidR="0026436D" w:rsidRPr="00DE60B7" w:rsidRDefault="0026436D" w:rsidP="00B33587">
            <w:pPr>
              <w:pStyle w:val="cuatexto"/>
              <w:jc w:val="right"/>
              <w:rPr>
                <w:sz w:val="18"/>
                <w:szCs w:val="18"/>
                <w:lang w:val="es-ES" w:eastAsia="es-ES"/>
              </w:rPr>
            </w:pPr>
          </w:p>
        </w:tc>
        <w:tc>
          <w:tcPr>
            <w:tcW w:w="853" w:type="pct"/>
            <w:tcBorders>
              <w:top w:val="single" w:sz="2" w:space="0" w:color="auto"/>
              <w:left w:val="nil"/>
              <w:bottom w:val="single" w:sz="2" w:space="0" w:color="auto"/>
              <w:right w:val="nil"/>
            </w:tcBorders>
            <w:shd w:val="clear" w:color="auto" w:fill="auto"/>
            <w:noWrap/>
            <w:vAlign w:val="center"/>
            <w:hideMark/>
          </w:tcPr>
          <w:p w14:paraId="0298AD56" w14:textId="77777777" w:rsidR="0026436D" w:rsidRPr="00DE60B7" w:rsidRDefault="00ED21C8" w:rsidP="00B33587">
            <w:pPr>
              <w:pStyle w:val="cuatexto"/>
              <w:jc w:val="right"/>
              <w:rPr>
                <w:sz w:val="18"/>
                <w:szCs w:val="18"/>
                <w:lang w:val="es-ES" w:eastAsia="es-ES"/>
              </w:rPr>
            </w:pPr>
            <w:r w:rsidRPr="00DE60B7">
              <w:rPr>
                <w:sz w:val="18"/>
                <w:szCs w:val="18"/>
                <w:lang w:val="es-ES" w:eastAsia="es-ES"/>
              </w:rPr>
              <w:t>9.728.611</w:t>
            </w:r>
          </w:p>
        </w:tc>
      </w:tr>
      <w:tr w:rsidR="0026436D" w:rsidRPr="00DE60B7" w14:paraId="7E87231F" w14:textId="77777777" w:rsidTr="00DE60B7">
        <w:trPr>
          <w:trHeight w:hRule="exact" w:val="227"/>
          <w:jc w:val="center"/>
        </w:trPr>
        <w:tc>
          <w:tcPr>
            <w:tcW w:w="1177" w:type="pct"/>
            <w:tcBorders>
              <w:top w:val="single" w:sz="2" w:space="0" w:color="auto"/>
              <w:left w:val="nil"/>
              <w:bottom w:val="single" w:sz="4" w:space="0" w:color="auto"/>
              <w:right w:val="nil"/>
            </w:tcBorders>
            <w:shd w:val="clear" w:color="auto" w:fill="auto"/>
            <w:noWrap/>
            <w:vAlign w:val="center"/>
            <w:hideMark/>
          </w:tcPr>
          <w:p w14:paraId="161CA2D4" w14:textId="77777777" w:rsidR="0026436D" w:rsidRPr="00DE60B7" w:rsidRDefault="0026436D" w:rsidP="00B33587">
            <w:pPr>
              <w:pStyle w:val="cuatexto"/>
              <w:jc w:val="left"/>
              <w:rPr>
                <w:sz w:val="18"/>
                <w:szCs w:val="18"/>
                <w:lang w:val="es-ES" w:eastAsia="es-ES"/>
              </w:rPr>
            </w:pPr>
            <w:r w:rsidRPr="00DE60B7">
              <w:rPr>
                <w:sz w:val="18"/>
                <w:szCs w:val="18"/>
                <w:lang w:val="es-ES" w:eastAsia="es-ES"/>
              </w:rPr>
              <w:t>&gt;150.000 y &lt;= 400.000 €</w:t>
            </w:r>
          </w:p>
        </w:tc>
        <w:tc>
          <w:tcPr>
            <w:tcW w:w="431" w:type="pct"/>
            <w:tcBorders>
              <w:top w:val="single" w:sz="2" w:space="0" w:color="auto"/>
              <w:left w:val="nil"/>
              <w:bottom w:val="single" w:sz="4" w:space="0" w:color="auto"/>
              <w:right w:val="nil"/>
            </w:tcBorders>
            <w:shd w:val="clear" w:color="auto" w:fill="auto"/>
            <w:noWrap/>
            <w:vAlign w:val="center"/>
            <w:hideMark/>
          </w:tcPr>
          <w:p w14:paraId="639F61DA" w14:textId="77777777" w:rsidR="0026436D" w:rsidRPr="00DE60B7" w:rsidRDefault="0026436D" w:rsidP="000A3BD7">
            <w:pPr>
              <w:pStyle w:val="cuatexto"/>
              <w:jc w:val="right"/>
              <w:rPr>
                <w:sz w:val="18"/>
                <w:szCs w:val="18"/>
                <w:lang w:val="es-ES" w:eastAsia="es-ES"/>
              </w:rPr>
            </w:pPr>
            <w:r w:rsidRPr="00DE60B7">
              <w:rPr>
                <w:sz w:val="18"/>
                <w:szCs w:val="18"/>
                <w:lang w:val="es-ES" w:eastAsia="es-ES"/>
              </w:rPr>
              <w:t>59</w:t>
            </w:r>
          </w:p>
        </w:tc>
        <w:tc>
          <w:tcPr>
            <w:tcW w:w="733" w:type="pct"/>
            <w:tcBorders>
              <w:top w:val="single" w:sz="2" w:space="0" w:color="auto"/>
              <w:left w:val="nil"/>
              <w:bottom w:val="single" w:sz="4" w:space="0" w:color="auto"/>
              <w:right w:val="nil"/>
            </w:tcBorders>
            <w:shd w:val="clear" w:color="auto" w:fill="auto"/>
            <w:noWrap/>
            <w:vAlign w:val="center"/>
            <w:hideMark/>
          </w:tcPr>
          <w:p w14:paraId="7479C2EE" w14:textId="77777777" w:rsidR="0026436D" w:rsidRPr="00DE60B7" w:rsidRDefault="0026436D" w:rsidP="000A3BD7">
            <w:pPr>
              <w:pStyle w:val="cuatexto"/>
              <w:jc w:val="right"/>
              <w:rPr>
                <w:sz w:val="18"/>
                <w:szCs w:val="18"/>
                <w:lang w:val="es-ES" w:eastAsia="es-ES"/>
              </w:rPr>
            </w:pPr>
            <w:r w:rsidRPr="00DE60B7">
              <w:rPr>
                <w:sz w:val="18"/>
                <w:szCs w:val="18"/>
                <w:lang w:val="es-ES" w:eastAsia="es-ES"/>
              </w:rPr>
              <w:t>11</w:t>
            </w:r>
          </w:p>
        </w:tc>
        <w:tc>
          <w:tcPr>
            <w:tcW w:w="592" w:type="pct"/>
            <w:tcBorders>
              <w:top w:val="single" w:sz="2" w:space="0" w:color="auto"/>
              <w:left w:val="nil"/>
              <w:bottom w:val="single" w:sz="4" w:space="0" w:color="auto"/>
              <w:right w:val="nil"/>
            </w:tcBorders>
            <w:shd w:val="clear" w:color="auto" w:fill="auto"/>
            <w:noWrap/>
            <w:vAlign w:val="center"/>
            <w:hideMark/>
          </w:tcPr>
          <w:p w14:paraId="7E382363" w14:textId="77777777" w:rsidR="0026436D" w:rsidRPr="00DE60B7" w:rsidRDefault="0026436D" w:rsidP="000A3BD7">
            <w:pPr>
              <w:pStyle w:val="cuatexto"/>
              <w:jc w:val="right"/>
              <w:rPr>
                <w:sz w:val="18"/>
                <w:szCs w:val="18"/>
                <w:lang w:val="es-ES" w:eastAsia="es-ES"/>
              </w:rPr>
            </w:pPr>
            <w:r w:rsidRPr="00DE60B7">
              <w:rPr>
                <w:sz w:val="18"/>
                <w:szCs w:val="18"/>
                <w:lang w:val="es-ES" w:eastAsia="es-ES"/>
              </w:rPr>
              <w:t>10</w:t>
            </w:r>
          </w:p>
        </w:tc>
        <w:tc>
          <w:tcPr>
            <w:tcW w:w="1215" w:type="pct"/>
            <w:tcBorders>
              <w:top w:val="single" w:sz="2" w:space="0" w:color="auto"/>
              <w:left w:val="nil"/>
              <w:bottom w:val="single" w:sz="4" w:space="0" w:color="auto"/>
              <w:right w:val="nil"/>
            </w:tcBorders>
            <w:shd w:val="clear" w:color="auto" w:fill="auto"/>
            <w:noWrap/>
            <w:vAlign w:val="center"/>
            <w:hideMark/>
          </w:tcPr>
          <w:p w14:paraId="4AB281C7" w14:textId="77777777" w:rsidR="0026436D" w:rsidRPr="00DE60B7" w:rsidRDefault="00CE01B8" w:rsidP="00436007">
            <w:pPr>
              <w:pStyle w:val="cuatexto"/>
              <w:jc w:val="center"/>
              <w:rPr>
                <w:sz w:val="18"/>
                <w:szCs w:val="18"/>
                <w:lang w:val="es-ES" w:eastAsia="es-ES"/>
              </w:rPr>
            </w:pPr>
            <w:r w:rsidRPr="00DE60B7">
              <w:rPr>
                <w:sz w:val="18"/>
                <w:szCs w:val="18"/>
                <w:lang w:val="es-ES" w:eastAsia="es-ES"/>
              </w:rPr>
              <w:t xml:space="preserve">                          </w:t>
            </w:r>
            <w:r w:rsidR="0026436D" w:rsidRPr="00DE60B7">
              <w:rPr>
                <w:sz w:val="18"/>
                <w:szCs w:val="18"/>
                <w:lang w:val="es-ES" w:eastAsia="es-ES"/>
              </w:rPr>
              <w:t>1</w:t>
            </w:r>
          </w:p>
        </w:tc>
        <w:tc>
          <w:tcPr>
            <w:tcW w:w="853" w:type="pct"/>
            <w:tcBorders>
              <w:top w:val="single" w:sz="2" w:space="0" w:color="auto"/>
              <w:left w:val="nil"/>
              <w:bottom w:val="single" w:sz="4" w:space="0" w:color="auto"/>
              <w:right w:val="nil"/>
            </w:tcBorders>
            <w:shd w:val="clear" w:color="auto" w:fill="auto"/>
            <w:noWrap/>
            <w:vAlign w:val="center"/>
            <w:hideMark/>
          </w:tcPr>
          <w:p w14:paraId="3D299007" w14:textId="77777777" w:rsidR="0026436D" w:rsidRPr="00DE60B7" w:rsidRDefault="00ED21C8" w:rsidP="00B33587">
            <w:pPr>
              <w:pStyle w:val="cuatexto"/>
              <w:jc w:val="right"/>
              <w:rPr>
                <w:sz w:val="18"/>
                <w:szCs w:val="18"/>
                <w:lang w:val="es-ES" w:eastAsia="es-ES"/>
              </w:rPr>
            </w:pPr>
            <w:r w:rsidRPr="00DE60B7">
              <w:rPr>
                <w:sz w:val="18"/>
                <w:szCs w:val="18"/>
                <w:lang w:val="es-ES" w:eastAsia="es-ES"/>
              </w:rPr>
              <w:t>19.330.608</w:t>
            </w:r>
          </w:p>
        </w:tc>
      </w:tr>
    </w:tbl>
    <w:p w14:paraId="215B6083" w14:textId="77777777" w:rsidR="0088085F" w:rsidRPr="005279EF" w:rsidRDefault="0088085F" w:rsidP="00DB6EDE">
      <w:pPr>
        <w:pStyle w:val="texto"/>
        <w:spacing w:before="260" w:after="240"/>
      </w:pPr>
      <w:r w:rsidRPr="005279EF">
        <w:t>El importe de adjudicación total para estos contratos, que son más</w:t>
      </w:r>
      <w:r w:rsidR="000C379B">
        <w:t xml:space="preserve"> significativos</w:t>
      </w:r>
      <w:r w:rsidRPr="005279EF">
        <w:t xml:space="preserve"> por su cuantía, fue:</w:t>
      </w:r>
    </w:p>
    <w:tbl>
      <w:tblPr>
        <w:tblW w:w="5000" w:type="pct"/>
        <w:jc w:val="center"/>
        <w:tblCellMar>
          <w:left w:w="70" w:type="dxa"/>
          <w:right w:w="70" w:type="dxa"/>
        </w:tblCellMar>
        <w:tblLook w:val="04A0" w:firstRow="1" w:lastRow="0" w:firstColumn="1" w:lastColumn="0" w:noHBand="0" w:noVBand="1"/>
      </w:tblPr>
      <w:tblGrid>
        <w:gridCol w:w="4741"/>
        <w:gridCol w:w="1506"/>
        <w:gridCol w:w="2542"/>
      </w:tblGrid>
      <w:tr w:rsidR="0088085F" w:rsidRPr="00FD7A17" w14:paraId="79B86AFA" w14:textId="77777777" w:rsidTr="00A005AA">
        <w:trPr>
          <w:trHeight w:val="255"/>
          <w:jc w:val="center"/>
        </w:trPr>
        <w:tc>
          <w:tcPr>
            <w:tcW w:w="2697" w:type="pct"/>
            <w:tcBorders>
              <w:top w:val="single" w:sz="4" w:space="0" w:color="000000"/>
              <w:left w:val="nil"/>
              <w:bottom w:val="single" w:sz="4" w:space="0" w:color="000000"/>
              <w:right w:val="nil"/>
            </w:tcBorders>
            <w:shd w:val="clear" w:color="auto" w:fill="FABF8F" w:themeFill="accent6" w:themeFillTint="99"/>
            <w:noWrap/>
            <w:vAlign w:val="center"/>
            <w:hideMark/>
          </w:tcPr>
          <w:p w14:paraId="49924BFE" w14:textId="77777777" w:rsidR="0088085F" w:rsidRPr="00FD7A17" w:rsidRDefault="0088085F" w:rsidP="00C13CE1">
            <w:pPr>
              <w:pStyle w:val="cuadroCabe"/>
              <w:rPr>
                <w:lang w:val="es-ES" w:eastAsia="es-ES"/>
              </w:rPr>
            </w:pPr>
            <w:r w:rsidRPr="00FD7A17">
              <w:rPr>
                <w:lang w:val="es-ES" w:eastAsia="es-ES"/>
              </w:rPr>
              <w:t>Tipo de contrato</w:t>
            </w:r>
          </w:p>
        </w:tc>
        <w:tc>
          <w:tcPr>
            <w:tcW w:w="857" w:type="pct"/>
            <w:tcBorders>
              <w:top w:val="single" w:sz="4" w:space="0" w:color="000000"/>
              <w:left w:val="nil"/>
              <w:bottom w:val="single" w:sz="4" w:space="0" w:color="000000"/>
              <w:right w:val="nil"/>
            </w:tcBorders>
            <w:shd w:val="clear" w:color="auto" w:fill="FABF8F" w:themeFill="accent6" w:themeFillTint="99"/>
            <w:noWrap/>
            <w:vAlign w:val="center"/>
            <w:hideMark/>
          </w:tcPr>
          <w:p w14:paraId="0C7A3747" w14:textId="77777777" w:rsidR="0088085F" w:rsidRPr="00FD7A17" w:rsidRDefault="0088085F" w:rsidP="00C13CE1">
            <w:pPr>
              <w:pStyle w:val="cuadroCabe"/>
              <w:jc w:val="right"/>
              <w:rPr>
                <w:lang w:val="es-ES" w:eastAsia="es-ES"/>
              </w:rPr>
            </w:pPr>
            <w:r w:rsidRPr="00FD7A17">
              <w:rPr>
                <w:lang w:val="es-ES" w:eastAsia="es-ES"/>
              </w:rPr>
              <w:t>Número</w:t>
            </w:r>
          </w:p>
        </w:tc>
        <w:tc>
          <w:tcPr>
            <w:tcW w:w="1446" w:type="pct"/>
            <w:tcBorders>
              <w:top w:val="single" w:sz="4" w:space="0" w:color="000000"/>
              <w:left w:val="nil"/>
              <w:bottom w:val="single" w:sz="4" w:space="0" w:color="000000"/>
            </w:tcBorders>
            <w:shd w:val="clear" w:color="auto" w:fill="FABF8F" w:themeFill="accent6" w:themeFillTint="99"/>
            <w:vAlign w:val="center"/>
            <w:hideMark/>
          </w:tcPr>
          <w:p w14:paraId="47A756C4" w14:textId="77777777" w:rsidR="0088085F" w:rsidRPr="00FD7A17" w:rsidRDefault="0088085F" w:rsidP="00C13CE1">
            <w:pPr>
              <w:pStyle w:val="cuadroCabe"/>
              <w:jc w:val="right"/>
              <w:rPr>
                <w:lang w:val="es-ES" w:eastAsia="es-ES"/>
              </w:rPr>
            </w:pPr>
            <w:r w:rsidRPr="00FD7A17">
              <w:rPr>
                <w:lang w:val="es-ES" w:eastAsia="es-ES"/>
              </w:rPr>
              <w:t>Importe adjudicación</w:t>
            </w:r>
          </w:p>
        </w:tc>
      </w:tr>
      <w:tr w:rsidR="0088085F" w:rsidRPr="002E2437" w14:paraId="69D1E329" w14:textId="77777777" w:rsidTr="00A005AA">
        <w:trPr>
          <w:trHeight w:hRule="exact" w:val="227"/>
          <w:jc w:val="center"/>
        </w:trPr>
        <w:tc>
          <w:tcPr>
            <w:tcW w:w="2697" w:type="pct"/>
            <w:tcBorders>
              <w:top w:val="single" w:sz="4" w:space="0" w:color="000000"/>
              <w:left w:val="nil"/>
              <w:bottom w:val="single" w:sz="2" w:space="0" w:color="000000"/>
              <w:right w:val="nil"/>
            </w:tcBorders>
            <w:shd w:val="clear" w:color="auto" w:fill="auto"/>
            <w:noWrap/>
            <w:vAlign w:val="center"/>
            <w:hideMark/>
          </w:tcPr>
          <w:p w14:paraId="32ECE77E" w14:textId="77777777" w:rsidR="0088085F" w:rsidRPr="002E2437" w:rsidRDefault="0088085F" w:rsidP="00C13CE1">
            <w:pPr>
              <w:pStyle w:val="cuatexto"/>
              <w:rPr>
                <w:rFonts w:cs="Calibri"/>
                <w:lang w:val="es-ES" w:eastAsia="es-ES"/>
              </w:rPr>
            </w:pPr>
            <w:r w:rsidRPr="002E2437">
              <w:rPr>
                <w:rFonts w:cs="Calibri"/>
                <w:lang w:val="es-ES" w:eastAsia="es-ES"/>
              </w:rPr>
              <w:t>Obras</w:t>
            </w:r>
          </w:p>
        </w:tc>
        <w:tc>
          <w:tcPr>
            <w:tcW w:w="857" w:type="pct"/>
            <w:tcBorders>
              <w:top w:val="single" w:sz="4" w:space="0" w:color="000000"/>
              <w:left w:val="nil"/>
              <w:bottom w:val="single" w:sz="2" w:space="0" w:color="000000"/>
              <w:right w:val="nil"/>
            </w:tcBorders>
            <w:shd w:val="clear" w:color="auto" w:fill="auto"/>
            <w:noWrap/>
            <w:vAlign w:val="center"/>
            <w:hideMark/>
          </w:tcPr>
          <w:p w14:paraId="45798B30" w14:textId="77777777" w:rsidR="0088085F" w:rsidRPr="002E2437" w:rsidRDefault="0088085F" w:rsidP="00C13CE1">
            <w:pPr>
              <w:pStyle w:val="cuatexto"/>
              <w:jc w:val="right"/>
              <w:rPr>
                <w:rFonts w:cs="Calibri"/>
                <w:lang w:val="es-ES" w:eastAsia="es-ES"/>
              </w:rPr>
            </w:pPr>
            <w:r>
              <w:rPr>
                <w:rFonts w:cs="Calibri"/>
                <w:lang w:val="es-ES" w:eastAsia="es-ES"/>
              </w:rPr>
              <w:t>93</w:t>
            </w:r>
          </w:p>
        </w:tc>
        <w:tc>
          <w:tcPr>
            <w:tcW w:w="1446" w:type="pct"/>
            <w:tcBorders>
              <w:top w:val="single" w:sz="4" w:space="0" w:color="000000"/>
              <w:left w:val="nil"/>
              <w:bottom w:val="single" w:sz="2" w:space="0" w:color="000000"/>
              <w:right w:val="nil"/>
            </w:tcBorders>
            <w:shd w:val="clear" w:color="auto" w:fill="auto"/>
            <w:noWrap/>
            <w:vAlign w:val="center"/>
            <w:hideMark/>
          </w:tcPr>
          <w:p w14:paraId="62DD960A" w14:textId="77777777" w:rsidR="0088085F" w:rsidRPr="002E2437" w:rsidRDefault="0088085F" w:rsidP="00C13CE1">
            <w:pPr>
              <w:pStyle w:val="cuatexto"/>
              <w:jc w:val="right"/>
              <w:rPr>
                <w:rFonts w:cs="Calibri"/>
                <w:lang w:val="es-ES" w:eastAsia="es-ES"/>
              </w:rPr>
            </w:pPr>
            <w:r>
              <w:rPr>
                <w:rFonts w:cs="Calibri"/>
                <w:lang w:val="es-ES" w:eastAsia="es-ES"/>
              </w:rPr>
              <w:t>55.110.108</w:t>
            </w:r>
          </w:p>
        </w:tc>
      </w:tr>
      <w:tr w:rsidR="0088085F" w:rsidRPr="002E2437" w14:paraId="7FFA250B" w14:textId="77777777" w:rsidTr="00A005AA">
        <w:trPr>
          <w:trHeight w:hRule="exact" w:val="227"/>
          <w:jc w:val="center"/>
        </w:trPr>
        <w:tc>
          <w:tcPr>
            <w:tcW w:w="2697" w:type="pct"/>
            <w:tcBorders>
              <w:top w:val="single" w:sz="2" w:space="0" w:color="000000"/>
              <w:left w:val="nil"/>
              <w:bottom w:val="single" w:sz="2" w:space="0" w:color="000000"/>
              <w:right w:val="nil"/>
            </w:tcBorders>
            <w:shd w:val="clear" w:color="auto" w:fill="auto"/>
            <w:noWrap/>
            <w:vAlign w:val="center"/>
            <w:hideMark/>
          </w:tcPr>
          <w:p w14:paraId="34047A75" w14:textId="77777777" w:rsidR="0088085F" w:rsidRPr="002E2437" w:rsidRDefault="0088085F" w:rsidP="00C13CE1">
            <w:pPr>
              <w:pStyle w:val="cuatexto"/>
              <w:rPr>
                <w:rFonts w:cs="Calibri"/>
                <w:lang w:val="es-ES" w:eastAsia="es-ES"/>
              </w:rPr>
            </w:pPr>
            <w:r>
              <w:rPr>
                <w:rFonts w:cs="Calibri"/>
                <w:lang w:val="es-ES" w:eastAsia="es-ES"/>
              </w:rPr>
              <w:t>Servicios</w:t>
            </w:r>
          </w:p>
        </w:tc>
        <w:tc>
          <w:tcPr>
            <w:tcW w:w="857" w:type="pct"/>
            <w:tcBorders>
              <w:top w:val="single" w:sz="2" w:space="0" w:color="000000"/>
              <w:left w:val="nil"/>
              <w:bottom w:val="single" w:sz="2" w:space="0" w:color="000000"/>
              <w:right w:val="nil"/>
            </w:tcBorders>
            <w:shd w:val="clear" w:color="auto" w:fill="auto"/>
            <w:noWrap/>
            <w:vAlign w:val="center"/>
            <w:hideMark/>
          </w:tcPr>
          <w:p w14:paraId="2ADA96D3" w14:textId="77777777" w:rsidR="0088085F" w:rsidRPr="002E2437" w:rsidRDefault="0088085F" w:rsidP="00C13CE1">
            <w:pPr>
              <w:pStyle w:val="cuatexto"/>
              <w:jc w:val="right"/>
              <w:rPr>
                <w:rFonts w:cs="Calibri"/>
                <w:lang w:val="es-ES" w:eastAsia="es-ES"/>
              </w:rPr>
            </w:pPr>
            <w:r>
              <w:rPr>
                <w:rFonts w:cs="Calibri"/>
                <w:lang w:val="es-ES" w:eastAsia="es-ES"/>
              </w:rPr>
              <w:t>14</w:t>
            </w:r>
          </w:p>
        </w:tc>
        <w:tc>
          <w:tcPr>
            <w:tcW w:w="1446" w:type="pct"/>
            <w:tcBorders>
              <w:top w:val="single" w:sz="2" w:space="0" w:color="000000"/>
              <w:left w:val="nil"/>
              <w:bottom w:val="single" w:sz="2" w:space="0" w:color="000000"/>
              <w:right w:val="nil"/>
            </w:tcBorders>
            <w:shd w:val="clear" w:color="auto" w:fill="auto"/>
            <w:noWrap/>
            <w:vAlign w:val="center"/>
            <w:hideMark/>
          </w:tcPr>
          <w:p w14:paraId="1ED8D899" w14:textId="77777777" w:rsidR="0088085F" w:rsidRPr="002E2437" w:rsidRDefault="0088085F" w:rsidP="00C13CE1">
            <w:pPr>
              <w:pStyle w:val="cuatexto"/>
              <w:jc w:val="right"/>
              <w:rPr>
                <w:rFonts w:cs="Calibri"/>
                <w:lang w:val="es-ES" w:eastAsia="es-ES"/>
              </w:rPr>
            </w:pPr>
            <w:r>
              <w:rPr>
                <w:rFonts w:cs="Calibri"/>
                <w:lang w:val="es-ES" w:eastAsia="es-ES"/>
              </w:rPr>
              <w:t>41.196.944</w:t>
            </w:r>
          </w:p>
        </w:tc>
      </w:tr>
      <w:tr w:rsidR="0088085F" w:rsidRPr="002E2437" w14:paraId="4E0B3BC4" w14:textId="77777777" w:rsidTr="00A005AA">
        <w:trPr>
          <w:trHeight w:hRule="exact" w:val="227"/>
          <w:jc w:val="center"/>
        </w:trPr>
        <w:tc>
          <w:tcPr>
            <w:tcW w:w="2697" w:type="pct"/>
            <w:tcBorders>
              <w:top w:val="single" w:sz="2" w:space="0" w:color="000000"/>
              <w:left w:val="nil"/>
              <w:bottom w:val="single" w:sz="2" w:space="0" w:color="000000"/>
              <w:right w:val="nil"/>
            </w:tcBorders>
            <w:shd w:val="clear" w:color="auto" w:fill="auto"/>
            <w:noWrap/>
            <w:vAlign w:val="center"/>
            <w:hideMark/>
          </w:tcPr>
          <w:p w14:paraId="3A6C116E" w14:textId="77777777" w:rsidR="0088085F" w:rsidRPr="002E2437" w:rsidRDefault="0088085F" w:rsidP="00C13CE1">
            <w:pPr>
              <w:pStyle w:val="cuatexto"/>
              <w:rPr>
                <w:rFonts w:cs="Calibri"/>
                <w:lang w:val="es-ES" w:eastAsia="es-ES"/>
              </w:rPr>
            </w:pPr>
            <w:r w:rsidRPr="002E2437">
              <w:rPr>
                <w:rFonts w:cs="Calibri"/>
                <w:lang w:val="es-ES" w:eastAsia="es-ES"/>
              </w:rPr>
              <w:t>Suministro</w:t>
            </w:r>
            <w:r>
              <w:rPr>
                <w:rFonts w:cs="Calibri"/>
                <w:lang w:val="es-ES" w:eastAsia="es-ES"/>
              </w:rPr>
              <w:t>s</w:t>
            </w:r>
          </w:p>
        </w:tc>
        <w:tc>
          <w:tcPr>
            <w:tcW w:w="857" w:type="pct"/>
            <w:tcBorders>
              <w:top w:val="single" w:sz="2" w:space="0" w:color="000000"/>
              <w:left w:val="nil"/>
              <w:bottom w:val="single" w:sz="2" w:space="0" w:color="000000"/>
              <w:right w:val="nil"/>
            </w:tcBorders>
            <w:shd w:val="clear" w:color="auto" w:fill="auto"/>
            <w:noWrap/>
            <w:vAlign w:val="center"/>
            <w:hideMark/>
          </w:tcPr>
          <w:p w14:paraId="5EE57B4E" w14:textId="77777777" w:rsidR="0088085F" w:rsidRPr="002E2437" w:rsidRDefault="0088085F" w:rsidP="00C13CE1">
            <w:pPr>
              <w:pStyle w:val="cuatexto"/>
              <w:jc w:val="right"/>
              <w:rPr>
                <w:rFonts w:cs="Calibri"/>
                <w:lang w:val="es-ES" w:eastAsia="es-ES"/>
              </w:rPr>
            </w:pPr>
            <w:r>
              <w:rPr>
                <w:rFonts w:cs="Calibri"/>
                <w:lang w:val="es-ES" w:eastAsia="es-ES"/>
              </w:rPr>
              <w:t>19</w:t>
            </w:r>
          </w:p>
        </w:tc>
        <w:tc>
          <w:tcPr>
            <w:tcW w:w="1446" w:type="pct"/>
            <w:tcBorders>
              <w:top w:val="single" w:sz="2" w:space="0" w:color="000000"/>
              <w:left w:val="nil"/>
              <w:bottom w:val="single" w:sz="2" w:space="0" w:color="000000"/>
              <w:right w:val="nil"/>
            </w:tcBorders>
            <w:shd w:val="clear" w:color="auto" w:fill="auto"/>
            <w:noWrap/>
            <w:vAlign w:val="center"/>
            <w:hideMark/>
          </w:tcPr>
          <w:p w14:paraId="24B85114" w14:textId="77777777" w:rsidR="0088085F" w:rsidRPr="002E2437" w:rsidRDefault="0088085F" w:rsidP="00C13CE1">
            <w:pPr>
              <w:pStyle w:val="cuatexto"/>
              <w:jc w:val="right"/>
              <w:rPr>
                <w:rFonts w:cs="Calibri"/>
                <w:lang w:val="es-ES" w:eastAsia="es-ES"/>
              </w:rPr>
            </w:pPr>
            <w:r>
              <w:rPr>
                <w:rFonts w:cs="Calibri"/>
                <w:lang w:val="es-ES" w:eastAsia="es-ES"/>
              </w:rPr>
              <w:t>12.859.233</w:t>
            </w:r>
          </w:p>
        </w:tc>
      </w:tr>
      <w:tr w:rsidR="0088085F" w:rsidRPr="002E2437" w14:paraId="26E94ED2" w14:textId="77777777" w:rsidTr="00A005AA">
        <w:trPr>
          <w:trHeight w:hRule="exact" w:val="227"/>
          <w:jc w:val="center"/>
        </w:trPr>
        <w:tc>
          <w:tcPr>
            <w:tcW w:w="2697" w:type="pct"/>
            <w:tcBorders>
              <w:top w:val="single" w:sz="2" w:space="0" w:color="000000"/>
              <w:left w:val="nil"/>
              <w:bottom w:val="single" w:sz="4" w:space="0" w:color="auto"/>
              <w:right w:val="nil"/>
            </w:tcBorders>
            <w:shd w:val="clear" w:color="auto" w:fill="auto"/>
            <w:noWrap/>
            <w:vAlign w:val="center"/>
          </w:tcPr>
          <w:p w14:paraId="20009D54" w14:textId="77777777" w:rsidR="0088085F" w:rsidRPr="002E2437" w:rsidRDefault="0088085F" w:rsidP="00C13CE1">
            <w:pPr>
              <w:pStyle w:val="cuatexto"/>
              <w:rPr>
                <w:rFonts w:cs="Calibri"/>
                <w:lang w:val="es-ES" w:eastAsia="es-ES"/>
              </w:rPr>
            </w:pPr>
            <w:r>
              <w:rPr>
                <w:rFonts w:cs="Calibri"/>
                <w:lang w:val="es-ES" w:eastAsia="es-ES"/>
              </w:rPr>
              <w:t>Concesión de servicios</w:t>
            </w:r>
          </w:p>
        </w:tc>
        <w:tc>
          <w:tcPr>
            <w:tcW w:w="857" w:type="pct"/>
            <w:tcBorders>
              <w:top w:val="single" w:sz="2" w:space="0" w:color="000000"/>
              <w:left w:val="nil"/>
              <w:bottom w:val="single" w:sz="4" w:space="0" w:color="auto"/>
              <w:right w:val="nil"/>
            </w:tcBorders>
            <w:shd w:val="clear" w:color="auto" w:fill="auto"/>
            <w:noWrap/>
            <w:vAlign w:val="center"/>
          </w:tcPr>
          <w:p w14:paraId="52A07229" w14:textId="77777777" w:rsidR="0088085F" w:rsidRDefault="0088085F" w:rsidP="00C13CE1">
            <w:pPr>
              <w:pStyle w:val="cuatexto"/>
              <w:jc w:val="right"/>
              <w:rPr>
                <w:rFonts w:cs="Calibri"/>
                <w:lang w:val="es-ES" w:eastAsia="es-ES"/>
              </w:rPr>
            </w:pPr>
            <w:r>
              <w:rPr>
                <w:rFonts w:cs="Calibri"/>
                <w:lang w:val="es-ES" w:eastAsia="es-ES"/>
              </w:rPr>
              <w:t>2</w:t>
            </w:r>
          </w:p>
        </w:tc>
        <w:tc>
          <w:tcPr>
            <w:tcW w:w="1446" w:type="pct"/>
            <w:tcBorders>
              <w:top w:val="single" w:sz="2" w:space="0" w:color="000000"/>
              <w:left w:val="nil"/>
              <w:bottom w:val="single" w:sz="4" w:space="0" w:color="auto"/>
              <w:right w:val="nil"/>
            </w:tcBorders>
            <w:shd w:val="clear" w:color="auto" w:fill="auto"/>
            <w:noWrap/>
            <w:vAlign w:val="center"/>
          </w:tcPr>
          <w:p w14:paraId="70487625" w14:textId="77777777" w:rsidR="0088085F" w:rsidRDefault="0088085F" w:rsidP="00C13CE1">
            <w:pPr>
              <w:pStyle w:val="cuatexto"/>
              <w:jc w:val="right"/>
              <w:rPr>
                <w:rFonts w:cs="Calibri"/>
                <w:lang w:val="es-ES" w:eastAsia="es-ES"/>
              </w:rPr>
            </w:pPr>
            <w:r>
              <w:rPr>
                <w:rFonts w:cs="Calibri"/>
                <w:lang w:val="es-ES" w:eastAsia="es-ES"/>
              </w:rPr>
              <w:t>1.814.808</w:t>
            </w:r>
          </w:p>
        </w:tc>
      </w:tr>
      <w:tr w:rsidR="0088085F" w:rsidRPr="00B0783F" w14:paraId="0BE41383" w14:textId="77777777" w:rsidTr="00A005AA">
        <w:trPr>
          <w:trHeight w:val="255"/>
          <w:jc w:val="center"/>
        </w:trPr>
        <w:tc>
          <w:tcPr>
            <w:tcW w:w="2697" w:type="pct"/>
            <w:tcBorders>
              <w:top w:val="single" w:sz="4" w:space="0" w:color="auto"/>
              <w:left w:val="nil"/>
              <w:bottom w:val="single" w:sz="4" w:space="0" w:color="000000"/>
              <w:right w:val="nil"/>
            </w:tcBorders>
            <w:shd w:val="clear" w:color="auto" w:fill="FABF8F" w:themeFill="accent6" w:themeFillTint="99"/>
            <w:noWrap/>
            <w:vAlign w:val="center"/>
            <w:hideMark/>
          </w:tcPr>
          <w:p w14:paraId="5F819EFC" w14:textId="77777777" w:rsidR="0088085F" w:rsidRPr="00FD7A17" w:rsidRDefault="0088085F" w:rsidP="00C13CE1">
            <w:pPr>
              <w:pStyle w:val="cuadroCabe"/>
              <w:rPr>
                <w:lang w:val="es-ES" w:eastAsia="es-ES"/>
              </w:rPr>
            </w:pPr>
            <w:r w:rsidRPr="00FD7A17">
              <w:rPr>
                <w:lang w:val="es-ES" w:eastAsia="es-ES"/>
              </w:rPr>
              <w:t>Total general</w:t>
            </w:r>
          </w:p>
        </w:tc>
        <w:tc>
          <w:tcPr>
            <w:tcW w:w="857" w:type="pct"/>
            <w:tcBorders>
              <w:top w:val="single" w:sz="4" w:space="0" w:color="auto"/>
              <w:left w:val="nil"/>
              <w:bottom w:val="single" w:sz="4" w:space="0" w:color="000000"/>
              <w:right w:val="nil"/>
            </w:tcBorders>
            <w:shd w:val="clear" w:color="auto" w:fill="FABF8F" w:themeFill="accent6" w:themeFillTint="99"/>
            <w:noWrap/>
            <w:vAlign w:val="center"/>
            <w:hideMark/>
          </w:tcPr>
          <w:p w14:paraId="0ABD1B71" w14:textId="77777777" w:rsidR="0088085F" w:rsidRPr="00FD7A17" w:rsidRDefault="0088085F" w:rsidP="00C13CE1">
            <w:pPr>
              <w:pStyle w:val="cuadroCabe"/>
              <w:jc w:val="right"/>
              <w:rPr>
                <w:lang w:val="es-ES" w:eastAsia="es-ES"/>
              </w:rPr>
            </w:pPr>
            <w:r>
              <w:rPr>
                <w:lang w:val="es-ES" w:eastAsia="es-ES"/>
              </w:rPr>
              <w:t>128</w:t>
            </w:r>
          </w:p>
        </w:tc>
        <w:tc>
          <w:tcPr>
            <w:tcW w:w="1446" w:type="pct"/>
            <w:tcBorders>
              <w:top w:val="single" w:sz="4" w:space="0" w:color="auto"/>
              <w:left w:val="nil"/>
              <w:bottom w:val="single" w:sz="4" w:space="0" w:color="000000"/>
            </w:tcBorders>
            <w:shd w:val="clear" w:color="auto" w:fill="FABF8F" w:themeFill="accent6" w:themeFillTint="99"/>
            <w:noWrap/>
            <w:vAlign w:val="center"/>
            <w:hideMark/>
          </w:tcPr>
          <w:p w14:paraId="13D27520" w14:textId="77777777" w:rsidR="0088085F" w:rsidRPr="00FD7A17" w:rsidRDefault="0088085F" w:rsidP="00C13CE1">
            <w:pPr>
              <w:pStyle w:val="cuadroCabe"/>
              <w:jc w:val="right"/>
              <w:rPr>
                <w:lang w:val="es-ES" w:eastAsia="es-ES"/>
              </w:rPr>
            </w:pPr>
            <w:r>
              <w:rPr>
                <w:lang w:val="es-ES" w:eastAsia="es-ES"/>
              </w:rPr>
              <w:t>110.981.092</w:t>
            </w:r>
          </w:p>
        </w:tc>
      </w:tr>
    </w:tbl>
    <w:p w14:paraId="47CD359F" w14:textId="77777777" w:rsidR="0088085F" w:rsidRDefault="0088085F" w:rsidP="0088085F">
      <w:pPr>
        <w:spacing w:after="0"/>
        <w:ind w:firstLine="0"/>
        <w:jc w:val="left"/>
        <w:rPr>
          <w:color w:val="000000" w:themeColor="text1"/>
        </w:rPr>
      </w:pPr>
      <w:r>
        <w:rPr>
          <w:color w:val="000000" w:themeColor="text1"/>
        </w:rPr>
        <w:br w:type="page"/>
      </w:r>
    </w:p>
    <w:p w14:paraId="268EF4F9" w14:textId="77777777" w:rsidR="0088085F" w:rsidRPr="00B81E61" w:rsidRDefault="0088085F" w:rsidP="0088085F">
      <w:pPr>
        <w:pStyle w:val="atitulo1"/>
        <w:rPr>
          <w:color w:val="000000" w:themeColor="text1"/>
        </w:rPr>
      </w:pPr>
      <w:bookmarkStart w:id="90" w:name="_Toc52348296"/>
      <w:bookmarkStart w:id="91" w:name="_Toc89161273"/>
      <w:bookmarkStart w:id="92" w:name="_Toc90969152"/>
      <w:r w:rsidRPr="00B81E61">
        <w:rPr>
          <w:color w:val="000000" w:themeColor="text1"/>
        </w:rPr>
        <w:lastRenderedPageBreak/>
        <w:t>VII. Comparativa de un conjunto de indicadores entre los ayuntamientos de Navarra</w:t>
      </w:r>
      <w:r>
        <w:rPr>
          <w:color w:val="000000" w:themeColor="text1"/>
        </w:rPr>
        <w:t>, País Vasco</w:t>
      </w:r>
      <w:r w:rsidRPr="00B81E61">
        <w:rPr>
          <w:color w:val="000000" w:themeColor="text1"/>
        </w:rPr>
        <w:t xml:space="preserve"> y Estado</w:t>
      </w:r>
      <w:bookmarkStart w:id="93" w:name="_Toc52348297"/>
      <w:bookmarkEnd w:id="90"/>
      <w:bookmarkEnd w:id="91"/>
      <w:bookmarkEnd w:id="92"/>
    </w:p>
    <w:p w14:paraId="5558B0A0" w14:textId="77777777" w:rsidR="0088085F" w:rsidRDefault="0088085F" w:rsidP="00262228">
      <w:pPr>
        <w:pStyle w:val="texto"/>
      </w:pPr>
      <w:r w:rsidRPr="00262228">
        <w:t>En este epígrafe se efectúa una comparativa de un conjunto de indicadores entre los ayuntamientos de Navarra con los del País Vasco y con los del resto del Estado. La información utilizada se ha obtenido del Informe del Sector Público Local 2019 del Departamento de Cohesión Territorial.</w:t>
      </w:r>
      <w:bookmarkEnd w:id="93"/>
    </w:p>
    <w:p w14:paraId="467CBE7F" w14:textId="77777777" w:rsidR="00E96821" w:rsidRPr="00262228" w:rsidRDefault="00E96821" w:rsidP="00E96821">
      <w:pPr>
        <w:pStyle w:val="texto"/>
        <w:spacing w:before="220"/>
      </w:pPr>
      <w:r w:rsidRPr="00262228">
        <w:t>Para que la comparativa sea más homogénea, se han tomado ayuntamientos de población inferior a 40.000 habitantes y que no son capitales de provincia debido a la reducida dimensión de los ayuntamientos navarros.</w:t>
      </w:r>
    </w:p>
    <w:p w14:paraId="3AA4D5D8" w14:textId="77777777" w:rsidR="0088085F" w:rsidRPr="00262228" w:rsidRDefault="0088085F" w:rsidP="00945580">
      <w:pPr>
        <w:pStyle w:val="texto"/>
        <w:spacing w:after="240"/>
      </w:pPr>
      <w:r w:rsidRPr="00262228">
        <w:t>Los datos a comparar corresponden a los siguientes municipios y habitantes:</w:t>
      </w:r>
    </w:p>
    <w:tbl>
      <w:tblPr>
        <w:tblW w:w="5000" w:type="pct"/>
        <w:jc w:val="center"/>
        <w:tblCellMar>
          <w:left w:w="70" w:type="dxa"/>
          <w:right w:w="70" w:type="dxa"/>
        </w:tblCellMar>
        <w:tblLook w:val="04A0" w:firstRow="1" w:lastRow="0" w:firstColumn="1" w:lastColumn="0" w:noHBand="0" w:noVBand="1"/>
      </w:tblPr>
      <w:tblGrid>
        <w:gridCol w:w="4460"/>
        <w:gridCol w:w="1071"/>
        <w:gridCol w:w="1195"/>
        <w:gridCol w:w="1021"/>
        <w:gridCol w:w="1042"/>
      </w:tblGrid>
      <w:tr w:rsidR="0088085F" w:rsidRPr="00B81E61" w14:paraId="45AD2A49" w14:textId="77777777" w:rsidTr="00C83E40">
        <w:trPr>
          <w:trHeight w:val="284"/>
          <w:jc w:val="center"/>
        </w:trPr>
        <w:tc>
          <w:tcPr>
            <w:tcW w:w="2538" w:type="pct"/>
            <w:tcBorders>
              <w:top w:val="single" w:sz="4" w:space="0" w:color="auto"/>
              <w:left w:val="nil"/>
              <w:bottom w:val="single" w:sz="4" w:space="0" w:color="auto"/>
              <w:right w:val="nil"/>
            </w:tcBorders>
            <w:shd w:val="clear" w:color="000000" w:fill="FABF8F"/>
            <w:noWrap/>
            <w:vAlign w:val="center"/>
            <w:hideMark/>
          </w:tcPr>
          <w:p w14:paraId="60AC92CA" w14:textId="77777777" w:rsidR="0088085F" w:rsidRPr="00B81E61" w:rsidRDefault="0088085F" w:rsidP="00945580">
            <w:pPr>
              <w:pStyle w:val="cuadroCabe"/>
              <w:jc w:val="left"/>
              <w:rPr>
                <w:lang w:val="es-ES" w:eastAsia="es-ES"/>
              </w:rPr>
            </w:pPr>
            <w:r w:rsidRPr="00B81E61">
              <w:rPr>
                <w:lang w:val="es-ES" w:eastAsia="es-ES"/>
              </w:rPr>
              <w:t>Indicador</w:t>
            </w:r>
          </w:p>
        </w:tc>
        <w:tc>
          <w:tcPr>
            <w:tcW w:w="609" w:type="pct"/>
            <w:tcBorders>
              <w:top w:val="single" w:sz="4" w:space="0" w:color="auto"/>
              <w:left w:val="nil"/>
              <w:bottom w:val="single" w:sz="4" w:space="0" w:color="auto"/>
              <w:right w:val="nil"/>
            </w:tcBorders>
            <w:shd w:val="clear" w:color="000000" w:fill="FABF8F"/>
            <w:noWrap/>
            <w:vAlign w:val="center"/>
            <w:hideMark/>
          </w:tcPr>
          <w:p w14:paraId="5788289F" w14:textId="77777777" w:rsidR="0088085F" w:rsidRPr="00B81E61" w:rsidRDefault="0088085F" w:rsidP="00945580">
            <w:pPr>
              <w:pStyle w:val="cuadroCabe"/>
              <w:jc w:val="right"/>
              <w:rPr>
                <w:lang w:val="es-ES" w:eastAsia="es-ES"/>
              </w:rPr>
            </w:pPr>
            <w:r w:rsidRPr="00B81E61">
              <w:rPr>
                <w:lang w:val="es-ES" w:eastAsia="es-ES"/>
              </w:rPr>
              <w:t>Navarra</w:t>
            </w:r>
          </w:p>
        </w:tc>
        <w:tc>
          <w:tcPr>
            <w:tcW w:w="680" w:type="pct"/>
            <w:tcBorders>
              <w:top w:val="single" w:sz="4" w:space="0" w:color="auto"/>
              <w:left w:val="nil"/>
              <w:bottom w:val="single" w:sz="4" w:space="0" w:color="auto"/>
              <w:right w:val="nil"/>
            </w:tcBorders>
            <w:shd w:val="clear" w:color="000000" w:fill="FABF8F"/>
            <w:vAlign w:val="center"/>
          </w:tcPr>
          <w:p w14:paraId="1D8B426A" w14:textId="77777777" w:rsidR="0088085F" w:rsidRPr="00B81E61" w:rsidRDefault="0088085F" w:rsidP="00945580">
            <w:pPr>
              <w:pStyle w:val="cuadroCabe"/>
              <w:jc w:val="right"/>
              <w:rPr>
                <w:lang w:val="es-ES" w:eastAsia="es-ES"/>
              </w:rPr>
            </w:pPr>
            <w:r>
              <w:rPr>
                <w:lang w:val="es-ES" w:eastAsia="es-ES"/>
              </w:rPr>
              <w:t xml:space="preserve">País </w:t>
            </w:r>
            <w:r w:rsidR="00945580">
              <w:rPr>
                <w:lang w:val="es-ES" w:eastAsia="es-ES"/>
              </w:rPr>
              <w:t>V</w:t>
            </w:r>
            <w:r>
              <w:rPr>
                <w:lang w:val="es-ES" w:eastAsia="es-ES"/>
              </w:rPr>
              <w:t>asco</w:t>
            </w:r>
            <w:r w:rsidR="007F0D71">
              <w:rPr>
                <w:lang w:val="es-ES" w:eastAsia="es-ES"/>
              </w:rPr>
              <w:t>(*)</w:t>
            </w:r>
          </w:p>
        </w:tc>
        <w:tc>
          <w:tcPr>
            <w:tcW w:w="580" w:type="pct"/>
            <w:tcBorders>
              <w:top w:val="single" w:sz="4" w:space="0" w:color="auto"/>
              <w:left w:val="nil"/>
              <w:bottom w:val="single" w:sz="4" w:space="0" w:color="auto"/>
              <w:right w:val="nil"/>
            </w:tcBorders>
            <w:shd w:val="clear" w:color="000000" w:fill="FABF8F"/>
            <w:noWrap/>
            <w:vAlign w:val="center"/>
            <w:hideMark/>
          </w:tcPr>
          <w:p w14:paraId="027FB082" w14:textId="77777777" w:rsidR="0088085F" w:rsidRPr="00B81E61" w:rsidRDefault="0088085F" w:rsidP="00945580">
            <w:pPr>
              <w:pStyle w:val="cuadroCabe"/>
              <w:jc w:val="right"/>
              <w:rPr>
                <w:lang w:val="es-ES" w:eastAsia="es-ES"/>
              </w:rPr>
            </w:pPr>
            <w:r w:rsidRPr="00B81E61">
              <w:rPr>
                <w:lang w:val="es-ES" w:eastAsia="es-ES"/>
              </w:rPr>
              <w:t>Estado</w:t>
            </w:r>
          </w:p>
        </w:tc>
        <w:tc>
          <w:tcPr>
            <w:tcW w:w="593" w:type="pct"/>
            <w:tcBorders>
              <w:top w:val="single" w:sz="4" w:space="0" w:color="auto"/>
              <w:left w:val="nil"/>
              <w:bottom w:val="single" w:sz="4" w:space="0" w:color="auto"/>
              <w:right w:val="nil"/>
            </w:tcBorders>
            <w:shd w:val="clear" w:color="000000" w:fill="FABF8F"/>
            <w:vAlign w:val="center"/>
            <w:hideMark/>
          </w:tcPr>
          <w:p w14:paraId="77A31017" w14:textId="77777777" w:rsidR="0088085F" w:rsidRPr="00B81E61" w:rsidRDefault="0088085F" w:rsidP="00945580">
            <w:pPr>
              <w:pStyle w:val="cuadroCabe"/>
              <w:jc w:val="right"/>
              <w:rPr>
                <w:lang w:val="es-ES" w:eastAsia="es-ES"/>
              </w:rPr>
            </w:pPr>
            <w:r>
              <w:rPr>
                <w:lang w:val="es-ES" w:eastAsia="es-ES"/>
              </w:rPr>
              <w:t>Total</w:t>
            </w:r>
          </w:p>
        </w:tc>
      </w:tr>
      <w:tr w:rsidR="0088085F" w:rsidRPr="00B81E61" w14:paraId="547CC271" w14:textId="77777777" w:rsidTr="00C83E40">
        <w:trPr>
          <w:trHeight w:val="252"/>
          <w:jc w:val="center"/>
        </w:trPr>
        <w:tc>
          <w:tcPr>
            <w:tcW w:w="2538" w:type="pct"/>
            <w:tcBorders>
              <w:top w:val="single" w:sz="4" w:space="0" w:color="auto"/>
              <w:left w:val="nil"/>
              <w:bottom w:val="single" w:sz="2" w:space="0" w:color="auto"/>
              <w:right w:val="nil"/>
            </w:tcBorders>
            <w:shd w:val="clear" w:color="auto" w:fill="auto"/>
            <w:vAlign w:val="center"/>
            <w:hideMark/>
          </w:tcPr>
          <w:p w14:paraId="1F3BFA87" w14:textId="77777777" w:rsidR="0088085F" w:rsidRPr="00B81E61" w:rsidRDefault="0088085F" w:rsidP="00945580">
            <w:pPr>
              <w:pStyle w:val="cuatexto"/>
              <w:jc w:val="left"/>
              <w:rPr>
                <w:lang w:val="es-ES" w:eastAsia="es-ES"/>
              </w:rPr>
            </w:pPr>
            <w:r>
              <w:rPr>
                <w:lang w:val="es-ES" w:eastAsia="es-ES"/>
              </w:rPr>
              <w:t>Número de municipios &lt; 40.000 habitantes</w:t>
            </w:r>
          </w:p>
        </w:tc>
        <w:tc>
          <w:tcPr>
            <w:tcW w:w="609" w:type="pct"/>
            <w:tcBorders>
              <w:top w:val="single" w:sz="4" w:space="0" w:color="auto"/>
              <w:left w:val="nil"/>
              <w:bottom w:val="single" w:sz="2" w:space="0" w:color="auto"/>
              <w:right w:val="nil"/>
            </w:tcBorders>
            <w:shd w:val="clear" w:color="auto" w:fill="auto"/>
            <w:noWrap/>
            <w:vAlign w:val="center"/>
            <w:hideMark/>
          </w:tcPr>
          <w:p w14:paraId="5B06D5DF" w14:textId="77777777" w:rsidR="0088085F" w:rsidRPr="00B81E61" w:rsidRDefault="0088085F" w:rsidP="00945580">
            <w:pPr>
              <w:pStyle w:val="cuatexto"/>
              <w:jc w:val="right"/>
              <w:rPr>
                <w:lang w:val="es-ES" w:eastAsia="es-ES"/>
              </w:rPr>
            </w:pPr>
            <w:r>
              <w:rPr>
                <w:lang w:val="es-ES" w:eastAsia="es-ES"/>
              </w:rPr>
              <w:t>264</w:t>
            </w:r>
          </w:p>
        </w:tc>
        <w:tc>
          <w:tcPr>
            <w:tcW w:w="680" w:type="pct"/>
            <w:tcBorders>
              <w:top w:val="single" w:sz="4" w:space="0" w:color="auto"/>
              <w:left w:val="nil"/>
              <w:bottom w:val="single" w:sz="2" w:space="0" w:color="auto"/>
              <w:right w:val="nil"/>
            </w:tcBorders>
            <w:vAlign w:val="center"/>
          </w:tcPr>
          <w:p w14:paraId="3047BB22" w14:textId="77777777" w:rsidR="0088085F" w:rsidRPr="00B81E61" w:rsidRDefault="0088085F" w:rsidP="00945580">
            <w:pPr>
              <w:pStyle w:val="cuatexto"/>
              <w:jc w:val="right"/>
              <w:rPr>
                <w:lang w:val="es-ES" w:eastAsia="es-ES"/>
              </w:rPr>
            </w:pPr>
            <w:r>
              <w:rPr>
                <w:lang w:val="es-ES" w:eastAsia="es-ES"/>
              </w:rPr>
              <w:t>188</w:t>
            </w:r>
          </w:p>
        </w:tc>
        <w:tc>
          <w:tcPr>
            <w:tcW w:w="580" w:type="pct"/>
            <w:tcBorders>
              <w:top w:val="single" w:sz="4" w:space="0" w:color="auto"/>
              <w:left w:val="nil"/>
              <w:bottom w:val="single" w:sz="2" w:space="0" w:color="auto"/>
              <w:right w:val="nil"/>
            </w:tcBorders>
            <w:shd w:val="clear" w:color="auto" w:fill="auto"/>
            <w:noWrap/>
            <w:vAlign w:val="center"/>
            <w:hideMark/>
          </w:tcPr>
          <w:p w14:paraId="4AE2C923" w14:textId="77777777" w:rsidR="0088085F" w:rsidRPr="00B81E61" w:rsidRDefault="0088085F" w:rsidP="00945580">
            <w:pPr>
              <w:pStyle w:val="cuatexto"/>
              <w:jc w:val="right"/>
              <w:rPr>
                <w:lang w:val="es-ES" w:eastAsia="es-ES"/>
              </w:rPr>
            </w:pPr>
            <w:r>
              <w:rPr>
                <w:lang w:val="es-ES" w:eastAsia="es-ES"/>
              </w:rPr>
              <w:t>6.517</w:t>
            </w:r>
          </w:p>
        </w:tc>
        <w:tc>
          <w:tcPr>
            <w:tcW w:w="593" w:type="pct"/>
            <w:tcBorders>
              <w:top w:val="single" w:sz="4" w:space="0" w:color="auto"/>
              <w:left w:val="nil"/>
              <w:bottom w:val="single" w:sz="2" w:space="0" w:color="auto"/>
              <w:right w:val="nil"/>
            </w:tcBorders>
            <w:shd w:val="clear" w:color="auto" w:fill="auto"/>
            <w:noWrap/>
            <w:vAlign w:val="center"/>
            <w:hideMark/>
          </w:tcPr>
          <w:p w14:paraId="794B2FFC" w14:textId="77777777" w:rsidR="0088085F" w:rsidRPr="00B81E61" w:rsidRDefault="0088085F" w:rsidP="00945580">
            <w:pPr>
              <w:pStyle w:val="cuatexto"/>
              <w:jc w:val="right"/>
              <w:rPr>
                <w:lang w:val="es-ES" w:eastAsia="es-ES"/>
              </w:rPr>
            </w:pPr>
            <w:r>
              <w:rPr>
                <w:lang w:val="es-ES" w:eastAsia="es-ES"/>
              </w:rPr>
              <w:t>6.969</w:t>
            </w:r>
          </w:p>
        </w:tc>
      </w:tr>
      <w:tr w:rsidR="0088085F" w:rsidRPr="00B81E61" w14:paraId="21489724" w14:textId="77777777" w:rsidTr="00C83E40">
        <w:trPr>
          <w:trHeight w:val="252"/>
          <w:jc w:val="center"/>
        </w:trPr>
        <w:tc>
          <w:tcPr>
            <w:tcW w:w="2538" w:type="pct"/>
            <w:tcBorders>
              <w:top w:val="single" w:sz="2" w:space="0" w:color="auto"/>
              <w:left w:val="nil"/>
              <w:bottom w:val="single" w:sz="2" w:space="0" w:color="auto"/>
              <w:right w:val="nil"/>
            </w:tcBorders>
            <w:shd w:val="clear" w:color="auto" w:fill="auto"/>
            <w:vAlign w:val="center"/>
            <w:hideMark/>
          </w:tcPr>
          <w:p w14:paraId="513C5878" w14:textId="77777777" w:rsidR="0088085F" w:rsidRPr="00B81E61" w:rsidRDefault="0088085F" w:rsidP="00945580">
            <w:pPr>
              <w:pStyle w:val="cuatexto"/>
              <w:jc w:val="left"/>
              <w:rPr>
                <w:lang w:val="es-ES" w:eastAsia="es-ES"/>
              </w:rPr>
            </w:pPr>
            <w:r>
              <w:rPr>
                <w:lang w:val="es-ES" w:eastAsia="es-ES"/>
              </w:rPr>
              <w:t>Población total municipios de referencia</w:t>
            </w:r>
          </w:p>
        </w:tc>
        <w:tc>
          <w:tcPr>
            <w:tcW w:w="609" w:type="pct"/>
            <w:tcBorders>
              <w:top w:val="single" w:sz="2" w:space="0" w:color="auto"/>
              <w:left w:val="nil"/>
              <w:bottom w:val="single" w:sz="2" w:space="0" w:color="auto"/>
              <w:right w:val="nil"/>
            </w:tcBorders>
            <w:shd w:val="clear" w:color="auto" w:fill="auto"/>
            <w:noWrap/>
            <w:vAlign w:val="center"/>
            <w:hideMark/>
          </w:tcPr>
          <w:p w14:paraId="131AD142" w14:textId="77777777" w:rsidR="0088085F" w:rsidRPr="00B81E61" w:rsidRDefault="0088085F" w:rsidP="00945580">
            <w:pPr>
              <w:pStyle w:val="cuatexto"/>
              <w:jc w:val="right"/>
              <w:rPr>
                <w:lang w:val="es-ES" w:eastAsia="es-ES"/>
              </w:rPr>
            </w:pPr>
            <w:r>
              <w:rPr>
                <w:lang w:val="es-ES" w:eastAsia="es-ES"/>
              </w:rPr>
              <w:t>447.513</w:t>
            </w:r>
          </w:p>
        </w:tc>
        <w:tc>
          <w:tcPr>
            <w:tcW w:w="680" w:type="pct"/>
            <w:tcBorders>
              <w:top w:val="single" w:sz="2" w:space="0" w:color="auto"/>
              <w:left w:val="nil"/>
              <w:bottom w:val="single" w:sz="2" w:space="0" w:color="auto"/>
              <w:right w:val="nil"/>
            </w:tcBorders>
            <w:vAlign w:val="center"/>
          </w:tcPr>
          <w:p w14:paraId="06DA8667" w14:textId="77777777" w:rsidR="0088085F" w:rsidRPr="00B81E61" w:rsidRDefault="0088085F" w:rsidP="00945580">
            <w:pPr>
              <w:pStyle w:val="cuatexto"/>
              <w:jc w:val="right"/>
              <w:rPr>
                <w:lang w:val="es-ES" w:eastAsia="es-ES"/>
              </w:rPr>
            </w:pPr>
            <w:r>
              <w:rPr>
                <w:lang w:val="es-ES" w:eastAsia="es-ES"/>
              </w:rPr>
              <w:t>957.350</w:t>
            </w:r>
          </w:p>
        </w:tc>
        <w:tc>
          <w:tcPr>
            <w:tcW w:w="580" w:type="pct"/>
            <w:tcBorders>
              <w:top w:val="single" w:sz="2" w:space="0" w:color="auto"/>
              <w:left w:val="nil"/>
              <w:bottom w:val="single" w:sz="2" w:space="0" w:color="auto"/>
              <w:right w:val="nil"/>
            </w:tcBorders>
            <w:shd w:val="clear" w:color="auto" w:fill="auto"/>
            <w:noWrap/>
            <w:vAlign w:val="center"/>
            <w:hideMark/>
          </w:tcPr>
          <w:p w14:paraId="0862E474" w14:textId="77777777" w:rsidR="0088085F" w:rsidRPr="00B81E61" w:rsidRDefault="0088085F" w:rsidP="00945580">
            <w:pPr>
              <w:pStyle w:val="cuatexto"/>
              <w:jc w:val="right"/>
              <w:rPr>
                <w:lang w:val="es-ES" w:eastAsia="es-ES"/>
              </w:rPr>
            </w:pPr>
            <w:r>
              <w:rPr>
                <w:lang w:val="es-ES" w:eastAsia="es-ES"/>
              </w:rPr>
              <w:t>18.238.324</w:t>
            </w:r>
          </w:p>
        </w:tc>
        <w:tc>
          <w:tcPr>
            <w:tcW w:w="593" w:type="pct"/>
            <w:tcBorders>
              <w:top w:val="single" w:sz="2" w:space="0" w:color="auto"/>
              <w:left w:val="nil"/>
              <w:bottom w:val="single" w:sz="2" w:space="0" w:color="auto"/>
              <w:right w:val="nil"/>
            </w:tcBorders>
            <w:shd w:val="clear" w:color="auto" w:fill="auto"/>
            <w:noWrap/>
            <w:vAlign w:val="center"/>
            <w:hideMark/>
          </w:tcPr>
          <w:p w14:paraId="54E2F11C" w14:textId="77777777" w:rsidR="0088085F" w:rsidRPr="00B81E61" w:rsidRDefault="0088085F" w:rsidP="00945580">
            <w:pPr>
              <w:pStyle w:val="cuatexto"/>
              <w:jc w:val="right"/>
              <w:rPr>
                <w:lang w:val="es-ES" w:eastAsia="es-ES"/>
              </w:rPr>
            </w:pPr>
            <w:r>
              <w:rPr>
                <w:lang w:val="es-ES" w:eastAsia="es-ES"/>
              </w:rPr>
              <w:t>19.643.187</w:t>
            </w:r>
          </w:p>
        </w:tc>
      </w:tr>
      <w:tr w:rsidR="0088085F" w:rsidRPr="00B81E61" w14:paraId="45C4A5AD" w14:textId="77777777" w:rsidTr="00C83E40">
        <w:trPr>
          <w:trHeight w:val="252"/>
          <w:jc w:val="center"/>
        </w:trPr>
        <w:tc>
          <w:tcPr>
            <w:tcW w:w="2538" w:type="pct"/>
            <w:tcBorders>
              <w:top w:val="single" w:sz="2" w:space="0" w:color="auto"/>
              <w:left w:val="nil"/>
              <w:bottom w:val="single" w:sz="4" w:space="0" w:color="auto"/>
              <w:right w:val="nil"/>
            </w:tcBorders>
            <w:shd w:val="clear" w:color="auto" w:fill="auto"/>
            <w:vAlign w:val="center"/>
            <w:hideMark/>
          </w:tcPr>
          <w:p w14:paraId="78DAFCFE" w14:textId="77777777" w:rsidR="0088085F" w:rsidRPr="00B81E61" w:rsidRDefault="0088085F" w:rsidP="00945580">
            <w:pPr>
              <w:pStyle w:val="cuatexto"/>
              <w:jc w:val="left"/>
              <w:rPr>
                <w:lang w:val="es-ES" w:eastAsia="es-ES"/>
              </w:rPr>
            </w:pPr>
            <w:r>
              <w:rPr>
                <w:lang w:val="es-ES" w:eastAsia="es-ES"/>
              </w:rPr>
              <w:t>Población media</w:t>
            </w:r>
          </w:p>
        </w:tc>
        <w:tc>
          <w:tcPr>
            <w:tcW w:w="609" w:type="pct"/>
            <w:tcBorders>
              <w:top w:val="single" w:sz="2" w:space="0" w:color="auto"/>
              <w:left w:val="nil"/>
              <w:bottom w:val="single" w:sz="4" w:space="0" w:color="auto"/>
              <w:right w:val="nil"/>
            </w:tcBorders>
            <w:shd w:val="clear" w:color="auto" w:fill="auto"/>
            <w:noWrap/>
            <w:vAlign w:val="center"/>
            <w:hideMark/>
          </w:tcPr>
          <w:p w14:paraId="04288FF7" w14:textId="77777777" w:rsidR="0088085F" w:rsidRPr="00B81E61" w:rsidRDefault="0088085F" w:rsidP="00945580">
            <w:pPr>
              <w:pStyle w:val="cuatexto"/>
              <w:jc w:val="right"/>
              <w:rPr>
                <w:lang w:val="es-ES" w:eastAsia="es-ES"/>
              </w:rPr>
            </w:pPr>
            <w:r>
              <w:rPr>
                <w:lang w:val="es-ES" w:eastAsia="es-ES"/>
              </w:rPr>
              <w:t>1.695</w:t>
            </w:r>
          </w:p>
        </w:tc>
        <w:tc>
          <w:tcPr>
            <w:tcW w:w="680" w:type="pct"/>
            <w:tcBorders>
              <w:top w:val="single" w:sz="2" w:space="0" w:color="auto"/>
              <w:left w:val="nil"/>
              <w:bottom w:val="single" w:sz="4" w:space="0" w:color="auto"/>
              <w:right w:val="nil"/>
            </w:tcBorders>
            <w:vAlign w:val="center"/>
          </w:tcPr>
          <w:p w14:paraId="2327BB97" w14:textId="77777777" w:rsidR="0088085F" w:rsidRPr="00B81E61" w:rsidRDefault="0088085F" w:rsidP="00945580">
            <w:pPr>
              <w:pStyle w:val="cuatexto"/>
              <w:jc w:val="right"/>
              <w:rPr>
                <w:lang w:val="es-ES" w:eastAsia="es-ES"/>
              </w:rPr>
            </w:pPr>
            <w:r>
              <w:rPr>
                <w:lang w:val="es-ES" w:eastAsia="es-ES"/>
              </w:rPr>
              <w:t>5.092</w:t>
            </w:r>
          </w:p>
        </w:tc>
        <w:tc>
          <w:tcPr>
            <w:tcW w:w="580" w:type="pct"/>
            <w:tcBorders>
              <w:top w:val="single" w:sz="2" w:space="0" w:color="auto"/>
              <w:left w:val="nil"/>
              <w:bottom w:val="single" w:sz="4" w:space="0" w:color="auto"/>
              <w:right w:val="nil"/>
            </w:tcBorders>
            <w:shd w:val="clear" w:color="auto" w:fill="auto"/>
            <w:noWrap/>
            <w:vAlign w:val="center"/>
            <w:hideMark/>
          </w:tcPr>
          <w:p w14:paraId="465466EC" w14:textId="77777777" w:rsidR="0088085F" w:rsidRPr="00B81E61" w:rsidRDefault="0088085F" w:rsidP="00945580">
            <w:pPr>
              <w:pStyle w:val="cuatexto"/>
              <w:jc w:val="right"/>
              <w:rPr>
                <w:lang w:val="es-ES" w:eastAsia="es-ES"/>
              </w:rPr>
            </w:pPr>
            <w:r>
              <w:rPr>
                <w:lang w:val="es-ES" w:eastAsia="es-ES"/>
              </w:rPr>
              <w:t>2.799</w:t>
            </w:r>
          </w:p>
        </w:tc>
        <w:tc>
          <w:tcPr>
            <w:tcW w:w="593" w:type="pct"/>
            <w:tcBorders>
              <w:top w:val="single" w:sz="2" w:space="0" w:color="auto"/>
              <w:left w:val="nil"/>
              <w:bottom w:val="single" w:sz="4" w:space="0" w:color="auto"/>
              <w:right w:val="nil"/>
            </w:tcBorders>
            <w:shd w:val="clear" w:color="auto" w:fill="auto"/>
            <w:noWrap/>
            <w:vAlign w:val="center"/>
            <w:hideMark/>
          </w:tcPr>
          <w:p w14:paraId="2EFD481F" w14:textId="77777777" w:rsidR="0088085F" w:rsidRPr="00B81E61" w:rsidRDefault="0088085F" w:rsidP="00945580">
            <w:pPr>
              <w:pStyle w:val="cuatexto"/>
              <w:jc w:val="right"/>
              <w:rPr>
                <w:lang w:val="es-ES" w:eastAsia="es-ES"/>
              </w:rPr>
            </w:pPr>
            <w:r>
              <w:rPr>
                <w:lang w:val="es-ES" w:eastAsia="es-ES"/>
              </w:rPr>
              <w:t>9.586</w:t>
            </w:r>
          </w:p>
        </w:tc>
      </w:tr>
    </w:tbl>
    <w:p w14:paraId="2414C494" w14:textId="77777777" w:rsidR="007F0D71" w:rsidRPr="00944DBF" w:rsidRDefault="007F0D71" w:rsidP="00944DBF">
      <w:pPr>
        <w:pStyle w:val="texto"/>
        <w:spacing w:before="80" w:after="120"/>
        <w:ind w:left="56" w:firstLine="0"/>
        <w:rPr>
          <w:rFonts w:ascii="Arial" w:hAnsi="Arial" w:cs="Arial"/>
          <w:sz w:val="16"/>
          <w:szCs w:val="16"/>
        </w:rPr>
      </w:pPr>
      <w:bookmarkStart w:id="94" w:name="_Toc52348299"/>
      <w:r w:rsidRPr="00944DBF">
        <w:rPr>
          <w:rFonts w:ascii="Arial" w:hAnsi="Arial" w:cs="Arial"/>
          <w:sz w:val="16"/>
          <w:szCs w:val="16"/>
        </w:rPr>
        <w:t xml:space="preserve">(*) No constan los datos de los ayuntamientos de </w:t>
      </w:r>
      <w:proofErr w:type="spellStart"/>
      <w:r w:rsidRPr="00944DBF">
        <w:rPr>
          <w:rFonts w:ascii="Arial" w:hAnsi="Arial" w:cs="Arial"/>
          <w:sz w:val="16"/>
          <w:szCs w:val="16"/>
        </w:rPr>
        <w:t>Alava</w:t>
      </w:r>
      <w:proofErr w:type="spellEnd"/>
      <w:r w:rsidRPr="00944DBF">
        <w:rPr>
          <w:rFonts w:ascii="Arial" w:hAnsi="Arial" w:cs="Arial"/>
          <w:sz w:val="16"/>
          <w:szCs w:val="16"/>
        </w:rPr>
        <w:t xml:space="preserve"> (50) porque ninguno ha rendido la Cuenta General al Ministerio.</w:t>
      </w:r>
    </w:p>
    <w:p w14:paraId="4BC6165D" w14:textId="77777777" w:rsidR="0088085F" w:rsidRPr="00262228" w:rsidRDefault="0088085F" w:rsidP="00C83E40">
      <w:pPr>
        <w:pStyle w:val="texto"/>
        <w:spacing w:before="220"/>
      </w:pPr>
      <w:r w:rsidRPr="00262228">
        <w:t xml:space="preserve">Destaca la menor población media de Navarra en comparación con la del resto del Estado y en particular respecto al País Vasco. En Navarra solo </w:t>
      </w:r>
      <w:r w:rsidR="004C5C5D">
        <w:t>existe</w:t>
      </w:r>
      <w:r w:rsidRPr="00262228">
        <w:t xml:space="preserve"> un </w:t>
      </w:r>
      <w:r w:rsidRPr="0038773E">
        <w:rPr>
          <w:color w:val="000000" w:themeColor="text1"/>
        </w:rPr>
        <w:t>ayu</w:t>
      </w:r>
      <w:r w:rsidR="00E96821" w:rsidRPr="0038773E">
        <w:rPr>
          <w:color w:val="000000" w:themeColor="text1"/>
        </w:rPr>
        <w:t>ntamiento que supera el umbral de 40.000 habitantes</w:t>
      </w:r>
      <w:r w:rsidRPr="0038773E">
        <w:rPr>
          <w:color w:val="000000" w:themeColor="text1"/>
        </w:rPr>
        <w:t xml:space="preserve"> y en País Vasco son </w:t>
      </w:r>
      <w:r w:rsidRPr="00262228">
        <w:t>nueve ayuntamientos.</w:t>
      </w:r>
    </w:p>
    <w:p w14:paraId="0954DB42" w14:textId="77777777" w:rsidR="0088085F" w:rsidRPr="00262228" w:rsidRDefault="0088085F" w:rsidP="00F7590F">
      <w:pPr>
        <w:pStyle w:val="texto"/>
        <w:spacing w:after="240"/>
      </w:pPr>
      <w:r w:rsidRPr="00262228">
        <w:t>En los siguientes cuadros mostramos tanto los ingresos como los gastos por capítulo económico y por habitante:</w:t>
      </w:r>
    </w:p>
    <w:tbl>
      <w:tblPr>
        <w:tblW w:w="8891" w:type="dxa"/>
        <w:jc w:val="center"/>
        <w:tblCellMar>
          <w:left w:w="70" w:type="dxa"/>
          <w:right w:w="70" w:type="dxa"/>
        </w:tblCellMar>
        <w:tblLook w:val="04A0" w:firstRow="1" w:lastRow="0" w:firstColumn="1" w:lastColumn="0" w:noHBand="0" w:noVBand="1"/>
      </w:tblPr>
      <w:tblGrid>
        <w:gridCol w:w="4256"/>
        <w:gridCol w:w="607"/>
        <w:gridCol w:w="952"/>
        <w:gridCol w:w="10"/>
        <w:gridCol w:w="605"/>
        <w:gridCol w:w="938"/>
        <w:gridCol w:w="672"/>
        <w:gridCol w:w="851"/>
      </w:tblGrid>
      <w:tr w:rsidR="0088085F" w:rsidRPr="00A20762" w14:paraId="2ADABD9E" w14:textId="77777777" w:rsidTr="00A942F8">
        <w:trPr>
          <w:trHeight w:val="113"/>
          <w:jc w:val="center"/>
        </w:trPr>
        <w:tc>
          <w:tcPr>
            <w:tcW w:w="4256" w:type="dxa"/>
            <w:vMerge w:val="restart"/>
            <w:tcBorders>
              <w:top w:val="single" w:sz="4" w:space="0" w:color="auto"/>
              <w:left w:val="nil"/>
              <w:bottom w:val="single" w:sz="2" w:space="0" w:color="auto"/>
              <w:right w:val="nil"/>
            </w:tcBorders>
            <w:shd w:val="clear" w:color="auto" w:fill="FABF8F" w:themeFill="accent6" w:themeFillTint="99"/>
            <w:noWrap/>
            <w:vAlign w:val="center"/>
            <w:hideMark/>
          </w:tcPr>
          <w:p w14:paraId="176C34EB" w14:textId="77777777" w:rsidR="0088085F" w:rsidRPr="00A20762" w:rsidRDefault="000A3BD7" w:rsidP="00E03B06">
            <w:pPr>
              <w:pStyle w:val="cuadroCabe"/>
              <w:jc w:val="left"/>
              <w:rPr>
                <w:sz w:val="15"/>
                <w:szCs w:val="15"/>
                <w:lang w:val="es-ES" w:eastAsia="es-ES"/>
              </w:rPr>
            </w:pPr>
            <w:r w:rsidRPr="00A20762">
              <w:rPr>
                <w:sz w:val="15"/>
                <w:szCs w:val="15"/>
                <w:lang w:val="es-ES" w:eastAsia="es-ES"/>
              </w:rPr>
              <w:t>Ingresos</w:t>
            </w:r>
          </w:p>
        </w:tc>
        <w:tc>
          <w:tcPr>
            <w:tcW w:w="1569" w:type="dxa"/>
            <w:gridSpan w:val="3"/>
            <w:tcBorders>
              <w:top w:val="single" w:sz="4" w:space="0" w:color="auto"/>
              <w:left w:val="nil"/>
              <w:bottom w:val="single" w:sz="2" w:space="0" w:color="auto"/>
              <w:right w:val="nil"/>
            </w:tcBorders>
            <w:shd w:val="clear" w:color="auto" w:fill="FABF8F" w:themeFill="accent6" w:themeFillTint="99"/>
            <w:vAlign w:val="center"/>
            <w:hideMark/>
          </w:tcPr>
          <w:p w14:paraId="2D36C8DB" w14:textId="77777777" w:rsidR="0088085F" w:rsidRPr="00A20762" w:rsidRDefault="0088085F" w:rsidP="00A72CB5">
            <w:pPr>
              <w:pStyle w:val="cuadroCabe"/>
              <w:ind w:right="-216"/>
              <w:jc w:val="center"/>
              <w:rPr>
                <w:sz w:val="15"/>
                <w:szCs w:val="15"/>
                <w:lang w:val="es-ES" w:eastAsia="es-ES"/>
              </w:rPr>
            </w:pPr>
            <w:r w:rsidRPr="00A20762">
              <w:rPr>
                <w:sz w:val="15"/>
                <w:szCs w:val="15"/>
                <w:lang w:val="es-ES" w:eastAsia="es-ES"/>
              </w:rPr>
              <w:t>Navarra</w:t>
            </w:r>
          </w:p>
        </w:tc>
        <w:tc>
          <w:tcPr>
            <w:tcW w:w="1543" w:type="dxa"/>
            <w:gridSpan w:val="2"/>
            <w:tcBorders>
              <w:top w:val="single" w:sz="4" w:space="0" w:color="auto"/>
              <w:left w:val="nil"/>
              <w:bottom w:val="single" w:sz="2" w:space="0" w:color="auto"/>
              <w:right w:val="nil"/>
            </w:tcBorders>
            <w:shd w:val="clear" w:color="auto" w:fill="FABF8F" w:themeFill="accent6" w:themeFillTint="99"/>
            <w:noWrap/>
            <w:vAlign w:val="center"/>
            <w:hideMark/>
          </w:tcPr>
          <w:p w14:paraId="29C436DA" w14:textId="77777777" w:rsidR="0088085F" w:rsidRPr="00A20762" w:rsidRDefault="0088085F" w:rsidP="00A72CB5">
            <w:pPr>
              <w:pStyle w:val="cuadroCabe"/>
              <w:ind w:right="-199"/>
              <w:jc w:val="center"/>
              <w:rPr>
                <w:sz w:val="15"/>
                <w:szCs w:val="15"/>
                <w:lang w:val="es-ES" w:eastAsia="es-ES"/>
              </w:rPr>
            </w:pPr>
            <w:r w:rsidRPr="00A20762">
              <w:rPr>
                <w:sz w:val="15"/>
                <w:szCs w:val="15"/>
                <w:lang w:val="es-ES" w:eastAsia="es-ES"/>
              </w:rPr>
              <w:t>País Vasco</w:t>
            </w:r>
          </w:p>
        </w:tc>
        <w:tc>
          <w:tcPr>
            <w:tcW w:w="1523" w:type="dxa"/>
            <w:gridSpan w:val="2"/>
            <w:tcBorders>
              <w:top w:val="single" w:sz="4" w:space="0" w:color="auto"/>
              <w:left w:val="nil"/>
              <w:bottom w:val="single" w:sz="2" w:space="0" w:color="auto"/>
              <w:right w:val="nil"/>
            </w:tcBorders>
            <w:shd w:val="clear" w:color="auto" w:fill="FABF8F" w:themeFill="accent6" w:themeFillTint="99"/>
            <w:vAlign w:val="center"/>
            <w:hideMark/>
          </w:tcPr>
          <w:p w14:paraId="677912FF" w14:textId="77777777" w:rsidR="0088085F" w:rsidRPr="00A20762" w:rsidRDefault="00956974" w:rsidP="00956974">
            <w:pPr>
              <w:pStyle w:val="cuadroCabe"/>
              <w:jc w:val="right"/>
              <w:rPr>
                <w:sz w:val="15"/>
                <w:szCs w:val="15"/>
                <w:lang w:val="es-ES" w:eastAsia="es-ES"/>
              </w:rPr>
            </w:pPr>
            <w:r>
              <w:rPr>
                <w:sz w:val="15"/>
                <w:szCs w:val="15"/>
                <w:lang w:val="es-ES" w:eastAsia="es-ES"/>
              </w:rPr>
              <w:t xml:space="preserve">   </w:t>
            </w:r>
            <w:r w:rsidR="0088085F" w:rsidRPr="00A20762">
              <w:rPr>
                <w:sz w:val="15"/>
                <w:szCs w:val="15"/>
                <w:lang w:val="es-ES" w:eastAsia="es-ES"/>
              </w:rPr>
              <w:t>Resto de Estado</w:t>
            </w:r>
          </w:p>
        </w:tc>
      </w:tr>
      <w:tr w:rsidR="0088085F" w:rsidRPr="00A20762" w14:paraId="6AEE1EFC" w14:textId="77777777" w:rsidTr="00A942F8">
        <w:trPr>
          <w:trHeight w:val="113"/>
          <w:jc w:val="center"/>
        </w:trPr>
        <w:tc>
          <w:tcPr>
            <w:tcW w:w="4256" w:type="dxa"/>
            <w:vMerge/>
            <w:tcBorders>
              <w:top w:val="single" w:sz="2" w:space="0" w:color="auto"/>
              <w:left w:val="nil"/>
              <w:bottom w:val="single" w:sz="4" w:space="0" w:color="000000"/>
              <w:right w:val="nil"/>
            </w:tcBorders>
            <w:shd w:val="clear" w:color="auto" w:fill="FABF8F" w:themeFill="accent6" w:themeFillTint="99"/>
            <w:vAlign w:val="center"/>
            <w:hideMark/>
          </w:tcPr>
          <w:p w14:paraId="24A92F57" w14:textId="77777777" w:rsidR="0088085F" w:rsidRPr="00A20762" w:rsidRDefault="0088085F" w:rsidP="00E03B06">
            <w:pPr>
              <w:pStyle w:val="cuadroCabe"/>
              <w:jc w:val="left"/>
              <w:rPr>
                <w:sz w:val="15"/>
                <w:szCs w:val="15"/>
                <w:lang w:val="es-ES" w:eastAsia="es-ES"/>
              </w:rPr>
            </w:pPr>
          </w:p>
        </w:tc>
        <w:tc>
          <w:tcPr>
            <w:tcW w:w="607" w:type="dxa"/>
            <w:tcBorders>
              <w:top w:val="single" w:sz="2" w:space="0" w:color="auto"/>
              <w:left w:val="nil"/>
              <w:bottom w:val="single" w:sz="4" w:space="0" w:color="auto"/>
              <w:right w:val="nil"/>
            </w:tcBorders>
            <w:shd w:val="clear" w:color="auto" w:fill="FABF8F" w:themeFill="accent6" w:themeFillTint="99"/>
            <w:vAlign w:val="center"/>
            <w:hideMark/>
          </w:tcPr>
          <w:p w14:paraId="0989E763" w14:textId="77777777" w:rsidR="0088085F" w:rsidRPr="00A20762" w:rsidRDefault="0088085F" w:rsidP="00E03B06">
            <w:pPr>
              <w:pStyle w:val="cuadroCabe"/>
              <w:jc w:val="right"/>
              <w:rPr>
                <w:sz w:val="15"/>
                <w:szCs w:val="15"/>
                <w:lang w:val="es-ES" w:eastAsia="es-ES"/>
              </w:rPr>
            </w:pPr>
            <w:r w:rsidRPr="00A20762">
              <w:rPr>
                <w:sz w:val="15"/>
                <w:szCs w:val="15"/>
                <w:lang w:val="es-ES" w:eastAsia="es-ES"/>
              </w:rPr>
              <w:t>Per cápita</w:t>
            </w:r>
          </w:p>
        </w:tc>
        <w:tc>
          <w:tcPr>
            <w:tcW w:w="952" w:type="dxa"/>
            <w:tcBorders>
              <w:top w:val="single" w:sz="2" w:space="0" w:color="auto"/>
              <w:left w:val="nil"/>
              <w:bottom w:val="single" w:sz="4" w:space="0" w:color="auto"/>
              <w:right w:val="nil"/>
            </w:tcBorders>
            <w:shd w:val="clear" w:color="auto" w:fill="FABF8F" w:themeFill="accent6" w:themeFillTint="99"/>
            <w:noWrap/>
            <w:vAlign w:val="center"/>
            <w:hideMark/>
          </w:tcPr>
          <w:p w14:paraId="0A7E7F16" w14:textId="77777777" w:rsidR="00A20762" w:rsidRDefault="0088085F" w:rsidP="00E03B06">
            <w:pPr>
              <w:pStyle w:val="cuadroCabe"/>
              <w:jc w:val="right"/>
              <w:rPr>
                <w:sz w:val="15"/>
                <w:szCs w:val="15"/>
                <w:lang w:val="es-ES" w:eastAsia="es-ES"/>
              </w:rPr>
            </w:pPr>
            <w:r w:rsidRPr="00A20762">
              <w:rPr>
                <w:sz w:val="15"/>
                <w:szCs w:val="15"/>
                <w:lang w:val="es-ES" w:eastAsia="es-ES"/>
              </w:rPr>
              <w:t xml:space="preserve">% </w:t>
            </w:r>
          </w:p>
          <w:p w14:paraId="31DE125C" w14:textId="77777777" w:rsidR="0088085F" w:rsidRPr="00A20762" w:rsidRDefault="0088085F" w:rsidP="00E03B06">
            <w:pPr>
              <w:pStyle w:val="cuadroCabe"/>
              <w:jc w:val="right"/>
              <w:rPr>
                <w:sz w:val="15"/>
                <w:szCs w:val="15"/>
                <w:lang w:val="es-ES" w:eastAsia="es-ES"/>
              </w:rPr>
            </w:pPr>
            <w:r w:rsidRPr="00A20762">
              <w:rPr>
                <w:sz w:val="15"/>
                <w:szCs w:val="15"/>
                <w:lang w:val="es-ES" w:eastAsia="es-ES"/>
              </w:rPr>
              <w:t>del total</w:t>
            </w:r>
          </w:p>
        </w:tc>
        <w:tc>
          <w:tcPr>
            <w:tcW w:w="615" w:type="dxa"/>
            <w:gridSpan w:val="2"/>
            <w:tcBorders>
              <w:top w:val="single" w:sz="2" w:space="0" w:color="auto"/>
              <w:left w:val="nil"/>
              <w:bottom w:val="single" w:sz="4" w:space="0" w:color="auto"/>
              <w:right w:val="nil"/>
            </w:tcBorders>
            <w:shd w:val="clear" w:color="auto" w:fill="FABF8F" w:themeFill="accent6" w:themeFillTint="99"/>
            <w:noWrap/>
            <w:vAlign w:val="center"/>
            <w:hideMark/>
          </w:tcPr>
          <w:p w14:paraId="2F732312" w14:textId="77777777" w:rsidR="0088085F" w:rsidRPr="00A20762" w:rsidRDefault="0088085F" w:rsidP="00E03B06">
            <w:pPr>
              <w:pStyle w:val="cuadroCabe"/>
              <w:jc w:val="right"/>
              <w:rPr>
                <w:sz w:val="15"/>
                <w:szCs w:val="15"/>
                <w:lang w:val="es-ES" w:eastAsia="es-ES"/>
              </w:rPr>
            </w:pPr>
            <w:r w:rsidRPr="00A20762">
              <w:rPr>
                <w:sz w:val="15"/>
                <w:szCs w:val="15"/>
                <w:lang w:val="es-ES" w:eastAsia="es-ES"/>
              </w:rPr>
              <w:t>Per cápita</w:t>
            </w:r>
          </w:p>
        </w:tc>
        <w:tc>
          <w:tcPr>
            <w:tcW w:w="938" w:type="dxa"/>
            <w:tcBorders>
              <w:top w:val="single" w:sz="2" w:space="0" w:color="auto"/>
              <w:left w:val="nil"/>
              <w:bottom w:val="single" w:sz="4" w:space="0" w:color="auto"/>
              <w:right w:val="nil"/>
            </w:tcBorders>
            <w:shd w:val="clear" w:color="auto" w:fill="FABF8F" w:themeFill="accent6" w:themeFillTint="99"/>
            <w:noWrap/>
            <w:vAlign w:val="center"/>
            <w:hideMark/>
          </w:tcPr>
          <w:p w14:paraId="6F154699" w14:textId="77777777" w:rsidR="00E03B06" w:rsidRDefault="0088085F" w:rsidP="00E03B06">
            <w:pPr>
              <w:pStyle w:val="cuadroCabe"/>
              <w:jc w:val="right"/>
              <w:rPr>
                <w:sz w:val="15"/>
                <w:szCs w:val="15"/>
                <w:lang w:val="es-ES" w:eastAsia="es-ES"/>
              </w:rPr>
            </w:pPr>
            <w:r w:rsidRPr="00A20762">
              <w:rPr>
                <w:sz w:val="15"/>
                <w:szCs w:val="15"/>
                <w:lang w:val="es-ES" w:eastAsia="es-ES"/>
              </w:rPr>
              <w:t xml:space="preserve">% </w:t>
            </w:r>
          </w:p>
          <w:p w14:paraId="1E424C5A" w14:textId="77777777" w:rsidR="0088085F" w:rsidRPr="00A20762" w:rsidRDefault="0088085F" w:rsidP="00E03B06">
            <w:pPr>
              <w:pStyle w:val="cuadroCabe"/>
              <w:jc w:val="right"/>
              <w:rPr>
                <w:sz w:val="15"/>
                <w:szCs w:val="15"/>
                <w:lang w:val="es-ES" w:eastAsia="es-ES"/>
              </w:rPr>
            </w:pPr>
            <w:r w:rsidRPr="00A20762">
              <w:rPr>
                <w:sz w:val="15"/>
                <w:szCs w:val="15"/>
                <w:lang w:val="es-ES" w:eastAsia="es-ES"/>
              </w:rPr>
              <w:t>del total</w:t>
            </w:r>
          </w:p>
        </w:tc>
        <w:tc>
          <w:tcPr>
            <w:tcW w:w="672" w:type="dxa"/>
            <w:tcBorders>
              <w:top w:val="single" w:sz="2" w:space="0" w:color="auto"/>
              <w:left w:val="nil"/>
              <w:bottom w:val="single" w:sz="4" w:space="0" w:color="auto"/>
              <w:right w:val="nil"/>
            </w:tcBorders>
            <w:shd w:val="clear" w:color="auto" w:fill="FABF8F" w:themeFill="accent6" w:themeFillTint="99"/>
            <w:vAlign w:val="center"/>
            <w:hideMark/>
          </w:tcPr>
          <w:p w14:paraId="7077DA68" w14:textId="77777777" w:rsidR="0088085F" w:rsidRPr="00A20762" w:rsidRDefault="0088085F" w:rsidP="00E03B06">
            <w:pPr>
              <w:pStyle w:val="cuadroCabe"/>
              <w:jc w:val="right"/>
              <w:rPr>
                <w:sz w:val="15"/>
                <w:szCs w:val="15"/>
                <w:lang w:val="es-ES" w:eastAsia="es-ES"/>
              </w:rPr>
            </w:pPr>
            <w:r w:rsidRPr="00A20762">
              <w:rPr>
                <w:sz w:val="15"/>
                <w:szCs w:val="15"/>
                <w:lang w:val="es-ES" w:eastAsia="es-ES"/>
              </w:rPr>
              <w:t xml:space="preserve">Per </w:t>
            </w:r>
            <w:r w:rsidR="00A20762">
              <w:rPr>
                <w:sz w:val="15"/>
                <w:szCs w:val="15"/>
                <w:lang w:val="es-ES" w:eastAsia="es-ES"/>
              </w:rPr>
              <w:t xml:space="preserve"> </w:t>
            </w:r>
            <w:r w:rsidRPr="00A20762">
              <w:rPr>
                <w:sz w:val="15"/>
                <w:szCs w:val="15"/>
                <w:lang w:val="es-ES" w:eastAsia="es-ES"/>
              </w:rPr>
              <w:t>cápita</w:t>
            </w:r>
          </w:p>
        </w:tc>
        <w:tc>
          <w:tcPr>
            <w:tcW w:w="851" w:type="dxa"/>
            <w:tcBorders>
              <w:top w:val="single" w:sz="2" w:space="0" w:color="auto"/>
              <w:left w:val="nil"/>
              <w:bottom w:val="single" w:sz="4" w:space="0" w:color="auto"/>
              <w:right w:val="nil"/>
            </w:tcBorders>
            <w:shd w:val="clear" w:color="auto" w:fill="FABF8F" w:themeFill="accent6" w:themeFillTint="99"/>
            <w:vAlign w:val="center"/>
            <w:hideMark/>
          </w:tcPr>
          <w:p w14:paraId="4102AD16" w14:textId="77777777" w:rsidR="00E03B06" w:rsidRDefault="0088085F" w:rsidP="00E03B06">
            <w:pPr>
              <w:pStyle w:val="cuadroCabe"/>
              <w:jc w:val="right"/>
              <w:rPr>
                <w:sz w:val="15"/>
                <w:szCs w:val="15"/>
                <w:lang w:val="es-ES" w:eastAsia="es-ES"/>
              </w:rPr>
            </w:pPr>
            <w:r w:rsidRPr="00A20762">
              <w:rPr>
                <w:sz w:val="15"/>
                <w:szCs w:val="15"/>
                <w:lang w:val="es-ES" w:eastAsia="es-ES"/>
              </w:rPr>
              <w:t xml:space="preserve">% </w:t>
            </w:r>
          </w:p>
          <w:p w14:paraId="1EB6EEA6" w14:textId="77777777" w:rsidR="0088085F" w:rsidRPr="00A20762" w:rsidRDefault="0088085F" w:rsidP="00E03B06">
            <w:pPr>
              <w:pStyle w:val="cuadroCabe"/>
              <w:jc w:val="right"/>
              <w:rPr>
                <w:sz w:val="15"/>
                <w:szCs w:val="15"/>
                <w:lang w:val="es-ES" w:eastAsia="es-ES"/>
              </w:rPr>
            </w:pPr>
            <w:r w:rsidRPr="00A20762">
              <w:rPr>
                <w:sz w:val="15"/>
                <w:szCs w:val="15"/>
                <w:lang w:val="es-ES" w:eastAsia="es-ES"/>
              </w:rPr>
              <w:t>del total</w:t>
            </w:r>
          </w:p>
        </w:tc>
      </w:tr>
      <w:tr w:rsidR="0088085F" w:rsidRPr="003D58AB" w14:paraId="119AC45A" w14:textId="77777777" w:rsidTr="00A942F8">
        <w:trPr>
          <w:trHeight w:hRule="exact" w:val="255"/>
          <w:jc w:val="center"/>
        </w:trPr>
        <w:tc>
          <w:tcPr>
            <w:tcW w:w="4256" w:type="dxa"/>
            <w:tcBorders>
              <w:top w:val="nil"/>
              <w:left w:val="nil"/>
              <w:bottom w:val="single" w:sz="2" w:space="0" w:color="auto"/>
              <w:right w:val="nil"/>
            </w:tcBorders>
            <w:shd w:val="clear" w:color="auto" w:fill="auto"/>
            <w:noWrap/>
            <w:vAlign w:val="center"/>
            <w:hideMark/>
          </w:tcPr>
          <w:p w14:paraId="4C278ABA" w14:textId="77777777" w:rsidR="0088085F" w:rsidRPr="004C5C5D" w:rsidRDefault="0088085F" w:rsidP="00E03B06">
            <w:pPr>
              <w:pStyle w:val="cuatexto"/>
              <w:jc w:val="left"/>
              <w:rPr>
                <w:sz w:val="18"/>
                <w:szCs w:val="18"/>
                <w:lang w:val="es-ES" w:eastAsia="es-ES"/>
              </w:rPr>
            </w:pPr>
            <w:r w:rsidRPr="004C5C5D">
              <w:rPr>
                <w:sz w:val="18"/>
                <w:szCs w:val="18"/>
                <w:lang w:val="es-ES" w:eastAsia="es-ES"/>
              </w:rPr>
              <w:t>Impuesto</w:t>
            </w:r>
            <w:r w:rsidR="004C5C5D" w:rsidRPr="004C5C5D">
              <w:rPr>
                <w:sz w:val="18"/>
                <w:szCs w:val="18"/>
                <w:lang w:val="es-ES" w:eastAsia="es-ES"/>
              </w:rPr>
              <w:t>s</w:t>
            </w:r>
            <w:r w:rsidRPr="004C5C5D">
              <w:rPr>
                <w:sz w:val="18"/>
                <w:szCs w:val="18"/>
                <w:lang w:val="es-ES" w:eastAsia="es-ES"/>
              </w:rPr>
              <w:t xml:space="preserve"> directos</w:t>
            </w:r>
          </w:p>
        </w:tc>
        <w:tc>
          <w:tcPr>
            <w:tcW w:w="607" w:type="dxa"/>
            <w:tcBorders>
              <w:top w:val="nil"/>
              <w:left w:val="nil"/>
              <w:bottom w:val="single" w:sz="2" w:space="0" w:color="auto"/>
              <w:right w:val="nil"/>
            </w:tcBorders>
            <w:shd w:val="clear" w:color="auto" w:fill="auto"/>
            <w:noWrap/>
            <w:vAlign w:val="center"/>
            <w:hideMark/>
          </w:tcPr>
          <w:p w14:paraId="2401F20A"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316</w:t>
            </w:r>
          </w:p>
        </w:tc>
        <w:tc>
          <w:tcPr>
            <w:tcW w:w="952" w:type="dxa"/>
            <w:tcBorders>
              <w:top w:val="nil"/>
              <w:left w:val="nil"/>
              <w:bottom w:val="single" w:sz="2" w:space="0" w:color="auto"/>
              <w:right w:val="nil"/>
            </w:tcBorders>
            <w:shd w:val="clear" w:color="auto" w:fill="auto"/>
            <w:noWrap/>
            <w:vAlign w:val="center"/>
            <w:hideMark/>
          </w:tcPr>
          <w:p w14:paraId="79AF35C2"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26,7 </w:t>
            </w:r>
          </w:p>
        </w:tc>
        <w:tc>
          <w:tcPr>
            <w:tcW w:w="615" w:type="dxa"/>
            <w:gridSpan w:val="2"/>
            <w:tcBorders>
              <w:top w:val="nil"/>
              <w:left w:val="nil"/>
              <w:bottom w:val="single" w:sz="2" w:space="0" w:color="auto"/>
              <w:right w:val="nil"/>
            </w:tcBorders>
            <w:shd w:val="clear" w:color="auto" w:fill="auto"/>
            <w:noWrap/>
            <w:vAlign w:val="center"/>
            <w:hideMark/>
          </w:tcPr>
          <w:p w14:paraId="51AE424B"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306</w:t>
            </w:r>
          </w:p>
        </w:tc>
        <w:tc>
          <w:tcPr>
            <w:tcW w:w="938" w:type="dxa"/>
            <w:tcBorders>
              <w:top w:val="nil"/>
              <w:left w:val="nil"/>
              <w:bottom w:val="single" w:sz="2" w:space="0" w:color="auto"/>
              <w:right w:val="nil"/>
            </w:tcBorders>
            <w:shd w:val="clear" w:color="auto" w:fill="auto"/>
            <w:noWrap/>
            <w:vAlign w:val="center"/>
            <w:hideMark/>
          </w:tcPr>
          <w:p w14:paraId="253229F7"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20,8 </w:t>
            </w:r>
          </w:p>
        </w:tc>
        <w:tc>
          <w:tcPr>
            <w:tcW w:w="672" w:type="dxa"/>
            <w:tcBorders>
              <w:top w:val="nil"/>
              <w:left w:val="nil"/>
              <w:bottom w:val="single" w:sz="2" w:space="0" w:color="auto"/>
              <w:right w:val="nil"/>
            </w:tcBorders>
            <w:shd w:val="clear" w:color="auto" w:fill="auto"/>
            <w:noWrap/>
            <w:vAlign w:val="center"/>
            <w:hideMark/>
          </w:tcPr>
          <w:p w14:paraId="10809FBB"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429</w:t>
            </w:r>
          </w:p>
        </w:tc>
        <w:tc>
          <w:tcPr>
            <w:tcW w:w="851" w:type="dxa"/>
            <w:tcBorders>
              <w:top w:val="nil"/>
              <w:left w:val="nil"/>
              <w:bottom w:val="single" w:sz="2" w:space="0" w:color="auto"/>
              <w:right w:val="nil"/>
            </w:tcBorders>
            <w:shd w:val="clear" w:color="auto" w:fill="auto"/>
            <w:noWrap/>
            <w:vAlign w:val="center"/>
            <w:hideMark/>
          </w:tcPr>
          <w:p w14:paraId="317C88D9"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36,9 </w:t>
            </w:r>
          </w:p>
        </w:tc>
      </w:tr>
      <w:tr w:rsidR="0088085F" w:rsidRPr="003D58AB" w14:paraId="59CC851C" w14:textId="77777777" w:rsidTr="00A942F8">
        <w:trPr>
          <w:trHeight w:hRule="exact" w:val="255"/>
          <w:jc w:val="center"/>
        </w:trPr>
        <w:tc>
          <w:tcPr>
            <w:tcW w:w="4256" w:type="dxa"/>
            <w:tcBorders>
              <w:top w:val="single" w:sz="2" w:space="0" w:color="auto"/>
              <w:left w:val="nil"/>
              <w:bottom w:val="single" w:sz="2" w:space="0" w:color="auto"/>
              <w:right w:val="nil"/>
            </w:tcBorders>
            <w:shd w:val="clear" w:color="auto" w:fill="auto"/>
            <w:noWrap/>
            <w:vAlign w:val="center"/>
            <w:hideMark/>
          </w:tcPr>
          <w:p w14:paraId="796B6A2A" w14:textId="77777777" w:rsidR="0088085F" w:rsidRPr="004C5C5D" w:rsidRDefault="0088085F" w:rsidP="00E03B06">
            <w:pPr>
              <w:pStyle w:val="cuatexto"/>
              <w:jc w:val="left"/>
              <w:rPr>
                <w:sz w:val="18"/>
                <w:szCs w:val="18"/>
                <w:lang w:val="es-ES" w:eastAsia="es-ES"/>
              </w:rPr>
            </w:pPr>
            <w:r w:rsidRPr="004C5C5D">
              <w:rPr>
                <w:sz w:val="18"/>
                <w:szCs w:val="18"/>
                <w:lang w:val="es-ES" w:eastAsia="es-ES"/>
              </w:rPr>
              <w:t>Impuestos indirectos</w:t>
            </w:r>
          </w:p>
        </w:tc>
        <w:tc>
          <w:tcPr>
            <w:tcW w:w="607" w:type="dxa"/>
            <w:tcBorders>
              <w:top w:val="single" w:sz="2" w:space="0" w:color="auto"/>
              <w:left w:val="nil"/>
              <w:bottom w:val="single" w:sz="2" w:space="0" w:color="auto"/>
              <w:right w:val="nil"/>
            </w:tcBorders>
            <w:shd w:val="clear" w:color="auto" w:fill="auto"/>
            <w:noWrap/>
            <w:vAlign w:val="center"/>
            <w:hideMark/>
          </w:tcPr>
          <w:p w14:paraId="28D4B350"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55</w:t>
            </w:r>
          </w:p>
        </w:tc>
        <w:tc>
          <w:tcPr>
            <w:tcW w:w="952" w:type="dxa"/>
            <w:tcBorders>
              <w:top w:val="single" w:sz="2" w:space="0" w:color="auto"/>
              <w:left w:val="nil"/>
              <w:bottom w:val="single" w:sz="2" w:space="0" w:color="auto"/>
              <w:right w:val="nil"/>
            </w:tcBorders>
            <w:shd w:val="clear" w:color="auto" w:fill="auto"/>
            <w:noWrap/>
            <w:vAlign w:val="center"/>
            <w:hideMark/>
          </w:tcPr>
          <w:p w14:paraId="02EFC6D4"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4,6 </w:t>
            </w:r>
          </w:p>
        </w:tc>
        <w:tc>
          <w:tcPr>
            <w:tcW w:w="615" w:type="dxa"/>
            <w:gridSpan w:val="2"/>
            <w:tcBorders>
              <w:top w:val="single" w:sz="2" w:space="0" w:color="auto"/>
              <w:left w:val="nil"/>
              <w:bottom w:val="single" w:sz="2" w:space="0" w:color="auto"/>
              <w:right w:val="nil"/>
            </w:tcBorders>
            <w:shd w:val="clear" w:color="auto" w:fill="auto"/>
            <w:noWrap/>
            <w:vAlign w:val="center"/>
            <w:hideMark/>
          </w:tcPr>
          <w:p w14:paraId="43AB606C"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33</w:t>
            </w:r>
          </w:p>
        </w:tc>
        <w:tc>
          <w:tcPr>
            <w:tcW w:w="938" w:type="dxa"/>
            <w:tcBorders>
              <w:top w:val="single" w:sz="2" w:space="0" w:color="auto"/>
              <w:left w:val="nil"/>
              <w:bottom w:val="single" w:sz="2" w:space="0" w:color="auto"/>
              <w:right w:val="nil"/>
            </w:tcBorders>
            <w:shd w:val="clear" w:color="auto" w:fill="auto"/>
            <w:noWrap/>
            <w:vAlign w:val="center"/>
            <w:hideMark/>
          </w:tcPr>
          <w:p w14:paraId="209EEBED"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2,2 </w:t>
            </w:r>
          </w:p>
        </w:tc>
        <w:tc>
          <w:tcPr>
            <w:tcW w:w="672" w:type="dxa"/>
            <w:tcBorders>
              <w:top w:val="single" w:sz="2" w:space="0" w:color="auto"/>
              <w:left w:val="nil"/>
              <w:bottom w:val="single" w:sz="2" w:space="0" w:color="auto"/>
              <w:right w:val="nil"/>
            </w:tcBorders>
            <w:shd w:val="clear" w:color="auto" w:fill="auto"/>
            <w:noWrap/>
            <w:vAlign w:val="center"/>
            <w:hideMark/>
          </w:tcPr>
          <w:p w14:paraId="0BCDA1AB"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28</w:t>
            </w:r>
          </w:p>
        </w:tc>
        <w:tc>
          <w:tcPr>
            <w:tcW w:w="851" w:type="dxa"/>
            <w:tcBorders>
              <w:top w:val="single" w:sz="2" w:space="0" w:color="auto"/>
              <w:left w:val="nil"/>
              <w:bottom w:val="single" w:sz="2" w:space="0" w:color="auto"/>
              <w:right w:val="nil"/>
            </w:tcBorders>
            <w:shd w:val="clear" w:color="auto" w:fill="auto"/>
            <w:noWrap/>
            <w:vAlign w:val="center"/>
            <w:hideMark/>
          </w:tcPr>
          <w:p w14:paraId="6ABFC3EF"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2,4 </w:t>
            </w:r>
          </w:p>
        </w:tc>
      </w:tr>
      <w:tr w:rsidR="0088085F" w:rsidRPr="003D58AB" w14:paraId="7FDDEAE8" w14:textId="77777777" w:rsidTr="00A942F8">
        <w:trPr>
          <w:trHeight w:hRule="exact" w:val="255"/>
          <w:jc w:val="center"/>
        </w:trPr>
        <w:tc>
          <w:tcPr>
            <w:tcW w:w="4256" w:type="dxa"/>
            <w:tcBorders>
              <w:top w:val="single" w:sz="2" w:space="0" w:color="auto"/>
              <w:left w:val="nil"/>
              <w:bottom w:val="single" w:sz="2" w:space="0" w:color="auto"/>
              <w:right w:val="nil"/>
            </w:tcBorders>
            <w:shd w:val="clear" w:color="auto" w:fill="auto"/>
            <w:noWrap/>
            <w:vAlign w:val="center"/>
            <w:hideMark/>
          </w:tcPr>
          <w:p w14:paraId="161B627C" w14:textId="77777777" w:rsidR="0088085F" w:rsidRPr="004C5C5D" w:rsidRDefault="0088085F" w:rsidP="00E03B06">
            <w:pPr>
              <w:pStyle w:val="cuatexto"/>
              <w:jc w:val="left"/>
              <w:rPr>
                <w:sz w:val="18"/>
                <w:szCs w:val="18"/>
                <w:lang w:val="es-ES" w:eastAsia="es-ES"/>
              </w:rPr>
            </w:pPr>
            <w:r w:rsidRPr="004C5C5D">
              <w:rPr>
                <w:sz w:val="18"/>
                <w:szCs w:val="18"/>
                <w:lang w:val="es-ES" w:eastAsia="es-ES"/>
              </w:rPr>
              <w:t>Tasas, precios públicos y otros ingresos</w:t>
            </w:r>
          </w:p>
        </w:tc>
        <w:tc>
          <w:tcPr>
            <w:tcW w:w="607" w:type="dxa"/>
            <w:tcBorders>
              <w:top w:val="single" w:sz="2" w:space="0" w:color="auto"/>
              <w:left w:val="nil"/>
              <w:bottom w:val="single" w:sz="2" w:space="0" w:color="auto"/>
              <w:right w:val="nil"/>
            </w:tcBorders>
            <w:shd w:val="clear" w:color="auto" w:fill="auto"/>
            <w:noWrap/>
            <w:vAlign w:val="center"/>
            <w:hideMark/>
          </w:tcPr>
          <w:p w14:paraId="339DE452"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181</w:t>
            </w:r>
          </w:p>
        </w:tc>
        <w:tc>
          <w:tcPr>
            <w:tcW w:w="952" w:type="dxa"/>
            <w:tcBorders>
              <w:top w:val="single" w:sz="2" w:space="0" w:color="auto"/>
              <w:left w:val="nil"/>
              <w:bottom w:val="single" w:sz="2" w:space="0" w:color="auto"/>
              <w:right w:val="nil"/>
            </w:tcBorders>
            <w:shd w:val="clear" w:color="auto" w:fill="auto"/>
            <w:noWrap/>
            <w:vAlign w:val="center"/>
            <w:hideMark/>
          </w:tcPr>
          <w:p w14:paraId="4B4CFD3F"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15,3 </w:t>
            </w:r>
          </w:p>
        </w:tc>
        <w:tc>
          <w:tcPr>
            <w:tcW w:w="615" w:type="dxa"/>
            <w:gridSpan w:val="2"/>
            <w:tcBorders>
              <w:top w:val="single" w:sz="2" w:space="0" w:color="auto"/>
              <w:left w:val="nil"/>
              <w:bottom w:val="single" w:sz="2" w:space="0" w:color="auto"/>
              <w:right w:val="nil"/>
            </w:tcBorders>
            <w:shd w:val="clear" w:color="auto" w:fill="auto"/>
            <w:noWrap/>
            <w:vAlign w:val="center"/>
            <w:hideMark/>
          </w:tcPr>
          <w:p w14:paraId="639C4375"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236</w:t>
            </w:r>
          </w:p>
        </w:tc>
        <w:tc>
          <w:tcPr>
            <w:tcW w:w="938" w:type="dxa"/>
            <w:tcBorders>
              <w:top w:val="single" w:sz="2" w:space="0" w:color="auto"/>
              <w:left w:val="nil"/>
              <w:bottom w:val="single" w:sz="2" w:space="0" w:color="auto"/>
              <w:right w:val="nil"/>
            </w:tcBorders>
            <w:shd w:val="clear" w:color="auto" w:fill="auto"/>
            <w:noWrap/>
            <w:vAlign w:val="center"/>
            <w:hideMark/>
          </w:tcPr>
          <w:p w14:paraId="7CD4DD15"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16,0 </w:t>
            </w:r>
          </w:p>
        </w:tc>
        <w:tc>
          <w:tcPr>
            <w:tcW w:w="672" w:type="dxa"/>
            <w:tcBorders>
              <w:top w:val="single" w:sz="2" w:space="0" w:color="auto"/>
              <w:left w:val="nil"/>
              <w:bottom w:val="single" w:sz="2" w:space="0" w:color="auto"/>
              <w:right w:val="nil"/>
            </w:tcBorders>
            <w:shd w:val="clear" w:color="auto" w:fill="auto"/>
            <w:noWrap/>
            <w:vAlign w:val="center"/>
            <w:hideMark/>
          </w:tcPr>
          <w:p w14:paraId="0D3258F5"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193</w:t>
            </w:r>
          </w:p>
        </w:tc>
        <w:tc>
          <w:tcPr>
            <w:tcW w:w="851" w:type="dxa"/>
            <w:tcBorders>
              <w:top w:val="single" w:sz="2" w:space="0" w:color="auto"/>
              <w:left w:val="nil"/>
              <w:bottom w:val="single" w:sz="2" w:space="0" w:color="auto"/>
              <w:right w:val="nil"/>
            </w:tcBorders>
            <w:shd w:val="clear" w:color="auto" w:fill="auto"/>
            <w:noWrap/>
            <w:vAlign w:val="center"/>
            <w:hideMark/>
          </w:tcPr>
          <w:p w14:paraId="5F8B58E3"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16,6 </w:t>
            </w:r>
          </w:p>
        </w:tc>
      </w:tr>
      <w:tr w:rsidR="0088085F" w:rsidRPr="003D58AB" w14:paraId="67C438F1" w14:textId="77777777" w:rsidTr="00A942F8">
        <w:trPr>
          <w:trHeight w:hRule="exact" w:val="255"/>
          <w:jc w:val="center"/>
        </w:trPr>
        <w:tc>
          <w:tcPr>
            <w:tcW w:w="4256" w:type="dxa"/>
            <w:tcBorders>
              <w:top w:val="single" w:sz="2" w:space="0" w:color="auto"/>
              <w:left w:val="nil"/>
              <w:bottom w:val="single" w:sz="2" w:space="0" w:color="auto"/>
              <w:right w:val="nil"/>
            </w:tcBorders>
            <w:shd w:val="clear" w:color="auto" w:fill="auto"/>
            <w:noWrap/>
            <w:vAlign w:val="center"/>
            <w:hideMark/>
          </w:tcPr>
          <w:p w14:paraId="7F89BC71" w14:textId="77777777" w:rsidR="0088085F" w:rsidRPr="004C5C5D" w:rsidRDefault="0088085F" w:rsidP="00E03B06">
            <w:pPr>
              <w:pStyle w:val="cuatexto"/>
              <w:jc w:val="left"/>
              <w:rPr>
                <w:sz w:val="18"/>
                <w:szCs w:val="18"/>
                <w:lang w:val="es-ES" w:eastAsia="es-ES"/>
              </w:rPr>
            </w:pPr>
            <w:r w:rsidRPr="004C5C5D">
              <w:rPr>
                <w:sz w:val="18"/>
                <w:szCs w:val="18"/>
                <w:lang w:val="es-ES" w:eastAsia="es-ES"/>
              </w:rPr>
              <w:t>Transferencias corrientes</w:t>
            </w:r>
          </w:p>
        </w:tc>
        <w:tc>
          <w:tcPr>
            <w:tcW w:w="607" w:type="dxa"/>
            <w:tcBorders>
              <w:top w:val="single" w:sz="2" w:space="0" w:color="auto"/>
              <w:left w:val="nil"/>
              <w:bottom w:val="single" w:sz="2" w:space="0" w:color="auto"/>
              <w:right w:val="nil"/>
            </w:tcBorders>
            <w:shd w:val="clear" w:color="auto" w:fill="auto"/>
            <w:noWrap/>
            <w:vAlign w:val="center"/>
            <w:hideMark/>
          </w:tcPr>
          <w:p w14:paraId="620F261F"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416</w:t>
            </w:r>
          </w:p>
        </w:tc>
        <w:tc>
          <w:tcPr>
            <w:tcW w:w="952" w:type="dxa"/>
            <w:tcBorders>
              <w:top w:val="single" w:sz="2" w:space="0" w:color="auto"/>
              <w:left w:val="nil"/>
              <w:bottom w:val="single" w:sz="2" w:space="0" w:color="auto"/>
              <w:right w:val="nil"/>
            </w:tcBorders>
            <w:shd w:val="clear" w:color="auto" w:fill="auto"/>
            <w:noWrap/>
            <w:vAlign w:val="center"/>
            <w:hideMark/>
          </w:tcPr>
          <w:p w14:paraId="7A3662D4"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35,2 </w:t>
            </w:r>
          </w:p>
        </w:tc>
        <w:tc>
          <w:tcPr>
            <w:tcW w:w="615" w:type="dxa"/>
            <w:gridSpan w:val="2"/>
            <w:tcBorders>
              <w:top w:val="single" w:sz="2" w:space="0" w:color="auto"/>
              <w:left w:val="nil"/>
              <w:bottom w:val="single" w:sz="2" w:space="0" w:color="auto"/>
              <w:right w:val="nil"/>
            </w:tcBorders>
            <w:shd w:val="clear" w:color="auto" w:fill="auto"/>
            <w:noWrap/>
            <w:vAlign w:val="center"/>
            <w:hideMark/>
          </w:tcPr>
          <w:p w14:paraId="137A4A9E"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807</w:t>
            </w:r>
          </w:p>
        </w:tc>
        <w:tc>
          <w:tcPr>
            <w:tcW w:w="938" w:type="dxa"/>
            <w:tcBorders>
              <w:top w:val="single" w:sz="2" w:space="0" w:color="auto"/>
              <w:left w:val="nil"/>
              <w:bottom w:val="single" w:sz="2" w:space="0" w:color="auto"/>
              <w:right w:val="nil"/>
            </w:tcBorders>
            <w:shd w:val="clear" w:color="auto" w:fill="auto"/>
            <w:noWrap/>
            <w:vAlign w:val="center"/>
            <w:hideMark/>
          </w:tcPr>
          <w:p w14:paraId="558D3C94"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54,8 </w:t>
            </w:r>
          </w:p>
        </w:tc>
        <w:tc>
          <w:tcPr>
            <w:tcW w:w="672" w:type="dxa"/>
            <w:tcBorders>
              <w:top w:val="single" w:sz="2" w:space="0" w:color="auto"/>
              <w:left w:val="nil"/>
              <w:bottom w:val="single" w:sz="2" w:space="0" w:color="auto"/>
              <w:right w:val="nil"/>
            </w:tcBorders>
            <w:shd w:val="clear" w:color="auto" w:fill="auto"/>
            <w:noWrap/>
            <w:vAlign w:val="center"/>
            <w:hideMark/>
          </w:tcPr>
          <w:p w14:paraId="2659E7E9"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360</w:t>
            </w:r>
          </w:p>
        </w:tc>
        <w:tc>
          <w:tcPr>
            <w:tcW w:w="851" w:type="dxa"/>
            <w:tcBorders>
              <w:top w:val="single" w:sz="2" w:space="0" w:color="auto"/>
              <w:left w:val="nil"/>
              <w:bottom w:val="single" w:sz="2" w:space="0" w:color="auto"/>
              <w:right w:val="nil"/>
            </w:tcBorders>
            <w:shd w:val="clear" w:color="auto" w:fill="auto"/>
            <w:noWrap/>
            <w:vAlign w:val="center"/>
            <w:hideMark/>
          </w:tcPr>
          <w:p w14:paraId="6222AFEE"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30,9 </w:t>
            </w:r>
          </w:p>
        </w:tc>
      </w:tr>
      <w:tr w:rsidR="0088085F" w:rsidRPr="003D58AB" w14:paraId="5C86F4F6" w14:textId="77777777" w:rsidTr="00A942F8">
        <w:trPr>
          <w:trHeight w:hRule="exact" w:val="255"/>
          <w:jc w:val="center"/>
        </w:trPr>
        <w:tc>
          <w:tcPr>
            <w:tcW w:w="4256" w:type="dxa"/>
            <w:tcBorders>
              <w:top w:val="single" w:sz="2" w:space="0" w:color="auto"/>
              <w:left w:val="nil"/>
              <w:bottom w:val="single" w:sz="4" w:space="0" w:color="auto"/>
              <w:right w:val="nil"/>
            </w:tcBorders>
            <w:shd w:val="clear" w:color="auto" w:fill="auto"/>
            <w:noWrap/>
            <w:vAlign w:val="center"/>
            <w:hideMark/>
          </w:tcPr>
          <w:p w14:paraId="6DC95C93" w14:textId="77777777" w:rsidR="0088085F" w:rsidRPr="004C5C5D" w:rsidRDefault="0088085F" w:rsidP="00E03B06">
            <w:pPr>
              <w:pStyle w:val="cuatexto"/>
              <w:jc w:val="left"/>
              <w:rPr>
                <w:sz w:val="18"/>
                <w:szCs w:val="18"/>
                <w:lang w:val="es-ES" w:eastAsia="es-ES"/>
              </w:rPr>
            </w:pPr>
            <w:r w:rsidRPr="004C5C5D">
              <w:rPr>
                <w:sz w:val="18"/>
                <w:szCs w:val="18"/>
                <w:lang w:val="es-ES" w:eastAsia="es-ES"/>
              </w:rPr>
              <w:t>Ingresos patrimoniales y aprovechamientos comunales</w:t>
            </w:r>
          </w:p>
        </w:tc>
        <w:tc>
          <w:tcPr>
            <w:tcW w:w="607" w:type="dxa"/>
            <w:tcBorders>
              <w:top w:val="single" w:sz="2" w:space="0" w:color="auto"/>
              <w:left w:val="nil"/>
              <w:bottom w:val="single" w:sz="4" w:space="0" w:color="auto"/>
              <w:right w:val="nil"/>
            </w:tcBorders>
            <w:shd w:val="clear" w:color="auto" w:fill="auto"/>
            <w:noWrap/>
            <w:vAlign w:val="center"/>
            <w:hideMark/>
          </w:tcPr>
          <w:p w14:paraId="60F16A3D"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64</w:t>
            </w:r>
          </w:p>
        </w:tc>
        <w:tc>
          <w:tcPr>
            <w:tcW w:w="952" w:type="dxa"/>
            <w:tcBorders>
              <w:top w:val="single" w:sz="2" w:space="0" w:color="auto"/>
              <w:left w:val="nil"/>
              <w:bottom w:val="single" w:sz="4" w:space="0" w:color="auto"/>
              <w:right w:val="nil"/>
            </w:tcBorders>
            <w:shd w:val="clear" w:color="auto" w:fill="auto"/>
            <w:noWrap/>
            <w:vAlign w:val="center"/>
            <w:hideMark/>
          </w:tcPr>
          <w:p w14:paraId="2885834C"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5,4 </w:t>
            </w:r>
          </w:p>
        </w:tc>
        <w:tc>
          <w:tcPr>
            <w:tcW w:w="615" w:type="dxa"/>
            <w:gridSpan w:val="2"/>
            <w:tcBorders>
              <w:top w:val="single" w:sz="2" w:space="0" w:color="auto"/>
              <w:left w:val="nil"/>
              <w:bottom w:val="single" w:sz="4" w:space="0" w:color="auto"/>
              <w:right w:val="nil"/>
            </w:tcBorders>
            <w:shd w:val="clear" w:color="auto" w:fill="auto"/>
            <w:noWrap/>
            <w:vAlign w:val="center"/>
            <w:hideMark/>
          </w:tcPr>
          <w:p w14:paraId="250ACBFC"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16</w:t>
            </w:r>
          </w:p>
        </w:tc>
        <w:tc>
          <w:tcPr>
            <w:tcW w:w="938" w:type="dxa"/>
            <w:tcBorders>
              <w:top w:val="single" w:sz="2" w:space="0" w:color="auto"/>
              <w:left w:val="nil"/>
              <w:bottom w:val="single" w:sz="4" w:space="0" w:color="auto"/>
              <w:right w:val="nil"/>
            </w:tcBorders>
            <w:shd w:val="clear" w:color="auto" w:fill="auto"/>
            <w:noWrap/>
            <w:vAlign w:val="center"/>
            <w:hideMark/>
          </w:tcPr>
          <w:p w14:paraId="2A404011"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1,1 </w:t>
            </w:r>
          </w:p>
        </w:tc>
        <w:tc>
          <w:tcPr>
            <w:tcW w:w="672" w:type="dxa"/>
            <w:tcBorders>
              <w:top w:val="single" w:sz="2" w:space="0" w:color="auto"/>
              <w:left w:val="nil"/>
              <w:bottom w:val="single" w:sz="4" w:space="0" w:color="auto"/>
              <w:right w:val="nil"/>
            </w:tcBorders>
            <w:shd w:val="clear" w:color="auto" w:fill="auto"/>
            <w:noWrap/>
            <w:vAlign w:val="center"/>
            <w:hideMark/>
          </w:tcPr>
          <w:p w14:paraId="7DE68485"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22</w:t>
            </w:r>
          </w:p>
        </w:tc>
        <w:tc>
          <w:tcPr>
            <w:tcW w:w="851" w:type="dxa"/>
            <w:tcBorders>
              <w:top w:val="single" w:sz="2" w:space="0" w:color="auto"/>
              <w:left w:val="nil"/>
              <w:bottom w:val="single" w:sz="4" w:space="0" w:color="auto"/>
              <w:right w:val="nil"/>
            </w:tcBorders>
            <w:shd w:val="clear" w:color="auto" w:fill="auto"/>
            <w:noWrap/>
            <w:vAlign w:val="center"/>
            <w:hideMark/>
          </w:tcPr>
          <w:p w14:paraId="0F76D2F0"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1,9 </w:t>
            </w:r>
          </w:p>
        </w:tc>
      </w:tr>
      <w:tr w:rsidR="0088085F" w:rsidRPr="000A3BD7" w14:paraId="60747E4F" w14:textId="77777777" w:rsidTr="00A942F8">
        <w:trPr>
          <w:trHeight w:hRule="exact" w:val="255"/>
          <w:jc w:val="center"/>
        </w:trPr>
        <w:tc>
          <w:tcPr>
            <w:tcW w:w="4256" w:type="dxa"/>
            <w:tcBorders>
              <w:top w:val="single" w:sz="4" w:space="0" w:color="auto"/>
              <w:left w:val="nil"/>
              <w:bottom w:val="single" w:sz="4" w:space="0" w:color="auto"/>
              <w:right w:val="nil"/>
            </w:tcBorders>
            <w:shd w:val="clear" w:color="auto" w:fill="auto"/>
            <w:noWrap/>
            <w:vAlign w:val="center"/>
            <w:hideMark/>
          </w:tcPr>
          <w:p w14:paraId="40706EEA" w14:textId="77777777" w:rsidR="0088085F" w:rsidRPr="000A3BD7" w:rsidRDefault="000A3BD7" w:rsidP="00E03B06">
            <w:pPr>
              <w:pStyle w:val="cuatexto"/>
              <w:jc w:val="left"/>
              <w:rPr>
                <w:b/>
                <w:bCs/>
                <w:iCs/>
                <w:sz w:val="18"/>
                <w:szCs w:val="18"/>
                <w:lang w:val="es-ES" w:eastAsia="es-ES"/>
              </w:rPr>
            </w:pPr>
            <w:r w:rsidRPr="000A3BD7">
              <w:rPr>
                <w:b/>
                <w:bCs/>
                <w:iCs/>
                <w:sz w:val="18"/>
                <w:szCs w:val="18"/>
                <w:lang w:val="es-ES" w:eastAsia="es-ES"/>
              </w:rPr>
              <w:t>Ingresos corrientes</w:t>
            </w:r>
          </w:p>
        </w:tc>
        <w:tc>
          <w:tcPr>
            <w:tcW w:w="607" w:type="dxa"/>
            <w:tcBorders>
              <w:top w:val="single" w:sz="4" w:space="0" w:color="auto"/>
              <w:left w:val="nil"/>
              <w:bottom w:val="single" w:sz="4" w:space="0" w:color="auto"/>
              <w:right w:val="nil"/>
            </w:tcBorders>
            <w:shd w:val="clear" w:color="auto" w:fill="auto"/>
            <w:noWrap/>
            <w:vAlign w:val="center"/>
            <w:hideMark/>
          </w:tcPr>
          <w:p w14:paraId="345BCFEA" w14:textId="77777777" w:rsidR="0088085F" w:rsidRPr="000A3BD7" w:rsidRDefault="0088085F" w:rsidP="00E03B06">
            <w:pPr>
              <w:pStyle w:val="cuatexto"/>
              <w:jc w:val="right"/>
              <w:rPr>
                <w:b/>
                <w:bCs/>
                <w:iCs/>
                <w:color w:val="000000"/>
                <w:sz w:val="18"/>
                <w:szCs w:val="18"/>
                <w:lang w:val="es-ES" w:eastAsia="es-ES"/>
              </w:rPr>
            </w:pPr>
            <w:r w:rsidRPr="000A3BD7">
              <w:rPr>
                <w:b/>
                <w:bCs/>
                <w:iCs/>
                <w:color w:val="000000"/>
                <w:sz w:val="18"/>
                <w:szCs w:val="18"/>
                <w:lang w:val="es-ES" w:eastAsia="es-ES"/>
              </w:rPr>
              <w:t>1.032</w:t>
            </w:r>
          </w:p>
        </w:tc>
        <w:tc>
          <w:tcPr>
            <w:tcW w:w="952" w:type="dxa"/>
            <w:tcBorders>
              <w:top w:val="single" w:sz="4" w:space="0" w:color="auto"/>
              <w:left w:val="nil"/>
              <w:bottom w:val="single" w:sz="4" w:space="0" w:color="auto"/>
              <w:right w:val="nil"/>
            </w:tcBorders>
            <w:shd w:val="clear" w:color="auto" w:fill="auto"/>
            <w:noWrap/>
            <w:vAlign w:val="center"/>
            <w:hideMark/>
          </w:tcPr>
          <w:p w14:paraId="414413BB" w14:textId="77777777" w:rsidR="0088085F" w:rsidRPr="000A3BD7" w:rsidRDefault="0088085F" w:rsidP="00E03B06">
            <w:pPr>
              <w:pStyle w:val="cuatexto"/>
              <w:jc w:val="right"/>
              <w:rPr>
                <w:b/>
                <w:bCs/>
                <w:iCs/>
                <w:sz w:val="18"/>
                <w:szCs w:val="18"/>
                <w:lang w:val="es-ES" w:eastAsia="es-ES"/>
              </w:rPr>
            </w:pPr>
            <w:r w:rsidRPr="000A3BD7">
              <w:rPr>
                <w:b/>
                <w:bCs/>
                <w:iCs/>
                <w:sz w:val="18"/>
                <w:szCs w:val="18"/>
                <w:lang w:val="es-ES" w:eastAsia="es-ES"/>
              </w:rPr>
              <w:t xml:space="preserve">        87,1 </w:t>
            </w:r>
          </w:p>
        </w:tc>
        <w:tc>
          <w:tcPr>
            <w:tcW w:w="615" w:type="dxa"/>
            <w:gridSpan w:val="2"/>
            <w:tcBorders>
              <w:top w:val="single" w:sz="4" w:space="0" w:color="auto"/>
              <w:left w:val="nil"/>
              <w:bottom w:val="single" w:sz="4" w:space="0" w:color="auto"/>
              <w:right w:val="nil"/>
            </w:tcBorders>
            <w:shd w:val="clear" w:color="auto" w:fill="auto"/>
            <w:noWrap/>
            <w:vAlign w:val="center"/>
            <w:hideMark/>
          </w:tcPr>
          <w:p w14:paraId="6BB5D0F6" w14:textId="77777777" w:rsidR="0088085F" w:rsidRPr="000A3BD7" w:rsidRDefault="0088085F" w:rsidP="00E03B06">
            <w:pPr>
              <w:pStyle w:val="cuatexto"/>
              <w:jc w:val="right"/>
              <w:rPr>
                <w:b/>
                <w:bCs/>
                <w:iCs/>
                <w:color w:val="000000"/>
                <w:sz w:val="18"/>
                <w:szCs w:val="18"/>
                <w:lang w:val="es-ES" w:eastAsia="es-ES"/>
              </w:rPr>
            </w:pPr>
            <w:r w:rsidRPr="000A3BD7">
              <w:rPr>
                <w:b/>
                <w:bCs/>
                <w:iCs/>
                <w:color w:val="000000"/>
                <w:sz w:val="18"/>
                <w:szCs w:val="18"/>
                <w:lang w:val="es-ES" w:eastAsia="es-ES"/>
              </w:rPr>
              <w:t>1.398</w:t>
            </w:r>
          </w:p>
        </w:tc>
        <w:tc>
          <w:tcPr>
            <w:tcW w:w="938" w:type="dxa"/>
            <w:tcBorders>
              <w:top w:val="single" w:sz="4" w:space="0" w:color="auto"/>
              <w:left w:val="nil"/>
              <w:bottom w:val="single" w:sz="4" w:space="0" w:color="auto"/>
              <w:right w:val="nil"/>
            </w:tcBorders>
            <w:shd w:val="clear" w:color="auto" w:fill="auto"/>
            <w:noWrap/>
            <w:vAlign w:val="center"/>
            <w:hideMark/>
          </w:tcPr>
          <w:p w14:paraId="391E5A04" w14:textId="77777777" w:rsidR="0088085F" w:rsidRPr="000A3BD7" w:rsidRDefault="0088085F" w:rsidP="00E03B06">
            <w:pPr>
              <w:pStyle w:val="cuatexto"/>
              <w:jc w:val="right"/>
              <w:rPr>
                <w:b/>
                <w:bCs/>
                <w:iCs/>
                <w:sz w:val="18"/>
                <w:szCs w:val="18"/>
                <w:lang w:val="es-ES" w:eastAsia="es-ES"/>
              </w:rPr>
            </w:pPr>
            <w:r w:rsidRPr="000A3BD7">
              <w:rPr>
                <w:b/>
                <w:bCs/>
                <w:iCs/>
                <w:sz w:val="18"/>
                <w:szCs w:val="18"/>
                <w:lang w:val="es-ES" w:eastAsia="es-ES"/>
              </w:rPr>
              <w:t xml:space="preserve">       94,9 </w:t>
            </w:r>
          </w:p>
        </w:tc>
        <w:tc>
          <w:tcPr>
            <w:tcW w:w="672" w:type="dxa"/>
            <w:tcBorders>
              <w:top w:val="single" w:sz="4" w:space="0" w:color="auto"/>
              <w:left w:val="nil"/>
              <w:bottom w:val="single" w:sz="4" w:space="0" w:color="auto"/>
              <w:right w:val="nil"/>
            </w:tcBorders>
            <w:shd w:val="clear" w:color="auto" w:fill="auto"/>
            <w:noWrap/>
            <w:vAlign w:val="center"/>
            <w:hideMark/>
          </w:tcPr>
          <w:p w14:paraId="5C700D9D" w14:textId="77777777" w:rsidR="0088085F" w:rsidRPr="000A3BD7" w:rsidRDefault="0088085F" w:rsidP="00E03B06">
            <w:pPr>
              <w:pStyle w:val="cuatexto"/>
              <w:jc w:val="right"/>
              <w:rPr>
                <w:b/>
                <w:bCs/>
                <w:iCs/>
                <w:color w:val="000000"/>
                <w:sz w:val="18"/>
                <w:szCs w:val="18"/>
                <w:lang w:val="es-ES" w:eastAsia="es-ES"/>
              </w:rPr>
            </w:pPr>
            <w:r w:rsidRPr="000A3BD7">
              <w:rPr>
                <w:b/>
                <w:bCs/>
                <w:iCs/>
                <w:color w:val="000000"/>
                <w:sz w:val="18"/>
                <w:szCs w:val="18"/>
                <w:lang w:val="es-ES" w:eastAsia="es-ES"/>
              </w:rPr>
              <w:t>1.032</w:t>
            </w:r>
          </w:p>
        </w:tc>
        <w:tc>
          <w:tcPr>
            <w:tcW w:w="851" w:type="dxa"/>
            <w:tcBorders>
              <w:top w:val="single" w:sz="4" w:space="0" w:color="auto"/>
              <w:left w:val="nil"/>
              <w:bottom w:val="single" w:sz="4" w:space="0" w:color="auto"/>
              <w:right w:val="nil"/>
            </w:tcBorders>
            <w:shd w:val="clear" w:color="auto" w:fill="auto"/>
            <w:noWrap/>
            <w:vAlign w:val="center"/>
            <w:hideMark/>
          </w:tcPr>
          <w:p w14:paraId="51C728C9" w14:textId="77777777" w:rsidR="0088085F" w:rsidRPr="000A3BD7" w:rsidRDefault="0088085F" w:rsidP="00E03B06">
            <w:pPr>
              <w:pStyle w:val="cuatexto"/>
              <w:jc w:val="right"/>
              <w:rPr>
                <w:b/>
                <w:bCs/>
                <w:iCs/>
                <w:sz w:val="18"/>
                <w:szCs w:val="18"/>
                <w:lang w:val="es-ES" w:eastAsia="es-ES"/>
              </w:rPr>
            </w:pPr>
            <w:r w:rsidRPr="000A3BD7">
              <w:rPr>
                <w:b/>
                <w:bCs/>
                <w:iCs/>
                <w:sz w:val="18"/>
                <w:szCs w:val="18"/>
                <w:lang w:val="es-ES" w:eastAsia="es-ES"/>
              </w:rPr>
              <w:t xml:space="preserve">      88,7 </w:t>
            </w:r>
          </w:p>
        </w:tc>
      </w:tr>
      <w:tr w:rsidR="0088085F" w:rsidRPr="003D58AB" w14:paraId="60952C90" w14:textId="77777777" w:rsidTr="00A942F8">
        <w:trPr>
          <w:trHeight w:hRule="exact" w:val="255"/>
          <w:jc w:val="center"/>
        </w:trPr>
        <w:tc>
          <w:tcPr>
            <w:tcW w:w="4256" w:type="dxa"/>
            <w:tcBorders>
              <w:top w:val="single" w:sz="4" w:space="0" w:color="auto"/>
              <w:left w:val="nil"/>
              <w:bottom w:val="single" w:sz="2" w:space="0" w:color="auto"/>
              <w:right w:val="nil"/>
            </w:tcBorders>
            <w:shd w:val="clear" w:color="auto" w:fill="auto"/>
            <w:noWrap/>
            <w:vAlign w:val="center"/>
            <w:hideMark/>
          </w:tcPr>
          <w:p w14:paraId="701E8DFD" w14:textId="77777777" w:rsidR="0088085F" w:rsidRPr="004C5C5D" w:rsidRDefault="0088085F" w:rsidP="00E03B06">
            <w:pPr>
              <w:pStyle w:val="cuatexto"/>
              <w:jc w:val="left"/>
              <w:rPr>
                <w:sz w:val="18"/>
                <w:szCs w:val="18"/>
                <w:lang w:val="es-ES" w:eastAsia="es-ES"/>
              </w:rPr>
            </w:pPr>
            <w:r w:rsidRPr="004C5C5D">
              <w:rPr>
                <w:sz w:val="18"/>
                <w:szCs w:val="18"/>
                <w:lang w:val="es-ES" w:eastAsia="es-ES"/>
              </w:rPr>
              <w:t>Enajenación de inversiones reales</w:t>
            </w:r>
          </w:p>
        </w:tc>
        <w:tc>
          <w:tcPr>
            <w:tcW w:w="607" w:type="dxa"/>
            <w:tcBorders>
              <w:top w:val="single" w:sz="4" w:space="0" w:color="auto"/>
              <w:left w:val="nil"/>
              <w:bottom w:val="single" w:sz="2" w:space="0" w:color="auto"/>
              <w:right w:val="nil"/>
            </w:tcBorders>
            <w:shd w:val="clear" w:color="auto" w:fill="auto"/>
            <w:noWrap/>
            <w:vAlign w:val="center"/>
            <w:hideMark/>
          </w:tcPr>
          <w:p w14:paraId="5F3A1553"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20</w:t>
            </w:r>
          </w:p>
        </w:tc>
        <w:tc>
          <w:tcPr>
            <w:tcW w:w="952" w:type="dxa"/>
            <w:tcBorders>
              <w:top w:val="single" w:sz="4" w:space="0" w:color="auto"/>
              <w:left w:val="nil"/>
              <w:bottom w:val="single" w:sz="2" w:space="0" w:color="auto"/>
              <w:right w:val="nil"/>
            </w:tcBorders>
            <w:shd w:val="clear" w:color="auto" w:fill="auto"/>
            <w:noWrap/>
            <w:vAlign w:val="center"/>
            <w:hideMark/>
          </w:tcPr>
          <w:p w14:paraId="5250F914"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1,7 </w:t>
            </w:r>
          </w:p>
        </w:tc>
        <w:tc>
          <w:tcPr>
            <w:tcW w:w="615" w:type="dxa"/>
            <w:gridSpan w:val="2"/>
            <w:tcBorders>
              <w:top w:val="single" w:sz="4" w:space="0" w:color="auto"/>
              <w:left w:val="nil"/>
              <w:bottom w:val="single" w:sz="2" w:space="0" w:color="auto"/>
              <w:right w:val="nil"/>
            </w:tcBorders>
            <w:shd w:val="clear" w:color="auto" w:fill="auto"/>
            <w:noWrap/>
            <w:vAlign w:val="center"/>
            <w:hideMark/>
          </w:tcPr>
          <w:p w14:paraId="07704BA3"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12</w:t>
            </w:r>
          </w:p>
        </w:tc>
        <w:tc>
          <w:tcPr>
            <w:tcW w:w="938" w:type="dxa"/>
            <w:tcBorders>
              <w:top w:val="single" w:sz="4" w:space="0" w:color="auto"/>
              <w:left w:val="nil"/>
              <w:bottom w:val="single" w:sz="2" w:space="0" w:color="auto"/>
              <w:right w:val="nil"/>
            </w:tcBorders>
            <w:shd w:val="clear" w:color="auto" w:fill="auto"/>
            <w:noWrap/>
            <w:vAlign w:val="center"/>
            <w:hideMark/>
          </w:tcPr>
          <w:p w14:paraId="7A1257BF"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0,8 </w:t>
            </w:r>
          </w:p>
        </w:tc>
        <w:tc>
          <w:tcPr>
            <w:tcW w:w="672" w:type="dxa"/>
            <w:tcBorders>
              <w:top w:val="single" w:sz="4" w:space="0" w:color="auto"/>
              <w:left w:val="nil"/>
              <w:bottom w:val="single" w:sz="2" w:space="0" w:color="auto"/>
              <w:right w:val="nil"/>
            </w:tcBorders>
            <w:shd w:val="clear" w:color="auto" w:fill="auto"/>
            <w:noWrap/>
            <w:vAlign w:val="center"/>
            <w:hideMark/>
          </w:tcPr>
          <w:p w14:paraId="2CBD28AF"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4</w:t>
            </w:r>
          </w:p>
        </w:tc>
        <w:tc>
          <w:tcPr>
            <w:tcW w:w="851" w:type="dxa"/>
            <w:tcBorders>
              <w:top w:val="single" w:sz="4" w:space="0" w:color="auto"/>
              <w:left w:val="nil"/>
              <w:bottom w:val="single" w:sz="2" w:space="0" w:color="auto"/>
              <w:right w:val="nil"/>
            </w:tcBorders>
            <w:shd w:val="clear" w:color="auto" w:fill="auto"/>
            <w:noWrap/>
            <w:vAlign w:val="center"/>
            <w:hideMark/>
          </w:tcPr>
          <w:p w14:paraId="6FCE836F"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0,3 </w:t>
            </w:r>
          </w:p>
        </w:tc>
      </w:tr>
      <w:tr w:rsidR="0088085F" w:rsidRPr="003D58AB" w14:paraId="0CB4E927" w14:textId="77777777" w:rsidTr="00A942F8">
        <w:trPr>
          <w:trHeight w:hRule="exact" w:val="255"/>
          <w:jc w:val="center"/>
        </w:trPr>
        <w:tc>
          <w:tcPr>
            <w:tcW w:w="4256" w:type="dxa"/>
            <w:tcBorders>
              <w:top w:val="single" w:sz="2" w:space="0" w:color="auto"/>
              <w:left w:val="nil"/>
              <w:bottom w:val="single" w:sz="4" w:space="0" w:color="auto"/>
              <w:right w:val="nil"/>
            </w:tcBorders>
            <w:shd w:val="clear" w:color="auto" w:fill="auto"/>
            <w:noWrap/>
            <w:vAlign w:val="center"/>
            <w:hideMark/>
          </w:tcPr>
          <w:p w14:paraId="55DB783D" w14:textId="77777777" w:rsidR="0088085F" w:rsidRPr="004C5C5D" w:rsidRDefault="0088085F" w:rsidP="00E03B06">
            <w:pPr>
              <w:pStyle w:val="cuatexto"/>
              <w:jc w:val="left"/>
              <w:rPr>
                <w:sz w:val="18"/>
                <w:szCs w:val="18"/>
                <w:lang w:val="es-ES" w:eastAsia="es-ES"/>
              </w:rPr>
            </w:pPr>
            <w:r w:rsidRPr="004C5C5D">
              <w:rPr>
                <w:sz w:val="18"/>
                <w:szCs w:val="18"/>
                <w:lang w:val="es-ES" w:eastAsia="es-ES"/>
              </w:rPr>
              <w:t>Transferencias de capital y otros ingresos de capital</w:t>
            </w:r>
          </w:p>
        </w:tc>
        <w:tc>
          <w:tcPr>
            <w:tcW w:w="607" w:type="dxa"/>
            <w:tcBorders>
              <w:top w:val="single" w:sz="2" w:space="0" w:color="auto"/>
              <w:left w:val="nil"/>
              <w:bottom w:val="single" w:sz="4" w:space="0" w:color="auto"/>
              <w:right w:val="nil"/>
            </w:tcBorders>
            <w:shd w:val="clear" w:color="auto" w:fill="auto"/>
            <w:noWrap/>
            <w:vAlign w:val="center"/>
            <w:hideMark/>
          </w:tcPr>
          <w:p w14:paraId="5FA09386"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125</w:t>
            </w:r>
          </w:p>
        </w:tc>
        <w:tc>
          <w:tcPr>
            <w:tcW w:w="952" w:type="dxa"/>
            <w:tcBorders>
              <w:top w:val="single" w:sz="2" w:space="0" w:color="auto"/>
              <w:left w:val="nil"/>
              <w:bottom w:val="single" w:sz="4" w:space="0" w:color="auto"/>
              <w:right w:val="nil"/>
            </w:tcBorders>
            <w:shd w:val="clear" w:color="auto" w:fill="auto"/>
            <w:noWrap/>
            <w:vAlign w:val="center"/>
            <w:hideMark/>
          </w:tcPr>
          <w:p w14:paraId="2E4873F1"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10,6 </w:t>
            </w:r>
          </w:p>
        </w:tc>
        <w:tc>
          <w:tcPr>
            <w:tcW w:w="615" w:type="dxa"/>
            <w:gridSpan w:val="2"/>
            <w:tcBorders>
              <w:top w:val="single" w:sz="2" w:space="0" w:color="auto"/>
              <w:left w:val="nil"/>
              <w:bottom w:val="single" w:sz="4" w:space="0" w:color="auto"/>
              <w:right w:val="nil"/>
            </w:tcBorders>
            <w:shd w:val="clear" w:color="auto" w:fill="auto"/>
            <w:noWrap/>
            <w:vAlign w:val="center"/>
            <w:hideMark/>
          </w:tcPr>
          <w:p w14:paraId="2C94AC7C"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36</w:t>
            </w:r>
          </w:p>
        </w:tc>
        <w:tc>
          <w:tcPr>
            <w:tcW w:w="938" w:type="dxa"/>
            <w:tcBorders>
              <w:top w:val="single" w:sz="2" w:space="0" w:color="auto"/>
              <w:left w:val="nil"/>
              <w:bottom w:val="single" w:sz="4" w:space="0" w:color="auto"/>
              <w:right w:val="nil"/>
            </w:tcBorders>
            <w:shd w:val="clear" w:color="auto" w:fill="auto"/>
            <w:noWrap/>
            <w:vAlign w:val="center"/>
            <w:hideMark/>
          </w:tcPr>
          <w:p w14:paraId="5EA9D2E8"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2,5 </w:t>
            </w:r>
          </w:p>
        </w:tc>
        <w:tc>
          <w:tcPr>
            <w:tcW w:w="672" w:type="dxa"/>
            <w:tcBorders>
              <w:top w:val="single" w:sz="2" w:space="0" w:color="auto"/>
              <w:left w:val="nil"/>
              <w:bottom w:val="single" w:sz="4" w:space="0" w:color="auto"/>
              <w:right w:val="nil"/>
            </w:tcBorders>
            <w:shd w:val="clear" w:color="auto" w:fill="auto"/>
            <w:noWrap/>
            <w:vAlign w:val="center"/>
            <w:hideMark/>
          </w:tcPr>
          <w:p w14:paraId="340D0186"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81</w:t>
            </w:r>
          </w:p>
        </w:tc>
        <w:tc>
          <w:tcPr>
            <w:tcW w:w="851" w:type="dxa"/>
            <w:tcBorders>
              <w:top w:val="single" w:sz="2" w:space="0" w:color="auto"/>
              <w:left w:val="nil"/>
              <w:bottom w:val="single" w:sz="4" w:space="0" w:color="auto"/>
              <w:right w:val="nil"/>
            </w:tcBorders>
            <w:shd w:val="clear" w:color="auto" w:fill="auto"/>
            <w:noWrap/>
            <w:vAlign w:val="center"/>
            <w:hideMark/>
          </w:tcPr>
          <w:p w14:paraId="72003317"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7,0 </w:t>
            </w:r>
          </w:p>
        </w:tc>
      </w:tr>
      <w:tr w:rsidR="0088085F" w:rsidRPr="000A3BD7" w14:paraId="5AAAC9A2" w14:textId="77777777" w:rsidTr="00A942F8">
        <w:trPr>
          <w:trHeight w:hRule="exact" w:val="255"/>
          <w:jc w:val="center"/>
        </w:trPr>
        <w:tc>
          <w:tcPr>
            <w:tcW w:w="4256" w:type="dxa"/>
            <w:tcBorders>
              <w:top w:val="single" w:sz="4" w:space="0" w:color="auto"/>
              <w:left w:val="nil"/>
              <w:bottom w:val="single" w:sz="4" w:space="0" w:color="auto"/>
              <w:right w:val="nil"/>
            </w:tcBorders>
            <w:shd w:val="clear" w:color="auto" w:fill="auto"/>
            <w:noWrap/>
            <w:vAlign w:val="center"/>
            <w:hideMark/>
          </w:tcPr>
          <w:p w14:paraId="136130F2" w14:textId="77777777" w:rsidR="0088085F" w:rsidRPr="000A3BD7" w:rsidRDefault="000A3BD7" w:rsidP="00E03B06">
            <w:pPr>
              <w:pStyle w:val="cuatexto"/>
              <w:jc w:val="left"/>
              <w:rPr>
                <w:b/>
                <w:bCs/>
                <w:iCs/>
                <w:sz w:val="18"/>
                <w:szCs w:val="18"/>
                <w:lang w:val="es-ES" w:eastAsia="es-ES"/>
              </w:rPr>
            </w:pPr>
            <w:r w:rsidRPr="000A3BD7">
              <w:rPr>
                <w:b/>
                <w:bCs/>
                <w:iCs/>
                <w:sz w:val="18"/>
                <w:szCs w:val="18"/>
                <w:lang w:val="es-ES" w:eastAsia="es-ES"/>
              </w:rPr>
              <w:t>Ingresos de capital</w:t>
            </w:r>
          </w:p>
        </w:tc>
        <w:tc>
          <w:tcPr>
            <w:tcW w:w="607" w:type="dxa"/>
            <w:tcBorders>
              <w:top w:val="single" w:sz="4" w:space="0" w:color="auto"/>
              <w:left w:val="nil"/>
              <w:bottom w:val="single" w:sz="4" w:space="0" w:color="auto"/>
              <w:right w:val="nil"/>
            </w:tcBorders>
            <w:shd w:val="clear" w:color="auto" w:fill="auto"/>
            <w:noWrap/>
            <w:vAlign w:val="center"/>
            <w:hideMark/>
          </w:tcPr>
          <w:p w14:paraId="129F7B19" w14:textId="77777777" w:rsidR="0088085F" w:rsidRPr="000A3BD7" w:rsidRDefault="0088085F" w:rsidP="00E03B06">
            <w:pPr>
              <w:pStyle w:val="cuatexto"/>
              <w:jc w:val="right"/>
              <w:rPr>
                <w:b/>
                <w:bCs/>
                <w:iCs/>
                <w:color w:val="000000"/>
                <w:sz w:val="18"/>
                <w:szCs w:val="18"/>
                <w:lang w:val="es-ES" w:eastAsia="es-ES"/>
              </w:rPr>
            </w:pPr>
            <w:r w:rsidRPr="000A3BD7">
              <w:rPr>
                <w:b/>
                <w:bCs/>
                <w:iCs/>
                <w:color w:val="000000"/>
                <w:sz w:val="18"/>
                <w:szCs w:val="18"/>
                <w:lang w:val="es-ES" w:eastAsia="es-ES"/>
              </w:rPr>
              <w:t>145</w:t>
            </w:r>
          </w:p>
        </w:tc>
        <w:tc>
          <w:tcPr>
            <w:tcW w:w="952" w:type="dxa"/>
            <w:tcBorders>
              <w:top w:val="single" w:sz="4" w:space="0" w:color="auto"/>
              <w:left w:val="nil"/>
              <w:bottom w:val="single" w:sz="4" w:space="0" w:color="auto"/>
              <w:right w:val="nil"/>
            </w:tcBorders>
            <w:shd w:val="clear" w:color="auto" w:fill="auto"/>
            <w:noWrap/>
            <w:vAlign w:val="center"/>
            <w:hideMark/>
          </w:tcPr>
          <w:p w14:paraId="0B4236FE" w14:textId="77777777" w:rsidR="0088085F" w:rsidRPr="000A3BD7" w:rsidRDefault="0088085F" w:rsidP="00E03B06">
            <w:pPr>
              <w:pStyle w:val="cuatexto"/>
              <w:jc w:val="right"/>
              <w:rPr>
                <w:b/>
                <w:bCs/>
                <w:iCs/>
                <w:sz w:val="18"/>
                <w:szCs w:val="18"/>
                <w:lang w:val="es-ES" w:eastAsia="es-ES"/>
              </w:rPr>
            </w:pPr>
            <w:r w:rsidRPr="000A3BD7">
              <w:rPr>
                <w:b/>
                <w:bCs/>
                <w:iCs/>
                <w:sz w:val="18"/>
                <w:szCs w:val="18"/>
                <w:lang w:val="es-ES" w:eastAsia="es-ES"/>
              </w:rPr>
              <w:t xml:space="preserve">        12,2 </w:t>
            </w:r>
          </w:p>
        </w:tc>
        <w:tc>
          <w:tcPr>
            <w:tcW w:w="615" w:type="dxa"/>
            <w:gridSpan w:val="2"/>
            <w:tcBorders>
              <w:top w:val="single" w:sz="4" w:space="0" w:color="auto"/>
              <w:left w:val="nil"/>
              <w:bottom w:val="single" w:sz="4" w:space="0" w:color="auto"/>
              <w:right w:val="nil"/>
            </w:tcBorders>
            <w:shd w:val="clear" w:color="auto" w:fill="auto"/>
            <w:noWrap/>
            <w:vAlign w:val="center"/>
            <w:hideMark/>
          </w:tcPr>
          <w:p w14:paraId="064457A3" w14:textId="77777777" w:rsidR="0088085F" w:rsidRPr="000A3BD7" w:rsidRDefault="0088085F" w:rsidP="00E03B06">
            <w:pPr>
              <w:pStyle w:val="cuatexto"/>
              <w:jc w:val="right"/>
              <w:rPr>
                <w:b/>
                <w:bCs/>
                <w:iCs/>
                <w:color w:val="000000"/>
                <w:sz w:val="18"/>
                <w:szCs w:val="18"/>
                <w:lang w:val="es-ES" w:eastAsia="es-ES"/>
              </w:rPr>
            </w:pPr>
            <w:r w:rsidRPr="000A3BD7">
              <w:rPr>
                <w:b/>
                <w:bCs/>
                <w:iCs/>
                <w:color w:val="000000"/>
                <w:sz w:val="18"/>
                <w:szCs w:val="18"/>
                <w:lang w:val="es-ES" w:eastAsia="es-ES"/>
              </w:rPr>
              <w:t>48</w:t>
            </w:r>
          </w:p>
        </w:tc>
        <w:tc>
          <w:tcPr>
            <w:tcW w:w="938" w:type="dxa"/>
            <w:tcBorders>
              <w:top w:val="single" w:sz="4" w:space="0" w:color="auto"/>
              <w:left w:val="nil"/>
              <w:bottom w:val="single" w:sz="4" w:space="0" w:color="auto"/>
              <w:right w:val="nil"/>
            </w:tcBorders>
            <w:shd w:val="clear" w:color="auto" w:fill="auto"/>
            <w:noWrap/>
            <w:vAlign w:val="center"/>
            <w:hideMark/>
          </w:tcPr>
          <w:p w14:paraId="06E2C5E2" w14:textId="77777777" w:rsidR="0088085F" w:rsidRPr="000A3BD7" w:rsidRDefault="0088085F" w:rsidP="00E03B06">
            <w:pPr>
              <w:pStyle w:val="cuatexto"/>
              <w:jc w:val="right"/>
              <w:rPr>
                <w:b/>
                <w:bCs/>
                <w:iCs/>
                <w:sz w:val="18"/>
                <w:szCs w:val="18"/>
                <w:lang w:val="es-ES" w:eastAsia="es-ES"/>
              </w:rPr>
            </w:pPr>
            <w:r w:rsidRPr="000A3BD7">
              <w:rPr>
                <w:b/>
                <w:bCs/>
                <w:iCs/>
                <w:sz w:val="18"/>
                <w:szCs w:val="18"/>
                <w:lang w:val="es-ES" w:eastAsia="es-ES"/>
              </w:rPr>
              <w:t xml:space="preserve">         3,3 </w:t>
            </w:r>
          </w:p>
        </w:tc>
        <w:tc>
          <w:tcPr>
            <w:tcW w:w="672" w:type="dxa"/>
            <w:tcBorders>
              <w:top w:val="single" w:sz="4" w:space="0" w:color="auto"/>
              <w:left w:val="nil"/>
              <w:bottom w:val="single" w:sz="4" w:space="0" w:color="auto"/>
              <w:right w:val="nil"/>
            </w:tcBorders>
            <w:shd w:val="clear" w:color="auto" w:fill="auto"/>
            <w:noWrap/>
            <w:vAlign w:val="center"/>
            <w:hideMark/>
          </w:tcPr>
          <w:p w14:paraId="44CE3562" w14:textId="77777777" w:rsidR="0088085F" w:rsidRPr="000A3BD7" w:rsidRDefault="0088085F" w:rsidP="00E03B06">
            <w:pPr>
              <w:pStyle w:val="cuatexto"/>
              <w:jc w:val="right"/>
              <w:rPr>
                <w:b/>
                <w:bCs/>
                <w:iCs/>
                <w:color w:val="000000"/>
                <w:sz w:val="18"/>
                <w:szCs w:val="18"/>
                <w:lang w:val="es-ES" w:eastAsia="es-ES"/>
              </w:rPr>
            </w:pPr>
            <w:r w:rsidRPr="000A3BD7">
              <w:rPr>
                <w:b/>
                <w:bCs/>
                <w:iCs/>
                <w:color w:val="000000"/>
                <w:sz w:val="18"/>
                <w:szCs w:val="18"/>
                <w:lang w:val="es-ES" w:eastAsia="es-ES"/>
              </w:rPr>
              <w:t>85</w:t>
            </w:r>
          </w:p>
        </w:tc>
        <w:tc>
          <w:tcPr>
            <w:tcW w:w="851" w:type="dxa"/>
            <w:tcBorders>
              <w:top w:val="single" w:sz="4" w:space="0" w:color="auto"/>
              <w:left w:val="nil"/>
              <w:bottom w:val="single" w:sz="4" w:space="0" w:color="auto"/>
              <w:right w:val="nil"/>
            </w:tcBorders>
            <w:shd w:val="clear" w:color="auto" w:fill="auto"/>
            <w:noWrap/>
            <w:vAlign w:val="center"/>
            <w:hideMark/>
          </w:tcPr>
          <w:p w14:paraId="35E2D8FA" w14:textId="77777777" w:rsidR="0088085F" w:rsidRPr="000A3BD7" w:rsidRDefault="0088085F" w:rsidP="00E03B06">
            <w:pPr>
              <w:pStyle w:val="cuatexto"/>
              <w:jc w:val="right"/>
              <w:rPr>
                <w:b/>
                <w:bCs/>
                <w:iCs/>
                <w:sz w:val="18"/>
                <w:szCs w:val="18"/>
                <w:lang w:val="es-ES" w:eastAsia="es-ES"/>
              </w:rPr>
            </w:pPr>
            <w:r w:rsidRPr="000A3BD7">
              <w:rPr>
                <w:b/>
                <w:bCs/>
                <w:iCs/>
                <w:sz w:val="18"/>
                <w:szCs w:val="18"/>
                <w:lang w:val="es-ES" w:eastAsia="es-ES"/>
              </w:rPr>
              <w:t xml:space="preserve">        7,3 </w:t>
            </w:r>
          </w:p>
        </w:tc>
      </w:tr>
      <w:tr w:rsidR="0088085F" w:rsidRPr="003D58AB" w14:paraId="41AB3684" w14:textId="77777777" w:rsidTr="00A942F8">
        <w:trPr>
          <w:trHeight w:hRule="exact" w:val="255"/>
          <w:jc w:val="center"/>
        </w:trPr>
        <w:tc>
          <w:tcPr>
            <w:tcW w:w="4256" w:type="dxa"/>
            <w:tcBorders>
              <w:top w:val="single" w:sz="4" w:space="0" w:color="auto"/>
              <w:left w:val="nil"/>
              <w:bottom w:val="single" w:sz="2" w:space="0" w:color="auto"/>
              <w:right w:val="nil"/>
            </w:tcBorders>
            <w:shd w:val="clear" w:color="auto" w:fill="auto"/>
            <w:noWrap/>
            <w:vAlign w:val="center"/>
            <w:hideMark/>
          </w:tcPr>
          <w:p w14:paraId="65062B62" w14:textId="77777777" w:rsidR="0088085F" w:rsidRPr="004C5C5D" w:rsidRDefault="0088085F" w:rsidP="00E03B06">
            <w:pPr>
              <w:pStyle w:val="cuatexto"/>
              <w:jc w:val="left"/>
              <w:rPr>
                <w:sz w:val="18"/>
                <w:szCs w:val="18"/>
                <w:lang w:val="es-ES" w:eastAsia="es-ES"/>
              </w:rPr>
            </w:pPr>
            <w:r w:rsidRPr="004C5C5D">
              <w:rPr>
                <w:sz w:val="18"/>
                <w:szCs w:val="18"/>
                <w:lang w:val="es-ES" w:eastAsia="es-ES"/>
              </w:rPr>
              <w:t>Activos financieros</w:t>
            </w:r>
          </w:p>
        </w:tc>
        <w:tc>
          <w:tcPr>
            <w:tcW w:w="607" w:type="dxa"/>
            <w:tcBorders>
              <w:top w:val="single" w:sz="4" w:space="0" w:color="auto"/>
              <w:left w:val="nil"/>
              <w:bottom w:val="single" w:sz="2" w:space="0" w:color="auto"/>
              <w:right w:val="nil"/>
            </w:tcBorders>
            <w:shd w:val="clear" w:color="auto" w:fill="auto"/>
            <w:noWrap/>
            <w:vAlign w:val="center"/>
            <w:hideMark/>
          </w:tcPr>
          <w:p w14:paraId="38BB3F25"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2</w:t>
            </w:r>
          </w:p>
        </w:tc>
        <w:tc>
          <w:tcPr>
            <w:tcW w:w="952" w:type="dxa"/>
            <w:tcBorders>
              <w:top w:val="single" w:sz="4" w:space="0" w:color="auto"/>
              <w:left w:val="nil"/>
              <w:bottom w:val="single" w:sz="2" w:space="0" w:color="auto"/>
              <w:right w:val="nil"/>
            </w:tcBorders>
            <w:shd w:val="clear" w:color="auto" w:fill="auto"/>
            <w:noWrap/>
            <w:vAlign w:val="center"/>
            <w:hideMark/>
          </w:tcPr>
          <w:p w14:paraId="0272418A"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0,1 </w:t>
            </w:r>
          </w:p>
        </w:tc>
        <w:tc>
          <w:tcPr>
            <w:tcW w:w="615" w:type="dxa"/>
            <w:gridSpan w:val="2"/>
            <w:tcBorders>
              <w:top w:val="single" w:sz="4" w:space="0" w:color="auto"/>
              <w:left w:val="nil"/>
              <w:bottom w:val="single" w:sz="2" w:space="0" w:color="auto"/>
              <w:right w:val="nil"/>
            </w:tcBorders>
            <w:shd w:val="clear" w:color="auto" w:fill="auto"/>
            <w:noWrap/>
            <w:vAlign w:val="center"/>
            <w:hideMark/>
          </w:tcPr>
          <w:p w14:paraId="74490F77"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2</w:t>
            </w:r>
          </w:p>
        </w:tc>
        <w:tc>
          <w:tcPr>
            <w:tcW w:w="938" w:type="dxa"/>
            <w:tcBorders>
              <w:top w:val="single" w:sz="4" w:space="0" w:color="auto"/>
              <w:left w:val="nil"/>
              <w:bottom w:val="single" w:sz="2" w:space="0" w:color="auto"/>
              <w:right w:val="nil"/>
            </w:tcBorders>
            <w:shd w:val="clear" w:color="auto" w:fill="auto"/>
            <w:noWrap/>
            <w:vAlign w:val="center"/>
            <w:hideMark/>
          </w:tcPr>
          <w:p w14:paraId="31E33B40"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0,1 </w:t>
            </w:r>
          </w:p>
        </w:tc>
        <w:tc>
          <w:tcPr>
            <w:tcW w:w="672" w:type="dxa"/>
            <w:tcBorders>
              <w:top w:val="single" w:sz="4" w:space="0" w:color="auto"/>
              <w:left w:val="nil"/>
              <w:bottom w:val="single" w:sz="2" w:space="0" w:color="auto"/>
              <w:right w:val="nil"/>
            </w:tcBorders>
            <w:shd w:val="clear" w:color="auto" w:fill="auto"/>
            <w:noWrap/>
            <w:vAlign w:val="center"/>
            <w:hideMark/>
          </w:tcPr>
          <w:p w14:paraId="7564C9C2"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1</w:t>
            </w:r>
          </w:p>
        </w:tc>
        <w:tc>
          <w:tcPr>
            <w:tcW w:w="851" w:type="dxa"/>
            <w:tcBorders>
              <w:top w:val="single" w:sz="4" w:space="0" w:color="auto"/>
              <w:left w:val="nil"/>
              <w:bottom w:val="single" w:sz="2" w:space="0" w:color="auto"/>
              <w:right w:val="nil"/>
            </w:tcBorders>
            <w:shd w:val="clear" w:color="auto" w:fill="auto"/>
            <w:noWrap/>
            <w:vAlign w:val="center"/>
            <w:hideMark/>
          </w:tcPr>
          <w:p w14:paraId="369D0A91"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0,1 </w:t>
            </w:r>
          </w:p>
        </w:tc>
      </w:tr>
      <w:tr w:rsidR="0088085F" w:rsidRPr="003D58AB" w14:paraId="23ED7D63" w14:textId="77777777" w:rsidTr="00A942F8">
        <w:trPr>
          <w:trHeight w:hRule="exact" w:val="255"/>
          <w:jc w:val="center"/>
        </w:trPr>
        <w:tc>
          <w:tcPr>
            <w:tcW w:w="4256" w:type="dxa"/>
            <w:tcBorders>
              <w:top w:val="single" w:sz="2" w:space="0" w:color="auto"/>
              <w:left w:val="nil"/>
              <w:bottom w:val="single" w:sz="4" w:space="0" w:color="auto"/>
              <w:right w:val="nil"/>
            </w:tcBorders>
            <w:shd w:val="clear" w:color="auto" w:fill="auto"/>
            <w:noWrap/>
            <w:vAlign w:val="center"/>
            <w:hideMark/>
          </w:tcPr>
          <w:p w14:paraId="605737A0" w14:textId="77777777" w:rsidR="0088085F" w:rsidRPr="004C5C5D" w:rsidRDefault="0088085F" w:rsidP="00E03B06">
            <w:pPr>
              <w:pStyle w:val="cuatexto"/>
              <w:jc w:val="left"/>
              <w:rPr>
                <w:sz w:val="18"/>
                <w:szCs w:val="18"/>
                <w:lang w:val="es-ES" w:eastAsia="es-ES"/>
              </w:rPr>
            </w:pPr>
            <w:r w:rsidRPr="004C5C5D">
              <w:rPr>
                <w:sz w:val="18"/>
                <w:szCs w:val="18"/>
                <w:lang w:val="es-ES" w:eastAsia="es-ES"/>
              </w:rPr>
              <w:t>Pasivos financieros</w:t>
            </w:r>
          </w:p>
        </w:tc>
        <w:tc>
          <w:tcPr>
            <w:tcW w:w="607" w:type="dxa"/>
            <w:tcBorders>
              <w:top w:val="single" w:sz="2" w:space="0" w:color="auto"/>
              <w:left w:val="nil"/>
              <w:bottom w:val="single" w:sz="4" w:space="0" w:color="auto"/>
              <w:right w:val="nil"/>
            </w:tcBorders>
            <w:shd w:val="clear" w:color="auto" w:fill="auto"/>
            <w:noWrap/>
            <w:vAlign w:val="center"/>
            <w:hideMark/>
          </w:tcPr>
          <w:p w14:paraId="0CFDCE85"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6</w:t>
            </w:r>
          </w:p>
        </w:tc>
        <w:tc>
          <w:tcPr>
            <w:tcW w:w="952" w:type="dxa"/>
            <w:tcBorders>
              <w:top w:val="single" w:sz="2" w:space="0" w:color="auto"/>
              <w:left w:val="nil"/>
              <w:bottom w:val="single" w:sz="4" w:space="0" w:color="auto"/>
              <w:right w:val="nil"/>
            </w:tcBorders>
            <w:shd w:val="clear" w:color="auto" w:fill="auto"/>
            <w:noWrap/>
            <w:vAlign w:val="center"/>
            <w:hideMark/>
          </w:tcPr>
          <w:p w14:paraId="7FE86C2D"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0,5 </w:t>
            </w:r>
          </w:p>
        </w:tc>
        <w:tc>
          <w:tcPr>
            <w:tcW w:w="615" w:type="dxa"/>
            <w:gridSpan w:val="2"/>
            <w:tcBorders>
              <w:top w:val="single" w:sz="2" w:space="0" w:color="auto"/>
              <w:left w:val="nil"/>
              <w:bottom w:val="single" w:sz="4" w:space="0" w:color="auto"/>
              <w:right w:val="nil"/>
            </w:tcBorders>
            <w:shd w:val="clear" w:color="auto" w:fill="auto"/>
            <w:noWrap/>
            <w:vAlign w:val="center"/>
            <w:hideMark/>
          </w:tcPr>
          <w:p w14:paraId="128AEC77"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24</w:t>
            </w:r>
          </w:p>
        </w:tc>
        <w:tc>
          <w:tcPr>
            <w:tcW w:w="938" w:type="dxa"/>
            <w:tcBorders>
              <w:top w:val="single" w:sz="2" w:space="0" w:color="auto"/>
              <w:left w:val="nil"/>
              <w:bottom w:val="single" w:sz="4" w:space="0" w:color="auto"/>
              <w:right w:val="nil"/>
            </w:tcBorders>
            <w:shd w:val="clear" w:color="auto" w:fill="auto"/>
            <w:noWrap/>
            <w:vAlign w:val="center"/>
            <w:hideMark/>
          </w:tcPr>
          <w:p w14:paraId="769E5D48"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1,6 </w:t>
            </w:r>
          </w:p>
        </w:tc>
        <w:tc>
          <w:tcPr>
            <w:tcW w:w="672" w:type="dxa"/>
            <w:tcBorders>
              <w:top w:val="single" w:sz="2" w:space="0" w:color="auto"/>
              <w:left w:val="nil"/>
              <w:bottom w:val="single" w:sz="4" w:space="0" w:color="auto"/>
              <w:right w:val="nil"/>
            </w:tcBorders>
            <w:shd w:val="clear" w:color="auto" w:fill="auto"/>
            <w:noWrap/>
            <w:vAlign w:val="center"/>
            <w:hideMark/>
          </w:tcPr>
          <w:p w14:paraId="346D7B02" w14:textId="77777777" w:rsidR="0088085F" w:rsidRPr="003D58AB" w:rsidRDefault="0088085F" w:rsidP="00E03B06">
            <w:pPr>
              <w:pStyle w:val="cuatexto"/>
              <w:jc w:val="right"/>
              <w:rPr>
                <w:color w:val="000000"/>
                <w:sz w:val="18"/>
                <w:szCs w:val="18"/>
                <w:lang w:val="es-ES" w:eastAsia="es-ES"/>
              </w:rPr>
            </w:pPr>
            <w:r w:rsidRPr="003D58AB">
              <w:rPr>
                <w:color w:val="000000"/>
                <w:sz w:val="18"/>
                <w:szCs w:val="18"/>
                <w:lang w:val="es-ES" w:eastAsia="es-ES"/>
              </w:rPr>
              <w:t>46</w:t>
            </w:r>
          </w:p>
        </w:tc>
        <w:tc>
          <w:tcPr>
            <w:tcW w:w="851" w:type="dxa"/>
            <w:tcBorders>
              <w:top w:val="single" w:sz="2" w:space="0" w:color="auto"/>
              <w:left w:val="nil"/>
              <w:bottom w:val="single" w:sz="4" w:space="0" w:color="auto"/>
              <w:right w:val="nil"/>
            </w:tcBorders>
            <w:shd w:val="clear" w:color="auto" w:fill="auto"/>
            <w:noWrap/>
            <w:vAlign w:val="center"/>
            <w:hideMark/>
          </w:tcPr>
          <w:p w14:paraId="6714CC46" w14:textId="77777777" w:rsidR="0088085F" w:rsidRPr="003D58AB" w:rsidRDefault="0088085F" w:rsidP="00E03B06">
            <w:pPr>
              <w:pStyle w:val="cuatexto"/>
              <w:jc w:val="right"/>
              <w:rPr>
                <w:sz w:val="18"/>
                <w:szCs w:val="18"/>
                <w:lang w:val="es-ES" w:eastAsia="es-ES"/>
              </w:rPr>
            </w:pPr>
            <w:r w:rsidRPr="003D58AB">
              <w:rPr>
                <w:sz w:val="18"/>
                <w:szCs w:val="18"/>
                <w:lang w:val="es-ES" w:eastAsia="es-ES"/>
              </w:rPr>
              <w:t xml:space="preserve">         4,0 </w:t>
            </w:r>
          </w:p>
        </w:tc>
      </w:tr>
      <w:tr w:rsidR="0088085F" w:rsidRPr="000A3BD7" w14:paraId="2855E5B7" w14:textId="77777777" w:rsidTr="00A942F8">
        <w:trPr>
          <w:trHeight w:hRule="exact" w:val="255"/>
          <w:jc w:val="center"/>
        </w:trPr>
        <w:tc>
          <w:tcPr>
            <w:tcW w:w="4256" w:type="dxa"/>
            <w:tcBorders>
              <w:top w:val="single" w:sz="4" w:space="0" w:color="auto"/>
              <w:left w:val="nil"/>
              <w:bottom w:val="single" w:sz="4" w:space="0" w:color="auto"/>
              <w:right w:val="nil"/>
            </w:tcBorders>
            <w:shd w:val="clear" w:color="auto" w:fill="auto"/>
            <w:noWrap/>
            <w:vAlign w:val="center"/>
            <w:hideMark/>
          </w:tcPr>
          <w:p w14:paraId="68EFFE47" w14:textId="77777777" w:rsidR="0088085F" w:rsidRPr="000A3BD7" w:rsidRDefault="000A3BD7" w:rsidP="00E03B06">
            <w:pPr>
              <w:pStyle w:val="cuatexto"/>
              <w:jc w:val="left"/>
              <w:rPr>
                <w:b/>
                <w:bCs/>
                <w:iCs/>
                <w:sz w:val="18"/>
                <w:szCs w:val="18"/>
                <w:lang w:val="es-ES" w:eastAsia="es-ES"/>
              </w:rPr>
            </w:pPr>
            <w:r w:rsidRPr="000A3BD7">
              <w:rPr>
                <w:b/>
                <w:bCs/>
                <w:iCs/>
                <w:sz w:val="18"/>
                <w:szCs w:val="18"/>
                <w:lang w:val="es-ES" w:eastAsia="es-ES"/>
              </w:rPr>
              <w:t>Ingresos financieros</w:t>
            </w:r>
          </w:p>
        </w:tc>
        <w:tc>
          <w:tcPr>
            <w:tcW w:w="607" w:type="dxa"/>
            <w:tcBorders>
              <w:top w:val="single" w:sz="4" w:space="0" w:color="auto"/>
              <w:left w:val="nil"/>
              <w:bottom w:val="single" w:sz="4" w:space="0" w:color="auto"/>
              <w:right w:val="nil"/>
            </w:tcBorders>
            <w:shd w:val="clear" w:color="auto" w:fill="auto"/>
            <w:noWrap/>
            <w:vAlign w:val="center"/>
            <w:hideMark/>
          </w:tcPr>
          <w:p w14:paraId="59FAD64A" w14:textId="77777777" w:rsidR="0088085F" w:rsidRPr="000A3BD7" w:rsidRDefault="0088085F" w:rsidP="00E03B06">
            <w:pPr>
              <w:pStyle w:val="cuatexto"/>
              <w:jc w:val="right"/>
              <w:rPr>
                <w:b/>
                <w:bCs/>
                <w:iCs/>
                <w:color w:val="000000"/>
                <w:sz w:val="18"/>
                <w:szCs w:val="18"/>
                <w:lang w:val="es-ES" w:eastAsia="es-ES"/>
              </w:rPr>
            </w:pPr>
            <w:r w:rsidRPr="000A3BD7">
              <w:rPr>
                <w:b/>
                <w:bCs/>
                <w:iCs/>
                <w:color w:val="000000"/>
                <w:sz w:val="18"/>
                <w:szCs w:val="18"/>
                <w:lang w:val="es-ES" w:eastAsia="es-ES"/>
              </w:rPr>
              <w:t>7</w:t>
            </w:r>
          </w:p>
        </w:tc>
        <w:tc>
          <w:tcPr>
            <w:tcW w:w="952" w:type="dxa"/>
            <w:tcBorders>
              <w:top w:val="single" w:sz="4" w:space="0" w:color="auto"/>
              <w:left w:val="nil"/>
              <w:bottom w:val="single" w:sz="4" w:space="0" w:color="auto"/>
              <w:right w:val="nil"/>
            </w:tcBorders>
            <w:shd w:val="clear" w:color="auto" w:fill="auto"/>
            <w:noWrap/>
            <w:vAlign w:val="center"/>
            <w:hideMark/>
          </w:tcPr>
          <w:p w14:paraId="06FBAF53" w14:textId="77777777" w:rsidR="0088085F" w:rsidRPr="000A3BD7" w:rsidRDefault="0088085F" w:rsidP="00E03B06">
            <w:pPr>
              <w:pStyle w:val="cuatexto"/>
              <w:jc w:val="right"/>
              <w:rPr>
                <w:b/>
                <w:bCs/>
                <w:iCs/>
                <w:sz w:val="18"/>
                <w:szCs w:val="18"/>
                <w:lang w:val="es-ES" w:eastAsia="es-ES"/>
              </w:rPr>
            </w:pPr>
            <w:r w:rsidRPr="000A3BD7">
              <w:rPr>
                <w:b/>
                <w:bCs/>
                <w:iCs/>
                <w:sz w:val="18"/>
                <w:szCs w:val="18"/>
                <w:lang w:val="es-ES" w:eastAsia="es-ES"/>
              </w:rPr>
              <w:t xml:space="preserve">           0,6 </w:t>
            </w:r>
          </w:p>
        </w:tc>
        <w:tc>
          <w:tcPr>
            <w:tcW w:w="615" w:type="dxa"/>
            <w:gridSpan w:val="2"/>
            <w:tcBorders>
              <w:top w:val="single" w:sz="4" w:space="0" w:color="auto"/>
              <w:left w:val="nil"/>
              <w:bottom w:val="single" w:sz="4" w:space="0" w:color="auto"/>
              <w:right w:val="nil"/>
            </w:tcBorders>
            <w:shd w:val="clear" w:color="auto" w:fill="auto"/>
            <w:noWrap/>
            <w:vAlign w:val="center"/>
            <w:hideMark/>
          </w:tcPr>
          <w:p w14:paraId="0081BFD9" w14:textId="77777777" w:rsidR="0088085F" w:rsidRPr="000A3BD7" w:rsidRDefault="0088085F" w:rsidP="00E03B06">
            <w:pPr>
              <w:pStyle w:val="cuatexto"/>
              <w:jc w:val="right"/>
              <w:rPr>
                <w:b/>
                <w:bCs/>
                <w:iCs/>
                <w:color w:val="000000"/>
                <w:sz w:val="18"/>
                <w:szCs w:val="18"/>
                <w:lang w:val="es-ES" w:eastAsia="es-ES"/>
              </w:rPr>
            </w:pPr>
            <w:r w:rsidRPr="000A3BD7">
              <w:rPr>
                <w:b/>
                <w:bCs/>
                <w:iCs/>
                <w:color w:val="000000"/>
                <w:sz w:val="18"/>
                <w:szCs w:val="18"/>
                <w:lang w:val="es-ES" w:eastAsia="es-ES"/>
              </w:rPr>
              <w:t>26</w:t>
            </w:r>
          </w:p>
        </w:tc>
        <w:tc>
          <w:tcPr>
            <w:tcW w:w="938" w:type="dxa"/>
            <w:tcBorders>
              <w:top w:val="single" w:sz="4" w:space="0" w:color="auto"/>
              <w:left w:val="nil"/>
              <w:bottom w:val="single" w:sz="4" w:space="0" w:color="auto"/>
              <w:right w:val="nil"/>
            </w:tcBorders>
            <w:shd w:val="clear" w:color="auto" w:fill="auto"/>
            <w:noWrap/>
            <w:vAlign w:val="center"/>
            <w:hideMark/>
          </w:tcPr>
          <w:p w14:paraId="0CA9A042" w14:textId="77777777" w:rsidR="0088085F" w:rsidRPr="000A3BD7" w:rsidRDefault="0088085F" w:rsidP="00E03B06">
            <w:pPr>
              <w:pStyle w:val="cuatexto"/>
              <w:jc w:val="right"/>
              <w:rPr>
                <w:b/>
                <w:bCs/>
                <w:iCs/>
                <w:sz w:val="18"/>
                <w:szCs w:val="18"/>
                <w:lang w:val="es-ES" w:eastAsia="es-ES"/>
              </w:rPr>
            </w:pPr>
            <w:r w:rsidRPr="000A3BD7">
              <w:rPr>
                <w:b/>
                <w:bCs/>
                <w:iCs/>
                <w:sz w:val="18"/>
                <w:szCs w:val="18"/>
                <w:lang w:val="es-ES" w:eastAsia="es-ES"/>
              </w:rPr>
              <w:t xml:space="preserve">         1,8 </w:t>
            </w:r>
          </w:p>
        </w:tc>
        <w:tc>
          <w:tcPr>
            <w:tcW w:w="672" w:type="dxa"/>
            <w:tcBorders>
              <w:top w:val="single" w:sz="4" w:space="0" w:color="auto"/>
              <w:left w:val="nil"/>
              <w:bottom w:val="single" w:sz="4" w:space="0" w:color="auto"/>
              <w:right w:val="nil"/>
            </w:tcBorders>
            <w:shd w:val="clear" w:color="auto" w:fill="auto"/>
            <w:noWrap/>
            <w:vAlign w:val="center"/>
            <w:hideMark/>
          </w:tcPr>
          <w:p w14:paraId="6275AED6" w14:textId="77777777" w:rsidR="0088085F" w:rsidRPr="000A3BD7" w:rsidRDefault="0088085F" w:rsidP="00E03B06">
            <w:pPr>
              <w:pStyle w:val="cuatexto"/>
              <w:jc w:val="right"/>
              <w:rPr>
                <w:b/>
                <w:bCs/>
                <w:iCs/>
                <w:color w:val="000000"/>
                <w:sz w:val="18"/>
                <w:szCs w:val="18"/>
                <w:lang w:val="es-ES" w:eastAsia="es-ES"/>
              </w:rPr>
            </w:pPr>
            <w:r w:rsidRPr="000A3BD7">
              <w:rPr>
                <w:b/>
                <w:bCs/>
                <w:iCs/>
                <w:color w:val="000000"/>
                <w:sz w:val="18"/>
                <w:szCs w:val="18"/>
                <w:lang w:val="es-ES" w:eastAsia="es-ES"/>
              </w:rPr>
              <w:t>47</w:t>
            </w:r>
          </w:p>
        </w:tc>
        <w:tc>
          <w:tcPr>
            <w:tcW w:w="851" w:type="dxa"/>
            <w:tcBorders>
              <w:top w:val="single" w:sz="4" w:space="0" w:color="auto"/>
              <w:left w:val="nil"/>
              <w:bottom w:val="single" w:sz="4" w:space="0" w:color="auto"/>
              <w:right w:val="nil"/>
            </w:tcBorders>
            <w:shd w:val="clear" w:color="auto" w:fill="auto"/>
            <w:noWrap/>
            <w:vAlign w:val="center"/>
            <w:hideMark/>
          </w:tcPr>
          <w:p w14:paraId="57C1292F" w14:textId="77777777" w:rsidR="0088085F" w:rsidRPr="000A3BD7" w:rsidRDefault="0088085F" w:rsidP="00E03B06">
            <w:pPr>
              <w:pStyle w:val="cuatexto"/>
              <w:jc w:val="right"/>
              <w:rPr>
                <w:b/>
                <w:bCs/>
                <w:iCs/>
                <w:sz w:val="18"/>
                <w:szCs w:val="18"/>
                <w:lang w:val="es-ES" w:eastAsia="es-ES"/>
              </w:rPr>
            </w:pPr>
            <w:r w:rsidRPr="000A3BD7">
              <w:rPr>
                <w:b/>
                <w:bCs/>
                <w:iCs/>
                <w:sz w:val="18"/>
                <w:szCs w:val="18"/>
                <w:lang w:val="es-ES" w:eastAsia="es-ES"/>
              </w:rPr>
              <w:t xml:space="preserve">        4,0 </w:t>
            </w:r>
          </w:p>
        </w:tc>
      </w:tr>
      <w:tr w:rsidR="0088085F" w:rsidRPr="00F7590F" w14:paraId="78397DDD" w14:textId="77777777" w:rsidTr="00A942F8">
        <w:trPr>
          <w:trHeight w:hRule="exact" w:val="312"/>
          <w:jc w:val="center"/>
        </w:trPr>
        <w:tc>
          <w:tcPr>
            <w:tcW w:w="4256" w:type="dxa"/>
            <w:tcBorders>
              <w:top w:val="nil"/>
              <w:left w:val="nil"/>
              <w:bottom w:val="single" w:sz="4" w:space="0" w:color="auto"/>
              <w:right w:val="nil"/>
            </w:tcBorders>
            <w:shd w:val="clear" w:color="auto" w:fill="FABF8F" w:themeFill="accent6" w:themeFillTint="99"/>
            <w:noWrap/>
            <w:vAlign w:val="center"/>
            <w:hideMark/>
          </w:tcPr>
          <w:p w14:paraId="025A57B4" w14:textId="77777777" w:rsidR="0088085F" w:rsidRPr="00F7590F" w:rsidRDefault="000A3BD7" w:rsidP="00E03B06">
            <w:pPr>
              <w:pStyle w:val="cuadroCabe"/>
              <w:jc w:val="left"/>
              <w:rPr>
                <w:sz w:val="16"/>
                <w:szCs w:val="16"/>
                <w:lang w:val="es-ES" w:eastAsia="es-ES"/>
              </w:rPr>
            </w:pPr>
            <w:r w:rsidRPr="00F7590F">
              <w:rPr>
                <w:sz w:val="16"/>
                <w:szCs w:val="16"/>
                <w:lang w:val="es-ES" w:eastAsia="es-ES"/>
              </w:rPr>
              <w:t>Totales</w:t>
            </w:r>
          </w:p>
        </w:tc>
        <w:tc>
          <w:tcPr>
            <w:tcW w:w="607" w:type="dxa"/>
            <w:tcBorders>
              <w:top w:val="nil"/>
              <w:left w:val="nil"/>
              <w:bottom w:val="single" w:sz="4" w:space="0" w:color="auto"/>
              <w:right w:val="nil"/>
            </w:tcBorders>
            <w:shd w:val="clear" w:color="auto" w:fill="FABF8F" w:themeFill="accent6" w:themeFillTint="99"/>
            <w:noWrap/>
            <w:vAlign w:val="center"/>
            <w:hideMark/>
          </w:tcPr>
          <w:p w14:paraId="5EE34D09" w14:textId="77777777" w:rsidR="0088085F" w:rsidRPr="00F7590F" w:rsidRDefault="0088085F" w:rsidP="00E03B06">
            <w:pPr>
              <w:pStyle w:val="cuadroCabe"/>
              <w:jc w:val="right"/>
              <w:rPr>
                <w:b/>
                <w:bCs/>
                <w:sz w:val="16"/>
                <w:szCs w:val="16"/>
                <w:lang w:val="es-ES" w:eastAsia="es-ES"/>
              </w:rPr>
            </w:pPr>
            <w:r w:rsidRPr="00F7590F">
              <w:rPr>
                <w:b/>
                <w:bCs/>
                <w:sz w:val="16"/>
                <w:szCs w:val="16"/>
                <w:lang w:val="es-ES" w:eastAsia="es-ES"/>
              </w:rPr>
              <w:t>1.184</w:t>
            </w:r>
          </w:p>
        </w:tc>
        <w:tc>
          <w:tcPr>
            <w:tcW w:w="952" w:type="dxa"/>
            <w:tcBorders>
              <w:top w:val="nil"/>
              <w:left w:val="nil"/>
              <w:bottom w:val="single" w:sz="4" w:space="0" w:color="auto"/>
              <w:right w:val="nil"/>
            </w:tcBorders>
            <w:shd w:val="clear" w:color="auto" w:fill="FABF8F" w:themeFill="accent6" w:themeFillTint="99"/>
            <w:noWrap/>
            <w:vAlign w:val="center"/>
            <w:hideMark/>
          </w:tcPr>
          <w:p w14:paraId="510F3866" w14:textId="77777777" w:rsidR="0088085F" w:rsidRPr="00F7590F" w:rsidRDefault="0088085F" w:rsidP="00E03B06">
            <w:pPr>
              <w:pStyle w:val="cuadroCabe"/>
              <w:jc w:val="right"/>
              <w:rPr>
                <w:b/>
                <w:bCs/>
                <w:sz w:val="16"/>
                <w:szCs w:val="16"/>
                <w:lang w:val="es-ES" w:eastAsia="es-ES"/>
              </w:rPr>
            </w:pPr>
            <w:r w:rsidRPr="00F7590F">
              <w:rPr>
                <w:b/>
                <w:bCs/>
                <w:sz w:val="16"/>
                <w:szCs w:val="16"/>
                <w:lang w:val="es-ES" w:eastAsia="es-ES"/>
              </w:rPr>
              <w:t>100</w:t>
            </w:r>
          </w:p>
        </w:tc>
        <w:tc>
          <w:tcPr>
            <w:tcW w:w="615" w:type="dxa"/>
            <w:gridSpan w:val="2"/>
            <w:tcBorders>
              <w:top w:val="nil"/>
              <w:left w:val="nil"/>
              <w:bottom w:val="single" w:sz="4" w:space="0" w:color="auto"/>
              <w:right w:val="nil"/>
            </w:tcBorders>
            <w:shd w:val="clear" w:color="auto" w:fill="FABF8F" w:themeFill="accent6" w:themeFillTint="99"/>
            <w:noWrap/>
            <w:vAlign w:val="center"/>
            <w:hideMark/>
          </w:tcPr>
          <w:p w14:paraId="4FF381A3" w14:textId="77777777" w:rsidR="0088085F" w:rsidRPr="00F7590F" w:rsidRDefault="0088085F" w:rsidP="00E03B06">
            <w:pPr>
              <w:pStyle w:val="cuadroCabe"/>
              <w:jc w:val="right"/>
              <w:rPr>
                <w:b/>
                <w:bCs/>
                <w:sz w:val="16"/>
                <w:szCs w:val="16"/>
                <w:lang w:val="es-ES" w:eastAsia="es-ES"/>
              </w:rPr>
            </w:pPr>
            <w:r w:rsidRPr="00F7590F">
              <w:rPr>
                <w:b/>
                <w:bCs/>
                <w:sz w:val="16"/>
                <w:szCs w:val="16"/>
                <w:lang w:val="es-ES" w:eastAsia="es-ES"/>
              </w:rPr>
              <w:t>1.472</w:t>
            </w:r>
          </w:p>
        </w:tc>
        <w:tc>
          <w:tcPr>
            <w:tcW w:w="938" w:type="dxa"/>
            <w:tcBorders>
              <w:top w:val="nil"/>
              <w:left w:val="nil"/>
              <w:bottom w:val="single" w:sz="4" w:space="0" w:color="auto"/>
              <w:right w:val="nil"/>
            </w:tcBorders>
            <w:shd w:val="clear" w:color="auto" w:fill="FABF8F" w:themeFill="accent6" w:themeFillTint="99"/>
            <w:noWrap/>
            <w:vAlign w:val="center"/>
            <w:hideMark/>
          </w:tcPr>
          <w:p w14:paraId="4BC12939" w14:textId="77777777" w:rsidR="0088085F" w:rsidRPr="00F7590F" w:rsidRDefault="0088085F" w:rsidP="00E03B06">
            <w:pPr>
              <w:pStyle w:val="cuadroCabe"/>
              <w:jc w:val="right"/>
              <w:rPr>
                <w:b/>
                <w:bCs/>
                <w:sz w:val="16"/>
                <w:szCs w:val="16"/>
                <w:lang w:val="es-ES" w:eastAsia="es-ES"/>
              </w:rPr>
            </w:pPr>
            <w:r w:rsidRPr="00F7590F">
              <w:rPr>
                <w:b/>
                <w:bCs/>
                <w:sz w:val="16"/>
                <w:szCs w:val="16"/>
                <w:lang w:val="es-ES" w:eastAsia="es-ES"/>
              </w:rPr>
              <w:t xml:space="preserve">         100 </w:t>
            </w:r>
          </w:p>
        </w:tc>
        <w:tc>
          <w:tcPr>
            <w:tcW w:w="672" w:type="dxa"/>
            <w:tcBorders>
              <w:top w:val="nil"/>
              <w:left w:val="nil"/>
              <w:bottom w:val="single" w:sz="4" w:space="0" w:color="auto"/>
              <w:right w:val="nil"/>
            </w:tcBorders>
            <w:shd w:val="clear" w:color="auto" w:fill="FABF8F" w:themeFill="accent6" w:themeFillTint="99"/>
            <w:noWrap/>
            <w:vAlign w:val="center"/>
            <w:hideMark/>
          </w:tcPr>
          <w:p w14:paraId="4C5755D5" w14:textId="77777777" w:rsidR="0088085F" w:rsidRPr="00F7590F" w:rsidRDefault="0088085F" w:rsidP="00E03B06">
            <w:pPr>
              <w:pStyle w:val="cuadroCabe"/>
              <w:jc w:val="right"/>
              <w:rPr>
                <w:b/>
                <w:bCs/>
                <w:sz w:val="16"/>
                <w:szCs w:val="16"/>
                <w:lang w:val="es-ES" w:eastAsia="es-ES"/>
              </w:rPr>
            </w:pPr>
            <w:r w:rsidRPr="00F7590F">
              <w:rPr>
                <w:b/>
                <w:bCs/>
                <w:sz w:val="16"/>
                <w:szCs w:val="16"/>
                <w:lang w:val="es-ES" w:eastAsia="es-ES"/>
              </w:rPr>
              <w:t>1.163</w:t>
            </w:r>
          </w:p>
        </w:tc>
        <w:tc>
          <w:tcPr>
            <w:tcW w:w="851" w:type="dxa"/>
            <w:tcBorders>
              <w:top w:val="nil"/>
              <w:left w:val="nil"/>
              <w:bottom w:val="single" w:sz="4" w:space="0" w:color="auto"/>
              <w:right w:val="nil"/>
            </w:tcBorders>
            <w:shd w:val="clear" w:color="auto" w:fill="FABF8F" w:themeFill="accent6" w:themeFillTint="99"/>
            <w:noWrap/>
            <w:vAlign w:val="center"/>
            <w:hideMark/>
          </w:tcPr>
          <w:p w14:paraId="4D84BC52" w14:textId="77777777" w:rsidR="0088085F" w:rsidRPr="00F7590F" w:rsidRDefault="0088085F" w:rsidP="00E03B06">
            <w:pPr>
              <w:pStyle w:val="cuadroCabe"/>
              <w:jc w:val="right"/>
              <w:rPr>
                <w:b/>
                <w:bCs/>
                <w:sz w:val="16"/>
                <w:szCs w:val="16"/>
                <w:lang w:val="es-ES" w:eastAsia="es-ES"/>
              </w:rPr>
            </w:pPr>
            <w:r w:rsidRPr="00F7590F">
              <w:rPr>
                <w:b/>
                <w:bCs/>
                <w:sz w:val="16"/>
                <w:szCs w:val="16"/>
                <w:lang w:val="es-ES" w:eastAsia="es-ES"/>
              </w:rPr>
              <w:t xml:space="preserve">        100 </w:t>
            </w:r>
          </w:p>
        </w:tc>
      </w:tr>
    </w:tbl>
    <w:p w14:paraId="509E6C96" w14:textId="77777777" w:rsidR="00F7590F" w:rsidRDefault="00F7590F">
      <w:pPr>
        <w:spacing w:after="0"/>
        <w:ind w:firstLine="0"/>
        <w:jc w:val="left"/>
        <w:rPr>
          <w:rStyle w:val="textoCar"/>
          <w:szCs w:val="26"/>
        </w:rPr>
      </w:pPr>
    </w:p>
    <w:p w14:paraId="68B8A682" w14:textId="77777777" w:rsidR="003D58AB" w:rsidRDefault="003D58AB">
      <w:pPr>
        <w:spacing w:after="0"/>
        <w:ind w:firstLine="0"/>
        <w:jc w:val="left"/>
        <w:rPr>
          <w:rStyle w:val="textoCar"/>
          <w:szCs w:val="26"/>
        </w:rPr>
      </w:pPr>
    </w:p>
    <w:p w14:paraId="0ED8B846" w14:textId="77777777" w:rsidR="003D58AB" w:rsidRDefault="003D58AB">
      <w:pPr>
        <w:spacing w:after="0"/>
        <w:ind w:firstLine="0"/>
        <w:jc w:val="left"/>
        <w:rPr>
          <w:rStyle w:val="textoCar"/>
          <w:szCs w:val="26"/>
        </w:rPr>
      </w:pPr>
    </w:p>
    <w:p w14:paraId="2B221040" w14:textId="77777777" w:rsidR="003D58AB" w:rsidRPr="00AA27EA" w:rsidRDefault="003D58AB" w:rsidP="008A2F96">
      <w:pPr>
        <w:spacing w:after="0"/>
        <w:ind w:firstLine="0"/>
        <w:jc w:val="left"/>
        <w:rPr>
          <w:rStyle w:val="textoCar"/>
          <w:sz w:val="8"/>
          <w:szCs w:val="8"/>
        </w:rPr>
      </w:pPr>
    </w:p>
    <w:p w14:paraId="54D63147" w14:textId="77777777" w:rsidR="003D58AB" w:rsidRPr="003D58AB" w:rsidRDefault="003D58AB" w:rsidP="003D58AB">
      <w:pPr>
        <w:spacing w:after="0"/>
        <w:ind w:firstLine="0"/>
        <w:jc w:val="left"/>
        <w:rPr>
          <w:rStyle w:val="textoCar"/>
          <w:sz w:val="10"/>
          <w:szCs w:val="10"/>
        </w:rPr>
      </w:pPr>
    </w:p>
    <w:tbl>
      <w:tblPr>
        <w:tblW w:w="8828" w:type="dxa"/>
        <w:jc w:val="center"/>
        <w:tblCellMar>
          <w:left w:w="70" w:type="dxa"/>
          <w:right w:w="70" w:type="dxa"/>
        </w:tblCellMar>
        <w:tblLook w:val="04A0" w:firstRow="1" w:lastRow="0" w:firstColumn="1" w:lastColumn="0" w:noHBand="0" w:noVBand="1"/>
      </w:tblPr>
      <w:tblGrid>
        <w:gridCol w:w="3164"/>
        <w:gridCol w:w="1066"/>
        <w:gridCol w:w="995"/>
        <w:gridCol w:w="882"/>
        <w:gridCol w:w="914"/>
        <w:gridCol w:w="929"/>
        <w:gridCol w:w="878"/>
      </w:tblGrid>
      <w:tr w:rsidR="0088085F" w:rsidRPr="00E03B06" w14:paraId="27DBF60A" w14:textId="77777777" w:rsidTr="00723826">
        <w:trPr>
          <w:trHeight w:val="113"/>
          <w:jc w:val="center"/>
        </w:trPr>
        <w:tc>
          <w:tcPr>
            <w:tcW w:w="3164" w:type="dxa"/>
            <w:vMerge w:val="restart"/>
            <w:tcBorders>
              <w:top w:val="single" w:sz="4" w:space="0" w:color="auto"/>
              <w:left w:val="nil"/>
              <w:bottom w:val="single" w:sz="2" w:space="0" w:color="auto"/>
              <w:right w:val="nil"/>
            </w:tcBorders>
            <w:shd w:val="clear" w:color="auto" w:fill="FABF8F" w:themeFill="accent6" w:themeFillTint="99"/>
            <w:noWrap/>
            <w:vAlign w:val="center"/>
            <w:hideMark/>
          </w:tcPr>
          <w:p w14:paraId="382D5C51" w14:textId="77777777" w:rsidR="0088085F" w:rsidRPr="00E03B06" w:rsidRDefault="00723826" w:rsidP="00F829E8">
            <w:pPr>
              <w:pStyle w:val="cuadroCabe"/>
              <w:jc w:val="left"/>
              <w:rPr>
                <w:sz w:val="15"/>
                <w:szCs w:val="15"/>
                <w:lang w:val="es-ES" w:eastAsia="es-ES"/>
              </w:rPr>
            </w:pPr>
            <w:r w:rsidRPr="00E03B06">
              <w:rPr>
                <w:sz w:val="15"/>
                <w:szCs w:val="15"/>
                <w:lang w:val="es-ES" w:eastAsia="es-ES"/>
              </w:rPr>
              <w:t>Gastos</w:t>
            </w:r>
          </w:p>
        </w:tc>
        <w:tc>
          <w:tcPr>
            <w:tcW w:w="2061" w:type="dxa"/>
            <w:gridSpan w:val="2"/>
            <w:tcBorders>
              <w:top w:val="single" w:sz="4" w:space="0" w:color="auto"/>
              <w:left w:val="nil"/>
              <w:bottom w:val="single" w:sz="2" w:space="0" w:color="auto"/>
              <w:right w:val="nil"/>
            </w:tcBorders>
            <w:shd w:val="clear" w:color="auto" w:fill="FABF8F" w:themeFill="accent6" w:themeFillTint="99"/>
            <w:vAlign w:val="center"/>
            <w:hideMark/>
          </w:tcPr>
          <w:p w14:paraId="3F3B5C01" w14:textId="77777777" w:rsidR="0088085F" w:rsidRPr="00E03B06" w:rsidRDefault="00F00F8C" w:rsidP="00F829E8">
            <w:pPr>
              <w:pStyle w:val="cuadroCabe"/>
              <w:jc w:val="center"/>
              <w:rPr>
                <w:sz w:val="15"/>
                <w:szCs w:val="15"/>
                <w:lang w:val="es-ES" w:eastAsia="es-ES"/>
              </w:rPr>
            </w:pPr>
            <w:r>
              <w:rPr>
                <w:sz w:val="15"/>
                <w:szCs w:val="15"/>
                <w:lang w:val="es-ES" w:eastAsia="es-ES"/>
              </w:rPr>
              <w:t xml:space="preserve">            </w:t>
            </w:r>
            <w:r w:rsidR="0088085F" w:rsidRPr="00E03B06">
              <w:rPr>
                <w:sz w:val="15"/>
                <w:szCs w:val="15"/>
                <w:lang w:val="es-ES" w:eastAsia="es-ES"/>
              </w:rPr>
              <w:t>Navarra</w:t>
            </w:r>
          </w:p>
        </w:tc>
        <w:tc>
          <w:tcPr>
            <w:tcW w:w="1796" w:type="dxa"/>
            <w:gridSpan w:val="2"/>
            <w:tcBorders>
              <w:top w:val="single" w:sz="4" w:space="0" w:color="auto"/>
              <w:left w:val="nil"/>
              <w:bottom w:val="single" w:sz="2" w:space="0" w:color="auto"/>
              <w:right w:val="nil"/>
            </w:tcBorders>
            <w:shd w:val="clear" w:color="auto" w:fill="FABF8F" w:themeFill="accent6" w:themeFillTint="99"/>
            <w:noWrap/>
            <w:vAlign w:val="center"/>
            <w:hideMark/>
          </w:tcPr>
          <w:p w14:paraId="63455E44" w14:textId="77777777" w:rsidR="0088085F" w:rsidRPr="00E03B06" w:rsidRDefault="00F00F8C" w:rsidP="00A72CB5">
            <w:pPr>
              <w:pStyle w:val="cuadroCabe"/>
              <w:ind w:right="-282"/>
              <w:jc w:val="center"/>
              <w:rPr>
                <w:sz w:val="15"/>
                <w:szCs w:val="15"/>
                <w:lang w:val="es-ES" w:eastAsia="es-ES"/>
              </w:rPr>
            </w:pPr>
            <w:r>
              <w:rPr>
                <w:sz w:val="15"/>
                <w:szCs w:val="15"/>
                <w:lang w:val="es-ES" w:eastAsia="es-ES"/>
              </w:rPr>
              <w:t xml:space="preserve">      </w:t>
            </w:r>
            <w:r w:rsidR="0088085F" w:rsidRPr="00E03B06">
              <w:rPr>
                <w:sz w:val="15"/>
                <w:szCs w:val="15"/>
                <w:lang w:val="es-ES" w:eastAsia="es-ES"/>
              </w:rPr>
              <w:t>País Vasco</w:t>
            </w:r>
          </w:p>
        </w:tc>
        <w:tc>
          <w:tcPr>
            <w:tcW w:w="1807" w:type="dxa"/>
            <w:gridSpan w:val="2"/>
            <w:tcBorders>
              <w:top w:val="single" w:sz="4" w:space="0" w:color="auto"/>
              <w:left w:val="nil"/>
              <w:bottom w:val="single" w:sz="2" w:space="0" w:color="auto"/>
              <w:right w:val="nil"/>
            </w:tcBorders>
            <w:shd w:val="clear" w:color="auto" w:fill="FABF8F" w:themeFill="accent6" w:themeFillTint="99"/>
            <w:vAlign w:val="center"/>
            <w:hideMark/>
          </w:tcPr>
          <w:p w14:paraId="773E309D" w14:textId="77777777" w:rsidR="0088085F" w:rsidRPr="00E03B06" w:rsidRDefault="00F00F8C" w:rsidP="00F829E8">
            <w:pPr>
              <w:pStyle w:val="cuadroCabe"/>
              <w:jc w:val="center"/>
              <w:rPr>
                <w:sz w:val="15"/>
                <w:szCs w:val="15"/>
                <w:lang w:val="es-ES" w:eastAsia="es-ES"/>
              </w:rPr>
            </w:pPr>
            <w:r>
              <w:rPr>
                <w:sz w:val="15"/>
                <w:szCs w:val="15"/>
                <w:lang w:val="es-ES" w:eastAsia="es-ES"/>
              </w:rPr>
              <w:t xml:space="preserve">        </w:t>
            </w:r>
            <w:r w:rsidR="0088085F" w:rsidRPr="00E03B06">
              <w:rPr>
                <w:sz w:val="15"/>
                <w:szCs w:val="15"/>
                <w:lang w:val="es-ES" w:eastAsia="es-ES"/>
              </w:rPr>
              <w:t>Resto de Estado</w:t>
            </w:r>
          </w:p>
        </w:tc>
      </w:tr>
      <w:tr w:rsidR="0088085F" w:rsidRPr="00E03B06" w14:paraId="054BF028" w14:textId="77777777" w:rsidTr="00723826">
        <w:trPr>
          <w:trHeight w:val="113"/>
          <w:jc w:val="center"/>
        </w:trPr>
        <w:tc>
          <w:tcPr>
            <w:tcW w:w="3164" w:type="dxa"/>
            <w:vMerge/>
            <w:tcBorders>
              <w:top w:val="single" w:sz="2" w:space="0" w:color="auto"/>
              <w:left w:val="nil"/>
              <w:bottom w:val="single" w:sz="4" w:space="0" w:color="000000"/>
              <w:right w:val="nil"/>
            </w:tcBorders>
            <w:shd w:val="clear" w:color="auto" w:fill="FABF8F" w:themeFill="accent6" w:themeFillTint="99"/>
            <w:vAlign w:val="center"/>
            <w:hideMark/>
          </w:tcPr>
          <w:p w14:paraId="3C7AB2FA" w14:textId="77777777" w:rsidR="0088085F" w:rsidRPr="00E03B06" w:rsidRDefault="0088085F" w:rsidP="00F829E8">
            <w:pPr>
              <w:pStyle w:val="cuadroCabe"/>
              <w:jc w:val="left"/>
              <w:rPr>
                <w:sz w:val="15"/>
                <w:szCs w:val="15"/>
                <w:lang w:val="es-ES" w:eastAsia="es-ES"/>
              </w:rPr>
            </w:pPr>
          </w:p>
        </w:tc>
        <w:tc>
          <w:tcPr>
            <w:tcW w:w="1066" w:type="dxa"/>
            <w:tcBorders>
              <w:top w:val="single" w:sz="2" w:space="0" w:color="auto"/>
              <w:left w:val="nil"/>
              <w:bottom w:val="single" w:sz="4" w:space="0" w:color="auto"/>
              <w:right w:val="nil"/>
            </w:tcBorders>
            <w:shd w:val="clear" w:color="auto" w:fill="FABF8F" w:themeFill="accent6" w:themeFillTint="99"/>
            <w:vAlign w:val="center"/>
            <w:hideMark/>
          </w:tcPr>
          <w:p w14:paraId="4A30F663" w14:textId="77777777" w:rsidR="003D58AB" w:rsidRDefault="0088085F" w:rsidP="00F829E8">
            <w:pPr>
              <w:pStyle w:val="cuadroCabe"/>
              <w:jc w:val="right"/>
              <w:rPr>
                <w:sz w:val="15"/>
                <w:szCs w:val="15"/>
                <w:lang w:val="es-ES" w:eastAsia="es-ES"/>
              </w:rPr>
            </w:pPr>
            <w:r w:rsidRPr="00E03B06">
              <w:rPr>
                <w:sz w:val="15"/>
                <w:szCs w:val="15"/>
                <w:lang w:val="es-ES" w:eastAsia="es-ES"/>
              </w:rPr>
              <w:t xml:space="preserve">Per </w:t>
            </w:r>
          </w:p>
          <w:p w14:paraId="53691E70" w14:textId="77777777" w:rsidR="0088085F" w:rsidRPr="00E03B06" w:rsidRDefault="0088085F" w:rsidP="00F829E8">
            <w:pPr>
              <w:pStyle w:val="cuadroCabe"/>
              <w:jc w:val="right"/>
              <w:rPr>
                <w:sz w:val="15"/>
                <w:szCs w:val="15"/>
                <w:lang w:val="es-ES" w:eastAsia="es-ES"/>
              </w:rPr>
            </w:pPr>
            <w:r w:rsidRPr="00E03B06">
              <w:rPr>
                <w:sz w:val="15"/>
                <w:szCs w:val="15"/>
                <w:lang w:val="es-ES" w:eastAsia="es-ES"/>
              </w:rPr>
              <w:t>cápita</w:t>
            </w:r>
          </w:p>
        </w:tc>
        <w:tc>
          <w:tcPr>
            <w:tcW w:w="995" w:type="dxa"/>
            <w:tcBorders>
              <w:top w:val="single" w:sz="2" w:space="0" w:color="auto"/>
              <w:left w:val="nil"/>
              <w:bottom w:val="single" w:sz="4" w:space="0" w:color="auto"/>
              <w:right w:val="nil"/>
            </w:tcBorders>
            <w:shd w:val="clear" w:color="auto" w:fill="FABF8F" w:themeFill="accent6" w:themeFillTint="99"/>
            <w:noWrap/>
            <w:vAlign w:val="center"/>
            <w:hideMark/>
          </w:tcPr>
          <w:p w14:paraId="02C18CCD" w14:textId="77777777" w:rsidR="003D58AB" w:rsidRDefault="0088085F" w:rsidP="00F829E8">
            <w:pPr>
              <w:pStyle w:val="cuadroCabe"/>
              <w:jc w:val="right"/>
              <w:rPr>
                <w:sz w:val="15"/>
                <w:szCs w:val="15"/>
                <w:lang w:val="es-ES" w:eastAsia="es-ES"/>
              </w:rPr>
            </w:pPr>
            <w:r w:rsidRPr="00E03B06">
              <w:rPr>
                <w:sz w:val="15"/>
                <w:szCs w:val="15"/>
                <w:lang w:val="es-ES" w:eastAsia="es-ES"/>
              </w:rPr>
              <w:t xml:space="preserve">% </w:t>
            </w:r>
          </w:p>
          <w:p w14:paraId="56434D58" w14:textId="77777777" w:rsidR="0088085F" w:rsidRPr="00E03B06" w:rsidRDefault="0088085F" w:rsidP="00F829E8">
            <w:pPr>
              <w:pStyle w:val="cuadroCabe"/>
              <w:jc w:val="right"/>
              <w:rPr>
                <w:sz w:val="15"/>
                <w:szCs w:val="15"/>
                <w:lang w:val="es-ES" w:eastAsia="es-ES"/>
              </w:rPr>
            </w:pPr>
            <w:r w:rsidRPr="00E03B06">
              <w:rPr>
                <w:sz w:val="15"/>
                <w:szCs w:val="15"/>
                <w:lang w:val="es-ES" w:eastAsia="es-ES"/>
              </w:rPr>
              <w:t>del total</w:t>
            </w:r>
          </w:p>
        </w:tc>
        <w:tc>
          <w:tcPr>
            <w:tcW w:w="882" w:type="dxa"/>
            <w:tcBorders>
              <w:top w:val="single" w:sz="2" w:space="0" w:color="auto"/>
              <w:left w:val="nil"/>
              <w:bottom w:val="single" w:sz="4" w:space="0" w:color="auto"/>
              <w:right w:val="nil"/>
            </w:tcBorders>
            <w:shd w:val="clear" w:color="auto" w:fill="FABF8F" w:themeFill="accent6" w:themeFillTint="99"/>
            <w:noWrap/>
            <w:vAlign w:val="center"/>
            <w:hideMark/>
          </w:tcPr>
          <w:p w14:paraId="6EFAFDA3" w14:textId="77777777" w:rsidR="003D58AB" w:rsidRDefault="0088085F" w:rsidP="00F829E8">
            <w:pPr>
              <w:pStyle w:val="cuadroCabe"/>
              <w:jc w:val="right"/>
              <w:rPr>
                <w:sz w:val="15"/>
                <w:szCs w:val="15"/>
                <w:lang w:val="es-ES" w:eastAsia="es-ES"/>
              </w:rPr>
            </w:pPr>
            <w:r w:rsidRPr="00E03B06">
              <w:rPr>
                <w:sz w:val="15"/>
                <w:szCs w:val="15"/>
                <w:lang w:val="es-ES" w:eastAsia="es-ES"/>
              </w:rPr>
              <w:t xml:space="preserve">Per </w:t>
            </w:r>
          </w:p>
          <w:p w14:paraId="2DE150CD" w14:textId="77777777" w:rsidR="0088085F" w:rsidRPr="00E03B06" w:rsidRDefault="0088085F" w:rsidP="00F829E8">
            <w:pPr>
              <w:pStyle w:val="cuadroCabe"/>
              <w:jc w:val="right"/>
              <w:rPr>
                <w:sz w:val="15"/>
                <w:szCs w:val="15"/>
                <w:lang w:val="es-ES" w:eastAsia="es-ES"/>
              </w:rPr>
            </w:pPr>
            <w:r w:rsidRPr="00E03B06">
              <w:rPr>
                <w:sz w:val="15"/>
                <w:szCs w:val="15"/>
                <w:lang w:val="es-ES" w:eastAsia="es-ES"/>
              </w:rPr>
              <w:t>cápita</w:t>
            </w:r>
          </w:p>
        </w:tc>
        <w:tc>
          <w:tcPr>
            <w:tcW w:w="914" w:type="dxa"/>
            <w:tcBorders>
              <w:top w:val="single" w:sz="2" w:space="0" w:color="auto"/>
              <w:left w:val="nil"/>
              <w:bottom w:val="single" w:sz="4" w:space="0" w:color="auto"/>
              <w:right w:val="nil"/>
            </w:tcBorders>
            <w:shd w:val="clear" w:color="auto" w:fill="FABF8F" w:themeFill="accent6" w:themeFillTint="99"/>
            <w:noWrap/>
            <w:vAlign w:val="center"/>
            <w:hideMark/>
          </w:tcPr>
          <w:p w14:paraId="37E5823E" w14:textId="77777777" w:rsidR="003D58AB" w:rsidRDefault="0088085F" w:rsidP="00F829E8">
            <w:pPr>
              <w:pStyle w:val="cuadroCabe"/>
              <w:jc w:val="right"/>
              <w:rPr>
                <w:sz w:val="15"/>
                <w:szCs w:val="15"/>
                <w:lang w:val="es-ES" w:eastAsia="es-ES"/>
              </w:rPr>
            </w:pPr>
            <w:r w:rsidRPr="00E03B06">
              <w:rPr>
                <w:sz w:val="15"/>
                <w:szCs w:val="15"/>
                <w:lang w:val="es-ES" w:eastAsia="es-ES"/>
              </w:rPr>
              <w:t xml:space="preserve">% </w:t>
            </w:r>
          </w:p>
          <w:p w14:paraId="7AC26015" w14:textId="77777777" w:rsidR="0088085F" w:rsidRPr="00E03B06" w:rsidRDefault="0088085F" w:rsidP="00F829E8">
            <w:pPr>
              <w:pStyle w:val="cuadroCabe"/>
              <w:jc w:val="right"/>
              <w:rPr>
                <w:sz w:val="15"/>
                <w:szCs w:val="15"/>
                <w:lang w:val="es-ES" w:eastAsia="es-ES"/>
              </w:rPr>
            </w:pPr>
            <w:r w:rsidRPr="00E03B06">
              <w:rPr>
                <w:sz w:val="15"/>
                <w:szCs w:val="15"/>
                <w:lang w:val="es-ES" w:eastAsia="es-ES"/>
              </w:rPr>
              <w:t>del total</w:t>
            </w:r>
          </w:p>
        </w:tc>
        <w:tc>
          <w:tcPr>
            <w:tcW w:w="929" w:type="dxa"/>
            <w:tcBorders>
              <w:top w:val="single" w:sz="2" w:space="0" w:color="auto"/>
              <w:left w:val="nil"/>
              <w:bottom w:val="single" w:sz="4" w:space="0" w:color="auto"/>
              <w:right w:val="nil"/>
            </w:tcBorders>
            <w:shd w:val="clear" w:color="auto" w:fill="FABF8F" w:themeFill="accent6" w:themeFillTint="99"/>
            <w:vAlign w:val="center"/>
            <w:hideMark/>
          </w:tcPr>
          <w:p w14:paraId="0DED047C" w14:textId="77777777" w:rsidR="003D58AB" w:rsidRDefault="0088085F" w:rsidP="00F829E8">
            <w:pPr>
              <w:pStyle w:val="cuadroCabe"/>
              <w:jc w:val="right"/>
              <w:rPr>
                <w:sz w:val="15"/>
                <w:szCs w:val="15"/>
                <w:lang w:val="es-ES" w:eastAsia="es-ES"/>
              </w:rPr>
            </w:pPr>
            <w:r w:rsidRPr="00E03B06">
              <w:rPr>
                <w:sz w:val="15"/>
                <w:szCs w:val="15"/>
                <w:lang w:val="es-ES" w:eastAsia="es-ES"/>
              </w:rPr>
              <w:t xml:space="preserve">Per </w:t>
            </w:r>
          </w:p>
          <w:p w14:paraId="58D1D074" w14:textId="77777777" w:rsidR="0088085F" w:rsidRPr="00E03B06" w:rsidRDefault="0088085F" w:rsidP="00F829E8">
            <w:pPr>
              <w:pStyle w:val="cuadroCabe"/>
              <w:jc w:val="right"/>
              <w:rPr>
                <w:sz w:val="15"/>
                <w:szCs w:val="15"/>
                <w:lang w:val="es-ES" w:eastAsia="es-ES"/>
              </w:rPr>
            </w:pPr>
            <w:r w:rsidRPr="00E03B06">
              <w:rPr>
                <w:sz w:val="15"/>
                <w:szCs w:val="15"/>
                <w:lang w:val="es-ES" w:eastAsia="es-ES"/>
              </w:rPr>
              <w:t>cápita</w:t>
            </w:r>
          </w:p>
        </w:tc>
        <w:tc>
          <w:tcPr>
            <w:tcW w:w="878" w:type="dxa"/>
            <w:tcBorders>
              <w:top w:val="single" w:sz="2" w:space="0" w:color="auto"/>
              <w:left w:val="nil"/>
              <w:bottom w:val="single" w:sz="4" w:space="0" w:color="auto"/>
              <w:right w:val="nil"/>
            </w:tcBorders>
            <w:shd w:val="clear" w:color="auto" w:fill="FABF8F" w:themeFill="accent6" w:themeFillTint="99"/>
            <w:vAlign w:val="center"/>
            <w:hideMark/>
          </w:tcPr>
          <w:p w14:paraId="0436CFF4" w14:textId="77777777" w:rsidR="003D58AB" w:rsidRDefault="0088085F" w:rsidP="00F829E8">
            <w:pPr>
              <w:pStyle w:val="cuadroCabe"/>
              <w:jc w:val="right"/>
              <w:rPr>
                <w:sz w:val="15"/>
                <w:szCs w:val="15"/>
                <w:lang w:val="es-ES" w:eastAsia="es-ES"/>
              </w:rPr>
            </w:pPr>
            <w:r w:rsidRPr="00E03B06">
              <w:rPr>
                <w:sz w:val="15"/>
                <w:szCs w:val="15"/>
                <w:lang w:val="es-ES" w:eastAsia="es-ES"/>
              </w:rPr>
              <w:t xml:space="preserve">% </w:t>
            </w:r>
          </w:p>
          <w:p w14:paraId="45D48700" w14:textId="77777777" w:rsidR="0088085F" w:rsidRPr="00E03B06" w:rsidRDefault="0088085F" w:rsidP="00F829E8">
            <w:pPr>
              <w:pStyle w:val="cuadroCabe"/>
              <w:jc w:val="right"/>
              <w:rPr>
                <w:sz w:val="15"/>
                <w:szCs w:val="15"/>
                <w:lang w:val="es-ES" w:eastAsia="es-ES"/>
              </w:rPr>
            </w:pPr>
            <w:r w:rsidRPr="00E03B06">
              <w:rPr>
                <w:sz w:val="15"/>
                <w:szCs w:val="15"/>
                <w:lang w:val="es-ES" w:eastAsia="es-ES"/>
              </w:rPr>
              <w:t>del total</w:t>
            </w:r>
          </w:p>
        </w:tc>
      </w:tr>
      <w:tr w:rsidR="0088085F" w:rsidRPr="003D58AB" w14:paraId="3B019223" w14:textId="77777777" w:rsidTr="005A7814">
        <w:trPr>
          <w:trHeight w:val="255"/>
          <w:jc w:val="center"/>
        </w:trPr>
        <w:tc>
          <w:tcPr>
            <w:tcW w:w="3164" w:type="dxa"/>
            <w:tcBorders>
              <w:top w:val="nil"/>
              <w:left w:val="nil"/>
              <w:bottom w:val="single" w:sz="2" w:space="0" w:color="auto"/>
              <w:right w:val="nil"/>
            </w:tcBorders>
            <w:shd w:val="clear" w:color="auto" w:fill="auto"/>
            <w:noWrap/>
            <w:vAlign w:val="center"/>
            <w:hideMark/>
          </w:tcPr>
          <w:p w14:paraId="4D48EA40" w14:textId="77777777" w:rsidR="0088085F" w:rsidRPr="003D58AB" w:rsidRDefault="0088085F" w:rsidP="00F829E8">
            <w:pPr>
              <w:pStyle w:val="cuatexto"/>
              <w:jc w:val="left"/>
              <w:rPr>
                <w:sz w:val="18"/>
                <w:szCs w:val="18"/>
                <w:lang w:val="es-ES" w:eastAsia="es-ES"/>
              </w:rPr>
            </w:pPr>
            <w:r w:rsidRPr="003D58AB">
              <w:rPr>
                <w:sz w:val="18"/>
                <w:szCs w:val="18"/>
                <w:lang w:val="es-ES" w:eastAsia="es-ES"/>
              </w:rPr>
              <w:t>Gastos de personal</w:t>
            </w:r>
          </w:p>
        </w:tc>
        <w:tc>
          <w:tcPr>
            <w:tcW w:w="1066" w:type="dxa"/>
            <w:tcBorders>
              <w:top w:val="nil"/>
              <w:left w:val="nil"/>
              <w:bottom w:val="single" w:sz="2" w:space="0" w:color="auto"/>
              <w:right w:val="nil"/>
            </w:tcBorders>
            <w:shd w:val="clear" w:color="auto" w:fill="auto"/>
            <w:noWrap/>
            <w:vAlign w:val="center"/>
            <w:hideMark/>
          </w:tcPr>
          <w:p w14:paraId="014F6A2D"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386</w:t>
            </w:r>
          </w:p>
        </w:tc>
        <w:tc>
          <w:tcPr>
            <w:tcW w:w="995" w:type="dxa"/>
            <w:tcBorders>
              <w:top w:val="nil"/>
              <w:left w:val="nil"/>
              <w:bottom w:val="single" w:sz="2" w:space="0" w:color="auto"/>
              <w:right w:val="nil"/>
            </w:tcBorders>
            <w:shd w:val="clear" w:color="auto" w:fill="auto"/>
            <w:noWrap/>
            <w:vAlign w:val="center"/>
            <w:hideMark/>
          </w:tcPr>
          <w:p w14:paraId="5EA8FA6A"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32,7</w:t>
            </w:r>
          </w:p>
        </w:tc>
        <w:tc>
          <w:tcPr>
            <w:tcW w:w="882" w:type="dxa"/>
            <w:tcBorders>
              <w:top w:val="nil"/>
              <w:left w:val="nil"/>
              <w:bottom w:val="single" w:sz="2" w:space="0" w:color="auto"/>
              <w:right w:val="nil"/>
            </w:tcBorders>
            <w:shd w:val="clear" w:color="auto" w:fill="auto"/>
            <w:noWrap/>
            <w:vAlign w:val="center"/>
            <w:hideMark/>
          </w:tcPr>
          <w:p w14:paraId="139BABF3"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448</w:t>
            </w:r>
          </w:p>
        </w:tc>
        <w:tc>
          <w:tcPr>
            <w:tcW w:w="914" w:type="dxa"/>
            <w:tcBorders>
              <w:top w:val="nil"/>
              <w:left w:val="nil"/>
              <w:bottom w:val="single" w:sz="2" w:space="0" w:color="auto"/>
              <w:right w:val="nil"/>
            </w:tcBorders>
            <w:shd w:val="clear" w:color="auto" w:fill="auto"/>
            <w:noWrap/>
            <w:vAlign w:val="center"/>
            <w:hideMark/>
          </w:tcPr>
          <w:p w14:paraId="56203662"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32,0</w:t>
            </w:r>
          </w:p>
        </w:tc>
        <w:tc>
          <w:tcPr>
            <w:tcW w:w="929" w:type="dxa"/>
            <w:tcBorders>
              <w:top w:val="nil"/>
              <w:left w:val="nil"/>
              <w:bottom w:val="single" w:sz="2" w:space="0" w:color="auto"/>
              <w:right w:val="nil"/>
            </w:tcBorders>
            <w:shd w:val="clear" w:color="auto" w:fill="auto"/>
            <w:noWrap/>
            <w:vAlign w:val="center"/>
            <w:hideMark/>
          </w:tcPr>
          <w:p w14:paraId="2CD334C8"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406</w:t>
            </w:r>
          </w:p>
        </w:tc>
        <w:tc>
          <w:tcPr>
            <w:tcW w:w="878" w:type="dxa"/>
            <w:tcBorders>
              <w:top w:val="nil"/>
              <w:left w:val="nil"/>
              <w:bottom w:val="single" w:sz="2" w:space="0" w:color="auto"/>
              <w:right w:val="nil"/>
            </w:tcBorders>
            <w:shd w:val="clear" w:color="auto" w:fill="auto"/>
            <w:noWrap/>
            <w:vAlign w:val="center"/>
            <w:hideMark/>
          </w:tcPr>
          <w:p w14:paraId="3D9C94B4"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36,6</w:t>
            </w:r>
          </w:p>
        </w:tc>
      </w:tr>
      <w:tr w:rsidR="0088085F" w:rsidRPr="003D58AB" w14:paraId="217A9E48" w14:textId="77777777" w:rsidTr="005A7814">
        <w:trPr>
          <w:trHeight w:val="255"/>
          <w:jc w:val="center"/>
        </w:trPr>
        <w:tc>
          <w:tcPr>
            <w:tcW w:w="3164" w:type="dxa"/>
            <w:tcBorders>
              <w:top w:val="single" w:sz="2" w:space="0" w:color="auto"/>
              <w:left w:val="nil"/>
              <w:bottom w:val="single" w:sz="2" w:space="0" w:color="auto"/>
              <w:right w:val="nil"/>
            </w:tcBorders>
            <w:shd w:val="clear" w:color="auto" w:fill="auto"/>
            <w:noWrap/>
            <w:vAlign w:val="center"/>
            <w:hideMark/>
          </w:tcPr>
          <w:p w14:paraId="46500CE6" w14:textId="77777777" w:rsidR="0088085F" w:rsidRPr="003D58AB" w:rsidRDefault="0088085F" w:rsidP="00F829E8">
            <w:pPr>
              <w:pStyle w:val="cuatexto"/>
              <w:jc w:val="left"/>
              <w:rPr>
                <w:sz w:val="18"/>
                <w:szCs w:val="18"/>
                <w:lang w:val="es-ES" w:eastAsia="es-ES"/>
              </w:rPr>
            </w:pPr>
            <w:r w:rsidRPr="003D58AB">
              <w:rPr>
                <w:sz w:val="18"/>
                <w:szCs w:val="18"/>
                <w:lang w:val="es-ES" w:eastAsia="es-ES"/>
              </w:rPr>
              <w:t>Gastos en bienes corrientes y servicios</w:t>
            </w:r>
          </w:p>
        </w:tc>
        <w:tc>
          <w:tcPr>
            <w:tcW w:w="1066" w:type="dxa"/>
            <w:tcBorders>
              <w:top w:val="single" w:sz="2" w:space="0" w:color="auto"/>
              <w:left w:val="nil"/>
              <w:bottom w:val="single" w:sz="2" w:space="0" w:color="auto"/>
              <w:right w:val="nil"/>
            </w:tcBorders>
            <w:shd w:val="clear" w:color="auto" w:fill="auto"/>
            <w:noWrap/>
            <w:vAlign w:val="center"/>
            <w:hideMark/>
          </w:tcPr>
          <w:p w14:paraId="080BB8A3"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358</w:t>
            </w:r>
          </w:p>
        </w:tc>
        <w:tc>
          <w:tcPr>
            <w:tcW w:w="995" w:type="dxa"/>
            <w:tcBorders>
              <w:top w:val="single" w:sz="2" w:space="0" w:color="auto"/>
              <w:left w:val="nil"/>
              <w:bottom w:val="single" w:sz="2" w:space="0" w:color="auto"/>
              <w:right w:val="nil"/>
            </w:tcBorders>
            <w:shd w:val="clear" w:color="auto" w:fill="auto"/>
            <w:noWrap/>
            <w:vAlign w:val="center"/>
            <w:hideMark/>
          </w:tcPr>
          <w:p w14:paraId="44B6F9F7"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30,2</w:t>
            </w:r>
          </w:p>
        </w:tc>
        <w:tc>
          <w:tcPr>
            <w:tcW w:w="882" w:type="dxa"/>
            <w:tcBorders>
              <w:top w:val="single" w:sz="2" w:space="0" w:color="auto"/>
              <w:left w:val="nil"/>
              <w:bottom w:val="single" w:sz="2" w:space="0" w:color="auto"/>
              <w:right w:val="nil"/>
            </w:tcBorders>
            <w:shd w:val="clear" w:color="auto" w:fill="auto"/>
            <w:noWrap/>
            <w:vAlign w:val="center"/>
            <w:hideMark/>
          </w:tcPr>
          <w:p w14:paraId="3AA04DC6"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531</w:t>
            </w:r>
          </w:p>
        </w:tc>
        <w:tc>
          <w:tcPr>
            <w:tcW w:w="914" w:type="dxa"/>
            <w:tcBorders>
              <w:top w:val="single" w:sz="2" w:space="0" w:color="auto"/>
              <w:left w:val="nil"/>
              <w:bottom w:val="single" w:sz="2" w:space="0" w:color="auto"/>
              <w:right w:val="nil"/>
            </w:tcBorders>
            <w:shd w:val="clear" w:color="auto" w:fill="auto"/>
            <w:noWrap/>
            <w:vAlign w:val="center"/>
            <w:hideMark/>
          </w:tcPr>
          <w:p w14:paraId="32D484FD"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37,9</w:t>
            </w:r>
          </w:p>
        </w:tc>
        <w:tc>
          <w:tcPr>
            <w:tcW w:w="929" w:type="dxa"/>
            <w:tcBorders>
              <w:top w:val="single" w:sz="2" w:space="0" w:color="auto"/>
              <w:left w:val="nil"/>
              <w:bottom w:val="single" w:sz="2" w:space="0" w:color="auto"/>
              <w:right w:val="nil"/>
            </w:tcBorders>
            <w:shd w:val="clear" w:color="auto" w:fill="auto"/>
            <w:noWrap/>
            <w:vAlign w:val="center"/>
            <w:hideMark/>
          </w:tcPr>
          <w:p w14:paraId="1DFEB282"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382</w:t>
            </w:r>
          </w:p>
        </w:tc>
        <w:tc>
          <w:tcPr>
            <w:tcW w:w="878" w:type="dxa"/>
            <w:tcBorders>
              <w:top w:val="single" w:sz="2" w:space="0" w:color="auto"/>
              <w:left w:val="nil"/>
              <w:bottom w:val="single" w:sz="2" w:space="0" w:color="auto"/>
              <w:right w:val="nil"/>
            </w:tcBorders>
            <w:shd w:val="clear" w:color="auto" w:fill="auto"/>
            <w:noWrap/>
            <w:vAlign w:val="center"/>
            <w:hideMark/>
          </w:tcPr>
          <w:p w14:paraId="4F12DB79"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34,4</w:t>
            </w:r>
          </w:p>
        </w:tc>
      </w:tr>
      <w:tr w:rsidR="0088085F" w:rsidRPr="003D58AB" w14:paraId="5CE994CE" w14:textId="77777777" w:rsidTr="005A7814">
        <w:trPr>
          <w:trHeight w:val="255"/>
          <w:jc w:val="center"/>
        </w:trPr>
        <w:tc>
          <w:tcPr>
            <w:tcW w:w="3164" w:type="dxa"/>
            <w:tcBorders>
              <w:top w:val="single" w:sz="2" w:space="0" w:color="auto"/>
              <w:left w:val="nil"/>
              <w:bottom w:val="single" w:sz="2" w:space="0" w:color="auto"/>
              <w:right w:val="nil"/>
            </w:tcBorders>
            <w:shd w:val="clear" w:color="auto" w:fill="auto"/>
            <w:noWrap/>
            <w:vAlign w:val="center"/>
            <w:hideMark/>
          </w:tcPr>
          <w:p w14:paraId="7816E427" w14:textId="77777777" w:rsidR="0088085F" w:rsidRPr="003D58AB" w:rsidRDefault="0088085F" w:rsidP="00F829E8">
            <w:pPr>
              <w:pStyle w:val="cuatexto"/>
              <w:jc w:val="left"/>
              <w:rPr>
                <w:sz w:val="18"/>
                <w:szCs w:val="18"/>
                <w:lang w:val="es-ES" w:eastAsia="es-ES"/>
              </w:rPr>
            </w:pPr>
            <w:r w:rsidRPr="003D58AB">
              <w:rPr>
                <w:sz w:val="18"/>
                <w:szCs w:val="18"/>
                <w:lang w:val="es-ES" w:eastAsia="es-ES"/>
              </w:rPr>
              <w:t>Gastos financieros</w:t>
            </w:r>
          </w:p>
        </w:tc>
        <w:tc>
          <w:tcPr>
            <w:tcW w:w="1066" w:type="dxa"/>
            <w:tcBorders>
              <w:top w:val="single" w:sz="2" w:space="0" w:color="auto"/>
              <w:left w:val="nil"/>
              <w:bottom w:val="single" w:sz="2" w:space="0" w:color="auto"/>
              <w:right w:val="nil"/>
            </w:tcBorders>
            <w:shd w:val="clear" w:color="auto" w:fill="auto"/>
            <w:noWrap/>
            <w:vAlign w:val="center"/>
            <w:hideMark/>
          </w:tcPr>
          <w:p w14:paraId="213BAE9F"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2</w:t>
            </w:r>
          </w:p>
        </w:tc>
        <w:tc>
          <w:tcPr>
            <w:tcW w:w="995" w:type="dxa"/>
            <w:tcBorders>
              <w:top w:val="single" w:sz="2" w:space="0" w:color="auto"/>
              <w:left w:val="nil"/>
              <w:bottom w:val="single" w:sz="2" w:space="0" w:color="auto"/>
              <w:right w:val="nil"/>
            </w:tcBorders>
            <w:shd w:val="clear" w:color="auto" w:fill="auto"/>
            <w:noWrap/>
            <w:vAlign w:val="center"/>
            <w:hideMark/>
          </w:tcPr>
          <w:p w14:paraId="09A6C662"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0,2</w:t>
            </w:r>
          </w:p>
        </w:tc>
        <w:tc>
          <w:tcPr>
            <w:tcW w:w="882" w:type="dxa"/>
            <w:tcBorders>
              <w:top w:val="single" w:sz="2" w:space="0" w:color="auto"/>
              <w:left w:val="nil"/>
              <w:bottom w:val="single" w:sz="2" w:space="0" w:color="auto"/>
              <w:right w:val="nil"/>
            </w:tcBorders>
            <w:shd w:val="clear" w:color="auto" w:fill="auto"/>
            <w:noWrap/>
            <w:vAlign w:val="center"/>
            <w:hideMark/>
          </w:tcPr>
          <w:p w14:paraId="5E154F0D"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1</w:t>
            </w:r>
          </w:p>
        </w:tc>
        <w:tc>
          <w:tcPr>
            <w:tcW w:w="914" w:type="dxa"/>
            <w:tcBorders>
              <w:top w:val="single" w:sz="2" w:space="0" w:color="auto"/>
              <w:left w:val="nil"/>
              <w:bottom w:val="single" w:sz="2" w:space="0" w:color="auto"/>
              <w:right w:val="nil"/>
            </w:tcBorders>
            <w:shd w:val="clear" w:color="auto" w:fill="auto"/>
            <w:noWrap/>
            <w:vAlign w:val="center"/>
            <w:hideMark/>
          </w:tcPr>
          <w:p w14:paraId="7286A16D"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0,1</w:t>
            </w:r>
          </w:p>
        </w:tc>
        <w:tc>
          <w:tcPr>
            <w:tcW w:w="929" w:type="dxa"/>
            <w:tcBorders>
              <w:top w:val="single" w:sz="2" w:space="0" w:color="auto"/>
              <w:left w:val="nil"/>
              <w:bottom w:val="single" w:sz="2" w:space="0" w:color="auto"/>
              <w:right w:val="nil"/>
            </w:tcBorders>
            <w:shd w:val="clear" w:color="auto" w:fill="auto"/>
            <w:noWrap/>
            <w:vAlign w:val="center"/>
            <w:hideMark/>
          </w:tcPr>
          <w:p w14:paraId="31EBCE88"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6</w:t>
            </w:r>
          </w:p>
        </w:tc>
        <w:tc>
          <w:tcPr>
            <w:tcW w:w="878" w:type="dxa"/>
            <w:tcBorders>
              <w:top w:val="single" w:sz="2" w:space="0" w:color="auto"/>
              <w:left w:val="nil"/>
              <w:bottom w:val="single" w:sz="2" w:space="0" w:color="auto"/>
              <w:right w:val="nil"/>
            </w:tcBorders>
            <w:shd w:val="clear" w:color="auto" w:fill="auto"/>
            <w:noWrap/>
            <w:vAlign w:val="center"/>
            <w:hideMark/>
          </w:tcPr>
          <w:p w14:paraId="3E5EFBAB"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0,5</w:t>
            </w:r>
          </w:p>
        </w:tc>
      </w:tr>
      <w:tr w:rsidR="0088085F" w:rsidRPr="003D58AB" w14:paraId="71761F84" w14:textId="77777777" w:rsidTr="005A7814">
        <w:trPr>
          <w:trHeight w:val="255"/>
          <w:jc w:val="center"/>
        </w:trPr>
        <w:tc>
          <w:tcPr>
            <w:tcW w:w="3164" w:type="dxa"/>
            <w:tcBorders>
              <w:top w:val="single" w:sz="2" w:space="0" w:color="auto"/>
              <w:left w:val="nil"/>
              <w:bottom w:val="single" w:sz="4" w:space="0" w:color="auto"/>
              <w:right w:val="nil"/>
            </w:tcBorders>
            <w:shd w:val="clear" w:color="auto" w:fill="auto"/>
            <w:noWrap/>
            <w:vAlign w:val="center"/>
            <w:hideMark/>
          </w:tcPr>
          <w:p w14:paraId="07FE79D5" w14:textId="77777777" w:rsidR="0088085F" w:rsidRPr="003D58AB" w:rsidRDefault="0088085F" w:rsidP="00F829E8">
            <w:pPr>
              <w:pStyle w:val="cuatexto"/>
              <w:jc w:val="left"/>
              <w:rPr>
                <w:sz w:val="18"/>
                <w:szCs w:val="18"/>
                <w:lang w:val="es-ES" w:eastAsia="es-ES"/>
              </w:rPr>
            </w:pPr>
            <w:r w:rsidRPr="003D58AB">
              <w:rPr>
                <w:sz w:val="18"/>
                <w:szCs w:val="18"/>
                <w:lang w:val="es-ES" w:eastAsia="es-ES"/>
              </w:rPr>
              <w:t>Transferencias corrientes</w:t>
            </w:r>
          </w:p>
        </w:tc>
        <w:tc>
          <w:tcPr>
            <w:tcW w:w="1066" w:type="dxa"/>
            <w:tcBorders>
              <w:top w:val="single" w:sz="2" w:space="0" w:color="auto"/>
              <w:left w:val="nil"/>
              <w:bottom w:val="single" w:sz="4" w:space="0" w:color="auto"/>
              <w:right w:val="nil"/>
            </w:tcBorders>
            <w:shd w:val="clear" w:color="auto" w:fill="auto"/>
            <w:noWrap/>
            <w:vAlign w:val="center"/>
            <w:hideMark/>
          </w:tcPr>
          <w:p w14:paraId="48948F6F"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94</w:t>
            </w:r>
          </w:p>
        </w:tc>
        <w:tc>
          <w:tcPr>
            <w:tcW w:w="995" w:type="dxa"/>
            <w:tcBorders>
              <w:top w:val="single" w:sz="2" w:space="0" w:color="auto"/>
              <w:left w:val="nil"/>
              <w:bottom w:val="single" w:sz="4" w:space="0" w:color="auto"/>
              <w:right w:val="nil"/>
            </w:tcBorders>
            <w:shd w:val="clear" w:color="auto" w:fill="auto"/>
            <w:noWrap/>
            <w:vAlign w:val="center"/>
            <w:hideMark/>
          </w:tcPr>
          <w:p w14:paraId="064F71DD"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7,9</w:t>
            </w:r>
          </w:p>
        </w:tc>
        <w:tc>
          <w:tcPr>
            <w:tcW w:w="882" w:type="dxa"/>
            <w:tcBorders>
              <w:top w:val="single" w:sz="2" w:space="0" w:color="auto"/>
              <w:left w:val="nil"/>
              <w:bottom w:val="single" w:sz="4" w:space="0" w:color="auto"/>
              <w:right w:val="nil"/>
            </w:tcBorders>
            <w:shd w:val="clear" w:color="auto" w:fill="auto"/>
            <w:noWrap/>
            <w:vAlign w:val="center"/>
            <w:hideMark/>
          </w:tcPr>
          <w:p w14:paraId="30CFEB46"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152</w:t>
            </w:r>
          </w:p>
        </w:tc>
        <w:tc>
          <w:tcPr>
            <w:tcW w:w="914" w:type="dxa"/>
            <w:tcBorders>
              <w:top w:val="single" w:sz="2" w:space="0" w:color="auto"/>
              <w:left w:val="nil"/>
              <w:bottom w:val="single" w:sz="4" w:space="0" w:color="auto"/>
              <w:right w:val="nil"/>
            </w:tcBorders>
            <w:shd w:val="clear" w:color="auto" w:fill="auto"/>
            <w:noWrap/>
            <w:vAlign w:val="center"/>
            <w:hideMark/>
          </w:tcPr>
          <w:p w14:paraId="3381BAEA"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10,8</w:t>
            </w:r>
          </w:p>
        </w:tc>
        <w:tc>
          <w:tcPr>
            <w:tcW w:w="929" w:type="dxa"/>
            <w:tcBorders>
              <w:top w:val="single" w:sz="2" w:space="0" w:color="auto"/>
              <w:left w:val="nil"/>
              <w:bottom w:val="single" w:sz="4" w:space="0" w:color="auto"/>
              <w:right w:val="nil"/>
            </w:tcBorders>
            <w:shd w:val="clear" w:color="auto" w:fill="auto"/>
            <w:noWrap/>
            <w:vAlign w:val="center"/>
            <w:hideMark/>
          </w:tcPr>
          <w:p w14:paraId="12EC7EB9" w14:textId="77777777" w:rsidR="0088085F" w:rsidRPr="003D58AB" w:rsidRDefault="0088085F" w:rsidP="00F829E8">
            <w:pPr>
              <w:pStyle w:val="cuatexto"/>
              <w:jc w:val="right"/>
              <w:rPr>
                <w:color w:val="000000"/>
                <w:sz w:val="18"/>
                <w:szCs w:val="18"/>
                <w:lang w:val="es-ES" w:eastAsia="es-ES"/>
              </w:rPr>
            </w:pPr>
            <w:r w:rsidRPr="003D58AB">
              <w:rPr>
                <w:color w:val="000000"/>
                <w:sz w:val="18"/>
                <w:szCs w:val="18"/>
                <w:lang w:val="es-ES" w:eastAsia="es-ES"/>
              </w:rPr>
              <w:t>60</w:t>
            </w:r>
          </w:p>
        </w:tc>
        <w:tc>
          <w:tcPr>
            <w:tcW w:w="878" w:type="dxa"/>
            <w:tcBorders>
              <w:top w:val="single" w:sz="2" w:space="0" w:color="auto"/>
              <w:left w:val="nil"/>
              <w:bottom w:val="single" w:sz="4" w:space="0" w:color="auto"/>
              <w:right w:val="nil"/>
            </w:tcBorders>
            <w:shd w:val="clear" w:color="auto" w:fill="auto"/>
            <w:noWrap/>
            <w:vAlign w:val="center"/>
            <w:hideMark/>
          </w:tcPr>
          <w:p w14:paraId="15C63F46" w14:textId="77777777" w:rsidR="0088085F" w:rsidRPr="003D58AB" w:rsidRDefault="0088085F" w:rsidP="00F829E8">
            <w:pPr>
              <w:pStyle w:val="cuatexto"/>
              <w:jc w:val="right"/>
              <w:rPr>
                <w:sz w:val="18"/>
                <w:szCs w:val="18"/>
                <w:lang w:val="es-ES" w:eastAsia="es-ES"/>
              </w:rPr>
            </w:pPr>
            <w:r w:rsidRPr="003D58AB">
              <w:rPr>
                <w:sz w:val="18"/>
                <w:szCs w:val="18"/>
                <w:lang w:val="es-ES" w:eastAsia="es-ES"/>
              </w:rPr>
              <w:t>5,4</w:t>
            </w:r>
          </w:p>
        </w:tc>
      </w:tr>
      <w:tr w:rsidR="0088085F" w:rsidRPr="00723826" w14:paraId="2914EC26" w14:textId="77777777" w:rsidTr="005A7814">
        <w:trPr>
          <w:trHeight w:val="255"/>
          <w:jc w:val="center"/>
        </w:trPr>
        <w:tc>
          <w:tcPr>
            <w:tcW w:w="3164" w:type="dxa"/>
            <w:tcBorders>
              <w:top w:val="single" w:sz="4" w:space="0" w:color="auto"/>
              <w:left w:val="nil"/>
              <w:bottom w:val="single" w:sz="4" w:space="0" w:color="auto"/>
              <w:right w:val="nil"/>
            </w:tcBorders>
            <w:shd w:val="clear" w:color="auto" w:fill="auto"/>
            <w:noWrap/>
            <w:vAlign w:val="center"/>
            <w:hideMark/>
          </w:tcPr>
          <w:p w14:paraId="5BA408E8" w14:textId="77777777" w:rsidR="0088085F" w:rsidRPr="00723826" w:rsidRDefault="00723826" w:rsidP="00F829E8">
            <w:pPr>
              <w:pStyle w:val="cuatexto"/>
              <w:jc w:val="left"/>
              <w:rPr>
                <w:b/>
                <w:bCs/>
                <w:iCs/>
                <w:sz w:val="18"/>
                <w:szCs w:val="18"/>
                <w:lang w:val="es-ES" w:eastAsia="es-ES"/>
              </w:rPr>
            </w:pPr>
            <w:r w:rsidRPr="00723826">
              <w:rPr>
                <w:b/>
                <w:bCs/>
                <w:iCs/>
                <w:sz w:val="18"/>
                <w:szCs w:val="18"/>
                <w:lang w:val="es-ES" w:eastAsia="es-ES"/>
              </w:rPr>
              <w:t>Operaciones corrientes</w:t>
            </w:r>
          </w:p>
        </w:tc>
        <w:tc>
          <w:tcPr>
            <w:tcW w:w="1066" w:type="dxa"/>
            <w:tcBorders>
              <w:top w:val="single" w:sz="4" w:space="0" w:color="auto"/>
              <w:left w:val="nil"/>
              <w:bottom w:val="single" w:sz="4" w:space="0" w:color="auto"/>
              <w:right w:val="nil"/>
            </w:tcBorders>
            <w:shd w:val="clear" w:color="auto" w:fill="auto"/>
            <w:noWrap/>
            <w:vAlign w:val="center"/>
            <w:hideMark/>
          </w:tcPr>
          <w:p w14:paraId="3EF69328" w14:textId="77777777" w:rsidR="0088085F" w:rsidRPr="00723826" w:rsidRDefault="0088085F" w:rsidP="00F829E8">
            <w:pPr>
              <w:pStyle w:val="cuatexto"/>
              <w:jc w:val="right"/>
              <w:rPr>
                <w:b/>
                <w:bCs/>
                <w:iCs/>
                <w:color w:val="000000"/>
                <w:sz w:val="18"/>
                <w:szCs w:val="18"/>
                <w:lang w:val="es-ES" w:eastAsia="es-ES"/>
              </w:rPr>
            </w:pPr>
            <w:r w:rsidRPr="00723826">
              <w:rPr>
                <w:b/>
                <w:bCs/>
                <w:iCs/>
                <w:color w:val="000000"/>
                <w:sz w:val="18"/>
                <w:szCs w:val="18"/>
                <w:lang w:val="es-ES" w:eastAsia="es-ES"/>
              </w:rPr>
              <w:t>840</w:t>
            </w:r>
          </w:p>
        </w:tc>
        <w:tc>
          <w:tcPr>
            <w:tcW w:w="995" w:type="dxa"/>
            <w:tcBorders>
              <w:top w:val="single" w:sz="4" w:space="0" w:color="auto"/>
              <w:left w:val="nil"/>
              <w:bottom w:val="single" w:sz="4" w:space="0" w:color="auto"/>
              <w:right w:val="nil"/>
            </w:tcBorders>
            <w:shd w:val="clear" w:color="auto" w:fill="auto"/>
            <w:noWrap/>
            <w:vAlign w:val="center"/>
            <w:hideMark/>
          </w:tcPr>
          <w:p w14:paraId="14784E6F" w14:textId="77777777" w:rsidR="0088085F" w:rsidRPr="00723826" w:rsidRDefault="0088085F" w:rsidP="00F829E8">
            <w:pPr>
              <w:pStyle w:val="cuatexto"/>
              <w:jc w:val="right"/>
              <w:rPr>
                <w:b/>
                <w:bCs/>
                <w:iCs/>
                <w:sz w:val="18"/>
                <w:szCs w:val="18"/>
                <w:lang w:val="es-ES" w:eastAsia="es-ES"/>
              </w:rPr>
            </w:pPr>
            <w:r w:rsidRPr="00723826">
              <w:rPr>
                <w:b/>
                <w:bCs/>
                <w:iCs/>
                <w:sz w:val="18"/>
                <w:szCs w:val="18"/>
                <w:lang w:val="es-ES" w:eastAsia="es-ES"/>
              </w:rPr>
              <w:t>71,0</w:t>
            </w:r>
          </w:p>
        </w:tc>
        <w:tc>
          <w:tcPr>
            <w:tcW w:w="882" w:type="dxa"/>
            <w:tcBorders>
              <w:top w:val="single" w:sz="4" w:space="0" w:color="auto"/>
              <w:left w:val="nil"/>
              <w:bottom w:val="single" w:sz="4" w:space="0" w:color="auto"/>
              <w:right w:val="nil"/>
            </w:tcBorders>
            <w:shd w:val="clear" w:color="auto" w:fill="auto"/>
            <w:noWrap/>
            <w:vAlign w:val="center"/>
            <w:hideMark/>
          </w:tcPr>
          <w:p w14:paraId="6665B730" w14:textId="77777777" w:rsidR="0088085F" w:rsidRPr="00723826" w:rsidRDefault="0088085F" w:rsidP="00F829E8">
            <w:pPr>
              <w:pStyle w:val="cuatexto"/>
              <w:jc w:val="right"/>
              <w:rPr>
                <w:b/>
                <w:bCs/>
                <w:iCs/>
                <w:color w:val="000000"/>
                <w:sz w:val="18"/>
                <w:szCs w:val="18"/>
                <w:lang w:val="es-ES" w:eastAsia="es-ES"/>
              </w:rPr>
            </w:pPr>
            <w:r w:rsidRPr="00723826">
              <w:rPr>
                <w:b/>
                <w:bCs/>
                <w:iCs/>
                <w:color w:val="000000"/>
                <w:sz w:val="18"/>
                <w:szCs w:val="18"/>
                <w:lang w:val="es-ES" w:eastAsia="es-ES"/>
              </w:rPr>
              <w:t>1.132</w:t>
            </w:r>
          </w:p>
        </w:tc>
        <w:tc>
          <w:tcPr>
            <w:tcW w:w="914" w:type="dxa"/>
            <w:tcBorders>
              <w:top w:val="single" w:sz="4" w:space="0" w:color="auto"/>
              <w:left w:val="nil"/>
              <w:bottom w:val="single" w:sz="4" w:space="0" w:color="auto"/>
              <w:right w:val="nil"/>
            </w:tcBorders>
            <w:shd w:val="clear" w:color="auto" w:fill="auto"/>
            <w:noWrap/>
            <w:vAlign w:val="center"/>
            <w:hideMark/>
          </w:tcPr>
          <w:p w14:paraId="6731957C" w14:textId="77777777" w:rsidR="0088085F" w:rsidRPr="00723826" w:rsidRDefault="0088085F" w:rsidP="00F829E8">
            <w:pPr>
              <w:pStyle w:val="cuatexto"/>
              <w:jc w:val="right"/>
              <w:rPr>
                <w:b/>
                <w:bCs/>
                <w:iCs/>
                <w:sz w:val="18"/>
                <w:szCs w:val="18"/>
                <w:lang w:val="es-ES" w:eastAsia="es-ES"/>
              </w:rPr>
            </w:pPr>
            <w:r w:rsidRPr="00723826">
              <w:rPr>
                <w:b/>
                <w:bCs/>
                <w:iCs/>
                <w:sz w:val="18"/>
                <w:szCs w:val="18"/>
                <w:lang w:val="es-ES" w:eastAsia="es-ES"/>
              </w:rPr>
              <w:t>80,8</w:t>
            </w:r>
          </w:p>
        </w:tc>
        <w:tc>
          <w:tcPr>
            <w:tcW w:w="929" w:type="dxa"/>
            <w:tcBorders>
              <w:top w:val="single" w:sz="4" w:space="0" w:color="auto"/>
              <w:left w:val="nil"/>
              <w:bottom w:val="single" w:sz="4" w:space="0" w:color="auto"/>
              <w:right w:val="nil"/>
            </w:tcBorders>
            <w:shd w:val="clear" w:color="auto" w:fill="auto"/>
            <w:noWrap/>
            <w:vAlign w:val="center"/>
            <w:hideMark/>
          </w:tcPr>
          <w:p w14:paraId="7440A935" w14:textId="77777777" w:rsidR="0088085F" w:rsidRPr="00723826" w:rsidRDefault="0088085F" w:rsidP="00F829E8">
            <w:pPr>
              <w:pStyle w:val="cuatexto"/>
              <w:jc w:val="right"/>
              <w:rPr>
                <w:b/>
                <w:bCs/>
                <w:iCs/>
                <w:color w:val="000000"/>
                <w:sz w:val="18"/>
                <w:szCs w:val="18"/>
                <w:lang w:val="es-ES" w:eastAsia="es-ES"/>
              </w:rPr>
            </w:pPr>
            <w:r w:rsidRPr="00723826">
              <w:rPr>
                <w:b/>
                <w:bCs/>
                <w:iCs/>
                <w:color w:val="000000"/>
                <w:sz w:val="18"/>
                <w:szCs w:val="18"/>
                <w:lang w:val="es-ES" w:eastAsia="es-ES"/>
              </w:rPr>
              <w:t>854</w:t>
            </w:r>
          </w:p>
        </w:tc>
        <w:tc>
          <w:tcPr>
            <w:tcW w:w="878" w:type="dxa"/>
            <w:tcBorders>
              <w:top w:val="single" w:sz="4" w:space="0" w:color="auto"/>
              <w:left w:val="nil"/>
              <w:bottom w:val="single" w:sz="4" w:space="0" w:color="auto"/>
              <w:right w:val="nil"/>
            </w:tcBorders>
            <w:shd w:val="clear" w:color="auto" w:fill="auto"/>
            <w:noWrap/>
            <w:vAlign w:val="center"/>
            <w:hideMark/>
          </w:tcPr>
          <w:p w14:paraId="6FA85D6C" w14:textId="77777777" w:rsidR="0088085F" w:rsidRPr="00723826" w:rsidRDefault="0088085F" w:rsidP="00F829E8">
            <w:pPr>
              <w:pStyle w:val="cuatexto"/>
              <w:jc w:val="right"/>
              <w:rPr>
                <w:b/>
                <w:bCs/>
                <w:iCs/>
                <w:sz w:val="18"/>
                <w:szCs w:val="18"/>
                <w:lang w:val="es-ES" w:eastAsia="es-ES"/>
              </w:rPr>
            </w:pPr>
            <w:r w:rsidRPr="00723826">
              <w:rPr>
                <w:b/>
                <w:bCs/>
                <w:iCs/>
                <w:sz w:val="18"/>
                <w:szCs w:val="18"/>
                <w:lang w:val="es-ES" w:eastAsia="es-ES"/>
              </w:rPr>
              <w:t>76,9</w:t>
            </w:r>
          </w:p>
        </w:tc>
      </w:tr>
      <w:tr w:rsidR="0088085F" w:rsidRPr="00723826" w14:paraId="1AF6D050" w14:textId="77777777" w:rsidTr="005A7814">
        <w:trPr>
          <w:trHeight w:val="255"/>
          <w:jc w:val="center"/>
        </w:trPr>
        <w:tc>
          <w:tcPr>
            <w:tcW w:w="3164" w:type="dxa"/>
            <w:tcBorders>
              <w:top w:val="single" w:sz="4" w:space="0" w:color="auto"/>
              <w:left w:val="nil"/>
              <w:bottom w:val="single" w:sz="2" w:space="0" w:color="auto"/>
              <w:right w:val="nil"/>
            </w:tcBorders>
            <w:shd w:val="clear" w:color="auto" w:fill="auto"/>
            <w:noWrap/>
            <w:vAlign w:val="center"/>
            <w:hideMark/>
          </w:tcPr>
          <w:p w14:paraId="22B447A5" w14:textId="77777777" w:rsidR="0088085F" w:rsidRPr="00723826" w:rsidRDefault="0088085F" w:rsidP="00F829E8">
            <w:pPr>
              <w:pStyle w:val="cuatexto"/>
              <w:jc w:val="left"/>
              <w:rPr>
                <w:sz w:val="18"/>
                <w:szCs w:val="18"/>
                <w:lang w:val="es-ES" w:eastAsia="es-ES"/>
              </w:rPr>
            </w:pPr>
            <w:r w:rsidRPr="00723826">
              <w:rPr>
                <w:sz w:val="18"/>
                <w:szCs w:val="18"/>
                <w:lang w:val="es-ES" w:eastAsia="es-ES"/>
              </w:rPr>
              <w:t>Inversiones reales</w:t>
            </w:r>
          </w:p>
        </w:tc>
        <w:tc>
          <w:tcPr>
            <w:tcW w:w="1066" w:type="dxa"/>
            <w:tcBorders>
              <w:top w:val="single" w:sz="4" w:space="0" w:color="auto"/>
              <w:left w:val="nil"/>
              <w:bottom w:val="single" w:sz="2" w:space="0" w:color="auto"/>
              <w:right w:val="nil"/>
            </w:tcBorders>
            <w:shd w:val="clear" w:color="auto" w:fill="auto"/>
            <w:noWrap/>
            <w:vAlign w:val="center"/>
            <w:hideMark/>
          </w:tcPr>
          <w:p w14:paraId="792D569C"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293</w:t>
            </w:r>
          </w:p>
        </w:tc>
        <w:tc>
          <w:tcPr>
            <w:tcW w:w="995" w:type="dxa"/>
            <w:tcBorders>
              <w:top w:val="single" w:sz="4" w:space="0" w:color="auto"/>
              <w:left w:val="nil"/>
              <w:bottom w:val="single" w:sz="2" w:space="0" w:color="auto"/>
              <w:right w:val="nil"/>
            </w:tcBorders>
            <w:shd w:val="clear" w:color="auto" w:fill="auto"/>
            <w:noWrap/>
            <w:vAlign w:val="center"/>
            <w:hideMark/>
          </w:tcPr>
          <w:p w14:paraId="5B609E6C"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24,8</w:t>
            </w:r>
          </w:p>
        </w:tc>
        <w:tc>
          <w:tcPr>
            <w:tcW w:w="882" w:type="dxa"/>
            <w:tcBorders>
              <w:top w:val="single" w:sz="4" w:space="0" w:color="auto"/>
              <w:left w:val="nil"/>
              <w:bottom w:val="single" w:sz="2" w:space="0" w:color="auto"/>
              <w:right w:val="nil"/>
            </w:tcBorders>
            <w:shd w:val="clear" w:color="auto" w:fill="auto"/>
            <w:noWrap/>
            <w:vAlign w:val="center"/>
            <w:hideMark/>
          </w:tcPr>
          <w:p w14:paraId="24AA89E6"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235</w:t>
            </w:r>
          </w:p>
        </w:tc>
        <w:tc>
          <w:tcPr>
            <w:tcW w:w="914" w:type="dxa"/>
            <w:tcBorders>
              <w:top w:val="single" w:sz="4" w:space="0" w:color="auto"/>
              <w:left w:val="nil"/>
              <w:bottom w:val="single" w:sz="2" w:space="0" w:color="auto"/>
              <w:right w:val="nil"/>
            </w:tcBorders>
            <w:shd w:val="clear" w:color="auto" w:fill="auto"/>
            <w:noWrap/>
            <w:vAlign w:val="center"/>
            <w:hideMark/>
          </w:tcPr>
          <w:p w14:paraId="3D790F47"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16,8</w:t>
            </w:r>
          </w:p>
        </w:tc>
        <w:tc>
          <w:tcPr>
            <w:tcW w:w="929" w:type="dxa"/>
            <w:tcBorders>
              <w:top w:val="single" w:sz="4" w:space="0" w:color="auto"/>
              <w:left w:val="nil"/>
              <w:bottom w:val="single" w:sz="2" w:space="0" w:color="auto"/>
              <w:right w:val="nil"/>
            </w:tcBorders>
            <w:shd w:val="clear" w:color="auto" w:fill="auto"/>
            <w:noWrap/>
            <w:vAlign w:val="center"/>
            <w:hideMark/>
          </w:tcPr>
          <w:p w14:paraId="684BDEA6"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176</w:t>
            </w:r>
          </w:p>
        </w:tc>
        <w:tc>
          <w:tcPr>
            <w:tcW w:w="878" w:type="dxa"/>
            <w:tcBorders>
              <w:top w:val="single" w:sz="4" w:space="0" w:color="auto"/>
              <w:left w:val="nil"/>
              <w:bottom w:val="single" w:sz="2" w:space="0" w:color="auto"/>
              <w:right w:val="nil"/>
            </w:tcBorders>
            <w:shd w:val="clear" w:color="auto" w:fill="auto"/>
            <w:noWrap/>
            <w:vAlign w:val="center"/>
            <w:hideMark/>
          </w:tcPr>
          <w:p w14:paraId="41A96790"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15,8</w:t>
            </w:r>
          </w:p>
        </w:tc>
      </w:tr>
      <w:tr w:rsidR="0088085F" w:rsidRPr="00723826" w14:paraId="0F549B15" w14:textId="77777777" w:rsidTr="005A7814">
        <w:trPr>
          <w:trHeight w:val="255"/>
          <w:jc w:val="center"/>
        </w:trPr>
        <w:tc>
          <w:tcPr>
            <w:tcW w:w="3164" w:type="dxa"/>
            <w:tcBorders>
              <w:top w:val="single" w:sz="2" w:space="0" w:color="auto"/>
              <w:left w:val="nil"/>
              <w:bottom w:val="single" w:sz="4" w:space="0" w:color="auto"/>
              <w:right w:val="nil"/>
            </w:tcBorders>
            <w:shd w:val="clear" w:color="auto" w:fill="auto"/>
            <w:noWrap/>
            <w:vAlign w:val="center"/>
            <w:hideMark/>
          </w:tcPr>
          <w:p w14:paraId="09A24E1B" w14:textId="77777777" w:rsidR="0088085F" w:rsidRPr="00723826" w:rsidRDefault="0088085F" w:rsidP="00F829E8">
            <w:pPr>
              <w:pStyle w:val="cuatexto"/>
              <w:jc w:val="left"/>
              <w:rPr>
                <w:sz w:val="18"/>
                <w:szCs w:val="18"/>
                <w:lang w:val="es-ES" w:eastAsia="es-ES"/>
              </w:rPr>
            </w:pPr>
            <w:r w:rsidRPr="00723826">
              <w:rPr>
                <w:sz w:val="18"/>
                <w:szCs w:val="18"/>
                <w:lang w:val="es-ES" w:eastAsia="es-ES"/>
              </w:rPr>
              <w:t>Transferencias de capital</w:t>
            </w:r>
          </w:p>
        </w:tc>
        <w:tc>
          <w:tcPr>
            <w:tcW w:w="1066" w:type="dxa"/>
            <w:tcBorders>
              <w:top w:val="single" w:sz="2" w:space="0" w:color="auto"/>
              <w:left w:val="nil"/>
              <w:bottom w:val="single" w:sz="4" w:space="0" w:color="auto"/>
              <w:right w:val="nil"/>
            </w:tcBorders>
            <w:shd w:val="clear" w:color="auto" w:fill="auto"/>
            <w:noWrap/>
            <w:vAlign w:val="center"/>
            <w:hideMark/>
          </w:tcPr>
          <w:p w14:paraId="329B0866"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10</w:t>
            </w:r>
          </w:p>
        </w:tc>
        <w:tc>
          <w:tcPr>
            <w:tcW w:w="995" w:type="dxa"/>
            <w:tcBorders>
              <w:top w:val="single" w:sz="2" w:space="0" w:color="auto"/>
              <w:left w:val="nil"/>
              <w:bottom w:val="single" w:sz="4" w:space="0" w:color="auto"/>
              <w:right w:val="nil"/>
            </w:tcBorders>
            <w:shd w:val="clear" w:color="auto" w:fill="auto"/>
            <w:noWrap/>
            <w:vAlign w:val="center"/>
            <w:hideMark/>
          </w:tcPr>
          <w:p w14:paraId="009DF971"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0,9</w:t>
            </w:r>
          </w:p>
        </w:tc>
        <w:tc>
          <w:tcPr>
            <w:tcW w:w="882" w:type="dxa"/>
            <w:tcBorders>
              <w:top w:val="single" w:sz="2" w:space="0" w:color="auto"/>
              <w:left w:val="nil"/>
              <w:bottom w:val="single" w:sz="4" w:space="0" w:color="auto"/>
              <w:right w:val="nil"/>
            </w:tcBorders>
            <w:shd w:val="clear" w:color="auto" w:fill="auto"/>
            <w:noWrap/>
            <w:vAlign w:val="center"/>
            <w:hideMark/>
          </w:tcPr>
          <w:p w14:paraId="477702FF"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7</w:t>
            </w:r>
          </w:p>
        </w:tc>
        <w:tc>
          <w:tcPr>
            <w:tcW w:w="914" w:type="dxa"/>
            <w:tcBorders>
              <w:top w:val="single" w:sz="2" w:space="0" w:color="auto"/>
              <w:left w:val="nil"/>
              <w:bottom w:val="single" w:sz="4" w:space="0" w:color="auto"/>
              <w:right w:val="nil"/>
            </w:tcBorders>
            <w:shd w:val="clear" w:color="auto" w:fill="auto"/>
            <w:noWrap/>
            <w:vAlign w:val="center"/>
            <w:hideMark/>
          </w:tcPr>
          <w:p w14:paraId="3BBACB27"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0,5</w:t>
            </w:r>
          </w:p>
        </w:tc>
        <w:tc>
          <w:tcPr>
            <w:tcW w:w="929" w:type="dxa"/>
            <w:tcBorders>
              <w:top w:val="single" w:sz="2" w:space="0" w:color="auto"/>
              <w:left w:val="nil"/>
              <w:bottom w:val="single" w:sz="4" w:space="0" w:color="auto"/>
              <w:right w:val="nil"/>
            </w:tcBorders>
            <w:shd w:val="clear" w:color="auto" w:fill="auto"/>
            <w:noWrap/>
            <w:vAlign w:val="center"/>
            <w:hideMark/>
          </w:tcPr>
          <w:p w14:paraId="0810664C"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5</w:t>
            </w:r>
          </w:p>
        </w:tc>
        <w:tc>
          <w:tcPr>
            <w:tcW w:w="878" w:type="dxa"/>
            <w:tcBorders>
              <w:top w:val="single" w:sz="2" w:space="0" w:color="auto"/>
              <w:left w:val="nil"/>
              <w:bottom w:val="single" w:sz="4" w:space="0" w:color="auto"/>
              <w:right w:val="nil"/>
            </w:tcBorders>
            <w:shd w:val="clear" w:color="auto" w:fill="auto"/>
            <w:noWrap/>
            <w:vAlign w:val="center"/>
            <w:hideMark/>
          </w:tcPr>
          <w:p w14:paraId="78311DE4"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0,5</w:t>
            </w:r>
          </w:p>
        </w:tc>
      </w:tr>
      <w:tr w:rsidR="0088085F" w:rsidRPr="00723826" w14:paraId="04E803FF" w14:textId="77777777" w:rsidTr="005A7814">
        <w:trPr>
          <w:trHeight w:val="255"/>
          <w:jc w:val="center"/>
        </w:trPr>
        <w:tc>
          <w:tcPr>
            <w:tcW w:w="3164" w:type="dxa"/>
            <w:tcBorders>
              <w:top w:val="single" w:sz="4" w:space="0" w:color="auto"/>
              <w:left w:val="nil"/>
              <w:bottom w:val="single" w:sz="4" w:space="0" w:color="auto"/>
              <w:right w:val="nil"/>
            </w:tcBorders>
            <w:shd w:val="clear" w:color="auto" w:fill="auto"/>
            <w:noWrap/>
            <w:vAlign w:val="center"/>
            <w:hideMark/>
          </w:tcPr>
          <w:p w14:paraId="3BCE33CB" w14:textId="77777777" w:rsidR="0088085F" w:rsidRPr="00723826" w:rsidRDefault="00723826" w:rsidP="00F829E8">
            <w:pPr>
              <w:pStyle w:val="cuatexto"/>
              <w:jc w:val="left"/>
              <w:rPr>
                <w:b/>
                <w:bCs/>
                <w:iCs/>
                <w:sz w:val="18"/>
                <w:szCs w:val="18"/>
                <w:lang w:val="es-ES" w:eastAsia="es-ES"/>
              </w:rPr>
            </w:pPr>
            <w:r w:rsidRPr="00723826">
              <w:rPr>
                <w:b/>
                <w:bCs/>
                <w:iCs/>
                <w:sz w:val="18"/>
                <w:szCs w:val="18"/>
                <w:lang w:val="es-ES" w:eastAsia="es-ES"/>
              </w:rPr>
              <w:t>Operaciones de capital</w:t>
            </w:r>
          </w:p>
        </w:tc>
        <w:tc>
          <w:tcPr>
            <w:tcW w:w="1066" w:type="dxa"/>
            <w:tcBorders>
              <w:top w:val="single" w:sz="4" w:space="0" w:color="auto"/>
              <w:left w:val="nil"/>
              <w:bottom w:val="single" w:sz="4" w:space="0" w:color="auto"/>
              <w:right w:val="nil"/>
            </w:tcBorders>
            <w:shd w:val="clear" w:color="auto" w:fill="auto"/>
            <w:noWrap/>
            <w:vAlign w:val="center"/>
            <w:hideMark/>
          </w:tcPr>
          <w:p w14:paraId="70A5D14E" w14:textId="77777777" w:rsidR="0088085F" w:rsidRPr="00723826" w:rsidRDefault="0088085F" w:rsidP="00F829E8">
            <w:pPr>
              <w:pStyle w:val="cuatexto"/>
              <w:jc w:val="right"/>
              <w:rPr>
                <w:b/>
                <w:bCs/>
                <w:iCs/>
                <w:color w:val="000000"/>
                <w:sz w:val="18"/>
                <w:szCs w:val="18"/>
                <w:lang w:val="es-ES" w:eastAsia="es-ES"/>
              </w:rPr>
            </w:pPr>
            <w:r w:rsidRPr="00723826">
              <w:rPr>
                <w:b/>
                <w:bCs/>
                <w:iCs/>
                <w:color w:val="000000"/>
                <w:sz w:val="18"/>
                <w:szCs w:val="18"/>
                <w:lang w:val="es-ES" w:eastAsia="es-ES"/>
              </w:rPr>
              <w:t>303</w:t>
            </w:r>
          </w:p>
        </w:tc>
        <w:tc>
          <w:tcPr>
            <w:tcW w:w="995" w:type="dxa"/>
            <w:tcBorders>
              <w:top w:val="single" w:sz="4" w:space="0" w:color="auto"/>
              <w:left w:val="nil"/>
              <w:bottom w:val="single" w:sz="4" w:space="0" w:color="auto"/>
              <w:right w:val="nil"/>
            </w:tcBorders>
            <w:shd w:val="clear" w:color="auto" w:fill="auto"/>
            <w:noWrap/>
            <w:vAlign w:val="center"/>
            <w:hideMark/>
          </w:tcPr>
          <w:p w14:paraId="245B8005" w14:textId="77777777" w:rsidR="0088085F" w:rsidRPr="00723826" w:rsidRDefault="0088085F" w:rsidP="00F829E8">
            <w:pPr>
              <w:pStyle w:val="cuatexto"/>
              <w:jc w:val="right"/>
              <w:rPr>
                <w:b/>
                <w:bCs/>
                <w:iCs/>
                <w:sz w:val="18"/>
                <w:szCs w:val="18"/>
                <w:lang w:val="es-ES" w:eastAsia="es-ES"/>
              </w:rPr>
            </w:pPr>
            <w:r w:rsidRPr="00723826">
              <w:rPr>
                <w:b/>
                <w:bCs/>
                <w:iCs/>
                <w:sz w:val="18"/>
                <w:szCs w:val="18"/>
                <w:lang w:val="es-ES" w:eastAsia="es-ES"/>
              </w:rPr>
              <w:t>25,6</w:t>
            </w:r>
          </w:p>
        </w:tc>
        <w:tc>
          <w:tcPr>
            <w:tcW w:w="882" w:type="dxa"/>
            <w:tcBorders>
              <w:top w:val="single" w:sz="4" w:space="0" w:color="auto"/>
              <w:left w:val="nil"/>
              <w:bottom w:val="single" w:sz="4" w:space="0" w:color="auto"/>
              <w:right w:val="nil"/>
            </w:tcBorders>
            <w:shd w:val="clear" w:color="auto" w:fill="auto"/>
            <w:noWrap/>
            <w:vAlign w:val="center"/>
            <w:hideMark/>
          </w:tcPr>
          <w:p w14:paraId="654AFBD5" w14:textId="77777777" w:rsidR="0088085F" w:rsidRPr="00723826" w:rsidRDefault="0088085F" w:rsidP="00F829E8">
            <w:pPr>
              <w:pStyle w:val="cuatexto"/>
              <w:jc w:val="right"/>
              <w:rPr>
                <w:b/>
                <w:bCs/>
                <w:iCs/>
                <w:color w:val="000000"/>
                <w:sz w:val="18"/>
                <w:szCs w:val="18"/>
                <w:lang w:val="es-ES" w:eastAsia="es-ES"/>
              </w:rPr>
            </w:pPr>
            <w:r w:rsidRPr="00723826">
              <w:rPr>
                <w:b/>
                <w:bCs/>
                <w:iCs/>
                <w:color w:val="000000"/>
                <w:sz w:val="18"/>
                <w:szCs w:val="18"/>
                <w:lang w:val="es-ES" w:eastAsia="es-ES"/>
              </w:rPr>
              <w:t>242</w:t>
            </w:r>
          </w:p>
        </w:tc>
        <w:tc>
          <w:tcPr>
            <w:tcW w:w="914" w:type="dxa"/>
            <w:tcBorders>
              <w:top w:val="single" w:sz="4" w:space="0" w:color="auto"/>
              <w:left w:val="nil"/>
              <w:bottom w:val="single" w:sz="4" w:space="0" w:color="auto"/>
              <w:right w:val="nil"/>
            </w:tcBorders>
            <w:shd w:val="clear" w:color="auto" w:fill="auto"/>
            <w:noWrap/>
            <w:vAlign w:val="center"/>
            <w:hideMark/>
          </w:tcPr>
          <w:p w14:paraId="08AC072E" w14:textId="77777777" w:rsidR="0088085F" w:rsidRPr="00723826" w:rsidRDefault="0088085F" w:rsidP="00F829E8">
            <w:pPr>
              <w:pStyle w:val="cuatexto"/>
              <w:jc w:val="right"/>
              <w:rPr>
                <w:b/>
                <w:bCs/>
                <w:iCs/>
                <w:sz w:val="18"/>
                <w:szCs w:val="18"/>
                <w:lang w:val="es-ES" w:eastAsia="es-ES"/>
              </w:rPr>
            </w:pPr>
            <w:r w:rsidRPr="00723826">
              <w:rPr>
                <w:b/>
                <w:bCs/>
                <w:iCs/>
                <w:sz w:val="18"/>
                <w:szCs w:val="18"/>
                <w:lang w:val="es-ES" w:eastAsia="es-ES"/>
              </w:rPr>
              <w:t>17,3</w:t>
            </w:r>
          </w:p>
        </w:tc>
        <w:tc>
          <w:tcPr>
            <w:tcW w:w="929" w:type="dxa"/>
            <w:tcBorders>
              <w:top w:val="single" w:sz="4" w:space="0" w:color="auto"/>
              <w:left w:val="nil"/>
              <w:bottom w:val="single" w:sz="4" w:space="0" w:color="auto"/>
              <w:right w:val="nil"/>
            </w:tcBorders>
            <w:shd w:val="clear" w:color="auto" w:fill="auto"/>
            <w:noWrap/>
            <w:vAlign w:val="center"/>
            <w:hideMark/>
          </w:tcPr>
          <w:p w14:paraId="4A9C194C" w14:textId="77777777" w:rsidR="0088085F" w:rsidRPr="00723826" w:rsidRDefault="0088085F" w:rsidP="00F829E8">
            <w:pPr>
              <w:pStyle w:val="cuatexto"/>
              <w:jc w:val="right"/>
              <w:rPr>
                <w:b/>
                <w:bCs/>
                <w:iCs/>
                <w:color w:val="000000"/>
                <w:sz w:val="18"/>
                <w:szCs w:val="18"/>
                <w:lang w:val="es-ES" w:eastAsia="es-ES"/>
              </w:rPr>
            </w:pPr>
            <w:r w:rsidRPr="00723826">
              <w:rPr>
                <w:b/>
                <w:bCs/>
                <w:iCs/>
                <w:color w:val="000000"/>
                <w:sz w:val="18"/>
                <w:szCs w:val="18"/>
                <w:lang w:val="es-ES" w:eastAsia="es-ES"/>
              </w:rPr>
              <w:t>181</w:t>
            </w:r>
          </w:p>
        </w:tc>
        <w:tc>
          <w:tcPr>
            <w:tcW w:w="878" w:type="dxa"/>
            <w:tcBorders>
              <w:top w:val="single" w:sz="4" w:space="0" w:color="auto"/>
              <w:left w:val="nil"/>
              <w:bottom w:val="single" w:sz="4" w:space="0" w:color="auto"/>
              <w:right w:val="nil"/>
            </w:tcBorders>
            <w:shd w:val="clear" w:color="auto" w:fill="auto"/>
            <w:noWrap/>
            <w:vAlign w:val="center"/>
            <w:hideMark/>
          </w:tcPr>
          <w:p w14:paraId="61834B2E" w14:textId="77777777" w:rsidR="0088085F" w:rsidRPr="00723826" w:rsidRDefault="0088085F" w:rsidP="00F829E8">
            <w:pPr>
              <w:pStyle w:val="cuatexto"/>
              <w:jc w:val="right"/>
              <w:rPr>
                <w:b/>
                <w:bCs/>
                <w:iCs/>
                <w:sz w:val="18"/>
                <w:szCs w:val="18"/>
                <w:lang w:val="es-ES" w:eastAsia="es-ES"/>
              </w:rPr>
            </w:pPr>
            <w:r w:rsidRPr="00723826">
              <w:rPr>
                <w:b/>
                <w:bCs/>
                <w:iCs/>
                <w:sz w:val="18"/>
                <w:szCs w:val="18"/>
                <w:lang w:val="es-ES" w:eastAsia="es-ES"/>
              </w:rPr>
              <w:t>16,3</w:t>
            </w:r>
          </w:p>
        </w:tc>
      </w:tr>
      <w:tr w:rsidR="0088085F" w:rsidRPr="00723826" w14:paraId="375C1374" w14:textId="77777777" w:rsidTr="005A7814">
        <w:trPr>
          <w:trHeight w:val="255"/>
          <w:jc w:val="center"/>
        </w:trPr>
        <w:tc>
          <w:tcPr>
            <w:tcW w:w="3164" w:type="dxa"/>
            <w:tcBorders>
              <w:top w:val="single" w:sz="4" w:space="0" w:color="auto"/>
              <w:left w:val="nil"/>
              <w:bottom w:val="single" w:sz="2" w:space="0" w:color="auto"/>
              <w:right w:val="nil"/>
            </w:tcBorders>
            <w:shd w:val="clear" w:color="auto" w:fill="auto"/>
            <w:noWrap/>
            <w:vAlign w:val="center"/>
            <w:hideMark/>
          </w:tcPr>
          <w:p w14:paraId="53EE10C6" w14:textId="77777777" w:rsidR="0088085F" w:rsidRPr="00723826" w:rsidRDefault="0088085F" w:rsidP="00F829E8">
            <w:pPr>
              <w:pStyle w:val="cuatexto"/>
              <w:jc w:val="left"/>
              <w:rPr>
                <w:sz w:val="18"/>
                <w:szCs w:val="18"/>
                <w:lang w:val="es-ES" w:eastAsia="es-ES"/>
              </w:rPr>
            </w:pPr>
            <w:r w:rsidRPr="00723826">
              <w:rPr>
                <w:sz w:val="18"/>
                <w:szCs w:val="18"/>
                <w:lang w:val="es-ES" w:eastAsia="es-ES"/>
              </w:rPr>
              <w:t>Activos financieros</w:t>
            </w:r>
          </w:p>
        </w:tc>
        <w:tc>
          <w:tcPr>
            <w:tcW w:w="1066" w:type="dxa"/>
            <w:tcBorders>
              <w:top w:val="single" w:sz="4" w:space="0" w:color="auto"/>
              <w:left w:val="nil"/>
              <w:bottom w:val="single" w:sz="2" w:space="0" w:color="auto"/>
              <w:right w:val="nil"/>
            </w:tcBorders>
            <w:shd w:val="clear" w:color="auto" w:fill="auto"/>
            <w:noWrap/>
            <w:vAlign w:val="center"/>
            <w:hideMark/>
          </w:tcPr>
          <w:p w14:paraId="6F064C2D"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1</w:t>
            </w:r>
          </w:p>
        </w:tc>
        <w:tc>
          <w:tcPr>
            <w:tcW w:w="995" w:type="dxa"/>
            <w:tcBorders>
              <w:top w:val="single" w:sz="4" w:space="0" w:color="auto"/>
              <w:left w:val="nil"/>
              <w:bottom w:val="single" w:sz="2" w:space="0" w:color="auto"/>
              <w:right w:val="nil"/>
            </w:tcBorders>
            <w:shd w:val="clear" w:color="auto" w:fill="auto"/>
            <w:noWrap/>
            <w:vAlign w:val="center"/>
            <w:hideMark/>
          </w:tcPr>
          <w:p w14:paraId="5FA548CA"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0,1</w:t>
            </w:r>
          </w:p>
        </w:tc>
        <w:tc>
          <w:tcPr>
            <w:tcW w:w="882" w:type="dxa"/>
            <w:tcBorders>
              <w:top w:val="single" w:sz="4" w:space="0" w:color="auto"/>
              <w:left w:val="nil"/>
              <w:bottom w:val="single" w:sz="2" w:space="0" w:color="auto"/>
              <w:right w:val="nil"/>
            </w:tcBorders>
            <w:shd w:val="clear" w:color="auto" w:fill="auto"/>
            <w:noWrap/>
            <w:vAlign w:val="center"/>
            <w:hideMark/>
          </w:tcPr>
          <w:p w14:paraId="62E663B1"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1</w:t>
            </w:r>
          </w:p>
        </w:tc>
        <w:tc>
          <w:tcPr>
            <w:tcW w:w="914" w:type="dxa"/>
            <w:tcBorders>
              <w:top w:val="single" w:sz="4" w:space="0" w:color="auto"/>
              <w:left w:val="nil"/>
              <w:bottom w:val="single" w:sz="2" w:space="0" w:color="auto"/>
              <w:right w:val="nil"/>
            </w:tcBorders>
            <w:shd w:val="clear" w:color="auto" w:fill="auto"/>
            <w:noWrap/>
            <w:vAlign w:val="center"/>
            <w:hideMark/>
          </w:tcPr>
          <w:p w14:paraId="3B8B763C"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0,1</w:t>
            </w:r>
          </w:p>
        </w:tc>
        <w:tc>
          <w:tcPr>
            <w:tcW w:w="929" w:type="dxa"/>
            <w:tcBorders>
              <w:top w:val="single" w:sz="4" w:space="0" w:color="auto"/>
              <w:left w:val="nil"/>
              <w:bottom w:val="single" w:sz="2" w:space="0" w:color="auto"/>
              <w:right w:val="nil"/>
            </w:tcBorders>
            <w:shd w:val="clear" w:color="auto" w:fill="auto"/>
            <w:noWrap/>
            <w:vAlign w:val="center"/>
            <w:hideMark/>
          </w:tcPr>
          <w:p w14:paraId="7043BC14"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2</w:t>
            </w:r>
          </w:p>
        </w:tc>
        <w:tc>
          <w:tcPr>
            <w:tcW w:w="878" w:type="dxa"/>
            <w:tcBorders>
              <w:top w:val="single" w:sz="4" w:space="0" w:color="auto"/>
              <w:left w:val="nil"/>
              <w:bottom w:val="single" w:sz="2" w:space="0" w:color="auto"/>
              <w:right w:val="nil"/>
            </w:tcBorders>
            <w:shd w:val="clear" w:color="auto" w:fill="auto"/>
            <w:noWrap/>
            <w:vAlign w:val="center"/>
            <w:hideMark/>
          </w:tcPr>
          <w:p w14:paraId="719334C3"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0,1</w:t>
            </w:r>
          </w:p>
        </w:tc>
      </w:tr>
      <w:tr w:rsidR="0088085F" w:rsidRPr="00723826" w14:paraId="01EA1726" w14:textId="77777777" w:rsidTr="005A7814">
        <w:trPr>
          <w:trHeight w:val="255"/>
          <w:jc w:val="center"/>
        </w:trPr>
        <w:tc>
          <w:tcPr>
            <w:tcW w:w="3164" w:type="dxa"/>
            <w:tcBorders>
              <w:top w:val="single" w:sz="2" w:space="0" w:color="auto"/>
              <w:left w:val="nil"/>
              <w:bottom w:val="single" w:sz="4" w:space="0" w:color="auto"/>
              <w:right w:val="nil"/>
            </w:tcBorders>
            <w:shd w:val="clear" w:color="auto" w:fill="auto"/>
            <w:noWrap/>
            <w:vAlign w:val="center"/>
            <w:hideMark/>
          </w:tcPr>
          <w:p w14:paraId="6263114B" w14:textId="77777777" w:rsidR="0088085F" w:rsidRPr="00723826" w:rsidRDefault="0088085F" w:rsidP="00F829E8">
            <w:pPr>
              <w:pStyle w:val="cuatexto"/>
              <w:jc w:val="left"/>
              <w:rPr>
                <w:sz w:val="18"/>
                <w:szCs w:val="18"/>
                <w:lang w:val="es-ES" w:eastAsia="es-ES"/>
              </w:rPr>
            </w:pPr>
            <w:r w:rsidRPr="00723826">
              <w:rPr>
                <w:sz w:val="18"/>
                <w:szCs w:val="18"/>
                <w:lang w:val="es-ES" w:eastAsia="es-ES"/>
              </w:rPr>
              <w:t>Pasivos financieros</w:t>
            </w:r>
          </w:p>
        </w:tc>
        <w:tc>
          <w:tcPr>
            <w:tcW w:w="1066" w:type="dxa"/>
            <w:tcBorders>
              <w:top w:val="single" w:sz="2" w:space="0" w:color="auto"/>
              <w:left w:val="nil"/>
              <w:bottom w:val="single" w:sz="4" w:space="0" w:color="auto"/>
              <w:right w:val="nil"/>
            </w:tcBorders>
            <w:shd w:val="clear" w:color="auto" w:fill="auto"/>
            <w:noWrap/>
            <w:vAlign w:val="center"/>
            <w:hideMark/>
          </w:tcPr>
          <w:p w14:paraId="0D9B6761"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39</w:t>
            </w:r>
          </w:p>
        </w:tc>
        <w:tc>
          <w:tcPr>
            <w:tcW w:w="995" w:type="dxa"/>
            <w:tcBorders>
              <w:top w:val="single" w:sz="2" w:space="0" w:color="auto"/>
              <w:left w:val="nil"/>
              <w:bottom w:val="single" w:sz="4" w:space="0" w:color="auto"/>
              <w:right w:val="nil"/>
            </w:tcBorders>
            <w:shd w:val="clear" w:color="auto" w:fill="auto"/>
            <w:noWrap/>
            <w:vAlign w:val="center"/>
            <w:hideMark/>
          </w:tcPr>
          <w:p w14:paraId="1DD9B4C1"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3,3</w:t>
            </w:r>
          </w:p>
        </w:tc>
        <w:tc>
          <w:tcPr>
            <w:tcW w:w="882" w:type="dxa"/>
            <w:tcBorders>
              <w:top w:val="single" w:sz="2" w:space="0" w:color="auto"/>
              <w:left w:val="nil"/>
              <w:bottom w:val="single" w:sz="4" w:space="0" w:color="auto"/>
              <w:right w:val="nil"/>
            </w:tcBorders>
            <w:shd w:val="clear" w:color="auto" w:fill="auto"/>
            <w:noWrap/>
            <w:vAlign w:val="center"/>
            <w:hideMark/>
          </w:tcPr>
          <w:p w14:paraId="43F812A6"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26</w:t>
            </w:r>
          </w:p>
        </w:tc>
        <w:tc>
          <w:tcPr>
            <w:tcW w:w="914" w:type="dxa"/>
            <w:tcBorders>
              <w:top w:val="single" w:sz="2" w:space="0" w:color="auto"/>
              <w:left w:val="nil"/>
              <w:bottom w:val="single" w:sz="4" w:space="0" w:color="auto"/>
              <w:right w:val="nil"/>
            </w:tcBorders>
            <w:shd w:val="clear" w:color="auto" w:fill="auto"/>
            <w:noWrap/>
            <w:vAlign w:val="center"/>
            <w:hideMark/>
          </w:tcPr>
          <w:p w14:paraId="1EF04F89"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1,9</w:t>
            </w:r>
          </w:p>
        </w:tc>
        <w:tc>
          <w:tcPr>
            <w:tcW w:w="929" w:type="dxa"/>
            <w:tcBorders>
              <w:top w:val="single" w:sz="2" w:space="0" w:color="auto"/>
              <w:left w:val="nil"/>
              <w:bottom w:val="single" w:sz="4" w:space="0" w:color="auto"/>
              <w:right w:val="nil"/>
            </w:tcBorders>
            <w:shd w:val="clear" w:color="auto" w:fill="auto"/>
            <w:noWrap/>
            <w:vAlign w:val="center"/>
            <w:hideMark/>
          </w:tcPr>
          <w:p w14:paraId="0427FD76" w14:textId="77777777" w:rsidR="0088085F" w:rsidRPr="00723826" w:rsidRDefault="0088085F" w:rsidP="00F829E8">
            <w:pPr>
              <w:pStyle w:val="cuatexto"/>
              <w:jc w:val="right"/>
              <w:rPr>
                <w:color w:val="000000"/>
                <w:sz w:val="18"/>
                <w:szCs w:val="18"/>
                <w:lang w:val="es-ES" w:eastAsia="es-ES"/>
              </w:rPr>
            </w:pPr>
            <w:r w:rsidRPr="00723826">
              <w:rPr>
                <w:color w:val="000000"/>
                <w:sz w:val="18"/>
                <w:szCs w:val="18"/>
                <w:lang w:val="es-ES" w:eastAsia="es-ES"/>
              </w:rPr>
              <w:t>75</w:t>
            </w:r>
          </w:p>
        </w:tc>
        <w:tc>
          <w:tcPr>
            <w:tcW w:w="878" w:type="dxa"/>
            <w:tcBorders>
              <w:top w:val="single" w:sz="2" w:space="0" w:color="auto"/>
              <w:left w:val="nil"/>
              <w:bottom w:val="single" w:sz="4" w:space="0" w:color="auto"/>
              <w:right w:val="nil"/>
            </w:tcBorders>
            <w:shd w:val="clear" w:color="auto" w:fill="auto"/>
            <w:noWrap/>
            <w:vAlign w:val="center"/>
            <w:hideMark/>
          </w:tcPr>
          <w:p w14:paraId="0D333E4F" w14:textId="77777777" w:rsidR="0088085F" w:rsidRPr="00723826" w:rsidRDefault="0088085F" w:rsidP="00F829E8">
            <w:pPr>
              <w:pStyle w:val="cuatexto"/>
              <w:jc w:val="right"/>
              <w:rPr>
                <w:sz w:val="18"/>
                <w:szCs w:val="18"/>
                <w:lang w:val="es-ES" w:eastAsia="es-ES"/>
              </w:rPr>
            </w:pPr>
            <w:r w:rsidRPr="00723826">
              <w:rPr>
                <w:sz w:val="18"/>
                <w:szCs w:val="18"/>
                <w:lang w:val="es-ES" w:eastAsia="es-ES"/>
              </w:rPr>
              <w:t>6,7</w:t>
            </w:r>
          </w:p>
        </w:tc>
      </w:tr>
      <w:tr w:rsidR="0088085F" w:rsidRPr="00723826" w14:paraId="550FAA87" w14:textId="77777777" w:rsidTr="005A7814">
        <w:trPr>
          <w:trHeight w:val="255"/>
          <w:jc w:val="center"/>
        </w:trPr>
        <w:tc>
          <w:tcPr>
            <w:tcW w:w="3164" w:type="dxa"/>
            <w:tcBorders>
              <w:top w:val="single" w:sz="4" w:space="0" w:color="auto"/>
              <w:left w:val="nil"/>
              <w:bottom w:val="single" w:sz="4" w:space="0" w:color="auto"/>
              <w:right w:val="nil"/>
            </w:tcBorders>
            <w:shd w:val="clear" w:color="auto" w:fill="auto"/>
            <w:noWrap/>
            <w:vAlign w:val="center"/>
            <w:hideMark/>
          </w:tcPr>
          <w:p w14:paraId="0C86B3FF" w14:textId="77777777" w:rsidR="0088085F" w:rsidRPr="00723826" w:rsidRDefault="00723826" w:rsidP="00F829E8">
            <w:pPr>
              <w:pStyle w:val="cuatexto"/>
              <w:jc w:val="left"/>
              <w:rPr>
                <w:b/>
                <w:bCs/>
                <w:iCs/>
                <w:sz w:val="18"/>
                <w:szCs w:val="18"/>
                <w:lang w:val="es-ES" w:eastAsia="es-ES"/>
              </w:rPr>
            </w:pPr>
            <w:r w:rsidRPr="00723826">
              <w:rPr>
                <w:b/>
                <w:bCs/>
                <w:iCs/>
                <w:sz w:val="18"/>
                <w:szCs w:val="18"/>
                <w:lang w:val="es-ES" w:eastAsia="es-ES"/>
              </w:rPr>
              <w:t>Operaciones financieras</w:t>
            </w:r>
          </w:p>
        </w:tc>
        <w:tc>
          <w:tcPr>
            <w:tcW w:w="1066" w:type="dxa"/>
            <w:tcBorders>
              <w:top w:val="single" w:sz="4" w:space="0" w:color="auto"/>
              <w:left w:val="nil"/>
              <w:bottom w:val="single" w:sz="4" w:space="0" w:color="auto"/>
              <w:right w:val="nil"/>
            </w:tcBorders>
            <w:shd w:val="clear" w:color="auto" w:fill="auto"/>
            <w:noWrap/>
            <w:vAlign w:val="center"/>
            <w:hideMark/>
          </w:tcPr>
          <w:p w14:paraId="26B3F10B" w14:textId="77777777" w:rsidR="0088085F" w:rsidRPr="00723826" w:rsidRDefault="0088085F" w:rsidP="00F829E8">
            <w:pPr>
              <w:pStyle w:val="cuatexto"/>
              <w:jc w:val="right"/>
              <w:rPr>
                <w:b/>
                <w:bCs/>
                <w:iCs/>
                <w:color w:val="000000"/>
                <w:sz w:val="18"/>
                <w:szCs w:val="18"/>
                <w:lang w:val="es-ES" w:eastAsia="es-ES"/>
              </w:rPr>
            </w:pPr>
            <w:r w:rsidRPr="00723826">
              <w:rPr>
                <w:b/>
                <w:bCs/>
                <w:iCs/>
                <w:color w:val="000000"/>
                <w:sz w:val="18"/>
                <w:szCs w:val="18"/>
                <w:lang w:val="es-ES" w:eastAsia="es-ES"/>
              </w:rPr>
              <w:t>40</w:t>
            </w:r>
          </w:p>
        </w:tc>
        <w:tc>
          <w:tcPr>
            <w:tcW w:w="995" w:type="dxa"/>
            <w:tcBorders>
              <w:top w:val="single" w:sz="4" w:space="0" w:color="auto"/>
              <w:left w:val="nil"/>
              <w:bottom w:val="single" w:sz="4" w:space="0" w:color="auto"/>
              <w:right w:val="nil"/>
            </w:tcBorders>
            <w:shd w:val="clear" w:color="auto" w:fill="auto"/>
            <w:noWrap/>
            <w:vAlign w:val="center"/>
            <w:hideMark/>
          </w:tcPr>
          <w:p w14:paraId="6032EE54" w14:textId="77777777" w:rsidR="0088085F" w:rsidRPr="00723826" w:rsidRDefault="0088085F" w:rsidP="00F829E8">
            <w:pPr>
              <w:pStyle w:val="cuatexto"/>
              <w:jc w:val="right"/>
              <w:rPr>
                <w:b/>
                <w:bCs/>
                <w:iCs/>
                <w:sz w:val="18"/>
                <w:szCs w:val="18"/>
                <w:lang w:val="es-ES" w:eastAsia="es-ES"/>
              </w:rPr>
            </w:pPr>
            <w:r w:rsidRPr="00723826">
              <w:rPr>
                <w:b/>
                <w:bCs/>
                <w:iCs/>
                <w:sz w:val="18"/>
                <w:szCs w:val="18"/>
                <w:lang w:val="es-ES" w:eastAsia="es-ES"/>
              </w:rPr>
              <w:t>3,4</w:t>
            </w:r>
          </w:p>
        </w:tc>
        <w:tc>
          <w:tcPr>
            <w:tcW w:w="882" w:type="dxa"/>
            <w:tcBorders>
              <w:top w:val="single" w:sz="4" w:space="0" w:color="auto"/>
              <w:left w:val="nil"/>
              <w:bottom w:val="single" w:sz="4" w:space="0" w:color="auto"/>
              <w:right w:val="nil"/>
            </w:tcBorders>
            <w:shd w:val="clear" w:color="auto" w:fill="auto"/>
            <w:noWrap/>
            <w:vAlign w:val="center"/>
            <w:hideMark/>
          </w:tcPr>
          <w:p w14:paraId="1CEDF814" w14:textId="77777777" w:rsidR="0088085F" w:rsidRPr="00723826" w:rsidRDefault="0088085F" w:rsidP="00F829E8">
            <w:pPr>
              <w:pStyle w:val="cuatexto"/>
              <w:jc w:val="right"/>
              <w:rPr>
                <w:b/>
                <w:bCs/>
                <w:iCs/>
                <w:color w:val="000000"/>
                <w:sz w:val="18"/>
                <w:szCs w:val="18"/>
                <w:lang w:val="es-ES" w:eastAsia="es-ES"/>
              </w:rPr>
            </w:pPr>
            <w:r w:rsidRPr="00723826">
              <w:rPr>
                <w:b/>
                <w:bCs/>
                <w:iCs/>
                <w:color w:val="000000"/>
                <w:sz w:val="18"/>
                <w:szCs w:val="18"/>
                <w:lang w:val="es-ES" w:eastAsia="es-ES"/>
              </w:rPr>
              <w:t>27</w:t>
            </w:r>
          </w:p>
        </w:tc>
        <w:tc>
          <w:tcPr>
            <w:tcW w:w="914" w:type="dxa"/>
            <w:tcBorders>
              <w:top w:val="single" w:sz="4" w:space="0" w:color="auto"/>
              <w:left w:val="nil"/>
              <w:bottom w:val="single" w:sz="4" w:space="0" w:color="auto"/>
              <w:right w:val="nil"/>
            </w:tcBorders>
            <w:shd w:val="clear" w:color="auto" w:fill="auto"/>
            <w:noWrap/>
            <w:vAlign w:val="center"/>
            <w:hideMark/>
          </w:tcPr>
          <w:p w14:paraId="7052D41B" w14:textId="77777777" w:rsidR="0088085F" w:rsidRPr="00723826" w:rsidRDefault="0088085F" w:rsidP="00F829E8">
            <w:pPr>
              <w:pStyle w:val="cuatexto"/>
              <w:jc w:val="right"/>
              <w:rPr>
                <w:b/>
                <w:bCs/>
                <w:iCs/>
                <w:sz w:val="18"/>
                <w:szCs w:val="18"/>
                <w:lang w:val="es-ES" w:eastAsia="es-ES"/>
              </w:rPr>
            </w:pPr>
            <w:r w:rsidRPr="00723826">
              <w:rPr>
                <w:b/>
                <w:bCs/>
                <w:iCs/>
                <w:sz w:val="18"/>
                <w:szCs w:val="18"/>
                <w:lang w:val="es-ES" w:eastAsia="es-ES"/>
              </w:rPr>
              <w:t>1,9</w:t>
            </w:r>
          </w:p>
        </w:tc>
        <w:tc>
          <w:tcPr>
            <w:tcW w:w="929" w:type="dxa"/>
            <w:tcBorders>
              <w:top w:val="single" w:sz="4" w:space="0" w:color="auto"/>
              <w:left w:val="nil"/>
              <w:bottom w:val="single" w:sz="4" w:space="0" w:color="auto"/>
              <w:right w:val="nil"/>
            </w:tcBorders>
            <w:shd w:val="clear" w:color="auto" w:fill="auto"/>
            <w:noWrap/>
            <w:vAlign w:val="center"/>
            <w:hideMark/>
          </w:tcPr>
          <w:p w14:paraId="349FFC88" w14:textId="77777777" w:rsidR="0088085F" w:rsidRPr="00723826" w:rsidRDefault="0088085F" w:rsidP="00F829E8">
            <w:pPr>
              <w:pStyle w:val="cuatexto"/>
              <w:jc w:val="right"/>
              <w:rPr>
                <w:b/>
                <w:bCs/>
                <w:iCs/>
                <w:color w:val="000000"/>
                <w:sz w:val="18"/>
                <w:szCs w:val="18"/>
                <w:lang w:val="es-ES" w:eastAsia="es-ES"/>
              </w:rPr>
            </w:pPr>
            <w:r w:rsidRPr="00723826">
              <w:rPr>
                <w:b/>
                <w:bCs/>
                <w:iCs/>
                <w:color w:val="000000"/>
                <w:sz w:val="18"/>
                <w:szCs w:val="18"/>
                <w:lang w:val="es-ES" w:eastAsia="es-ES"/>
              </w:rPr>
              <w:t>76</w:t>
            </w:r>
          </w:p>
        </w:tc>
        <w:tc>
          <w:tcPr>
            <w:tcW w:w="878" w:type="dxa"/>
            <w:tcBorders>
              <w:top w:val="single" w:sz="4" w:space="0" w:color="auto"/>
              <w:left w:val="nil"/>
              <w:bottom w:val="single" w:sz="4" w:space="0" w:color="auto"/>
              <w:right w:val="nil"/>
            </w:tcBorders>
            <w:shd w:val="clear" w:color="auto" w:fill="auto"/>
            <w:noWrap/>
            <w:vAlign w:val="center"/>
            <w:hideMark/>
          </w:tcPr>
          <w:p w14:paraId="78A7B675" w14:textId="77777777" w:rsidR="0088085F" w:rsidRPr="00723826" w:rsidRDefault="0088085F" w:rsidP="00F829E8">
            <w:pPr>
              <w:pStyle w:val="cuatexto"/>
              <w:jc w:val="right"/>
              <w:rPr>
                <w:b/>
                <w:bCs/>
                <w:iCs/>
                <w:sz w:val="18"/>
                <w:szCs w:val="18"/>
                <w:lang w:val="es-ES" w:eastAsia="es-ES"/>
              </w:rPr>
            </w:pPr>
            <w:r w:rsidRPr="00723826">
              <w:rPr>
                <w:b/>
                <w:bCs/>
                <w:iCs/>
                <w:sz w:val="18"/>
                <w:szCs w:val="18"/>
                <w:lang w:val="es-ES" w:eastAsia="es-ES"/>
              </w:rPr>
              <w:t>6,9</w:t>
            </w:r>
          </w:p>
        </w:tc>
      </w:tr>
      <w:tr w:rsidR="0088085F" w:rsidRPr="009E6957" w14:paraId="721975CA" w14:textId="77777777" w:rsidTr="00F829E8">
        <w:trPr>
          <w:trHeight w:val="312"/>
          <w:jc w:val="center"/>
        </w:trPr>
        <w:tc>
          <w:tcPr>
            <w:tcW w:w="3164" w:type="dxa"/>
            <w:tcBorders>
              <w:top w:val="nil"/>
              <w:left w:val="nil"/>
              <w:bottom w:val="single" w:sz="4" w:space="0" w:color="auto"/>
              <w:right w:val="nil"/>
            </w:tcBorders>
            <w:shd w:val="clear" w:color="auto" w:fill="FABF8F" w:themeFill="accent6" w:themeFillTint="99"/>
            <w:noWrap/>
            <w:vAlign w:val="center"/>
            <w:hideMark/>
          </w:tcPr>
          <w:p w14:paraId="550DD8FB" w14:textId="77777777" w:rsidR="0088085F" w:rsidRPr="009E6957" w:rsidRDefault="00723826" w:rsidP="00F829E8">
            <w:pPr>
              <w:pStyle w:val="cuadroCabe"/>
              <w:jc w:val="left"/>
              <w:rPr>
                <w:lang w:val="es-ES" w:eastAsia="es-ES"/>
              </w:rPr>
            </w:pPr>
            <w:r w:rsidRPr="009E6957">
              <w:rPr>
                <w:lang w:val="es-ES" w:eastAsia="es-ES"/>
              </w:rPr>
              <w:t>Totales</w:t>
            </w:r>
          </w:p>
        </w:tc>
        <w:tc>
          <w:tcPr>
            <w:tcW w:w="1066" w:type="dxa"/>
            <w:tcBorders>
              <w:top w:val="nil"/>
              <w:left w:val="nil"/>
              <w:bottom w:val="single" w:sz="4" w:space="0" w:color="auto"/>
              <w:right w:val="nil"/>
            </w:tcBorders>
            <w:shd w:val="clear" w:color="auto" w:fill="FABF8F" w:themeFill="accent6" w:themeFillTint="99"/>
            <w:noWrap/>
            <w:vAlign w:val="center"/>
            <w:hideMark/>
          </w:tcPr>
          <w:p w14:paraId="0F49EA28" w14:textId="77777777" w:rsidR="0088085F" w:rsidRPr="009E6957" w:rsidRDefault="0088085F" w:rsidP="00F829E8">
            <w:pPr>
              <w:pStyle w:val="cuadroCabe"/>
              <w:jc w:val="right"/>
              <w:rPr>
                <w:b/>
                <w:bCs/>
                <w:lang w:val="es-ES" w:eastAsia="es-ES"/>
              </w:rPr>
            </w:pPr>
            <w:r w:rsidRPr="009E6957">
              <w:rPr>
                <w:b/>
                <w:bCs/>
                <w:lang w:val="es-ES" w:eastAsia="es-ES"/>
              </w:rPr>
              <w:t>1.182</w:t>
            </w:r>
          </w:p>
        </w:tc>
        <w:tc>
          <w:tcPr>
            <w:tcW w:w="995" w:type="dxa"/>
            <w:tcBorders>
              <w:top w:val="nil"/>
              <w:left w:val="nil"/>
              <w:bottom w:val="single" w:sz="4" w:space="0" w:color="auto"/>
              <w:right w:val="nil"/>
            </w:tcBorders>
            <w:shd w:val="clear" w:color="auto" w:fill="FABF8F" w:themeFill="accent6" w:themeFillTint="99"/>
            <w:noWrap/>
            <w:vAlign w:val="center"/>
            <w:hideMark/>
          </w:tcPr>
          <w:p w14:paraId="21A8B343" w14:textId="77777777" w:rsidR="0088085F" w:rsidRPr="009E6957" w:rsidRDefault="0088085F" w:rsidP="00F829E8">
            <w:pPr>
              <w:pStyle w:val="cuadroCabe"/>
              <w:jc w:val="right"/>
              <w:rPr>
                <w:b/>
                <w:bCs/>
                <w:lang w:val="es-ES" w:eastAsia="es-ES"/>
              </w:rPr>
            </w:pPr>
            <w:r w:rsidRPr="009E6957">
              <w:rPr>
                <w:b/>
                <w:bCs/>
                <w:lang w:val="es-ES" w:eastAsia="es-ES"/>
              </w:rPr>
              <w:t>100</w:t>
            </w:r>
          </w:p>
        </w:tc>
        <w:tc>
          <w:tcPr>
            <w:tcW w:w="882" w:type="dxa"/>
            <w:tcBorders>
              <w:top w:val="nil"/>
              <w:left w:val="nil"/>
              <w:bottom w:val="single" w:sz="4" w:space="0" w:color="auto"/>
              <w:right w:val="nil"/>
            </w:tcBorders>
            <w:shd w:val="clear" w:color="auto" w:fill="FABF8F" w:themeFill="accent6" w:themeFillTint="99"/>
            <w:noWrap/>
            <w:vAlign w:val="center"/>
            <w:hideMark/>
          </w:tcPr>
          <w:p w14:paraId="5FF1C3B1" w14:textId="77777777" w:rsidR="0088085F" w:rsidRPr="009E6957" w:rsidRDefault="0088085F" w:rsidP="00F829E8">
            <w:pPr>
              <w:pStyle w:val="cuadroCabe"/>
              <w:jc w:val="right"/>
              <w:rPr>
                <w:b/>
                <w:bCs/>
                <w:lang w:val="es-ES" w:eastAsia="es-ES"/>
              </w:rPr>
            </w:pPr>
            <w:r w:rsidRPr="009E6957">
              <w:rPr>
                <w:b/>
                <w:bCs/>
                <w:lang w:val="es-ES" w:eastAsia="es-ES"/>
              </w:rPr>
              <w:t>1.401</w:t>
            </w:r>
          </w:p>
        </w:tc>
        <w:tc>
          <w:tcPr>
            <w:tcW w:w="914" w:type="dxa"/>
            <w:tcBorders>
              <w:top w:val="nil"/>
              <w:left w:val="nil"/>
              <w:bottom w:val="single" w:sz="4" w:space="0" w:color="auto"/>
              <w:right w:val="nil"/>
            </w:tcBorders>
            <w:shd w:val="clear" w:color="auto" w:fill="FABF8F" w:themeFill="accent6" w:themeFillTint="99"/>
            <w:noWrap/>
            <w:vAlign w:val="center"/>
            <w:hideMark/>
          </w:tcPr>
          <w:p w14:paraId="58ED3989" w14:textId="77777777" w:rsidR="0088085F" w:rsidRPr="009E6957" w:rsidRDefault="0088085F" w:rsidP="00F829E8">
            <w:pPr>
              <w:pStyle w:val="cuadroCabe"/>
              <w:jc w:val="right"/>
              <w:rPr>
                <w:b/>
                <w:bCs/>
                <w:lang w:val="es-ES" w:eastAsia="es-ES"/>
              </w:rPr>
            </w:pPr>
            <w:r w:rsidRPr="009E6957">
              <w:rPr>
                <w:b/>
                <w:bCs/>
                <w:lang w:val="es-ES" w:eastAsia="es-ES"/>
              </w:rPr>
              <w:t xml:space="preserve">100 </w:t>
            </w:r>
          </w:p>
        </w:tc>
        <w:tc>
          <w:tcPr>
            <w:tcW w:w="929" w:type="dxa"/>
            <w:tcBorders>
              <w:top w:val="nil"/>
              <w:left w:val="nil"/>
              <w:bottom w:val="single" w:sz="4" w:space="0" w:color="auto"/>
              <w:right w:val="nil"/>
            </w:tcBorders>
            <w:shd w:val="clear" w:color="auto" w:fill="FABF8F" w:themeFill="accent6" w:themeFillTint="99"/>
            <w:noWrap/>
            <w:vAlign w:val="center"/>
            <w:hideMark/>
          </w:tcPr>
          <w:p w14:paraId="1FC52D9D" w14:textId="77777777" w:rsidR="0088085F" w:rsidRPr="009E6957" w:rsidRDefault="0088085F" w:rsidP="00F829E8">
            <w:pPr>
              <w:pStyle w:val="cuadroCabe"/>
              <w:jc w:val="right"/>
              <w:rPr>
                <w:b/>
                <w:bCs/>
                <w:lang w:val="es-ES" w:eastAsia="es-ES"/>
              </w:rPr>
            </w:pPr>
            <w:r w:rsidRPr="009E6957">
              <w:rPr>
                <w:b/>
                <w:bCs/>
                <w:lang w:val="es-ES" w:eastAsia="es-ES"/>
              </w:rPr>
              <w:t>1.110</w:t>
            </w:r>
          </w:p>
        </w:tc>
        <w:tc>
          <w:tcPr>
            <w:tcW w:w="878" w:type="dxa"/>
            <w:tcBorders>
              <w:top w:val="nil"/>
              <w:left w:val="nil"/>
              <w:bottom w:val="single" w:sz="4" w:space="0" w:color="auto"/>
              <w:right w:val="nil"/>
            </w:tcBorders>
            <w:shd w:val="clear" w:color="auto" w:fill="FABF8F" w:themeFill="accent6" w:themeFillTint="99"/>
            <w:noWrap/>
            <w:vAlign w:val="center"/>
            <w:hideMark/>
          </w:tcPr>
          <w:p w14:paraId="6A73A8A3" w14:textId="77777777" w:rsidR="0088085F" w:rsidRPr="009E6957" w:rsidRDefault="0088085F" w:rsidP="00F829E8">
            <w:pPr>
              <w:pStyle w:val="cuadroCabe"/>
              <w:jc w:val="right"/>
              <w:rPr>
                <w:b/>
                <w:bCs/>
                <w:lang w:val="es-ES" w:eastAsia="es-ES"/>
              </w:rPr>
            </w:pPr>
            <w:r w:rsidRPr="009E6957">
              <w:rPr>
                <w:b/>
                <w:bCs/>
                <w:lang w:val="es-ES" w:eastAsia="es-ES"/>
              </w:rPr>
              <w:t xml:space="preserve">100 </w:t>
            </w:r>
          </w:p>
        </w:tc>
      </w:tr>
    </w:tbl>
    <w:p w14:paraId="55C8BAE5" w14:textId="77777777" w:rsidR="0088085F" w:rsidRPr="00262228" w:rsidRDefault="0088085F" w:rsidP="00C24098">
      <w:pPr>
        <w:pStyle w:val="texto"/>
        <w:spacing w:before="220" w:after="180"/>
      </w:pPr>
      <w:r w:rsidRPr="00262228">
        <w:t xml:space="preserve">En la liquidación de ingresos observamos que tanto en Navarra como en el Estado los ingresos corrientes alcanzan en torno al 88 por ciento del total de ingresos y en los municipios del País Vasco se sitúan en torno al 95 por ciento. La diferencia más relevante con los municipios vascos se produce en las transferencias corrientes y principalmente procede del fondo de participación en los tributos de la Comunidad Autónoma. Con respecto a los municipios del resto del Estado la diferencia más relevante se produce en los impuestos directos donde Navarra percibe 114 euros menos por habitante. </w:t>
      </w:r>
    </w:p>
    <w:p w14:paraId="10B6CE6B" w14:textId="77777777" w:rsidR="0088085F" w:rsidRPr="00262228" w:rsidRDefault="0088085F" w:rsidP="00C24098">
      <w:pPr>
        <w:pStyle w:val="texto"/>
        <w:spacing w:after="180"/>
      </w:pPr>
      <w:r w:rsidRPr="00262228">
        <w:t xml:space="preserve">Sin embargo, en el capítulo de transferencias de capital </w:t>
      </w:r>
      <w:proofErr w:type="gramStart"/>
      <w:r w:rsidRPr="00262228">
        <w:t>Navarra</w:t>
      </w:r>
      <w:proofErr w:type="gramEnd"/>
      <w:r w:rsidRPr="00262228">
        <w:t xml:space="preserve"> percibe 89 y 44 euros más por habitante que los municipios vascos y los del resto del Estado respectivamente. La diferencia con los municipios vascos se explica porque en Navarra la participación en los tributos de la Comunidad es parcialmente condicionada para la financiación de inversiones y en el País Vasco prácticamente la totalidad es fondo no condicionado, es decir, transferencia corriente.</w:t>
      </w:r>
    </w:p>
    <w:p w14:paraId="50198F93" w14:textId="77777777" w:rsidR="0088085F" w:rsidRPr="00262228" w:rsidRDefault="0088085F" w:rsidP="00C24098">
      <w:pPr>
        <w:pStyle w:val="texto"/>
        <w:spacing w:after="180"/>
      </w:pPr>
      <w:r w:rsidRPr="00262228">
        <w:t>En cuanto a gastos corrientes por habitante</w:t>
      </w:r>
      <w:r w:rsidR="00E96821">
        <w:t>,</w:t>
      </w:r>
      <w:r w:rsidRPr="00262228">
        <w:t xml:space="preserve"> Navarra destina 292 y 14 euros menos por habitante que los municipios vascos y los del resto del Estado respectivamente. Sin embargo, en operaciones de capital, casi en su totalidad inversiones, los municipios navarros gastan 61 y 122 euros más que los vascos y los del resto del Estado. </w:t>
      </w:r>
    </w:p>
    <w:p w14:paraId="7FA5D6C9" w14:textId="77777777" w:rsidR="0088085F" w:rsidRDefault="0088085F" w:rsidP="0088085F">
      <w:pPr>
        <w:ind w:firstLine="284"/>
        <w:rPr>
          <w:rStyle w:val="textoCar"/>
          <w:szCs w:val="26"/>
        </w:rPr>
      </w:pPr>
    </w:p>
    <w:p w14:paraId="182DDBCD" w14:textId="77777777" w:rsidR="0088085F" w:rsidRDefault="0088085F" w:rsidP="0088085F">
      <w:pPr>
        <w:ind w:firstLine="284"/>
        <w:rPr>
          <w:rStyle w:val="textoCar"/>
          <w:szCs w:val="26"/>
        </w:rPr>
      </w:pPr>
    </w:p>
    <w:p w14:paraId="325607D6" w14:textId="77777777" w:rsidR="0088085F" w:rsidRDefault="0088085F" w:rsidP="0088085F">
      <w:pPr>
        <w:ind w:firstLine="284"/>
        <w:rPr>
          <w:rStyle w:val="textoCar"/>
          <w:szCs w:val="26"/>
        </w:rPr>
      </w:pPr>
    </w:p>
    <w:p w14:paraId="297777B5" w14:textId="77777777" w:rsidR="00A7090C" w:rsidRDefault="00A7090C">
      <w:pPr>
        <w:spacing w:after="0"/>
        <w:ind w:firstLine="0"/>
        <w:jc w:val="left"/>
        <w:rPr>
          <w:rStyle w:val="textoCar"/>
          <w:szCs w:val="26"/>
        </w:rPr>
      </w:pPr>
      <w:r>
        <w:rPr>
          <w:rStyle w:val="textoCar"/>
          <w:szCs w:val="26"/>
        </w:rPr>
        <w:br w:type="page"/>
      </w:r>
    </w:p>
    <w:p w14:paraId="673821DC" w14:textId="77777777" w:rsidR="0088085F" w:rsidRPr="00262228" w:rsidRDefault="0088085F" w:rsidP="00C24098">
      <w:pPr>
        <w:pStyle w:val="texto"/>
        <w:spacing w:after="240"/>
      </w:pPr>
      <w:r w:rsidRPr="00262228">
        <w:lastRenderedPageBreak/>
        <w:t>A continuación, mostramos una serie de indicadores para los tres territorios:</w:t>
      </w:r>
    </w:p>
    <w:tbl>
      <w:tblPr>
        <w:tblW w:w="5391" w:type="pct"/>
        <w:jc w:val="center"/>
        <w:tblCellMar>
          <w:left w:w="70" w:type="dxa"/>
          <w:right w:w="70" w:type="dxa"/>
        </w:tblCellMar>
        <w:tblLook w:val="04A0" w:firstRow="1" w:lastRow="0" w:firstColumn="1" w:lastColumn="0" w:noHBand="0" w:noVBand="1"/>
      </w:tblPr>
      <w:tblGrid>
        <w:gridCol w:w="4300"/>
        <w:gridCol w:w="784"/>
        <w:gridCol w:w="1002"/>
        <w:gridCol w:w="899"/>
        <w:gridCol w:w="1274"/>
        <w:gridCol w:w="1217"/>
      </w:tblGrid>
      <w:tr w:rsidR="0088085F" w:rsidRPr="00C24098" w14:paraId="7349F177" w14:textId="77777777" w:rsidTr="00EA1A84">
        <w:trPr>
          <w:trHeight w:val="284"/>
          <w:jc w:val="center"/>
        </w:trPr>
        <w:tc>
          <w:tcPr>
            <w:tcW w:w="4300" w:type="dxa"/>
            <w:tcBorders>
              <w:top w:val="single" w:sz="4" w:space="0" w:color="auto"/>
              <w:left w:val="nil"/>
              <w:bottom w:val="single" w:sz="4" w:space="0" w:color="auto"/>
              <w:right w:val="nil"/>
            </w:tcBorders>
            <w:shd w:val="clear" w:color="auto" w:fill="FABF8F" w:themeFill="accent6" w:themeFillTint="99"/>
            <w:noWrap/>
            <w:vAlign w:val="center"/>
            <w:hideMark/>
          </w:tcPr>
          <w:p w14:paraId="6F77DD38" w14:textId="77777777" w:rsidR="0088085F" w:rsidRPr="00C24098" w:rsidRDefault="0088085F" w:rsidP="00C24098">
            <w:pPr>
              <w:pStyle w:val="cuadroCabe"/>
              <w:jc w:val="left"/>
              <w:rPr>
                <w:sz w:val="16"/>
                <w:szCs w:val="16"/>
                <w:lang w:val="es-ES" w:eastAsia="es-ES"/>
              </w:rPr>
            </w:pPr>
            <w:r w:rsidRPr="00C24098">
              <w:rPr>
                <w:sz w:val="16"/>
                <w:szCs w:val="16"/>
                <w:lang w:val="es-ES" w:eastAsia="es-ES"/>
              </w:rPr>
              <w:t>Indicador</w:t>
            </w:r>
          </w:p>
        </w:tc>
        <w:tc>
          <w:tcPr>
            <w:tcW w:w="784" w:type="dxa"/>
            <w:tcBorders>
              <w:top w:val="single" w:sz="4" w:space="0" w:color="auto"/>
              <w:left w:val="nil"/>
              <w:bottom w:val="single" w:sz="4" w:space="0" w:color="auto"/>
              <w:right w:val="nil"/>
            </w:tcBorders>
            <w:shd w:val="clear" w:color="auto" w:fill="FABF8F" w:themeFill="accent6" w:themeFillTint="99"/>
            <w:vAlign w:val="center"/>
          </w:tcPr>
          <w:p w14:paraId="646EA78D" w14:textId="77777777" w:rsidR="0088085F" w:rsidRPr="00C24098" w:rsidRDefault="0088085F" w:rsidP="00633BB6">
            <w:pPr>
              <w:pStyle w:val="cuadroCabe"/>
              <w:jc w:val="right"/>
              <w:rPr>
                <w:sz w:val="16"/>
                <w:szCs w:val="16"/>
                <w:lang w:val="es-ES" w:eastAsia="es-ES"/>
              </w:rPr>
            </w:pPr>
            <w:r w:rsidRPr="00C24098">
              <w:rPr>
                <w:sz w:val="16"/>
                <w:szCs w:val="16"/>
                <w:lang w:val="es-ES" w:eastAsia="es-ES"/>
              </w:rPr>
              <w:t>Navarra</w:t>
            </w:r>
          </w:p>
        </w:tc>
        <w:tc>
          <w:tcPr>
            <w:tcW w:w="1002" w:type="dxa"/>
            <w:tcBorders>
              <w:top w:val="single" w:sz="4" w:space="0" w:color="auto"/>
              <w:left w:val="nil"/>
              <w:bottom w:val="single" w:sz="4" w:space="0" w:color="auto"/>
              <w:right w:val="nil"/>
            </w:tcBorders>
            <w:shd w:val="clear" w:color="auto" w:fill="FABF8F" w:themeFill="accent6" w:themeFillTint="99"/>
            <w:noWrap/>
            <w:vAlign w:val="center"/>
            <w:hideMark/>
          </w:tcPr>
          <w:p w14:paraId="041EAFF5" w14:textId="77777777" w:rsidR="0088085F" w:rsidRPr="00C24098" w:rsidRDefault="0088085F" w:rsidP="00633BB6">
            <w:pPr>
              <w:pStyle w:val="cuadroCabe"/>
              <w:jc w:val="right"/>
              <w:rPr>
                <w:sz w:val="16"/>
                <w:szCs w:val="16"/>
                <w:lang w:val="es-ES" w:eastAsia="es-ES"/>
              </w:rPr>
            </w:pPr>
            <w:r w:rsidRPr="00C24098">
              <w:rPr>
                <w:sz w:val="16"/>
                <w:szCs w:val="16"/>
                <w:lang w:val="es-ES" w:eastAsia="es-ES"/>
              </w:rPr>
              <w:t>País Vasco</w:t>
            </w:r>
          </w:p>
        </w:tc>
        <w:tc>
          <w:tcPr>
            <w:tcW w:w="899" w:type="dxa"/>
            <w:tcBorders>
              <w:top w:val="single" w:sz="4" w:space="0" w:color="auto"/>
              <w:left w:val="nil"/>
              <w:bottom w:val="single" w:sz="4" w:space="0" w:color="auto"/>
              <w:right w:val="nil"/>
            </w:tcBorders>
            <w:shd w:val="clear" w:color="auto" w:fill="FABF8F" w:themeFill="accent6" w:themeFillTint="99"/>
            <w:noWrap/>
            <w:vAlign w:val="center"/>
            <w:hideMark/>
          </w:tcPr>
          <w:p w14:paraId="2850F46A" w14:textId="77777777" w:rsidR="00C24098" w:rsidRDefault="0088085F" w:rsidP="00633BB6">
            <w:pPr>
              <w:pStyle w:val="cuadroCabe"/>
              <w:jc w:val="right"/>
              <w:rPr>
                <w:sz w:val="16"/>
                <w:szCs w:val="16"/>
                <w:lang w:val="es-ES" w:eastAsia="es-ES"/>
              </w:rPr>
            </w:pPr>
            <w:r w:rsidRPr="00C24098">
              <w:rPr>
                <w:sz w:val="16"/>
                <w:szCs w:val="16"/>
                <w:lang w:val="es-ES" w:eastAsia="es-ES"/>
              </w:rPr>
              <w:t xml:space="preserve">Resto </w:t>
            </w:r>
          </w:p>
          <w:p w14:paraId="44BD5901" w14:textId="77777777" w:rsidR="0088085F" w:rsidRPr="00C24098" w:rsidRDefault="0088085F" w:rsidP="00633BB6">
            <w:pPr>
              <w:pStyle w:val="cuadroCabe"/>
              <w:jc w:val="right"/>
              <w:rPr>
                <w:sz w:val="16"/>
                <w:szCs w:val="16"/>
                <w:lang w:val="es-ES" w:eastAsia="es-ES"/>
              </w:rPr>
            </w:pPr>
            <w:r w:rsidRPr="00C24098">
              <w:rPr>
                <w:sz w:val="16"/>
                <w:szCs w:val="16"/>
                <w:lang w:val="es-ES" w:eastAsia="es-ES"/>
              </w:rPr>
              <w:t>Estado</w:t>
            </w:r>
          </w:p>
        </w:tc>
        <w:tc>
          <w:tcPr>
            <w:tcW w:w="1274" w:type="dxa"/>
            <w:tcBorders>
              <w:top w:val="single" w:sz="4" w:space="0" w:color="auto"/>
              <w:left w:val="nil"/>
              <w:bottom w:val="single" w:sz="4" w:space="0" w:color="auto"/>
              <w:right w:val="nil"/>
            </w:tcBorders>
            <w:shd w:val="clear" w:color="auto" w:fill="FABF8F" w:themeFill="accent6" w:themeFillTint="99"/>
            <w:vAlign w:val="center"/>
            <w:hideMark/>
          </w:tcPr>
          <w:p w14:paraId="2F0C54AE" w14:textId="77777777" w:rsidR="0088085F" w:rsidRPr="00C24098" w:rsidRDefault="0088085F" w:rsidP="00633BB6">
            <w:pPr>
              <w:pStyle w:val="cuadroCabe"/>
              <w:jc w:val="right"/>
              <w:rPr>
                <w:sz w:val="16"/>
                <w:szCs w:val="16"/>
                <w:lang w:val="es-ES" w:eastAsia="es-ES"/>
              </w:rPr>
            </w:pPr>
            <w:proofErr w:type="spellStart"/>
            <w:r w:rsidRPr="00C24098">
              <w:rPr>
                <w:sz w:val="16"/>
                <w:szCs w:val="16"/>
                <w:lang w:val="es-ES" w:eastAsia="es-ES"/>
              </w:rPr>
              <w:t>Dif</w:t>
            </w:r>
            <w:proofErr w:type="spellEnd"/>
            <w:r w:rsidRPr="00C24098">
              <w:rPr>
                <w:sz w:val="16"/>
                <w:szCs w:val="16"/>
                <w:lang w:val="es-ES" w:eastAsia="es-ES"/>
              </w:rPr>
              <w:t>. Navarra-País Vasco</w:t>
            </w:r>
          </w:p>
        </w:tc>
        <w:tc>
          <w:tcPr>
            <w:tcW w:w="1217" w:type="dxa"/>
            <w:tcBorders>
              <w:top w:val="single" w:sz="4" w:space="0" w:color="auto"/>
              <w:left w:val="nil"/>
              <w:bottom w:val="single" w:sz="4" w:space="0" w:color="auto"/>
              <w:right w:val="nil"/>
            </w:tcBorders>
            <w:shd w:val="clear" w:color="auto" w:fill="FABF8F" w:themeFill="accent6" w:themeFillTint="99"/>
            <w:vAlign w:val="center"/>
            <w:hideMark/>
          </w:tcPr>
          <w:p w14:paraId="07195E79" w14:textId="77777777" w:rsidR="0088085F" w:rsidRPr="00C24098" w:rsidRDefault="0088085F" w:rsidP="00633BB6">
            <w:pPr>
              <w:pStyle w:val="cuadroCabe"/>
              <w:jc w:val="right"/>
              <w:rPr>
                <w:sz w:val="16"/>
                <w:szCs w:val="16"/>
                <w:lang w:val="es-ES" w:eastAsia="es-ES"/>
              </w:rPr>
            </w:pPr>
            <w:proofErr w:type="spellStart"/>
            <w:r w:rsidRPr="00C24098">
              <w:rPr>
                <w:sz w:val="16"/>
                <w:szCs w:val="16"/>
                <w:lang w:val="es-ES" w:eastAsia="es-ES"/>
              </w:rPr>
              <w:t>Dif</w:t>
            </w:r>
            <w:proofErr w:type="spellEnd"/>
            <w:r w:rsidRPr="00C24098">
              <w:rPr>
                <w:sz w:val="16"/>
                <w:szCs w:val="16"/>
                <w:lang w:val="es-ES" w:eastAsia="es-ES"/>
              </w:rPr>
              <w:t>. Navarra-resto Estado</w:t>
            </w:r>
          </w:p>
        </w:tc>
      </w:tr>
      <w:tr w:rsidR="0088085F" w:rsidRPr="00633BB6" w14:paraId="7547A237" w14:textId="77777777" w:rsidTr="00633BB6">
        <w:trPr>
          <w:trHeight w:hRule="exact" w:val="238"/>
          <w:jc w:val="center"/>
        </w:trPr>
        <w:tc>
          <w:tcPr>
            <w:tcW w:w="4300" w:type="dxa"/>
            <w:tcBorders>
              <w:top w:val="single" w:sz="4" w:space="0" w:color="auto"/>
              <w:left w:val="nil"/>
              <w:bottom w:val="single" w:sz="2" w:space="0" w:color="auto"/>
              <w:right w:val="nil"/>
            </w:tcBorders>
            <w:shd w:val="clear" w:color="auto" w:fill="auto"/>
            <w:vAlign w:val="center"/>
            <w:hideMark/>
          </w:tcPr>
          <w:p w14:paraId="76C15432" w14:textId="77777777" w:rsidR="0088085F" w:rsidRPr="00633BB6" w:rsidRDefault="0088085F" w:rsidP="00C24098">
            <w:pPr>
              <w:pStyle w:val="cuatexto"/>
              <w:jc w:val="left"/>
              <w:rPr>
                <w:sz w:val="18"/>
                <w:szCs w:val="18"/>
                <w:lang w:val="es-ES" w:eastAsia="es-ES"/>
              </w:rPr>
            </w:pPr>
            <w:r w:rsidRPr="00633BB6">
              <w:rPr>
                <w:sz w:val="18"/>
                <w:szCs w:val="18"/>
                <w:lang w:val="es-ES" w:eastAsia="es-ES"/>
              </w:rPr>
              <w:t>Ingresos corrientes (por habitante)</w:t>
            </w:r>
          </w:p>
        </w:tc>
        <w:tc>
          <w:tcPr>
            <w:tcW w:w="784" w:type="dxa"/>
            <w:tcBorders>
              <w:top w:val="single" w:sz="4" w:space="0" w:color="auto"/>
              <w:left w:val="nil"/>
              <w:bottom w:val="single" w:sz="2" w:space="0" w:color="auto"/>
              <w:right w:val="nil"/>
            </w:tcBorders>
            <w:vAlign w:val="center"/>
          </w:tcPr>
          <w:p w14:paraId="71C7E6A4"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1.032</w:t>
            </w:r>
          </w:p>
        </w:tc>
        <w:tc>
          <w:tcPr>
            <w:tcW w:w="1002" w:type="dxa"/>
            <w:tcBorders>
              <w:top w:val="single" w:sz="4" w:space="0" w:color="auto"/>
              <w:left w:val="nil"/>
              <w:bottom w:val="single" w:sz="2" w:space="0" w:color="auto"/>
              <w:right w:val="nil"/>
            </w:tcBorders>
            <w:shd w:val="clear" w:color="auto" w:fill="auto"/>
            <w:noWrap/>
            <w:vAlign w:val="center"/>
            <w:hideMark/>
          </w:tcPr>
          <w:p w14:paraId="1CE811C0"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1.398</w:t>
            </w:r>
          </w:p>
        </w:tc>
        <w:tc>
          <w:tcPr>
            <w:tcW w:w="899" w:type="dxa"/>
            <w:tcBorders>
              <w:top w:val="single" w:sz="4" w:space="0" w:color="auto"/>
              <w:left w:val="nil"/>
              <w:bottom w:val="single" w:sz="2" w:space="0" w:color="auto"/>
              <w:right w:val="nil"/>
            </w:tcBorders>
            <w:shd w:val="clear" w:color="auto" w:fill="auto"/>
            <w:noWrap/>
            <w:vAlign w:val="center"/>
            <w:hideMark/>
          </w:tcPr>
          <w:p w14:paraId="0DFDA315"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1.032</w:t>
            </w:r>
          </w:p>
        </w:tc>
        <w:tc>
          <w:tcPr>
            <w:tcW w:w="1274" w:type="dxa"/>
            <w:tcBorders>
              <w:top w:val="single" w:sz="4" w:space="0" w:color="auto"/>
              <w:left w:val="nil"/>
              <w:bottom w:val="single" w:sz="2" w:space="0" w:color="auto"/>
              <w:right w:val="nil"/>
            </w:tcBorders>
            <w:shd w:val="clear" w:color="auto" w:fill="auto"/>
            <w:noWrap/>
            <w:vAlign w:val="center"/>
            <w:hideMark/>
          </w:tcPr>
          <w:p w14:paraId="5666162C"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-366</w:t>
            </w:r>
          </w:p>
        </w:tc>
        <w:tc>
          <w:tcPr>
            <w:tcW w:w="1217" w:type="dxa"/>
            <w:tcBorders>
              <w:top w:val="single" w:sz="4" w:space="0" w:color="auto"/>
              <w:left w:val="nil"/>
              <w:bottom w:val="single" w:sz="2" w:space="0" w:color="auto"/>
              <w:right w:val="nil"/>
            </w:tcBorders>
            <w:shd w:val="clear" w:color="auto" w:fill="auto"/>
            <w:noWrap/>
            <w:vAlign w:val="center"/>
            <w:hideMark/>
          </w:tcPr>
          <w:p w14:paraId="256D8302"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w:t>
            </w:r>
          </w:p>
        </w:tc>
      </w:tr>
      <w:tr w:rsidR="0088085F" w:rsidRPr="00633BB6" w14:paraId="60DF2F46"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vAlign w:val="center"/>
            <w:hideMark/>
          </w:tcPr>
          <w:p w14:paraId="5827048D" w14:textId="77777777" w:rsidR="0088085F" w:rsidRPr="00633BB6" w:rsidRDefault="0088085F" w:rsidP="00C24098">
            <w:pPr>
              <w:pStyle w:val="cuatexto"/>
              <w:jc w:val="left"/>
              <w:rPr>
                <w:sz w:val="18"/>
                <w:szCs w:val="18"/>
                <w:lang w:val="es-ES" w:eastAsia="es-ES"/>
              </w:rPr>
            </w:pPr>
            <w:r w:rsidRPr="00633BB6">
              <w:rPr>
                <w:sz w:val="18"/>
                <w:szCs w:val="18"/>
                <w:lang w:val="es-ES" w:eastAsia="es-ES"/>
              </w:rPr>
              <w:t>Gastos de funcionamiento (por habitante)</w:t>
            </w:r>
          </w:p>
        </w:tc>
        <w:tc>
          <w:tcPr>
            <w:tcW w:w="784" w:type="dxa"/>
            <w:tcBorders>
              <w:top w:val="single" w:sz="2" w:space="0" w:color="auto"/>
              <w:left w:val="nil"/>
              <w:bottom w:val="single" w:sz="2" w:space="0" w:color="auto"/>
              <w:right w:val="nil"/>
            </w:tcBorders>
            <w:vAlign w:val="center"/>
          </w:tcPr>
          <w:p w14:paraId="6BE676B4"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838</w:t>
            </w:r>
          </w:p>
        </w:tc>
        <w:tc>
          <w:tcPr>
            <w:tcW w:w="1002" w:type="dxa"/>
            <w:tcBorders>
              <w:top w:val="single" w:sz="2" w:space="0" w:color="auto"/>
              <w:left w:val="nil"/>
              <w:bottom w:val="single" w:sz="2" w:space="0" w:color="auto"/>
              <w:right w:val="nil"/>
            </w:tcBorders>
            <w:shd w:val="clear" w:color="auto" w:fill="auto"/>
            <w:noWrap/>
            <w:vAlign w:val="center"/>
            <w:hideMark/>
          </w:tcPr>
          <w:p w14:paraId="0364BD4C"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1.131</w:t>
            </w:r>
          </w:p>
        </w:tc>
        <w:tc>
          <w:tcPr>
            <w:tcW w:w="899" w:type="dxa"/>
            <w:tcBorders>
              <w:top w:val="single" w:sz="2" w:space="0" w:color="auto"/>
              <w:left w:val="nil"/>
              <w:bottom w:val="single" w:sz="2" w:space="0" w:color="auto"/>
              <w:right w:val="nil"/>
            </w:tcBorders>
            <w:shd w:val="clear" w:color="auto" w:fill="auto"/>
            <w:noWrap/>
            <w:vAlign w:val="center"/>
            <w:hideMark/>
          </w:tcPr>
          <w:p w14:paraId="4ABEC149"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848</w:t>
            </w:r>
          </w:p>
        </w:tc>
        <w:tc>
          <w:tcPr>
            <w:tcW w:w="1274" w:type="dxa"/>
            <w:tcBorders>
              <w:top w:val="single" w:sz="2" w:space="0" w:color="auto"/>
              <w:left w:val="nil"/>
              <w:bottom w:val="single" w:sz="2" w:space="0" w:color="auto"/>
              <w:right w:val="nil"/>
            </w:tcBorders>
            <w:shd w:val="clear" w:color="auto" w:fill="auto"/>
            <w:noWrap/>
            <w:vAlign w:val="center"/>
            <w:hideMark/>
          </w:tcPr>
          <w:p w14:paraId="1309DB99"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-293</w:t>
            </w:r>
          </w:p>
        </w:tc>
        <w:tc>
          <w:tcPr>
            <w:tcW w:w="1217" w:type="dxa"/>
            <w:tcBorders>
              <w:top w:val="single" w:sz="2" w:space="0" w:color="auto"/>
              <w:left w:val="nil"/>
              <w:bottom w:val="single" w:sz="2" w:space="0" w:color="auto"/>
              <w:right w:val="nil"/>
            </w:tcBorders>
            <w:shd w:val="clear" w:color="auto" w:fill="auto"/>
            <w:noWrap/>
            <w:vAlign w:val="center"/>
            <w:hideMark/>
          </w:tcPr>
          <w:p w14:paraId="7C3A3A65"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-10</w:t>
            </w:r>
          </w:p>
        </w:tc>
      </w:tr>
      <w:tr w:rsidR="0088085F" w:rsidRPr="00633BB6" w14:paraId="3949087A"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vAlign w:val="center"/>
            <w:hideMark/>
          </w:tcPr>
          <w:p w14:paraId="6D25708F" w14:textId="77777777" w:rsidR="0088085F" w:rsidRPr="00633BB6" w:rsidRDefault="0088085F" w:rsidP="00C24098">
            <w:pPr>
              <w:pStyle w:val="cuatexto"/>
              <w:jc w:val="left"/>
              <w:rPr>
                <w:sz w:val="18"/>
                <w:szCs w:val="18"/>
                <w:lang w:val="es-ES" w:eastAsia="es-ES"/>
              </w:rPr>
            </w:pPr>
            <w:r w:rsidRPr="00633BB6">
              <w:rPr>
                <w:sz w:val="18"/>
                <w:szCs w:val="18"/>
                <w:lang w:val="es-ES" w:eastAsia="es-ES"/>
              </w:rPr>
              <w:t>Carga financiera (por habitante)</w:t>
            </w:r>
          </w:p>
        </w:tc>
        <w:tc>
          <w:tcPr>
            <w:tcW w:w="784" w:type="dxa"/>
            <w:tcBorders>
              <w:top w:val="single" w:sz="2" w:space="0" w:color="auto"/>
              <w:left w:val="nil"/>
              <w:bottom w:val="single" w:sz="2" w:space="0" w:color="auto"/>
              <w:right w:val="nil"/>
            </w:tcBorders>
            <w:vAlign w:val="center"/>
          </w:tcPr>
          <w:p w14:paraId="505C1FE0"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41</w:t>
            </w:r>
          </w:p>
        </w:tc>
        <w:tc>
          <w:tcPr>
            <w:tcW w:w="1002" w:type="dxa"/>
            <w:tcBorders>
              <w:top w:val="single" w:sz="2" w:space="0" w:color="auto"/>
              <w:left w:val="nil"/>
              <w:bottom w:val="single" w:sz="2" w:space="0" w:color="auto"/>
              <w:right w:val="nil"/>
            </w:tcBorders>
            <w:shd w:val="clear" w:color="auto" w:fill="auto"/>
            <w:noWrap/>
            <w:vAlign w:val="center"/>
            <w:hideMark/>
          </w:tcPr>
          <w:p w14:paraId="793FAD03"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27</w:t>
            </w:r>
          </w:p>
        </w:tc>
        <w:tc>
          <w:tcPr>
            <w:tcW w:w="899" w:type="dxa"/>
            <w:tcBorders>
              <w:top w:val="single" w:sz="2" w:space="0" w:color="auto"/>
              <w:left w:val="nil"/>
              <w:bottom w:val="single" w:sz="2" w:space="0" w:color="auto"/>
              <w:right w:val="nil"/>
            </w:tcBorders>
            <w:shd w:val="clear" w:color="auto" w:fill="auto"/>
            <w:noWrap/>
            <w:vAlign w:val="center"/>
            <w:hideMark/>
          </w:tcPr>
          <w:p w14:paraId="1ADD47B9"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81</w:t>
            </w:r>
          </w:p>
        </w:tc>
        <w:tc>
          <w:tcPr>
            <w:tcW w:w="1274" w:type="dxa"/>
            <w:tcBorders>
              <w:top w:val="single" w:sz="2" w:space="0" w:color="auto"/>
              <w:left w:val="nil"/>
              <w:bottom w:val="single" w:sz="2" w:space="0" w:color="auto"/>
              <w:right w:val="nil"/>
            </w:tcBorders>
            <w:shd w:val="clear" w:color="auto" w:fill="auto"/>
            <w:noWrap/>
            <w:vAlign w:val="center"/>
            <w:hideMark/>
          </w:tcPr>
          <w:p w14:paraId="361552F5"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14</w:t>
            </w:r>
          </w:p>
        </w:tc>
        <w:tc>
          <w:tcPr>
            <w:tcW w:w="1217" w:type="dxa"/>
            <w:tcBorders>
              <w:top w:val="single" w:sz="2" w:space="0" w:color="auto"/>
              <w:left w:val="nil"/>
              <w:bottom w:val="single" w:sz="2" w:space="0" w:color="auto"/>
              <w:right w:val="nil"/>
            </w:tcBorders>
            <w:shd w:val="clear" w:color="auto" w:fill="auto"/>
            <w:noWrap/>
            <w:vAlign w:val="center"/>
            <w:hideMark/>
          </w:tcPr>
          <w:p w14:paraId="6B1C572B"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-40</w:t>
            </w:r>
          </w:p>
        </w:tc>
      </w:tr>
      <w:tr w:rsidR="0088085F" w:rsidRPr="00633BB6" w14:paraId="49373A9B"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41D713E6" w14:textId="77777777" w:rsidR="0088085F" w:rsidRPr="00633BB6" w:rsidRDefault="0088085F" w:rsidP="00C24098">
            <w:pPr>
              <w:pStyle w:val="cuatexto"/>
              <w:jc w:val="left"/>
              <w:rPr>
                <w:sz w:val="18"/>
                <w:szCs w:val="18"/>
                <w:lang w:val="es-ES" w:eastAsia="es-ES"/>
              </w:rPr>
            </w:pPr>
            <w:r w:rsidRPr="00633BB6">
              <w:rPr>
                <w:sz w:val="18"/>
                <w:szCs w:val="18"/>
                <w:lang w:val="es-ES" w:eastAsia="es-ES"/>
              </w:rPr>
              <w:t>Ahorro bruto (por habitante)</w:t>
            </w:r>
          </w:p>
        </w:tc>
        <w:tc>
          <w:tcPr>
            <w:tcW w:w="784" w:type="dxa"/>
            <w:tcBorders>
              <w:top w:val="single" w:sz="2" w:space="0" w:color="auto"/>
              <w:left w:val="nil"/>
              <w:bottom w:val="single" w:sz="2" w:space="0" w:color="auto"/>
              <w:right w:val="nil"/>
            </w:tcBorders>
            <w:vAlign w:val="center"/>
          </w:tcPr>
          <w:p w14:paraId="732347C0"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195</w:t>
            </w:r>
          </w:p>
        </w:tc>
        <w:tc>
          <w:tcPr>
            <w:tcW w:w="1002" w:type="dxa"/>
            <w:tcBorders>
              <w:top w:val="single" w:sz="2" w:space="0" w:color="auto"/>
              <w:left w:val="nil"/>
              <w:bottom w:val="single" w:sz="2" w:space="0" w:color="auto"/>
              <w:right w:val="nil"/>
            </w:tcBorders>
            <w:shd w:val="clear" w:color="auto" w:fill="auto"/>
            <w:noWrap/>
            <w:vAlign w:val="center"/>
            <w:hideMark/>
          </w:tcPr>
          <w:p w14:paraId="2B8491DA"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267</w:t>
            </w:r>
          </w:p>
        </w:tc>
        <w:tc>
          <w:tcPr>
            <w:tcW w:w="899" w:type="dxa"/>
            <w:tcBorders>
              <w:top w:val="single" w:sz="2" w:space="0" w:color="auto"/>
              <w:left w:val="nil"/>
              <w:bottom w:val="single" w:sz="2" w:space="0" w:color="auto"/>
              <w:right w:val="nil"/>
            </w:tcBorders>
            <w:shd w:val="clear" w:color="auto" w:fill="auto"/>
            <w:noWrap/>
            <w:vAlign w:val="center"/>
            <w:hideMark/>
          </w:tcPr>
          <w:p w14:paraId="17DC30D7"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184</w:t>
            </w:r>
          </w:p>
        </w:tc>
        <w:tc>
          <w:tcPr>
            <w:tcW w:w="1274" w:type="dxa"/>
            <w:tcBorders>
              <w:top w:val="single" w:sz="2" w:space="0" w:color="auto"/>
              <w:left w:val="nil"/>
              <w:bottom w:val="single" w:sz="2" w:space="0" w:color="auto"/>
              <w:right w:val="nil"/>
            </w:tcBorders>
            <w:shd w:val="clear" w:color="auto" w:fill="auto"/>
            <w:noWrap/>
            <w:vAlign w:val="center"/>
            <w:hideMark/>
          </w:tcPr>
          <w:p w14:paraId="754A5702"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-73</w:t>
            </w:r>
          </w:p>
        </w:tc>
        <w:tc>
          <w:tcPr>
            <w:tcW w:w="1217" w:type="dxa"/>
            <w:tcBorders>
              <w:top w:val="single" w:sz="2" w:space="0" w:color="auto"/>
              <w:left w:val="nil"/>
              <w:bottom w:val="single" w:sz="2" w:space="0" w:color="auto"/>
              <w:right w:val="nil"/>
            </w:tcBorders>
            <w:shd w:val="clear" w:color="auto" w:fill="auto"/>
            <w:noWrap/>
            <w:vAlign w:val="center"/>
            <w:hideMark/>
          </w:tcPr>
          <w:p w14:paraId="3FF8DCB1"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11</w:t>
            </w:r>
          </w:p>
        </w:tc>
      </w:tr>
      <w:tr w:rsidR="0088085F" w:rsidRPr="00633BB6" w14:paraId="25A4786E" w14:textId="77777777" w:rsidTr="00633BB6">
        <w:trPr>
          <w:trHeight w:hRule="exact" w:val="290"/>
          <w:jc w:val="center"/>
        </w:trPr>
        <w:tc>
          <w:tcPr>
            <w:tcW w:w="4300" w:type="dxa"/>
            <w:tcBorders>
              <w:top w:val="single" w:sz="2" w:space="0" w:color="auto"/>
              <w:left w:val="nil"/>
              <w:bottom w:val="single" w:sz="2" w:space="0" w:color="auto"/>
              <w:right w:val="nil"/>
            </w:tcBorders>
            <w:shd w:val="clear" w:color="auto" w:fill="auto"/>
            <w:noWrap/>
            <w:vAlign w:val="center"/>
            <w:hideMark/>
          </w:tcPr>
          <w:p w14:paraId="66D03103" w14:textId="77777777" w:rsidR="0088085F" w:rsidRPr="00633BB6" w:rsidRDefault="0088085F" w:rsidP="00C24098">
            <w:pPr>
              <w:pStyle w:val="cuatexto"/>
              <w:jc w:val="left"/>
              <w:rPr>
                <w:sz w:val="18"/>
                <w:szCs w:val="18"/>
                <w:lang w:val="es-ES" w:eastAsia="es-ES"/>
              </w:rPr>
            </w:pPr>
            <w:r w:rsidRPr="00633BB6">
              <w:rPr>
                <w:sz w:val="18"/>
                <w:szCs w:val="18"/>
                <w:lang w:val="es-ES" w:eastAsia="es-ES"/>
              </w:rPr>
              <w:t>Ahorro neto (por habitante)</w:t>
            </w:r>
          </w:p>
        </w:tc>
        <w:tc>
          <w:tcPr>
            <w:tcW w:w="784" w:type="dxa"/>
            <w:tcBorders>
              <w:top w:val="single" w:sz="2" w:space="0" w:color="auto"/>
              <w:left w:val="nil"/>
              <w:bottom w:val="single" w:sz="2" w:space="0" w:color="auto"/>
              <w:right w:val="nil"/>
            </w:tcBorders>
            <w:vAlign w:val="center"/>
          </w:tcPr>
          <w:p w14:paraId="5BF51EB9"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154</w:t>
            </w:r>
          </w:p>
        </w:tc>
        <w:tc>
          <w:tcPr>
            <w:tcW w:w="1002" w:type="dxa"/>
            <w:tcBorders>
              <w:top w:val="single" w:sz="2" w:space="0" w:color="auto"/>
              <w:left w:val="nil"/>
              <w:bottom w:val="single" w:sz="2" w:space="0" w:color="auto"/>
              <w:right w:val="nil"/>
            </w:tcBorders>
            <w:shd w:val="clear" w:color="auto" w:fill="auto"/>
            <w:noWrap/>
            <w:vAlign w:val="center"/>
            <w:hideMark/>
          </w:tcPr>
          <w:p w14:paraId="65A888DB"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240</w:t>
            </w:r>
          </w:p>
        </w:tc>
        <w:tc>
          <w:tcPr>
            <w:tcW w:w="899" w:type="dxa"/>
            <w:tcBorders>
              <w:top w:val="single" w:sz="2" w:space="0" w:color="auto"/>
              <w:left w:val="nil"/>
              <w:bottom w:val="single" w:sz="2" w:space="0" w:color="auto"/>
              <w:right w:val="nil"/>
            </w:tcBorders>
            <w:shd w:val="clear" w:color="auto" w:fill="auto"/>
            <w:noWrap/>
            <w:vAlign w:val="center"/>
            <w:hideMark/>
          </w:tcPr>
          <w:p w14:paraId="0D9717BF"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103</w:t>
            </w:r>
          </w:p>
        </w:tc>
        <w:tc>
          <w:tcPr>
            <w:tcW w:w="1274" w:type="dxa"/>
            <w:tcBorders>
              <w:top w:val="single" w:sz="2" w:space="0" w:color="auto"/>
              <w:left w:val="nil"/>
              <w:bottom w:val="single" w:sz="2" w:space="0" w:color="auto"/>
              <w:right w:val="nil"/>
            </w:tcBorders>
            <w:shd w:val="clear" w:color="auto" w:fill="auto"/>
            <w:noWrap/>
            <w:vAlign w:val="center"/>
            <w:hideMark/>
          </w:tcPr>
          <w:p w14:paraId="7876BA39"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-87</w:t>
            </w:r>
          </w:p>
        </w:tc>
        <w:tc>
          <w:tcPr>
            <w:tcW w:w="1217" w:type="dxa"/>
            <w:tcBorders>
              <w:top w:val="single" w:sz="2" w:space="0" w:color="auto"/>
              <w:left w:val="nil"/>
              <w:bottom w:val="single" w:sz="2" w:space="0" w:color="auto"/>
              <w:right w:val="nil"/>
            </w:tcBorders>
            <w:shd w:val="clear" w:color="auto" w:fill="auto"/>
            <w:noWrap/>
            <w:vAlign w:val="center"/>
            <w:hideMark/>
          </w:tcPr>
          <w:p w14:paraId="7DD3139D"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50</w:t>
            </w:r>
          </w:p>
        </w:tc>
      </w:tr>
      <w:tr w:rsidR="0088085F" w:rsidRPr="00633BB6" w14:paraId="6D5AA91B"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31ACDA52" w14:textId="77777777" w:rsidR="0088085F" w:rsidRPr="00633BB6" w:rsidRDefault="0088085F" w:rsidP="00C24098">
            <w:pPr>
              <w:pStyle w:val="cuatexto"/>
              <w:jc w:val="left"/>
              <w:rPr>
                <w:sz w:val="18"/>
                <w:szCs w:val="18"/>
                <w:lang w:val="es-ES" w:eastAsia="es-ES"/>
              </w:rPr>
            </w:pPr>
            <w:r w:rsidRPr="00633BB6">
              <w:rPr>
                <w:sz w:val="18"/>
                <w:szCs w:val="18"/>
                <w:lang w:val="es-ES" w:eastAsia="es-ES"/>
              </w:rPr>
              <w:t>Deuda viva (por habitante)</w:t>
            </w:r>
          </w:p>
        </w:tc>
        <w:tc>
          <w:tcPr>
            <w:tcW w:w="784" w:type="dxa"/>
            <w:tcBorders>
              <w:top w:val="single" w:sz="2" w:space="0" w:color="auto"/>
              <w:left w:val="nil"/>
              <w:bottom w:val="single" w:sz="2" w:space="0" w:color="auto"/>
              <w:right w:val="nil"/>
            </w:tcBorders>
            <w:vAlign w:val="center"/>
          </w:tcPr>
          <w:p w14:paraId="4F4044C5" w14:textId="77777777" w:rsidR="0088085F" w:rsidRPr="007F0D71" w:rsidRDefault="00AC3578" w:rsidP="00633BB6">
            <w:pPr>
              <w:pStyle w:val="cuatexto"/>
              <w:jc w:val="right"/>
              <w:rPr>
                <w:sz w:val="18"/>
                <w:szCs w:val="18"/>
                <w:lang w:val="es-ES" w:eastAsia="es-ES"/>
              </w:rPr>
            </w:pPr>
            <w:r w:rsidRPr="007F0D71">
              <w:rPr>
                <w:sz w:val="18"/>
                <w:szCs w:val="18"/>
                <w:lang w:val="es-ES" w:eastAsia="es-ES"/>
              </w:rPr>
              <w:t>191</w:t>
            </w:r>
          </w:p>
        </w:tc>
        <w:tc>
          <w:tcPr>
            <w:tcW w:w="1002" w:type="dxa"/>
            <w:tcBorders>
              <w:top w:val="single" w:sz="2" w:space="0" w:color="auto"/>
              <w:left w:val="nil"/>
              <w:bottom w:val="single" w:sz="2" w:space="0" w:color="auto"/>
              <w:right w:val="nil"/>
            </w:tcBorders>
            <w:shd w:val="clear" w:color="auto" w:fill="auto"/>
            <w:noWrap/>
            <w:vAlign w:val="center"/>
            <w:hideMark/>
          </w:tcPr>
          <w:p w14:paraId="6F9B1042" w14:textId="77777777" w:rsidR="0088085F" w:rsidRPr="007F0D71" w:rsidRDefault="0088085F" w:rsidP="00633BB6">
            <w:pPr>
              <w:pStyle w:val="cuatexto"/>
              <w:jc w:val="right"/>
              <w:rPr>
                <w:sz w:val="18"/>
                <w:szCs w:val="18"/>
                <w:lang w:val="es-ES" w:eastAsia="es-ES"/>
              </w:rPr>
            </w:pPr>
            <w:r w:rsidRPr="007F0D71">
              <w:rPr>
                <w:sz w:val="18"/>
                <w:szCs w:val="18"/>
                <w:lang w:val="es-ES" w:eastAsia="es-ES"/>
              </w:rPr>
              <w:t>127</w:t>
            </w:r>
          </w:p>
        </w:tc>
        <w:tc>
          <w:tcPr>
            <w:tcW w:w="899" w:type="dxa"/>
            <w:tcBorders>
              <w:top w:val="single" w:sz="2" w:space="0" w:color="auto"/>
              <w:left w:val="nil"/>
              <w:bottom w:val="single" w:sz="2" w:space="0" w:color="auto"/>
              <w:right w:val="nil"/>
            </w:tcBorders>
            <w:shd w:val="clear" w:color="auto" w:fill="auto"/>
            <w:noWrap/>
            <w:vAlign w:val="center"/>
            <w:hideMark/>
          </w:tcPr>
          <w:p w14:paraId="2ACB93E3" w14:textId="77777777" w:rsidR="0088085F" w:rsidRPr="007F0D71" w:rsidRDefault="0088085F" w:rsidP="00633BB6">
            <w:pPr>
              <w:pStyle w:val="cuatexto"/>
              <w:jc w:val="right"/>
              <w:rPr>
                <w:sz w:val="18"/>
                <w:szCs w:val="18"/>
                <w:lang w:val="es-ES" w:eastAsia="es-ES"/>
              </w:rPr>
            </w:pPr>
            <w:r w:rsidRPr="007F0D71">
              <w:rPr>
                <w:sz w:val="18"/>
                <w:szCs w:val="18"/>
                <w:lang w:val="es-ES" w:eastAsia="es-ES"/>
              </w:rPr>
              <w:t>256</w:t>
            </w:r>
          </w:p>
        </w:tc>
        <w:tc>
          <w:tcPr>
            <w:tcW w:w="1274" w:type="dxa"/>
            <w:tcBorders>
              <w:top w:val="single" w:sz="2" w:space="0" w:color="auto"/>
              <w:left w:val="nil"/>
              <w:bottom w:val="single" w:sz="2" w:space="0" w:color="auto"/>
              <w:right w:val="nil"/>
            </w:tcBorders>
            <w:shd w:val="clear" w:color="auto" w:fill="auto"/>
            <w:noWrap/>
            <w:vAlign w:val="center"/>
            <w:hideMark/>
          </w:tcPr>
          <w:p w14:paraId="5EF5321F" w14:textId="77777777" w:rsidR="0088085F" w:rsidRPr="007F0D71" w:rsidRDefault="00AC3578" w:rsidP="00633BB6">
            <w:pPr>
              <w:pStyle w:val="cuatexto"/>
              <w:jc w:val="right"/>
              <w:rPr>
                <w:sz w:val="18"/>
                <w:szCs w:val="18"/>
                <w:lang w:val="es-ES" w:eastAsia="es-ES"/>
              </w:rPr>
            </w:pPr>
            <w:r w:rsidRPr="007F0D71">
              <w:rPr>
                <w:sz w:val="18"/>
                <w:szCs w:val="18"/>
                <w:lang w:val="es-ES" w:eastAsia="es-ES"/>
              </w:rPr>
              <w:t>6</w:t>
            </w:r>
            <w:r w:rsidR="0088085F" w:rsidRPr="007F0D71">
              <w:rPr>
                <w:sz w:val="18"/>
                <w:szCs w:val="18"/>
                <w:lang w:val="es-ES" w:eastAsia="es-ES"/>
              </w:rPr>
              <w:t>4</w:t>
            </w:r>
          </w:p>
        </w:tc>
        <w:tc>
          <w:tcPr>
            <w:tcW w:w="1217" w:type="dxa"/>
            <w:tcBorders>
              <w:top w:val="single" w:sz="2" w:space="0" w:color="auto"/>
              <w:left w:val="nil"/>
              <w:bottom w:val="single" w:sz="2" w:space="0" w:color="auto"/>
              <w:right w:val="nil"/>
            </w:tcBorders>
            <w:shd w:val="clear" w:color="auto" w:fill="auto"/>
            <w:noWrap/>
            <w:vAlign w:val="center"/>
            <w:hideMark/>
          </w:tcPr>
          <w:p w14:paraId="7F90B41D" w14:textId="77777777" w:rsidR="0088085F" w:rsidRPr="007F0D71" w:rsidRDefault="0088085F" w:rsidP="00633BB6">
            <w:pPr>
              <w:pStyle w:val="cuatexto"/>
              <w:jc w:val="right"/>
              <w:rPr>
                <w:sz w:val="18"/>
                <w:szCs w:val="18"/>
                <w:lang w:val="es-ES" w:eastAsia="es-ES"/>
              </w:rPr>
            </w:pPr>
            <w:r w:rsidRPr="007F0D71">
              <w:rPr>
                <w:sz w:val="18"/>
                <w:szCs w:val="18"/>
                <w:lang w:val="es-ES" w:eastAsia="es-ES"/>
              </w:rPr>
              <w:t>-</w:t>
            </w:r>
            <w:r w:rsidR="00AC3578" w:rsidRPr="007F0D71">
              <w:rPr>
                <w:sz w:val="18"/>
                <w:szCs w:val="18"/>
                <w:lang w:val="es-ES" w:eastAsia="es-ES"/>
              </w:rPr>
              <w:t>65</w:t>
            </w:r>
          </w:p>
        </w:tc>
      </w:tr>
      <w:tr w:rsidR="0088085F" w:rsidRPr="00633BB6" w14:paraId="67900531"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4A16524A" w14:textId="77777777" w:rsidR="0088085F" w:rsidRPr="00633BB6" w:rsidRDefault="0088085F" w:rsidP="00C24098">
            <w:pPr>
              <w:pStyle w:val="cuatexto"/>
              <w:jc w:val="left"/>
              <w:rPr>
                <w:sz w:val="18"/>
                <w:szCs w:val="18"/>
                <w:lang w:val="es-ES" w:eastAsia="es-ES"/>
              </w:rPr>
            </w:pPr>
            <w:r w:rsidRPr="00633BB6">
              <w:rPr>
                <w:sz w:val="18"/>
                <w:szCs w:val="18"/>
                <w:lang w:val="es-ES" w:eastAsia="es-ES"/>
              </w:rPr>
              <w:t>Nivel de endeudamiento (%  deuda viva/</w:t>
            </w:r>
            <w:proofErr w:type="spellStart"/>
            <w:r w:rsidRPr="00633BB6">
              <w:rPr>
                <w:sz w:val="18"/>
                <w:szCs w:val="18"/>
                <w:lang w:val="es-ES" w:eastAsia="es-ES"/>
              </w:rPr>
              <w:t>Ing.</w:t>
            </w:r>
            <w:r w:rsidR="00633BB6" w:rsidRPr="00633BB6">
              <w:rPr>
                <w:sz w:val="18"/>
                <w:szCs w:val="18"/>
                <w:lang w:val="es-ES" w:eastAsia="es-ES"/>
              </w:rPr>
              <w:t>corrientes</w:t>
            </w:r>
            <w:proofErr w:type="spellEnd"/>
            <w:r w:rsidRPr="00633BB6">
              <w:rPr>
                <w:sz w:val="18"/>
                <w:szCs w:val="18"/>
                <w:lang w:val="es-ES" w:eastAsia="es-ES"/>
              </w:rPr>
              <w:t>)</w:t>
            </w:r>
          </w:p>
        </w:tc>
        <w:tc>
          <w:tcPr>
            <w:tcW w:w="784" w:type="dxa"/>
            <w:tcBorders>
              <w:top w:val="single" w:sz="2" w:space="0" w:color="auto"/>
              <w:left w:val="nil"/>
              <w:bottom w:val="single" w:sz="2" w:space="0" w:color="auto"/>
              <w:right w:val="nil"/>
            </w:tcBorders>
            <w:vAlign w:val="center"/>
          </w:tcPr>
          <w:p w14:paraId="555FC6DC"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w:t>
            </w:r>
            <w:r w:rsidR="00FE4FE4" w:rsidRPr="00633BB6">
              <w:rPr>
                <w:sz w:val="18"/>
                <w:szCs w:val="18"/>
                <w:lang w:val="es-ES" w:eastAsia="es-ES"/>
              </w:rPr>
              <w:t>8</w:t>
            </w:r>
            <w:r w:rsidRPr="00633BB6">
              <w:rPr>
                <w:sz w:val="18"/>
                <w:szCs w:val="18"/>
                <w:lang w:val="es-ES" w:eastAsia="es-ES"/>
              </w:rPr>
              <w:t>%</w:t>
            </w:r>
          </w:p>
        </w:tc>
        <w:tc>
          <w:tcPr>
            <w:tcW w:w="1002" w:type="dxa"/>
            <w:tcBorders>
              <w:top w:val="single" w:sz="2" w:space="0" w:color="auto"/>
              <w:left w:val="nil"/>
              <w:bottom w:val="single" w:sz="2" w:space="0" w:color="auto"/>
              <w:right w:val="nil"/>
            </w:tcBorders>
            <w:shd w:val="clear" w:color="auto" w:fill="auto"/>
            <w:noWrap/>
            <w:vAlign w:val="center"/>
            <w:hideMark/>
          </w:tcPr>
          <w:p w14:paraId="565CC7ED"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9%</w:t>
            </w:r>
          </w:p>
        </w:tc>
        <w:tc>
          <w:tcPr>
            <w:tcW w:w="899" w:type="dxa"/>
            <w:tcBorders>
              <w:top w:val="single" w:sz="2" w:space="0" w:color="auto"/>
              <w:left w:val="nil"/>
              <w:bottom w:val="single" w:sz="2" w:space="0" w:color="auto"/>
              <w:right w:val="nil"/>
            </w:tcBorders>
            <w:shd w:val="clear" w:color="auto" w:fill="auto"/>
            <w:noWrap/>
            <w:vAlign w:val="center"/>
            <w:hideMark/>
          </w:tcPr>
          <w:p w14:paraId="406EBF6A"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25%</w:t>
            </w:r>
          </w:p>
        </w:tc>
        <w:tc>
          <w:tcPr>
            <w:tcW w:w="1274" w:type="dxa"/>
            <w:tcBorders>
              <w:top w:val="single" w:sz="2" w:space="0" w:color="auto"/>
              <w:left w:val="nil"/>
              <w:bottom w:val="single" w:sz="2" w:space="0" w:color="auto"/>
              <w:right w:val="nil"/>
            </w:tcBorders>
            <w:shd w:val="clear" w:color="auto" w:fill="auto"/>
            <w:noWrap/>
            <w:vAlign w:val="center"/>
            <w:hideMark/>
          </w:tcPr>
          <w:p w14:paraId="73B22A0F" w14:textId="77777777" w:rsidR="0088085F" w:rsidRPr="00633BB6" w:rsidRDefault="00FE4FE4" w:rsidP="00633BB6">
            <w:pPr>
              <w:pStyle w:val="cuatexto"/>
              <w:jc w:val="right"/>
              <w:rPr>
                <w:sz w:val="18"/>
                <w:szCs w:val="18"/>
                <w:lang w:val="es-ES" w:eastAsia="es-ES"/>
              </w:rPr>
            </w:pPr>
            <w:r w:rsidRPr="00633BB6">
              <w:rPr>
                <w:sz w:val="18"/>
                <w:szCs w:val="18"/>
                <w:lang w:val="es-ES" w:eastAsia="es-ES"/>
              </w:rPr>
              <w:t>9</w:t>
            </w:r>
            <w:r w:rsidR="0088085F" w:rsidRPr="00633BB6">
              <w:rPr>
                <w:sz w:val="18"/>
                <w:szCs w:val="18"/>
                <w:lang w:val="es-ES" w:eastAsia="es-ES"/>
              </w:rPr>
              <w:t>%</w:t>
            </w:r>
          </w:p>
        </w:tc>
        <w:tc>
          <w:tcPr>
            <w:tcW w:w="1217" w:type="dxa"/>
            <w:tcBorders>
              <w:top w:val="single" w:sz="2" w:space="0" w:color="auto"/>
              <w:left w:val="nil"/>
              <w:bottom w:val="single" w:sz="2" w:space="0" w:color="auto"/>
              <w:right w:val="nil"/>
            </w:tcBorders>
            <w:shd w:val="clear" w:color="auto" w:fill="auto"/>
            <w:noWrap/>
            <w:vAlign w:val="center"/>
            <w:hideMark/>
          </w:tcPr>
          <w:p w14:paraId="15047883" w14:textId="77777777" w:rsidR="0088085F" w:rsidRPr="00633BB6" w:rsidRDefault="00FE4FE4" w:rsidP="00633BB6">
            <w:pPr>
              <w:pStyle w:val="cuatexto"/>
              <w:jc w:val="right"/>
              <w:rPr>
                <w:sz w:val="18"/>
                <w:szCs w:val="18"/>
                <w:lang w:val="es-ES" w:eastAsia="es-ES"/>
              </w:rPr>
            </w:pPr>
            <w:r w:rsidRPr="00633BB6">
              <w:rPr>
                <w:sz w:val="18"/>
                <w:szCs w:val="18"/>
                <w:lang w:val="es-ES" w:eastAsia="es-ES"/>
              </w:rPr>
              <w:t>-7</w:t>
            </w:r>
            <w:r w:rsidR="0088085F" w:rsidRPr="00633BB6">
              <w:rPr>
                <w:sz w:val="18"/>
                <w:szCs w:val="18"/>
                <w:lang w:val="es-ES" w:eastAsia="es-ES"/>
              </w:rPr>
              <w:t>%</w:t>
            </w:r>
          </w:p>
        </w:tc>
      </w:tr>
      <w:tr w:rsidR="0088085F" w:rsidRPr="00633BB6" w14:paraId="6E1E601D"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1B240D35" w14:textId="77777777" w:rsidR="0088085F" w:rsidRPr="00633BB6" w:rsidRDefault="0088085F" w:rsidP="00C24098">
            <w:pPr>
              <w:pStyle w:val="cuatexto"/>
              <w:jc w:val="left"/>
              <w:rPr>
                <w:color w:val="000000" w:themeColor="text1"/>
                <w:sz w:val="18"/>
                <w:szCs w:val="18"/>
                <w:lang w:val="es-ES" w:eastAsia="es-ES"/>
              </w:rPr>
            </w:pPr>
            <w:r w:rsidRPr="00633BB6">
              <w:rPr>
                <w:color w:val="000000" w:themeColor="text1"/>
                <w:sz w:val="18"/>
                <w:szCs w:val="18"/>
                <w:lang w:val="es-ES" w:eastAsia="es-ES"/>
              </w:rPr>
              <w:t>Índice de carga financiera (cap. 3 y 9 /</w:t>
            </w:r>
            <w:proofErr w:type="spellStart"/>
            <w:r w:rsidRPr="00633BB6">
              <w:rPr>
                <w:color w:val="000000" w:themeColor="text1"/>
                <w:sz w:val="18"/>
                <w:szCs w:val="18"/>
                <w:lang w:val="es-ES" w:eastAsia="es-ES"/>
              </w:rPr>
              <w:t>ingr</w:t>
            </w:r>
            <w:proofErr w:type="spellEnd"/>
            <w:r w:rsidRPr="00633BB6">
              <w:rPr>
                <w:color w:val="000000" w:themeColor="text1"/>
                <w:sz w:val="18"/>
                <w:szCs w:val="18"/>
                <w:lang w:val="es-ES" w:eastAsia="es-ES"/>
              </w:rPr>
              <w:t>. Corrientes)</w:t>
            </w:r>
          </w:p>
        </w:tc>
        <w:tc>
          <w:tcPr>
            <w:tcW w:w="784" w:type="dxa"/>
            <w:tcBorders>
              <w:top w:val="single" w:sz="2" w:space="0" w:color="auto"/>
              <w:left w:val="nil"/>
              <w:bottom w:val="single" w:sz="2" w:space="0" w:color="auto"/>
              <w:right w:val="nil"/>
            </w:tcBorders>
            <w:vAlign w:val="center"/>
          </w:tcPr>
          <w:p w14:paraId="511B6D04" w14:textId="77777777" w:rsidR="0088085F" w:rsidRPr="00633BB6" w:rsidRDefault="0088085F" w:rsidP="00633BB6">
            <w:pPr>
              <w:pStyle w:val="cuatexto"/>
              <w:jc w:val="right"/>
              <w:rPr>
                <w:color w:val="000000" w:themeColor="text1"/>
                <w:sz w:val="18"/>
                <w:szCs w:val="18"/>
                <w:lang w:val="es-ES" w:eastAsia="es-ES"/>
              </w:rPr>
            </w:pPr>
            <w:r w:rsidRPr="00633BB6">
              <w:rPr>
                <w:color w:val="000000" w:themeColor="text1"/>
                <w:sz w:val="18"/>
                <w:szCs w:val="18"/>
                <w:lang w:val="es-ES" w:eastAsia="es-ES"/>
              </w:rPr>
              <w:t>4%</w:t>
            </w:r>
          </w:p>
        </w:tc>
        <w:tc>
          <w:tcPr>
            <w:tcW w:w="1002" w:type="dxa"/>
            <w:tcBorders>
              <w:top w:val="single" w:sz="2" w:space="0" w:color="auto"/>
              <w:left w:val="nil"/>
              <w:bottom w:val="single" w:sz="2" w:space="0" w:color="auto"/>
              <w:right w:val="nil"/>
            </w:tcBorders>
            <w:shd w:val="clear" w:color="auto" w:fill="auto"/>
            <w:noWrap/>
            <w:vAlign w:val="center"/>
            <w:hideMark/>
          </w:tcPr>
          <w:p w14:paraId="2432063A" w14:textId="77777777" w:rsidR="0088085F" w:rsidRPr="00633BB6" w:rsidRDefault="0088085F" w:rsidP="00633BB6">
            <w:pPr>
              <w:pStyle w:val="cuatexto"/>
              <w:jc w:val="right"/>
              <w:rPr>
                <w:color w:val="000000" w:themeColor="text1"/>
                <w:sz w:val="18"/>
                <w:szCs w:val="18"/>
                <w:lang w:val="es-ES" w:eastAsia="es-ES"/>
              </w:rPr>
            </w:pPr>
            <w:r w:rsidRPr="00633BB6">
              <w:rPr>
                <w:color w:val="000000" w:themeColor="text1"/>
                <w:sz w:val="18"/>
                <w:szCs w:val="18"/>
                <w:lang w:val="es-ES" w:eastAsia="es-ES"/>
              </w:rPr>
              <w:t>2%</w:t>
            </w:r>
          </w:p>
        </w:tc>
        <w:tc>
          <w:tcPr>
            <w:tcW w:w="899" w:type="dxa"/>
            <w:tcBorders>
              <w:top w:val="single" w:sz="2" w:space="0" w:color="auto"/>
              <w:left w:val="nil"/>
              <w:bottom w:val="single" w:sz="2" w:space="0" w:color="auto"/>
              <w:right w:val="nil"/>
            </w:tcBorders>
            <w:shd w:val="clear" w:color="auto" w:fill="auto"/>
            <w:noWrap/>
            <w:vAlign w:val="center"/>
            <w:hideMark/>
          </w:tcPr>
          <w:p w14:paraId="2E259565" w14:textId="77777777" w:rsidR="0088085F" w:rsidRPr="00633BB6" w:rsidRDefault="0088085F" w:rsidP="00633BB6">
            <w:pPr>
              <w:pStyle w:val="cuatexto"/>
              <w:jc w:val="right"/>
              <w:rPr>
                <w:color w:val="000000" w:themeColor="text1"/>
                <w:sz w:val="18"/>
                <w:szCs w:val="18"/>
                <w:lang w:val="es-ES" w:eastAsia="es-ES"/>
              </w:rPr>
            </w:pPr>
            <w:r w:rsidRPr="00633BB6">
              <w:rPr>
                <w:color w:val="000000" w:themeColor="text1"/>
                <w:sz w:val="18"/>
                <w:szCs w:val="18"/>
                <w:lang w:val="es-ES" w:eastAsia="es-ES"/>
              </w:rPr>
              <w:t>8%</w:t>
            </w:r>
          </w:p>
        </w:tc>
        <w:tc>
          <w:tcPr>
            <w:tcW w:w="1274" w:type="dxa"/>
            <w:tcBorders>
              <w:top w:val="single" w:sz="2" w:space="0" w:color="auto"/>
              <w:left w:val="nil"/>
              <w:bottom w:val="single" w:sz="2" w:space="0" w:color="auto"/>
              <w:right w:val="nil"/>
            </w:tcBorders>
            <w:shd w:val="clear" w:color="auto" w:fill="auto"/>
            <w:noWrap/>
            <w:vAlign w:val="center"/>
            <w:hideMark/>
          </w:tcPr>
          <w:p w14:paraId="72E1119D" w14:textId="77777777" w:rsidR="0088085F" w:rsidRPr="00633BB6" w:rsidRDefault="0088085F" w:rsidP="00633BB6">
            <w:pPr>
              <w:pStyle w:val="cuatexto"/>
              <w:jc w:val="right"/>
              <w:rPr>
                <w:color w:val="000000" w:themeColor="text1"/>
                <w:sz w:val="18"/>
                <w:szCs w:val="18"/>
                <w:lang w:val="es-ES" w:eastAsia="es-ES"/>
              </w:rPr>
            </w:pPr>
            <w:r w:rsidRPr="00633BB6">
              <w:rPr>
                <w:color w:val="000000" w:themeColor="text1"/>
                <w:sz w:val="18"/>
                <w:szCs w:val="18"/>
                <w:lang w:val="es-ES" w:eastAsia="es-ES"/>
              </w:rPr>
              <w:t>2%</w:t>
            </w:r>
          </w:p>
        </w:tc>
        <w:tc>
          <w:tcPr>
            <w:tcW w:w="1217" w:type="dxa"/>
            <w:tcBorders>
              <w:top w:val="single" w:sz="2" w:space="0" w:color="auto"/>
              <w:left w:val="nil"/>
              <w:bottom w:val="single" w:sz="2" w:space="0" w:color="auto"/>
              <w:right w:val="nil"/>
            </w:tcBorders>
            <w:shd w:val="clear" w:color="auto" w:fill="auto"/>
            <w:noWrap/>
            <w:vAlign w:val="center"/>
            <w:hideMark/>
          </w:tcPr>
          <w:p w14:paraId="3F6DB0A4" w14:textId="77777777" w:rsidR="0088085F" w:rsidRPr="00633BB6" w:rsidRDefault="0088085F" w:rsidP="00633BB6">
            <w:pPr>
              <w:pStyle w:val="cuatexto"/>
              <w:jc w:val="right"/>
              <w:rPr>
                <w:color w:val="000000" w:themeColor="text1"/>
                <w:sz w:val="18"/>
                <w:szCs w:val="18"/>
                <w:lang w:val="es-ES" w:eastAsia="es-ES"/>
              </w:rPr>
            </w:pPr>
            <w:r w:rsidRPr="00633BB6">
              <w:rPr>
                <w:color w:val="000000" w:themeColor="text1"/>
                <w:sz w:val="18"/>
                <w:szCs w:val="18"/>
                <w:lang w:val="es-ES" w:eastAsia="es-ES"/>
              </w:rPr>
              <w:t>-4%</w:t>
            </w:r>
          </w:p>
        </w:tc>
      </w:tr>
      <w:tr w:rsidR="00E96821" w:rsidRPr="00633BB6" w14:paraId="77368F9B" w14:textId="77777777" w:rsidTr="00633BB6">
        <w:trPr>
          <w:trHeight w:hRule="exact" w:val="454"/>
          <w:jc w:val="center"/>
        </w:trPr>
        <w:tc>
          <w:tcPr>
            <w:tcW w:w="4300" w:type="dxa"/>
            <w:tcBorders>
              <w:top w:val="single" w:sz="2" w:space="0" w:color="auto"/>
              <w:left w:val="nil"/>
              <w:bottom w:val="single" w:sz="2" w:space="0" w:color="auto"/>
              <w:right w:val="nil"/>
            </w:tcBorders>
            <w:shd w:val="clear" w:color="auto" w:fill="auto"/>
            <w:noWrap/>
            <w:vAlign w:val="center"/>
            <w:hideMark/>
          </w:tcPr>
          <w:p w14:paraId="1E5A1EE4" w14:textId="77777777" w:rsidR="0088085F" w:rsidRPr="00633BB6" w:rsidRDefault="00E96821" w:rsidP="00C24098">
            <w:pPr>
              <w:pStyle w:val="cuatexto"/>
              <w:jc w:val="left"/>
              <w:rPr>
                <w:color w:val="000000" w:themeColor="text1"/>
                <w:sz w:val="18"/>
                <w:szCs w:val="18"/>
                <w:lang w:val="es-ES" w:eastAsia="es-ES"/>
              </w:rPr>
            </w:pPr>
            <w:r w:rsidRPr="00633BB6">
              <w:rPr>
                <w:color w:val="000000" w:themeColor="text1"/>
                <w:sz w:val="18"/>
                <w:szCs w:val="18"/>
                <w:lang w:val="es-ES" w:eastAsia="es-ES"/>
              </w:rPr>
              <w:t>A</w:t>
            </w:r>
            <w:r w:rsidR="0088085F" w:rsidRPr="00633BB6">
              <w:rPr>
                <w:color w:val="000000" w:themeColor="text1"/>
                <w:sz w:val="18"/>
                <w:szCs w:val="18"/>
                <w:lang w:val="es-ES" w:eastAsia="es-ES"/>
              </w:rPr>
              <w:t>horro bruto sobre ingresos corrientes (</w:t>
            </w:r>
            <w:proofErr w:type="spellStart"/>
            <w:r w:rsidR="0088085F" w:rsidRPr="00633BB6">
              <w:rPr>
                <w:color w:val="000000" w:themeColor="text1"/>
                <w:sz w:val="18"/>
                <w:szCs w:val="18"/>
                <w:lang w:val="es-ES" w:eastAsia="es-ES"/>
              </w:rPr>
              <w:t>ing</w:t>
            </w:r>
            <w:proofErr w:type="spellEnd"/>
            <w:r w:rsidR="0088085F" w:rsidRPr="00633BB6">
              <w:rPr>
                <w:color w:val="000000" w:themeColor="text1"/>
                <w:sz w:val="18"/>
                <w:szCs w:val="18"/>
                <w:lang w:val="es-ES" w:eastAsia="es-ES"/>
              </w:rPr>
              <w:t xml:space="preserve"> </w:t>
            </w:r>
            <w:proofErr w:type="spellStart"/>
            <w:r w:rsidR="0088085F" w:rsidRPr="00633BB6">
              <w:rPr>
                <w:color w:val="000000" w:themeColor="text1"/>
                <w:sz w:val="18"/>
                <w:szCs w:val="18"/>
                <w:lang w:val="es-ES" w:eastAsia="es-ES"/>
              </w:rPr>
              <w:t>ctes</w:t>
            </w:r>
            <w:proofErr w:type="spellEnd"/>
            <w:r w:rsidR="0088085F" w:rsidRPr="00633BB6">
              <w:rPr>
                <w:color w:val="000000" w:themeColor="text1"/>
                <w:sz w:val="18"/>
                <w:szCs w:val="18"/>
                <w:lang w:val="es-ES" w:eastAsia="es-ES"/>
              </w:rPr>
              <w:t xml:space="preserve"> - gastos </w:t>
            </w:r>
            <w:proofErr w:type="spellStart"/>
            <w:r w:rsidR="0088085F" w:rsidRPr="00633BB6">
              <w:rPr>
                <w:color w:val="000000" w:themeColor="text1"/>
                <w:sz w:val="18"/>
                <w:szCs w:val="18"/>
                <w:lang w:val="es-ES" w:eastAsia="es-ES"/>
              </w:rPr>
              <w:t>func</w:t>
            </w:r>
            <w:proofErr w:type="spellEnd"/>
            <w:r w:rsidR="0088085F" w:rsidRPr="00633BB6">
              <w:rPr>
                <w:color w:val="000000" w:themeColor="text1"/>
                <w:sz w:val="18"/>
                <w:szCs w:val="18"/>
                <w:lang w:val="es-ES" w:eastAsia="es-ES"/>
              </w:rPr>
              <w:t xml:space="preserve">. / </w:t>
            </w:r>
            <w:proofErr w:type="spellStart"/>
            <w:r w:rsidR="0088085F" w:rsidRPr="00633BB6">
              <w:rPr>
                <w:color w:val="000000" w:themeColor="text1"/>
                <w:sz w:val="18"/>
                <w:szCs w:val="18"/>
                <w:lang w:val="es-ES" w:eastAsia="es-ES"/>
              </w:rPr>
              <w:t>ingr</w:t>
            </w:r>
            <w:proofErr w:type="spellEnd"/>
            <w:r w:rsidR="0088085F" w:rsidRPr="00633BB6">
              <w:rPr>
                <w:color w:val="000000" w:themeColor="text1"/>
                <w:sz w:val="18"/>
                <w:szCs w:val="18"/>
                <w:lang w:val="es-ES" w:eastAsia="es-ES"/>
              </w:rPr>
              <w:t xml:space="preserve"> corrientes)</w:t>
            </w:r>
          </w:p>
        </w:tc>
        <w:tc>
          <w:tcPr>
            <w:tcW w:w="784" w:type="dxa"/>
            <w:tcBorders>
              <w:top w:val="single" w:sz="2" w:space="0" w:color="auto"/>
              <w:left w:val="nil"/>
              <w:bottom w:val="single" w:sz="2" w:space="0" w:color="auto"/>
              <w:right w:val="nil"/>
            </w:tcBorders>
            <w:vAlign w:val="center"/>
          </w:tcPr>
          <w:p w14:paraId="025FC91A" w14:textId="77777777" w:rsidR="0088085F" w:rsidRPr="00633BB6" w:rsidRDefault="00E96821" w:rsidP="00633BB6">
            <w:pPr>
              <w:pStyle w:val="cuatexto"/>
              <w:jc w:val="right"/>
              <w:rPr>
                <w:color w:val="000000" w:themeColor="text1"/>
                <w:sz w:val="18"/>
                <w:szCs w:val="18"/>
                <w:lang w:val="es-ES" w:eastAsia="es-ES"/>
              </w:rPr>
            </w:pPr>
            <w:r w:rsidRPr="00633BB6">
              <w:rPr>
                <w:color w:val="000000" w:themeColor="text1"/>
                <w:sz w:val="18"/>
                <w:szCs w:val="18"/>
                <w:lang w:val="es-ES" w:eastAsia="es-ES"/>
              </w:rPr>
              <w:t>1</w:t>
            </w:r>
            <w:r w:rsidR="0088085F" w:rsidRPr="00633BB6">
              <w:rPr>
                <w:color w:val="000000" w:themeColor="text1"/>
                <w:sz w:val="18"/>
                <w:szCs w:val="18"/>
                <w:lang w:val="es-ES" w:eastAsia="es-ES"/>
              </w:rPr>
              <w:t>9</w:t>
            </w:r>
            <w:r w:rsidRPr="00633BB6">
              <w:rPr>
                <w:color w:val="000000" w:themeColor="text1"/>
                <w:sz w:val="18"/>
                <w:szCs w:val="18"/>
                <w:lang w:val="es-ES" w:eastAsia="es-ES"/>
              </w:rPr>
              <w:t>%</w:t>
            </w:r>
            <w:r w:rsidR="0088085F" w:rsidRPr="00633BB6">
              <w:rPr>
                <w:color w:val="000000" w:themeColor="text1"/>
                <w:sz w:val="18"/>
                <w:szCs w:val="18"/>
                <w:lang w:val="es-ES" w:eastAsia="es-ES"/>
              </w:rPr>
              <w:t xml:space="preserve"> </w:t>
            </w:r>
          </w:p>
        </w:tc>
        <w:tc>
          <w:tcPr>
            <w:tcW w:w="1002" w:type="dxa"/>
            <w:tcBorders>
              <w:top w:val="single" w:sz="2" w:space="0" w:color="auto"/>
              <w:left w:val="nil"/>
              <w:bottom w:val="single" w:sz="2" w:space="0" w:color="auto"/>
              <w:right w:val="nil"/>
            </w:tcBorders>
            <w:shd w:val="clear" w:color="auto" w:fill="auto"/>
            <w:noWrap/>
            <w:vAlign w:val="center"/>
            <w:hideMark/>
          </w:tcPr>
          <w:p w14:paraId="2FB2ADBB" w14:textId="77777777" w:rsidR="0088085F" w:rsidRPr="00633BB6" w:rsidRDefault="0088085F" w:rsidP="00633BB6">
            <w:pPr>
              <w:pStyle w:val="cuatexto"/>
              <w:jc w:val="right"/>
              <w:rPr>
                <w:color w:val="000000" w:themeColor="text1"/>
                <w:sz w:val="18"/>
                <w:szCs w:val="18"/>
                <w:lang w:val="es-ES" w:eastAsia="es-ES"/>
              </w:rPr>
            </w:pPr>
            <w:r w:rsidRPr="00633BB6">
              <w:rPr>
                <w:color w:val="000000" w:themeColor="text1"/>
                <w:sz w:val="18"/>
                <w:szCs w:val="18"/>
                <w:lang w:val="es-ES" w:eastAsia="es-ES"/>
              </w:rPr>
              <w:t xml:space="preserve">         19</w:t>
            </w:r>
            <w:r w:rsidR="00E96821" w:rsidRPr="00633BB6">
              <w:rPr>
                <w:color w:val="000000" w:themeColor="text1"/>
                <w:sz w:val="18"/>
                <w:szCs w:val="18"/>
                <w:lang w:val="es-ES" w:eastAsia="es-ES"/>
              </w:rPr>
              <w:t>%</w:t>
            </w:r>
            <w:r w:rsidRPr="00633BB6">
              <w:rPr>
                <w:color w:val="000000" w:themeColor="text1"/>
                <w:sz w:val="18"/>
                <w:szCs w:val="18"/>
                <w:lang w:val="es-ES" w:eastAsia="es-ES"/>
              </w:rPr>
              <w:t xml:space="preserve"> </w:t>
            </w:r>
          </w:p>
        </w:tc>
        <w:tc>
          <w:tcPr>
            <w:tcW w:w="899" w:type="dxa"/>
            <w:tcBorders>
              <w:top w:val="single" w:sz="2" w:space="0" w:color="auto"/>
              <w:left w:val="nil"/>
              <w:bottom w:val="single" w:sz="2" w:space="0" w:color="auto"/>
              <w:right w:val="nil"/>
            </w:tcBorders>
            <w:shd w:val="clear" w:color="auto" w:fill="auto"/>
            <w:noWrap/>
            <w:vAlign w:val="center"/>
            <w:hideMark/>
          </w:tcPr>
          <w:p w14:paraId="74BFBD1E" w14:textId="77777777" w:rsidR="0088085F" w:rsidRPr="00633BB6" w:rsidRDefault="0088085F" w:rsidP="00633BB6">
            <w:pPr>
              <w:pStyle w:val="cuatexto"/>
              <w:jc w:val="right"/>
              <w:rPr>
                <w:color w:val="000000" w:themeColor="text1"/>
                <w:sz w:val="18"/>
                <w:szCs w:val="18"/>
                <w:lang w:val="es-ES" w:eastAsia="es-ES"/>
              </w:rPr>
            </w:pPr>
            <w:r w:rsidRPr="00633BB6">
              <w:rPr>
                <w:color w:val="000000" w:themeColor="text1"/>
                <w:sz w:val="18"/>
                <w:szCs w:val="18"/>
                <w:lang w:val="es-ES" w:eastAsia="es-ES"/>
              </w:rPr>
              <w:t xml:space="preserve">         18</w:t>
            </w:r>
            <w:r w:rsidR="00E96821" w:rsidRPr="00633BB6">
              <w:rPr>
                <w:color w:val="000000" w:themeColor="text1"/>
                <w:sz w:val="18"/>
                <w:szCs w:val="18"/>
                <w:lang w:val="es-ES" w:eastAsia="es-ES"/>
              </w:rPr>
              <w:t>%</w:t>
            </w:r>
            <w:r w:rsidRPr="00633BB6">
              <w:rPr>
                <w:color w:val="000000" w:themeColor="text1"/>
                <w:sz w:val="18"/>
                <w:szCs w:val="18"/>
                <w:lang w:val="es-ES" w:eastAsia="es-ES"/>
              </w:rPr>
              <w:t xml:space="preserve"> </w:t>
            </w:r>
          </w:p>
        </w:tc>
        <w:tc>
          <w:tcPr>
            <w:tcW w:w="1274" w:type="dxa"/>
            <w:tcBorders>
              <w:top w:val="single" w:sz="2" w:space="0" w:color="auto"/>
              <w:left w:val="nil"/>
              <w:bottom w:val="single" w:sz="2" w:space="0" w:color="auto"/>
              <w:right w:val="nil"/>
            </w:tcBorders>
            <w:shd w:val="clear" w:color="auto" w:fill="auto"/>
            <w:noWrap/>
            <w:vAlign w:val="center"/>
            <w:hideMark/>
          </w:tcPr>
          <w:p w14:paraId="7AC7251A" w14:textId="77777777" w:rsidR="0088085F" w:rsidRPr="00633BB6" w:rsidRDefault="0088085F" w:rsidP="00633BB6">
            <w:pPr>
              <w:pStyle w:val="cuatexto"/>
              <w:jc w:val="right"/>
              <w:rPr>
                <w:color w:val="000000" w:themeColor="text1"/>
                <w:sz w:val="18"/>
                <w:szCs w:val="18"/>
                <w:lang w:val="es-ES" w:eastAsia="es-ES"/>
              </w:rPr>
            </w:pPr>
            <w:r w:rsidRPr="00633BB6">
              <w:rPr>
                <w:color w:val="000000" w:themeColor="text1"/>
                <w:sz w:val="18"/>
                <w:szCs w:val="18"/>
                <w:lang w:val="es-ES" w:eastAsia="es-ES"/>
              </w:rPr>
              <w:t>0</w:t>
            </w:r>
            <w:r w:rsidR="00E96821" w:rsidRPr="00633BB6">
              <w:rPr>
                <w:color w:val="000000" w:themeColor="text1"/>
                <w:sz w:val="18"/>
                <w:szCs w:val="18"/>
                <w:lang w:val="es-ES" w:eastAsia="es-ES"/>
              </w:rPr>
              <w:t>%</w:t>
            </w:r>
          </w:p>
        </w:tc>
        <w:tc>
          <w:tcPr>
            <w:tcW w:w="1217" w:type="dxa"/>
            <w:tcBorders>
              <w:top w:val="single" w:sz="2" w:space="0" w:color="auto"/>
              <w:left w:val="nil"/>
              <w:bottom w:val="single" w:sz="2" w:space="0" w:color="auto"/>
              <w:right w:val="nil"/>
            </w:tcBorders>
            <w:shd w:val="clear" w:color="auto" w:fill="auto"/>
            <w:noWrap/>
            <w:vAlign w:val="center"/>
            <w:hideMark/>
          </w:tcPr>
          <w:p w14:paraId="44E7445D" w14:textId="77777777" w:rsidR="0088085F" w:rsidRPr="00633BB6" w:rsidRDefault="0088085F" w:rsidP="00633BB6">
            <w:pPr>
              <w:pStyle w:val="cuatexto"/>
              <w:jc w:val="right"/>
              <w:rPr>
                <w:color w:val="000000" w:themeColor="text1"/>
                <w:sz w:val="18"/>
                <w:szCs w:val="18"/>
                <w:lang w:val="es-ES" w:eastAsia="es-ES"/>
              </w:rPr>
            </w:pPr>
            <w:r w:rsidRPr="00633BB6">
              <w:rPr>
                <w:color w:val="000000" w:themeColor="text1"/>
                <w:sz w:val="18"/>
                <w:szCs w:val="18"/>
                <w:lang w:val="es-ES" w:eastAsia="es-ES"/>
              </w:rPr>
              <w:t>1</w:t>
            </w:r>
            <w:r w:rsidR="00E96821" w:rsidRPr="00633BB6">
              <w:rPr>
                <w:color w:val="000000" w:themeColor="text1"/>
                <w:sz w:val="18"/>
                <w:szCs w:val="18"/>
                <w:lang w:val="es-ES" w:eastAsia="es-ES"/>
              </w:rPr>
              <w:t>%</w:t>
            </w:r>
          </w:p>
        </w:tc>
      </w:tr>
      <w:tr w:rsidR="0088085F" w:rsidRPr="00633BB6" w14:paraId="46328D02"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033015C3" w14:textId="77777777" w:rsidR="0088085F" w:rsidRPr="00633BB6" w:rsidRDefault="0088085F" w:rsidP="00C24098">
            <w:pPr>
              <w:pStyle w:val="cuatexto"/>
              <w:jc w:val="left"/>
              <w:rPr>
                <w:sz w:val="18"/>
                <w:szCs w:val="18"/>
                <w:lang w:val="es-ES" w:eastAsia="es-ES"/>
              </w:rPr>
            </w:pPr>
            <w:r w:rsidRPr="00633BB6">
              <w:rPr>
                <w:sz w:val="18"/>
                <w:szCs w:val="18"/>
                <w:lang w:val="es-ES" w:eastAsia="es-ES"/>
              </w:rPr>
              <w:t>Transferencias recibidas (por habitante)</w:t>
            </w:r>
          </w:p>
        </w:tc>
        <w:tc>
          <w:tcPr>
            <w:tcW w:w="784" w:type="dxa"/>
            <w:tcBorders>
              <w:top w:val="single" w:sz="2" w:space="0" w:color="auto"/>
              <w:left w:val="nil"/>
              <w:bottom w:val="single" w:sz="2" w:space="0" w:color="auto"/>
              <w:right w:val="nil"/>
            </w:tcBorders>
            <w:vAlign w:val="center"/>
          </w:tcPr>
          <w:p w14:paraId="66BF9568"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 xml:space="preserve">541 </w:t>
            </w:r>
          </w:p>
        </w:tc>
        <w:tc>
          <w:tcPr>
            <w:tcW w:w="1002" w:type="dxa"/>
            <w:tcBorders>
              <w:top w:val="single" w:sz="2" w:space="0" w:color="auto"/>
              <w:left w:val="nil"/>
              <w:bottom w:val="single" w:sz="2" w:space="0" w:color="auto"/>
              <w:right w:val="nil"/>
            </w:tcBorders>
            <w:shd w:val="clear" w:color="auto" w:fill="auto"/>
            <w:noWrap/>
            <w:vAlign w:val="center"/>
            <w:hideMark/>
          </w:tcPr>
          <w:p w14:paraId="5ED3A022"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 xml:space="preserve">          843 </w:t>
            </w:r>
          </w:p>
        </w:tc>
        <w:tc>
          <w:tcPr>
            <w:tcW w:w="899" w:type="dxa"/>
            <w:tcBorders>
              <w:top w:val="single" w:sz="2" w:space="0" w:color="auto"/>
              <w:left w:val="nil"/>
              <w:bottom w:val="single" w:sz="2" w:space="0" w:color="auto"/>
              <w:right w:val="nil"/>
            </w:tcBorders>
            <w:shd w:val="clear" w:color="auto" w:fill="auto"/>
            <w:noWrap/>
            <w:vAlign w:val="center"/>
            <w:hideMark/>
          </w:tcPr>
          <w:p w14:paraId="77B311AA" w14:textId="77777777" w:rsidR="0088085F" w:rsidRPr="00633BB6" w:rsidRDefault="007F0D71" w:rsidP="00633BB6">
            <w:pPr>
              <w:pStyle w:val="cuatexto"/>
              <w:jc w:val="right"/>
              <w:rPr>
                <w:sz w:val="18"/>
                <w:szCs w:val="18"/>
                <w:lang w:val="es-ES" w:eastAsia="es-ES"/>
              </w:rPr>
            </w:pPr>
            <w:r>
              <w:rPr>
                <w:sz w:val="18"/>
                <w:szCs w:val="18"/>
                <w:lang w:val="es-ES" w:eastAsia="es-ES"/>
              </w:rPr>
              <w:t>441</w:t>
            </w:r>
            <w:r w:rsidR="0088085F" w:rsidRPr="00633BB6">
              <w:rPr>
                <w:sz w:val="18"/>
                <w:szCs w:val="18"/>
                <w:lang w:val="es-ES" w:eastAsia="es-ES"/>
              </w:rPr>
              <w:t xml:space="preserve">              441 </w:t>
            </w:r>
          </w:p>
        </w:tc>
        <w:tc>
          <w:tcPr>
            <w:tcW w:w="1274" w:type="dxa"/>
            <w:tcBorders>
              <w:top w:val="single" w:sz="2" w:space="0" w:color="auto"/>
              <w:left w:val="nil"/>
              <w:bottom w:val="single" w:sz="2" w:space="0" w:color="auto"/>
              <w:right w:val="nil"/>
            </w:tcBorders>
            <w:shd w:val="clear" w:color="auto" w:fill="auto"/>
            <w:noWrap/>
            <w:vAlign w:val="center"/>
            <w:hideMark/>
          </w:tcPr>
          <w:p w14:paraId="2BB99461"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-302</w:t>
            </w:r>
          </w:p>
        </w:tc>
        <w:tc>
          <w:tcPr>
            <w:tcW w:w="1217" w:type="dxa"/>
            <w:tcBorders>
              <w:top w:val="single" w:sz="2" w:space="0" w:color="auto"/>
              <w:left w:val="nil"/>
              <w:bottom w:val="single" w:sz="2" w:space="0" w:color="auto"/>
              <w:right w:val="nil"/>
            </w:tcBorders>
            <w:shd w:val="clear" w:color="auto" w:fill="auto"/>
            <w:noWrap/>
            <w:vAlign w:val="center"/>
            <w:hideMark/>
          </w:tcPr>
          <w:p w14:paraId="097E1D31"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100</w:t>
            </w:r>
          </w:p>
        </w:tc>
      </w:tr>
      <w:tr w:rsidR="0088085F" w:rsidRPr="00633BB6" w14:paraId="4967BAB0"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1C586603" w14:textId="77777777" w:rsidR="0088085F" w:rsidRPr="00633BB6" w:rsidRDefault="0088085F" w:rsidP="00C24098">
            <w:pPr>
              <w:pStyle w:val="cuatexto"/>
              <w:jc w:val="left"/>
              <w:rPr>
                <w:sz w:val="18"/>
                <w:szCs w:val="18"/>
                <w:lang w:val="es-ES" w:eastAsia="es-ES"/>
              </w:rPr>
            </w:pPr>
            <w:r w:rsidRPr="00633BB6">
              <w:rPr>
                <w:sz w:val="18"/>
                <w:szCs w:val="18"/>
                <w:lang w:val="es-ES" w:eastAsia="es-ES"/>
              </w:rPr>
              <w:t xml:space="preserve">%  de gastos corrientes financiados con </w:t>
            </w:r>
            <w:proofErr w:type="spellStart"/>
            <w:r w:rsidRPr="00633BB6">
              <w:rPr>
                <w:sz w:val="18"/>
                <w:szCs w:val="18"/>
                <w:lang w:val="es-ES" w:eastAsia="es-ES"/>
              </w:rPr>
              <w:t>transf.corrientes</w:t>
            </w:r>
            <w:proofErr w:type="spellEnd"/>
          </w:p>
        </w:tc>
        <w:tc>
          <w:tcPr>
            <w:tcW w:w="784" w:type="dxa"/>
            <w:tcBorders>
              <w:top w:val="single" w:sz="2" w:space="0" w:color="auto"/>
              <w:left w:val="nil"/>
              <w:bottom w:val="single" w:sz="2" w:space="0" w:color="auto"/>
              <w:right w:val="nil"/>
            </w:tcBorders>
            <w:vAlign w:val="center"/>
          </w:tcPr>
          <w:p w14:paraId="064E443B"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 xml:space="preserve">50 </w:t>
            </w:r>
          </w:p>
        </w:tc>
        <w:tc>
          <w:tcPr>
            <w:tcW w:w="1002" w:type="dxa"/>
            <w:tcBorders>
              <w:top w:val="single" w:sz="2" w:space="0" w:color="auto"/>
              <w:left w:val="nil"/>
              <w:bottom w:val="single" w:sz="2" w:space="0" w:color="auto"/>
              <w:right w:val="nil"/>
            </w:tcBorders>
            <w:shd w:val="clear" w:color="auto" w:fill="auto"/>
            <w:noWrap/>
            <w:vAlign w:val="center"/>
            <w:hideMark/>
          </w:tcPr>
          <w:p w14:paraId="039C3553"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 xml:space="preserve">             71 </w:t>
            </w:r>
          </w:p>
        </w:tc>
        <w:tc>
          <w:tcPr>
            <w:tcW w:w="899" w:type="dxa"/>
            <w:tcBorders>
              <w:top w:val="single" w:sz="2" w:space="0" w:color="auto"/>
              <w:left w:val="nil"/>
              <w:bottom w:val="single" w:sz="2" w:space="0" w:color="auto"/>
              <w:right w:val="nil"/>
            </w:tcBorders>
            <w:shd w:val="clear" w:color="auto" w:fill="auto"/>
            <w:noWrap/>
            <w:vAlign w:val="center"/>
            <w:hideMark/>
          </w:tcPr>
          <w:p w14:paraId="1AB652DF" w14:textId="77777777" w:rsidR="0088085F" w:rsidRPr="00633BB6" w:rsidRDefault="007F0D71" w:rsidP="00633BB6">
            <w:pPr>
              <w:pStyle w:val="cuatexto"/>
              <w:jc w:val="right"/>
              <w:rPr>
                <w:sz w:val="18"/>
                <w:szCs w:val="18"/>
                <w:lang w:val="es-ES" w:eastAsia="es-ES"/>
              </w:rPr>
            </w:pPr>
            <w:r>
              <w:rPr>
                <w:sz w:val="18"/>
                <w:szCs w:val="18"/>
                <w:lang w:val="es-ES" w:eastAsia="es-ES"/>
              </w:rPr>
              <w:t>42</w:t>
            </w:r>
            <w:r w:rsidR="0088085F" w:rsidRPr="00633BB6">
              <w:rPr>
                <w:sz w:val="18"/>
                <w:szCs w:val="18"/>
                <w:lang w:val="es-ES" w:eastAsia="es-ES"/>
              </w:rPr>
              <w:t xml:space="preserve">                 42 </w:t>
            </w:r>
          </w:p>
        </w:tc>
        <w:tc>
          <w:tcPr>
            <w:tcW w:w="1274" w:type="dxa"/>
            <w:tcBorders>
              <w:top w:val="single" w:sz="2" w:space="0" w:color="auto"/>
              <w:left w:val="nil"/>
              <w:bottom w:val="single" w:sz="2" w:space="0" w:color="auto"/>
              <w:right w:val="nil"/>
            </w:tcBorders>
            <w:shd w:val="clear" w:color="auto" w:fill="auto"/>
            <w:noWrap/>
            <w:vAlign w:val="center"/>
            <w:hideMark/>
          </w:tcPr>
          <w:p w14:paraId="5F9604CF"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-22</w:t>
            </w:r>
          </w:p>
        </w:tc>
        <w:tc>
          <w:tcPr>
            <w:tcW w:w="1217" w:type="dxa"/>
            <w:tcBorders>
              <w:top w:val="single" w:sz="2" w:space="0" w:color="auto"/>
              <w:left w:val="nil"/>
              <w:bottom w:val="single" w:sz="2" w:space="0" w:color="auto"/>
              <w:right w:val="nil"/>
            </w:tcBorders>
            <w:shd w:val="clear" w:color="auto" w:fill="auto"/>
            <w:noWrap/>
            <w:vAlign w:val="center"/>
            <w:hideMark/>
          </w:tcPr>
          <w:p w14:paraId="19436433"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7</w:t>
            </w:r>
          </w:p>
        </w:tc>
      </w:tr>
      <w:tr w:rsidR="0088085F" w:rsidRPr="00633BB6" w14:paraId="7F0BBD27" w14:textId="77777777" w:rsidTr="00633BB6">
        <w:trPr>
          <w:trHeight w:hRule="exact" w:val="238"/>
          <w:jc w:val="center"/>
        </w:trPr>
        <w:tc>
          <w:tcPr>
            <w:tcW w:w="4300" w:type="dxa"/>
            <w:tcBorders>
              <w:top w:val="single" w:sz="2" w:space="0" w:color="auto"/>
              <w:left w:val="nil"/>
              <w:bottom w:val="single" w:sz="4" w:space="0" w:color="auto"/>
              <w:right w:val="nil"/>
            </w:tcBorders>
            <w:shd w:val="clear" w:color="auto" w:fill="auto"/>
            <w:noWrap/>
            <w:vAlign w:val="center"/>
            <w:hideMark/>
          </w:tcPr>
          <w:p w14:paraId="2B71DAB0" w14:textId="77777777" w:rsidR="0088085F" w:rsidRPr="00633BB6" w:rsidRDefault="0088085F" w:rsidP="00C24098">
            <w:pPr>
              <w:pStyle w:val="cuatexto"/>
              <w:jc w:val="left"/>
              <w:rPr>
                <w:sz w:val="18"/>
                <w:szCs w:val="18"/>
                <w:lang w:val="es-ES" w:eastAsia="es-ES"/>
              </w:rPr>
            </w:pPr>
            <w:proofErr w:type="gramStart"/>
            <w:r w:rsidRPr="00633BB6">
              <w:rPr>
                <w:sz w:val="18"/>
                <w:szCs w:val="18"/>
                <w:lang w:val="es-ES" w:eastAsia="es-ES"/>
              </w:rPr>
              <w:t>%  de</w:t>
            </w:r>
            <w:proofErr w:type="gramEnd"/>
            <w:r w:rsidRPr="00633BB6">
              <w:rPr>
                <w:sz w:val="18"/>
                <w:szCs w:val="18"/>
                <w:lang w:val="es-ES" w:eastAsia="es-ES"/>
              </w:rPr>
              <w:t xml:space="preserve"> inversiones no financiadas con </w:t>
            </w:r>
            <w:proofErr w:type="spellStart"/>
            <w:r w:rsidRPr="00633BB6">
              <w:rPr>
                <w:sz w:val="18"/>
                <w:szCs w:val="18"/>
                <w:lang w:val="es-ES" w:eastAsia="es-ES"/>
              </w:rPr>
              <w:t>transf</w:t>
            </w:r>
            <w:proofErr w:type="spellEnd"/>
            <w:r w:rsidRPr="00633BB6">
              <w:rPr>
                <w:sz w:val="18"/>
                <w:szCs w:val="18"/>
                <w:lang w:val="es-ES" w:eastAsia="es-ES"/>
              </w:rPr>
              <w:t>. de capital</w:t>
            </w:r>
          </w:p>
        </w:tc>
        <w:tc>
          <w:tcPr>
            <w:tcW w:w="784" w:type="dxa"/>
            <w:tcBorders>
              <w:top w:val="single" w:sz="2" w:space="0" w:color="auto"/>
              <w:left w:val="nil"/>
              <w:bottom w:val="single" w:sz="4" w:space="0" w:color="auto"/>
              <w:right w:val="nil"/>
            </w:tcBorders>
            <w:vAlign w:val="center"/>
          </w:tcPr>
          <w:p w14:paraId="49DF693B"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 xml:space="preserve">     57 </w:t>
            </w:r>
          </w:p>
        </w:tc>
        <w:tc>
          <w:tcPr>
            <w:tcW w:w="1002" w:type="dxa"/>
            <w:tcBorders>
              <w:top w:val="single" w:sz="2" w:space="0" w:color="auto"/>
              <w:left w:val="nil"/>
              <w:bottom w:val="single" w:sz="4" w:space="0" w:color="auto"/>
              <w:right w:val="nil"/>
            </w:tcBorders>
            <w:shd w:val="clear" w:color="auto" w:fill="auto"/>
            <w:noWrap/>
            <w:vAlign w:val="center"/>
            <w:hideMark/>
          </w:tcPr>
          <w:p w14:paraId="1AD4C75D"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 xml:space="preserve">             84 </w:t>
            </w:r>
          </w:p>
        </w:tc>
        <w:tc>
          <w:tcPr>
            <w:tcW w:w="899" w:type="dxa"/>
            <w:tcBorders>
              <w:top w:val="single" w:sz="2" w:space="0" w:color="auto"/>
              <w:left w:val="nil"/>
              <w:bottom w:val="single" w:sz="4" w:space="0" w:color="auto"/>
              <w:right w:val="nil"/>
            </w:tcBorders>
            <w:shd w:val="clear" w:color="auto" w:fill="auto"/>
            <w:noWrap/>
            <w:vAlign w:val="center"/>
            <w:hideMark/>
          </w:tcPr>
          <w:p w14:paraId="6FF106D6" w14:textId="77777777" w:rsidR="0088085F" w:rsidRPr="00633BB6" w:rsidRDefault="007F0D71" w:rsidP="00633BB6">
            <w:pPr>
              <w:pStyle w:val="cuatexto"/>
              <w:jc w:val="right"/>
              <w:rPr>
                <w:sz w:val="18"/>
                <w:szCs w:val="18"/>
                <w:lang w:val="es-ES" w:eastAsia="es-ES"/>
              </w:rPr>
            </w:pPr>
            <w:r>
              <w:rPr>
                <w:sz w:val="18"/>
                <w:szCs w:val="18"/>
                <w:lang w:val="es-ES" w:eastAsia="es-ES"/>
              </w:rPr>
              <w:t>54</w:t>
            </w:r>
            <w:r w:rsidR="0088085F" w:rsidRPr="00633BB6">
              <w:rPr>
                <w:sz w:val="18"/>
                <w:szCs w:val="18"/>
                <w:lang w:val="es-ES" w:eastAsia="es-ES"/>
              </w:rPr>
              <w:t xml:space="preserve">                 54 </w:t>
            </w:r>
          </w:p>
        </w:tc>
        <w:tc>
          <w:tcPr>
            <w:tcW w:w="1274" w:type="dxa"/>
            <w:tcBorders>
              <w:top w:val="single" w:sz="2" w:space="0" w:color="auto"/>
              <w:left w:val="nil"/>
              <w:bottom w:val="single" w:sz="4" w:space="0" w:color="auto"/>
              <w:right w:val="nil"/>
            </w:tcBorders>
            <w:shd w:val="clear" w:color="auto" w:fill="auto"/>
            <w:noWrap/>
            <w:vAlign w:val="center"/>
            <w:hideMark/>
          </w:tcPr>
          <w:p w14:paraId="0CA02799"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-27</w:t>
            </w:r>
          </w:p>
        </w:tc>
        <w:tc>
          <w:tcPr>
            <w:tcW w:w="1217" w:type="dxa"/>
            <w:tcBorders>
              <w:top w:val="single" w:sz="2" w:space="0" w:color="auto"/>
              <w:left w:val="nil"/>
              <w:bottom w:val="single" w:sz="4" w:space="0" w:color="auto"/>
              <w:right w:val="nil"/>
            </w:tcBorders>
            <w:shd w:val="clear" w:color="auto" w:fill="auto"/>
            <w:noWrap/>
            <w:vAlign w:val="center"/>
            <w:hideMark/>
          </w:tcPr>
          <w:p w14:paraId="771BC2C3" w14:textId="77777777" w:rsidR="0088085F" w:rsidRPr="00633BB6" w:rsidRDefault="0088085F" w:rsidP="00633BB6">
            <w:pPr>
              <w:pStyle w:val="cuatexto"/>
              <w:jc w:val="right"/>
              <w:rPr>
                <w:sz w:val="18"/>
                <w:szCs w:val="18"/>
                <w:lang w:val="es-ES" w:eastAsia="es-ES"/>
              </w:rPr>
            </w:pPr>
            <w:r w:rsidRPr="00633BB6">
              <w:rPr>
                <w:sz w:val="18"/>
                <w:szCs w:val="18"/>
                <w:lang w:val="es-ES" w:eastAsia="es-ES"/>
              </w:rPr>
              <w:t>3</w:t>
            </w:r>
          </w:p>
        </w:tc>
      </w:tr>
    </w:tbl>
    <w:p w14:paraId="00648D5D" w14:textId="77777777" w:rsidR="0088085F" w:rsidRPr="00262228" w:rsidRDefault="0088085F" w:rsidP="00C24098">
      <w:pPr>
        <w:pStyle w:val="texto"/>
        <w:spacing w:before="220"/>
      </w:pPr>
      <w:r w:rsidRPr="00262228">
        <w:t>De este cuadro comparativo destacamos lo siguiente:</w:t>
      </w:r>
      <w:bookmarkEnd w:id="94"/>
    </w:p>
    <w:p w14:paraId="2C8FD691" w14:textId="77777777" w:rsidR="0088085F" w:rsidRPr="008A2F96" w:rsidRDefault="0088085F" w:rsidP="008A2F96">
      <w:pPr>
        <w:numPr>
          <w:ilvl w:val="0"/>
          <w:numId w:val="2"/>
        </w:numPr>
        <w:tabs>
          <w:tab w:val="clear" w:pos="502"/>
          <w:tab w:val="left" w:pos="480"/>
          <w:tab w:val="num" w:pos="720"/>
          <w:tab w:val="num" w:pos="6597"/>
        </w:tabs>
        <w:ind w:left="0" w:firstLine="289"/>
        <w:rPr>
          <w:spacing w:val="6"/>
          <w:sz w:val="26"/>
          <w:szCs w:val="26"/>
        </w:rPr>
      </w:pPr>
      <w:r w:rsidRPr="008A2F96">
        <w:rPr>
          <w:spacing w:val="6"/>
          <w:sz w:val="26"/>
          <w:szCs w:val="26"/>
        </w:rPr>
        <w:t>Tanto los gastos de funcionamiento como los ingresos corrientes por habitante de Navarra son muy inferiores a los del País Vasco y muy similares a los del resto del Estado.</w:t>
      </w:r>
    </w:p>
    <w:p w14:paraId="252751D8" w14:textId="77777777" w:rsidR="0088085F" w:rsidRPr="007F0D71" w:rsidRDefault="0088085F" w:rsidP="007F0D71">
      <w:pPr>
        <w:numPr>
          <w:ilvl w:val="0"/>
          <w:numId w:val="2"/>
        </w:numPr>
        <w:tabs>
          <w:tab w:val="clear" w:pos="502"/>
          <w:tab w:val="left" w:pos="480"/>
          <w:tab w:val="num" w:pos="720"/>
          <w:tab w:val="num" w:pos="6597"/>
        </w:tabs>
        <w:ind w:left="0" w:firstLine="289"/>
        <w:rPr>
          <w:spacing w:val="6"/>
          <w:sz w:val="26"/>
          <w:szCs w:val="26"/>
        </w:rPr>
      </w:pPr>
      <w:r w:rsidRPr="008A2F96">
        <w:rPr>
          <w:spacing w:val="6"/>
          <w:sz w:val="26"/>
          <w:szCs w:val="26"/>
        </w:rPr>
        <w:t xml:space="preserve">El ahorro bruto y neto por habitante es mayor en Navarra que en los municipios del resto del Estado e inferior al de los del País Vasco. </w:t>
      </w:r>
      <w:r w:rsidR="007F0D71">
        <w:rPr>
          <w:spacing w:val="6"/>
          <w:sz w:val="26"/>
          <w:szCs w:val="26"/>
        </w:rPr>
        <w:t>Del mismo modo</w:t>
      </w:r>
      <w:r w:rsidRPr="008A2F96">
        <w:rPr>
          <w:spacing w:val="6"/>
          <w:sz w:val="26"/>
          <w:szCs w:val="26"/>
        </w:rPr>
        <w:t xml:space="preserve">, la deuda viva por habitante es </w:t>
      </w:r>
      <w:r w:rsidR="00AC3578">
        <w:rPr>
          <w:spacing w:val="6"/>
          <w:sz w:val="26"/>
          <w:szCs w:val="26"/>
        </w:rPr>
        <w:t>mayor</w:t>
      </w:r>
      <w:r w:rsidRPr="008A2F96">
        <w:rPr>
          <w:spacing w:val="6"/>
          <w:sz w:val="26"/>
          <w:szCs w:val="26"/>
        </w:rPr>
        <w:t xml:space="preserve"> en Navarra que en el </w:t>
      </w:r>
      <w:r w:rsidR="00AC3578">
        <w:rPr>
          <w:spacing w:val="6"/>
          <w:sz w:val="26"/>
          <w:szCs w:val="26"/>
        </w:rPr>
        <w:t xml:space="preserve">País Vasco e inferior a </w:t>
      </w:r>
      <w:r w:rsidR="007F0D71">
        <w:rPr>
          <w:spacing w:val="6"/>
          <w:sz w:val="26"/>
          <w:szCs w:val="26"/>
        </w:rPr>
        <w:t>la</w:t>
      </w:r>
      <w:r w:rsidRPr="007F0D71">
        <w:rPr>
          <w:spacing w:val="6"/>
          <w:sz w:val="26"/>
          <w:szCs w:val="26"/>
        </w:rPr>
        <w:t xml:space="preserve"> del Estado.</w:t>
      </w:r>
    </w:p>
    <w:p w14:paraId="707B932C" w14:textId="77777777" w:rsidR="0088085F" w:rsidRPr="008A2F96" w:rsidRDefault="0088085F" w:rsidP="008A2F96">
      <w:pPr>
        <w:numPr>
          <w:ilvl w:val="0"/>
          <w:numId w:val="2"/>
        </w:numPr>
        <w:tabs>
          <w:tab w:val="clear" w:pos="502"/>
          <w:tab w:val="left" w:pos="480"/>
          <w:tab w:val="num" w:pos="720"/>
          <w:tab w:val="num" w:pos="6597"/>
        </w:tabs>
        <w:ind w:left="0" w:firstLine="289"/>
        <w:rPr>
          <w:spacing w:val="6"/>
          <w:sz w:val="26"/>
          <w:szCs w:val="26"/>
        </w:rPr>
      </w:pPr>
      <w:r w:rsidRPr="008A2F96">
        <w:rPr>
          <w:spacing w:val="6"/>
          <w:sz w:val="26"/>
          <w:szCs w:val="26"/>
        </w:rPr>
        <w:t>Por último, destaca el indicador de transferencias recibidas por habitante que es mucho menor en Navarra que en los municipios del País Vasco, pero superior a los del resto del Estado.</w:t>
      </w:r>
    </w:p>
    <w:p w14:paraId="4FC9F8AB" w14:textId="77777777" w:rsidR="0088085F" w:rsidRPr="00B81E61" w:rsidRDefault="0088085F" w:rsidP="0088085F">
      <w:pPr>
        <w:spacing w:after="0"/>
        <w:ind w:firstLine="0"/>
        <w:jc w:val="left"/>
        <w:rPr>
          <w:color w:val="000000" w:themeColor="text1"/>
        </w:rPr>
      </w:pPr>
      <w:r w:rsidRPr="00B81E61">
        <w:rPr>
          <w:color w:val="000000" w:themeColor="text1"/>
        </w:rPr>
        <w:br w:type="page"/>
      </w:r>
    </w:p>
    <w:p w14:paraId="1255915D" w14:textId="77777777" w:rsidR="0088085F" w:rsidRPr="00B81E61" w:rsidRDefault="0088085F" w:rsidP="0088085F">
      <w:pPr>
        <w:pStyle w:val="atitulo1"/>
        <w:rPr>
          <w:color w:val="000000" w:themeColor="text1"/>
        </w:rPr>
      </w:pPr>
      <w:bookmarkStart w:id="95" w:name="_Toc24100149"/>
      <w:bookmarkStart w:id="96" w:name="_Toc52348327"/>
      <w:bookmarkStart w:id="97" w:name="_Toc89161274"/>
      <w:bookmarkStart w:id="98" w:name="_Toc90969153"/>
      <w:r w:rsidRPr="00B81E61">
        <w:rPr>
          <w:color w:val="000000" w:themeColor="text1"/>
        </w:rPr>
        <w:lastRenderedPageBreak/>
        <w:t>VIII. Conclusiones y recomendaciones</w:t>
      </w:r>
      <w:bookmarkEnd w:id="95"/>
      <w:bookmarkEnd w:id="96"/>
      <w:bookmarkEnd w:id="97"/>
      <w:bookmarkEnd w:id="98"/>
    </w:p>
    <w:p w14:paraId="77B65D12" w14:textId="77777777" w:rsidR="0088085F" w:rsidRPr="00262228" w:rsidRDefault="0088085F" w:rsidP="00262228">
      <w:pPr>
        <w:pStyle w:val="texto"/>
      </w:pPr>
      <w:r w:rsidRPr="00262228">
        <w:t>Las principales conclusiones sobre la organización, fiscalización y situación financiera del sector público local en el año 2019 son las siguientes:</w:t>
      </w:r>
    </w:p>
    <w:p w14:paraId="2A1D75E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El sector público local está conformado por 702 entes locales: 272 municipios, 346 concejos, 62 mancomunidades y 22 agrupaciones de municipios. Estos entes locales han constituido 122 entes dependientes para la prestación de servicios y forman parte de 17 consorcios.</w:t>
      </w:r>
    </w:p>
    <w:p w14:paraId="4740C3DC" w14:textId="77777777" w:rsidR="0088085F" w:rsidRPr="0038773E" w:rsidRDefault="0088085F" w:rsidP="00262228">
      <w:pPr>
        <w:pStyle w:val="texto"/>
        <w:rPr>
          <w:color w:val="000000" w:themeColor="text1"/>
        </w:rPr>
      </w:pPr>
      <w:r w:rsidRPr="00262228">
        <w:t xml:space="preserve">Persiste el problema indicado reiterativamente por esta Cámara sobre la falta </w:t>
      </w:r>
      <w:r w:rsidRPr="0038773E">
        <w:rPr>
          <w:color w:val="000000" w:themeColor="text1"/>
        </w:rPr>
        <w:t>de racionalización de la actual planta municipal de Navarra</w:t>
      </w:r>
      <w:r w:rsidR="00E96821" w:rsidRPr="0038773E">
        <w:rPr>
          <w:color w:val="000000" w:themeColor="text1"/>
        </w:rPr>
        <w:t xml:space="preserve">. La reducida dimensión poblacional de los municipios y la falta de recursos y de una estructura administrativa adecuada y suficiente para la gestión de sus competencias, dificulta la </w:t>
      </w:r>
      <w:r w:rsidRPr="0038773E">
        <w:rPr>
          <w:color w:val="000000" w:themeColor="text1"/>
        </w:rPr>
        <w:t>prestación de unos servicios públicos eficientes y de calidad.</w:t>
      </w:r>
    </w:p>
    <w:p w14:paraId="1AA69774" w14:textId="77777777" w:rsidR="0088085F" w:rsidRDefault="0088085F" w:rsidP="0088085F">
      <w:pPr>
        <w:pStyle w:val="texto"/>
        <w:spacing w:before="120" w:after="120"/>
        <w:rPr>
          <w:color w:val="000000" w:themeColor="text1"/>
        </w:rPr>
      </w:pPr>
      <w:r w:rsidRPr="00B81E61">
        <w:rPr>
          <w:color w:val="000000" w:themeColor="text1"/>
        </w:rPr>
        <w:t>Al respecto</w:t>
      </w:r>
      <w:r>
        <w:rPr>
          <w:color w:val="000000" w:themeColor="text1"/>
        </w:rPr>
        <w:t>,</w:t>
      </w:r>
      <w:r w:rsidRPr="00B81E61">
        <w:rPr>
          <w:color w:val="000000" w:themeColor="text1"/>
        </w:rPr>
        <w:t xml:space="preserve"> está aprobada la Ley Foral de Reforma de la Administración Local de Navarra, </w:t>
      </w:r>
      <w:r>
        <w:rPr>
          <w:color w:val="000000" w:themeColor="text1"/>
        </w:rPr>
        <w:t>que</w:t>
      </w:r>
      <w:r w:rsidRPr="00B81E61">
        <w:rPr>
          <w:color w:val="000000" w:themeColor="text1"/>
        </w:rPr>
        <w:t xml:space="preserve"> requiere de la elaboración y aprobación de modificaciones </w:t>
      </w:r>
      <w:r w:rsidRPr="003208AF">
        <w:rPr>
          <w:color w:val="000000" w:themeColor="text1"/>
        </w:rPr>
        <w:t xml:space="preserve">normativas para ir concretando de forma definitiva la reforma planteada. </w:t>
      </w:r>
      <w:r w:rsidR="003208AF" w:rsidRPr="003208AF">
        <w:rPr>
          <w:color w:val="000000" w:themeColor="text1"/>
        </w:rPr>
        <w:t>Está previsto el envío del expediente con la propuesta de financiación citada en el epígrafe II.2 a</w:t>
      </w:r>
      <w:r w:rsidRPr="003208AF">
        <w:rPr>
          <w:color w:val="000000" w:themeColor="text1"/>
        </w:rPr>
        <w:t xml:space="preserve">l Parlamento de Navarra </w:t>
      </w:r>
      <w:r w:rsidR="003208AF" w:rsidRPr="003208AF">
        <w:rPr>
          <w:color w:val="000000" w:themeColor="text1"/>
        </w:rPr>
        <w:t>a comienzos de 2022, para su aprobación con efectos de uno de enero.</w:t>
      </w:r>
    </w:p>
    <w:p w14:paraId="040D1064" w14:textId="77777777" w:rsidR="0088085F" w:rsidRPr="00262228" w:rsidRDefault="0088085F" w:rsidP="00C24098">
      <w:pPr>
        <w:pStyle w:val="texto"/>
        <w:spacing w:after="240"/>
      </w:pPr>
      <w:r w:rsidRPr="00262228">
        <w:t xml:space="preserve">A </w:t>
      </w:r>
      <w:proofErr w:type="gramStart"/>
      <w:r w:rsidRPr="00262228">
        <w:t>continuaci</w:t>
      </w:r>
      <w:r w:rsidR="00C24098">
        <w:t>ó</w:t>
      </w:r>
      <w:r w:rsidRPr="00262228">
        <w:t>n</w:t>
      </w:r>
      <w:proofErr w:type="gramEnd"/>
      <w:r w:rsidRPr="00262228">
        <w:t xml:space="preserve"> mostramos el detalle de los plazos de aprobación y rendición de cuentas del ejercicio 2019:</w:t>
      </w:r>
    </w:p>
    <w:tbl>
      <w:tblPr>
        <w:tblW w:w="5017" w:type="pct"/>
        <w:jc w:val="center"/>
        <w:tblCellMar>
          <w:left w:w="70" w:type="dxa"/>
          <w:right w:w="70" w:type="dxa"/>
        </w:tblCellMar>
        <w:tblLook w:val="04A0" w:firstRow="1" w:lastRow="0" w:firstColumn="1" w:lastColumn="0" w:noHBand="0" w:noVBand="1"/>
      </w:tblPr>
      <w:tblGrid>
        <w:gridCol w:w="3513"/>
        <w:gridCol w:w="1318"/>
        <w:gridCol w:w="1321"/>
        <w:gridCol w:w="1318"/>
        <w:gridCol w:w="1349"/>
      </w:tblGrid>
      <w:tr w:rsidR="004C5C5D" w:rsidRPr="00C24098" w14:paraId="50D90625" w14:textId="77777777" w:rsidTr="00234ED3">
        <w:trPr>
          <w:trHeight w:val="198"/>
          <w:jc w:val="center"/>
        </w:trPr>
        <w:tc>
          <w:tcPr>
            <w:tcW w:w="1992" w:type="pct"/>
            <w:vMerge w:val="restart"/>
            <w:tcBorders>
              <w:top w:val="single" w:sz="4" w:space="0" w:color="auto"/>
              <w:left w:val="nil"/>
              <w:bottom w:val="single" w:sz="2" w:space="0" w:color="auto"/>
              <w:right w:val="nil"/>
            </w:tcBorders>
            <w:shd w:val="clear" w:color="000000" w:fill="F4B084"/>
            <w:noWrap/>
            <w:vAlign w:val="center"/>
            <w:hideMark/>
          </w:tcPr>
          <w:p w14:paraId="043A783D" w14:textId="77777777" w:rsidR="004C5C5D" w:rsidRPr="00C24098" w:rsidRDefault="00AB5C2A" w:rsidP="00C24098">
            <w:pPr>
              <w:pStyle w:val="cuadroCabe"/>
              <w:jc w:val="left"/>
              <w:rPr>
                <w:sz w:val="16"/>
                <w:szCs w:val="16"/>
                <w:lang w:val="es-ES" w:eastAsia="es-ES"/>
              </w:rPr>
            </w:pPr>
            <w:r w:rsidRPr="00C24098">
              <w:rPr>
                <w:sz w:val="16"/>
                <w:szCs w:val="16"/>
                <w:lang w:val="es-ES" w:eastAsia="es-ES"/>
              </w:rPr>
              <w:t>Tipo entidad</w:t>
            </w:r>
          </w:p>
        </w:tc>
        <w:tc>
          <w:tcPr>
            <w:tcW w:w="1496" w:type="pct"/>
            <w:gridSpan w:val="2"/>
            <w:tcBorders>
              <w:top w:val="single" w:sz="4" w:space="0" w:color="auto"/>
              <w:left w:val="nil"/>
              <w:bottom w:val="single" w:sz="2" w:space="0" w:color="auto"/>
              <w:right w:val="nil"/>
            </w:tcBorders>
            <w:shd w:val="clear" w:color="000000" w:fill="F4B084"/>
            <w:vAlign w:val="center"/>
            <w:hideMark/>
          </w:tcPr>
          <w:p w14:paraId="52238092" w14:textId="77777777" w:rsidR="004C5C5D" w:rsidRPr="00C24098" w:rsidRDefault="00763524" w:rsidP="00763524">
            <w:pPr>
              <w:pStyle w:val="cuadroCabe"/>
              <w:ind w:right="-344"/>
              <w:rPr>
                <w:sz w:val="16"/>
                <w:szCs w:val="16"/>
                <w:lang w:val="es-ES" w:eastAsia="es-ES"/>
              </w:rPr>
            </w:pPr>
            <w:r>
              <w:rPr>
                <w:sz w:val="16"/>
                <w:szCs w:val="16"/>
                <w:lang w:val="es-ES" w:eastAsia="es-ES"/>
              </w:rPr>
              <w:t xml:space="preserve">    </w:t>
            </w:r>
            <w:r w:rsidR="004C5C5D">
              <w:rPr>
                <w:sz w:val="16"/>
                <w:szCs w:val="16"/>
                <w:lang w:val="es-ES" w:eastAsia="es-ES"/>
              </w:rPr>
              <w:t xml:space="preserve"> </w:t>
            </w:r>
            <w:r w:rsidR="00AB5C2A" w:rsidRPr="00C24098">
              <w:rPr>
                <w:sz w:val="16"/>
                <w:szCs w:val="16"/>
                <w:lang w:val="es-ES" w:eastAsia="es-ES"/>
              </w:rPr>
              <w:t xml:space="preserve">Aprobado </w:t>
            </w:r>
            <w:r w:rsidR="004C5C5D" w:rsidRPr="00C24098">
              <w:rPr>
                <w:sz w:val="16"/>
                <w:szCs w:val="16"/>
                <w:lang w:val="es-ES" w:eastAsia="es-ES"/>
              </w:rPr>
              <w:t xml:space="preserve">en plazo </w:t>
            </w:r>
            <w:r w:rsidR="004C5C5D">
              <w:rPr>
                <w:sz w:val="16"/>
                <w:szCs w:val="16"/>
                <w:lang w:val="es-ES" w:eastAsia="es-ES"/>
              </w:rPr>
              <w:t xml:space="preserve"> </w:t>
            </w:r>
            <w:r w:rsidR="004C5C5D" w:rsidRPr="00C24098">
              <w:rPr>
                <w:sz w:val="16"/>
                <w:szCs w:val="16"/>
                <w:lang w:val="es-ES" w:eastAsia="es-ES"/>
              </w:rPr>
              <w:t>(1.9.x+1)</w:t>
            </w:r>
          </w:p>
        </w:tc>
        <w:tc>
          <w:tcPr>
            <w:tcW w:w="1512" w:type="pct"/>
            <w:gridSpan w:val="2"/>
            <w:tcBorders>
              <w:top w:val="single" w:sz="4" w:space="0" w:color="auto"/>
              <w:left w:val="nil"/>
              <w:bottom w:val="single" w:sz="2" w:space="0" w:color="auto"/>
              <w:right w:val="nil"/>
            </w:tcBorders>
            <w:shd w:val="clear" w:color="000000" w:fill="F4B084"/>
            <w:vAlign w:val="center"/>
            <w:hideMark/>
          </w:tcPr>
          <w:p w14:paraId="370834A9" w14:textId="77777777" w:rsidR="004C5C5D" w:rsidRPr="00C24098" w:rsidRDefault="00AB5C2A" w:rsidP="00234ED3">
            <w:pPr>
              <w:pStyle w:val="cuadroCabe"/>
              <w:ind w:right="-534"/>
              <w:jc w:val="center"/>
              <w:rPr>
                <w:sz w:val="16"/>
                <w:szCs w:val="16"/>
                <w:lang w:val="es-ES" w:eastAsia="es-ES"/>
              </w:rPr>
            </w:pPr>
            <w:r w:rsidRPr="00C24098">
              <w:rPr>
                <w:sz w:val="16"/>
                <w:szCs w:val="16"/>
                <w:lang w:val="es-ES" w:eastAsia="es-ES"/>
              </w:rPr>
              <w:t xml:space="preserve">Envío </w:t>
            </w:r>
            <w:r w:rsidR="004C5C5D" w:rsidRPr="00C24098">
              <w:rPr>
                <w:sz w:val="16"/>
                <w:szCs w:val="16"/>
                <w:lang w:val="es-ES" w:eastAsia="es-ES"/>
              </w:rPr>
              <w:t>en plazo (16.09.x+1)</w:t>
            </w:r>
          </w:p>
        </w:tc>
      </w:tr>
      <w:tr w:rsidR="004C5C5D" w:rsidRPr="00C24098" w14:paraId="0B336040" w14:textId="77777777" w:rsidTr="00234ED3">
        <w:trPr>
          <w:trHeight w:val="198"/>
          <w:jc w:val="center"/>
        </w:trPr>
        <w:tc>
          <w:tcPr>
            <w:tcW w:w="1992" w:type="pct"/>
            <w:vMerge/>
            <w:tcBorders>
              <w:top w:val="single" w:sz="2" w:space="0" w:color="auto"/>
              <w:left w:val="nil"/>
              <w:bottom w:val="single" w:sz="4" w:space="0" w:color="auto"/>
              <w:right w:val="nil"/>
            </w:tcBorders>
            <w:shd w:val="clear" w:color="000000" w:fill="F4B084"/>
            <w:noWrap/>
            <w:vAlign w:val="center"/>
            <w:hideMark/>
          </w:tcPr>
          <w:p w14:paraId="30CD8F9C" w14:textId="77777777" w:rsidR="004C5C5D" w:rsidRPr="00C24098" w:rsidRDefault="004C5C5D" w:rsidP="00C24098">
            <w:pPr>
              <w:pStyle w:val="cuadroCabe"/>
              <w:jc w:val="left"/>
              <w:rPr>
                <w:sz w:val="16"/>
                <w:szCs w:val="16"/>
                <w:lang w:val="es-ES" w:eastAsia="es-ES"/>
              </w:rPr>
            </w:pPr>
          </w:p>
        </w:tc>
        <w:tc>
          <w:tcPr>
            <w:tcW w:w="747" w:type="pct"/>
            <w:tcBorders>
              <w:top w:val="single" w:sz="2" w:space="0" w:color="auto"/>
              <w:left w:val="nil"/>
              <w:bottom w:val="single" w:sz="4" w:space="0" w:color="auto"/>
              <w:right w:val="nil"/>
            </w:tcBorders>
            <w:shd w:val="clear" w:color="000000" w:fill="F4B084"/>
            <w:vAlign w:val="center"/>
            <w:hideMark/>
          </w:tcPr>
          <w:p w14:paraId="590B292A" w14:textId="77777777" w:rsidR="004C5C5D" w:rsidRPr="00C24098" w:rsidRDefault="004C5C5D" w:rsidP="00EF12C2">
            <w:pPr>
              <w:pStyle w:val="cuadroCabe"/>
              <w:jc w:val="right"/>
              <w:rPr>
                <w:sz w:val="16"/>
                <w:szCs w:val="16"/>
                <w:lang w:val="es-ES" w:eastAsia="es-ES"/>
              </w:rPr>
            </w:pPr>
            <w:r w:rsidRPr="00C24098">
              <w:rPr>
                <w:sz w:val="16"/>
                <w:szCs w:val="16"/>
                <w:lang w:val="es-ES" w:eastAsia="es-ES"/>
              </w:rPr>
              <w:t>2018</w:t>
            </w:r>
          </w:p>
        </w:tc>
        <w:tc>
          <w:tcPr>
            <w:tcW w:w="749" w:type="pct"/>
            <w:tcBorders>
              <w:top w:val="single" w:sz="2" w:space="0" w:color="auto"/>
              <w:left w:val="nil"/>
              <w:bottom w:val="single" w:sz="4" w:space="0" w:color="auto"/>
              <w:right w:val="nil"/>
            </w:tcBorders>
            <w:shd w:val="clear" w:color="000000" w:fill="F4B084"/>
            <w:vAlign w:val="center"/>
            <w:hideMark/>
          </w:tcPr>
          <w:p w14:paraId="1C3713C4" w14:textId="77777777" w:rsidR="004C5C5D" w:rsidRPr="00C24098" w:rsidRDefault="004C5C5D" w:rsidP="00EF12C2">
            <w:pPr>
              <w:pStyle w:val="cuadroCabe"/>
              <w:jc w:val="right"/>
              <w:rPr>
                <w:sz w:val="16"/>
                <w:szCs w:val="16"/>
                <w:lang w:val="es-ES" w:eastAsia="es-ES"/>
              </w:rPr>
            </w:pPr>
            <w:r w:rsidRPr="00C24098">
              <w:rPr>
                <w:sz w:val="16"/>
                <w:szCs w:val="16"/>
                <w:lang w:val="es-ES" w:eastAsia="es-ES"/>
              </w:rPr>
              <w:t>2019</w:t>
            </w:r>
            <w:r>
              <w:rPr>
                <w:sz w:val="16"/>
                <w:szCs w:val="16"/>
                <w:lang w:val="es-ES" w:eastAsia="es-ES"/>
              </w:rPr>
              <w:t xml:space="preserve"> (*)</w:t>
            </w:r>
          </w:p>
        </w:tc>
        <w:tc>
          <w:tcPr>
            <w:tcW w:w="747" w:type="pct"/>
            <w:tcBorders>
              <w:top w:val="single" w:sz="2" w:space="0" w:color="auto"/>
              <w:left w:val="nil"/>
              <w:bottom w:val="single" w:sz="4" w:space="0" w:color="auto"/>
              <w:right w:val="nil"/>
            </w:tcBorders>
            <w:shd w:val="clear" w:color="000000" w:fill="F4B084"/>
            <w:vAlign w:val="center"/>
            <w:hideMark/>
          </w:tcPr>
          <w:p w14:paraId="07FE0213" w14:textId="77777777" w:rsidR="004C5C5D" w:rsidRPr="00C24098" w:rsidRDefault="004C5C5D" w:rsidP="00EF12C2">
            <w:pPr>
              <w:pStyle w:val="cuadroCabe"/>
              <w:jc w:val="right"/>
              <w:rPr>
                <w:sz w:val="16"/>
                <w:szCs w:val="16"/>
                <w:lang w:val="es-ES" w:eastAsia="es-ES"/>
              </w:rPr>
            </w:pPr>
            <w:r w:rsidRPr="00C24098">
              <w:rPr>
                <w:sz w:val="16"/>
                <w:szCs w:val="16"/>
                <w:lang w:val="es-ES" w:eastAsia="es-ES"/>
              </w:rPr>
              <w:t>2018</w:t>
            </w:r>
          </w:p>
        </w:tc>
        <w:tc>
          <w:tcPr>
            <w:tcW w:w="765" w:type="pct"/>
            <w:tcBorders>
              <w:top w:val="single" w:sz="2" w:space="0" w:color="auto"/>
              <w:left w:val="nil"/>
              <w:bottom w:val="single" w:sz="4" w:space="0" w:color="auto"/>
              <w:right w:val="nil"/>
            </w:tcBorders>
            <w:shd w:val="clear" w:color="000000" w:fill="F4B084"/>
            <w:vAlign w:val="center"/>
            <w:hideMark/>
          </w:tcPr>
          <w:p w14:paraId="36A24B66" w14:textId="77777777" w:rsidR="004C5C5D" w:rsidRPr="00C24098" w:rsidRDefault="004C5C5D" w:rsidP="00EF12C2">
            <w:pPr>
              <w:pStyle w:val="cuadroCabe"/>
              <w:jc w:val="right"/>
              <w:rPr>
                <w:sz w:val="16"/>
                <w:szCs w:val="16"/>
                <w:lang w:val="es-ES" w:eastAsia="es-ES"/>
              </w:rPr>
            </w:pPr>
            <w:r w:rsidRPr="00C24098">
              <w:rPr>
                <w:sz w:val="16"/>
                <w:szCs w:val="16"/>
                <w:lang w:val="es-ES" w:eastAsia="es-ES"/>
              </w:rPr>
              <w:t>2019</w:t>
            </w:r>
            <w:r>
              <w:rPr>
                <w:sz w:val="16"/>
                <w:szCs w:val="16"/>
                <w:lang w:val="es-ES" w:eastAsia="es-ES"/>
              </w:rPr>
              <w:t xml:space="preserve"> (*)</w:t>
            </w:r>
          </w:p>
        </w:tc>
      </w:tr>
      <w:tr w:rsidR="004C5C5D" w:rsidRPr="00C24098" w14:paraId="47922436" w14:textId="77777777" w:rsidTr="00234ED3">
        <w:trPr>
          <w:trHeight w:val="238"/>
          <w:jc w:val="center"/>
        </w:trPr>
        <w:tc>
          <w:tcPr>
            <w:tcW w:w="1992" w:type="pct"/>
            <w:tcBorders>
              <w:top w:val="single" w:sz="4" w:space="0" w:color="auto"/>
              <w:left w:val="nil"/>
              <w:bottom w:val="single" w:sz="2" w:space="0" w:color="auto"/>
              <w:right w:val="nil"/>
            </w:tcBorders>
            <w:shd w:val="clear" w:color="auto" w:fill="auto"/>
            <w:noWrap/>
            <w:vAlign w:val="bottom"/>
            <w:hideMark/>
          </w:tcPr>
          <w:p w14:paraId="4D0022B5" w14:textId="77777777" w:rsidR="004C5C5D" w:rsidRPr="00C24098" w:rsidRDefault="004C5C5D" w:rsidP="00C24098">
            <w:pPr>
              <w:pStyle w:val="cuatexto"/>
              <w:rPr>
                <w:sz w:val="19"/>
                <w:szCs w:val="19"/>
                <w:lang w:val="es-ES" w:eastAsia="es-ES"/>
              </w:rPr>
            </w:pPr>
            <w:r w:rsidRPr="00C24098">
              <w:rPr>
                <w:sz w:val="19"/>
                <w:szCs w:val="19"/>
                <w:lang w:val="es-ES" w:eastAsia="es-ES"/>
              </w:rPr>
              <w:t>Municipios</w:t>
            </w:r>
          </w:p>
        </w:tc>
        <w:tc>
          <w:tcPr>
            <w:tcW w:w="747" w:type="pct"/>
            <w:tcBorders>
              <w:top w:val="single" w:sz="4" w:space="0" w:color="auto"/>
              <w:left w:val="nil"/>
              <w:bottom w:val="single" w:sz="2" w:space="0" w:color="auto"/>
              <w:right w:val="nil"/>
            </w:tcBorders>
            <w:shd w:val="clear" w:color="auto" w:fill="auto"/>
            <w:noWrap/>
            <w:vAlign w:val="center"/>
            <w:hideMark/>
          </w:tcPr>
          <w:p w14:paraId="19406115" w14:textId="77777777" w:rsidR="004C5C5D" w:rsidRPr="00C24098" w:rsidRDefault="004C5C5D" w:rsidP="00EF12C2">
            <w:pPr>
              <w:pStyle w:val="cuatexto"/>
              <w:jc w:val="right"/>
              <w:rPr>
                <w:sz w:val="19"/>
                <w:szCs w:val="19"/>
                <w:lang w:val="es-ES" w:eastAsia="es-ES"/>
              </w:rPr>
            </w:pPr>
            <w:r w:rsidRPr="00C24098">
              <w:rPr>
                <w:sz w:val="19"/>
                <w:szCs w:val="19"/>
                <w:lang w:val="es-ES" w:eastAsia="es-ES"/>
              </w:rPr>
              <w:t>82%</w:t>
            </w:r>
          </w:p>
        </w:tc>
        <w:tc>
          <w:tcPr>
            <w:tcW w:w="749" w:type="pct"/>
            <w:tcBorders>
              <w:top w:val="single" w:sz="4" w:space="0" w:color="auto"/>
              <w:left w:val="nil"/>
              <w:bottom w:val="single" w:sz="2" w:space="0" w:color="auto"/>
              <w:right w:val="nil"/>
            </w:tcBorders>
            <w:shd w:val="clear" w:color="auto" w:fill="auto"/>
            <w:noWrap/>
            <w:vAlign w:val="center"/>
            <w:hideMark/>
          </w:tcPr>
          <w:p w14:paraId="55D9289C" w14:textId="77777777" w:rsidR="004C5C5D" w:rsidRPr="00C24098" w:rsidRDefault="004C5C5D" w:rsidP="00EF12C2">
            <w:pPr>
              <w:pStyle w:val="cuatexto"/>
              <w:jc w:val="right"/>
              <w:rPr>
                <w:sz w:val="19"/>
                <w:szCs w:val="19"/>
                <w:lang w:val="es-ES" w:eastAsia="es-ES"/>
              </w:rPr>
            </w:pPr>
            <w:r>
              <w:rPr>
                <w:sz w:val="19"/>
                <w:szCs w:val="19"/>
                <w:lang w:val="es-ES" w:eastAsia="es-ES"/>
              </w:rPr>
              <w:t>85</w:t>
            </w:r>
            <w:r w:rsidRPr="00C24098">
              <w:rPr>
                <w:sz w:val="19"/>
                <w:szCs w:val="19"/>
                <w:lang w:val="es-ES" w:eastAsia="es-ES"/>
              </w:rPr>
              <w:t>%</w:t>
            </w:r>
          </w:p>
        </w:tc>
        <w:tc>
          <w:tcPr>
            <w:tcW w:w="747" w:type="pct"/>
            <w:tcBorders>
              <w:top w:val="single" w:sz="4" w:space="0" w:color="auto"/>
              <w:left w:val="nil"/>
              <w:bottom w:val="single" w:sz="2" w:space="0" w:color="auto"/>
              <w:right w:val="nil"/>
            </w:tcBorders>
            <w:shd w:val="clear" w:color="auto" w:fill="auto"/>
            <w:noWrap/>
            <w:vAlign w:val="center"/>
            <w:hideMark/>
          </w:tcPr>
          <w:p w14:paraId="06F7DB8A" w14:textId="77777777" w:rsidR="004C5C5D" w:rsidRPr="00C24098" w:rsidRDefault="004C5C5D" w:rsidP="00EF12C2">
            <w:pPr>
              <w:pStyle w:val="cuatexto"/>
              <w:jc w:val="right"/>
              <w:rPr>
                <w:sz w:val="19"/>
                <w:szCs w:val="19"/>
                <w:lang w:val="es-ES" w:eastAsia="es-ES"/>
              </w:rPr>
            </w:pPr>
            <w:r w:rsidRPr="00C24098">
              <w:rPr>
                <w:sz w:val="19"/>
                <w:szCs w:val="19"/>
                <w:lang w:val="es-ES" w:eastAsia="es-ES"/>
              </w:rPr>
              <w:t>66%</w:t>
            </w:r>
          </w:p>
        </w:tc>
        <w:tc>
          <w:tcPr>
            <w:tcW w:w="765" w:type="pct"/>
            <w:tcBorders>
              <w:top w:val="single" w:sz="4" w:space="0" w:color="auto"/>
              <w:left w:val="nil"/>
              <w:bottom w:val="single" w:sz="2" w:space="0" w:color="auto"/>
              <w:right w:val="nil"/>
            </w:tcBorders>
            <w:shd w:val="clear" w:color="auto" w:fill="auto"/>
            <w:noWrap/>
            <w:vAlign w:val="center"/>
            <w:hideMark/>
          </w:tcPr>
          <w:p w14:paraId="6DAE0210" w14:textId="77777777" w:rsidR="004C5C5D" w:rsidRPr="00C24098" w:rsidRDefault="004C5C5D" w:rsidP="004C5C5D">
            <w:pPr>
              <w:pStyle w:val="cuatexto"/>
              <w:jc w:val="right"/>
              <w:rPr>
                <w:sz w:val="19"/>
                <w:szCs w:val="19"/>
                <w:lang w:val="es-ES" w:eastAsia="es-ES"/>
              </w:rPr>
            </w:pPr>
            <w:r>
              <w:rPr>
                <w:sz w:val="19"/>
                <w:szCs w:val="19"/>
                <w:lang w:val="es-ES" w:eastAsia="es-ES"/>
              </w:rPr>
              <w:t>71</w:t>
            </w:r>
            <w:r w:rsidRPr="00C24098">
              <w:rPr>
                <w:sz w:val="19"/>
                <w:szCs w:val="19"/>
                <w:lang w:val="es-ES" w:eastAsia="es-ES"/>
              </w:rPr>
              <w:t>%</w:t>
            </w:r>
          </w:p>
        </w:tc>
      </w:tr>
      <w:tr w:rsidR="004C5C5D" w:rsidRPr="00C24098" w14:paraId="58661E15" w14:textId="77777777" w:rsidTr="00234ED3">
        <w:trPr>
          <w:trHeight w:val="238"/>
          <w:jc w:val="center"/>
        </w:trPr>
        <w:tc>
          <w:tcPr>
            <w:tcW w:w="1992" w:type="pct"/>
            <w:tcBorders>
              <w:top w:val="single" w:sz="2" w:space="0" w:color="auto"/>
              <w:left w:val="nil"/>
              <w:bottom w:val="single" w:sz="2" w:space="0" w:color="auto"/>
              <w:right w:val="nil"/>
            </w:tcBorders>
            <w:shd w:val="clear" w:color="auto" w:fill="auto"/>
            <w:noWrap/>
            <w:vAlign w:val="bottom"/>
            <w:hideMark/>
          </w:tcPr>
          <w:p w14:paraId="4C8403F5" w14:textId="77777777" w:rsidR="004C5C5D" w:rsidRPr="00C24098" w:rsidRDefault="004C5C5D" w:rsidP="00C24098">
            <w:pPr>
              <w:pStyle w:val="cuatexto"/>
              <w:rPr>
                <w:sz w:val="19"/>
                <w:szCs w:val="19"/>
                <w:lang w:val="es-ES" w:eastAsia="es-ES"/>
              </w:rPr>
            </w:pPr>
            <w:r w:rsidRPr="00C24098">
              <w:rPr>
                <w:sz w:val="19"/>
                <w:szCs w:val="19"/>
                <w:lang w:val="es-ES" w:eastAsia="es-ES"/>
              </w:rPr>
              <w:t>Concejos</w:t>
            </w:r>
          </w:p>
        </w:tc>
        <w:tc>
          <w:tcPr>
            <w:tcW w:w="747" w:type="pct"/>
            <w:tcBorders>
              <w:top w:val="single" w:sz="2" w:space="0" w:color="auto"/>
              <w:left w:val="nil"/>
              <w:bottom w:val="single" w:sz="2" w:space="0" w:color="auto"/>
              <w:right w:val="nil"/>
            </w:tcBorders>
            <w:shd w:val="clear" w:color="auto" w:fill="auto"/>
            <w:noWrap/>
            <w:vAlign w:val="center"/>
            <w:hideMark/>
          </w:tcPr>
          <w:p w14:paraId="7F98ADC2" w14:textId="77777777" w:rsidR="004C5C5D" w:rsidRPr="00C24098" w:rsidRDefault="004C5C5D" w:rsidP="00EF12C2">
            <w:pPr>
              <w:pStyle w:val="cuatexto"/>
              <w:jc w:val="right"/>
              <w:rPr>
                <w:sz w:val="19"/>
                <w:szCs w:val="19"/>
                <w:lang w:val="es-ES" w:eastAsia="es-ES"/>
              </w:rPr>
            </w:pPr>
            <w:r w:rsidRPr="00C24098">
              <w:rPr>
                <w:sz w:val="19"/>
                <w:szCs w:val="19"/>
                <w:lang w:val="es-ES" w:eastAsia="es-ES"/>
              </w:rPr>
              <w:t>73%</w:t>
            </w:r>
          </w:p>
        </w:tc>
        <w:tc>
          <w:tcPr>
            <w:tcW w:w="749" w:type="pct"/>
            <w:tcBorders>
              <w:top w:val="single" w:sz="2" w:space="0" w:color="auto"/>
              <w:left w:val="nil"/>
              <w:bottom w:val="single" w:sz="2" w:space="0" w:color="auto"/>
              <w:right w:val="nil"/>
            </w:tcBorders>
            <w:shd w:val="clear" w:color="auto" w:fill="auto"/>
            <w:noWrap/>
            <w:vAlign w:val="center"/>
            <w:hideMark/>
          </w:tcPr>
          <w:p w14:paraId="1F4EF0ED" w14:textId="77777777" w:rsidR="004C5C5D" w:rsidRPr="00C24098" w:rsidRDefault="004C5C5D" w:rsidP="00EF12C2">
            <w:pPr>
              <w:pStyle w:val="cuatexto"/>
              <w:jc w:val="right"/>
              <w:rPr>
                <w:sz w:val="19"/>
                <w:szCs w:val="19"/>
                <w:lang w:val="es-ES" w:eastAsia="es-ES"/>
              </w:rPr>
            </w:pPr>
            <w:r>
              <w:rPr>
                <w:sz w:val="19"/>
                <w:szCs w:val="19"/>
                <w:lang w:val="es-ES" w:eastAsia="es-ES"/>
              </w:rPr>
              <w:t>74</w:t>
            </w:r>
            <w:r w:rsidRPr="00C24098">
              <w:rPr>
                <w:sz w:val="19"/>
                <w:szCs w:val="19"/>
                <w:lang w:val="es-ES" w:eastAsia="es-ES"/>
              </w:rPr>
              <w:t>%</w:t>
            </w:r>
          </w:p>
        </w:tc>
        <w:tc>
          <w:tcPr>
            <w:tcW w:w="747" w:type="pct"/>
            <w:tcBorders>
              <w:top w:val="single" w:sz="2" w:space="0" w:color="auto"/>
              <w:left w:val="nil"/>
              <w:bottom w:val="single" w:sz="2" w:space="0" w:color="auto"/>
              <w:right w:val="nil"/>
            </w:tcBorders>
            <w:shd w:val="clear" w:color="auto" w:fill="auto"/>
            <w:noWrap/>
            <w:vAlign w:val="center"/>
            <w:hideMark/>
          </w:tcPr>
          <w:p w14:paraId="327D7AE8" w14:textId="77777777" w:rsidR="004C5C5D" w:rsidRPr="00C24098" w:rsidRDefault="004C5C5D" w:rsidP="00EF12C2">
            <w:pPr>
              <w:pStyle w:val="cuatexto"/>
              <w:jc w:val="right"/>
              <w:rPr>
                <w:sz w:val="19"/>
                <w:szCs w:val="19"/>
                <w:lang w:val="es-ES" w:eastAsia="es-ES"/>
              </w:rPr>
            </w:pPr>
            <w:r w:rsidRPr="00C24098">
              <w:rPr>
                <w:sz w:val="19"/>
                <w:szCs w:val="19"/>
                <w:lang w:val="es-ES" w:eastAsia="es-ES"/>
              </w:rPr>
              <w:t>60%</w:t>
            </w:r>
          </w:p>
        </w:tc>
        <w:tc>
          <w:tcPr>
            <w:tcW w:w="765" w:type="pct"/>
            <w:tcBorders>
              <w:top w:val="single" w:sz="2" w:space="0" w:color="auto"/>
              <w:left w:val="nil"/>
              <w:bottom w:val="single" w:sz="2" w:space="0" w:color="auto"/>
              <w:right w:val="nil"/>
            </w:tcBorders>
            <w:shd w:val="clear" w:color="auto" w:fill="auto"/>
            <w:noWrap/>
            <w:vAlign w:val="center"/>
            <w:hideMark/>
          </w:tcPr>
          <w:p w14:paraId="12E0E2B6" w14:textId="77777777" w:rsidR="004C5C5D" w:rsidRPr="00C24098" w:rsidRDefault="004C5C5D" w:rsidP="00EF12C2">
            <w:pPr>
              <w:pStyle w:val="cuatexto"/>
              <w:jc w:val="right"/>
              <w:rPr>
                <w:sz w:val="19"/>
                <w:szCs w:val="19"/>
                <w:lang w:val="es-ES" w:eastAsia="es-ES"/>
              </w:rPr>
            </w:pPr>
            <w:r>
              <w:rPr>
                <w:sz w:val="19"/>
                <w:szCs w:val="19"/>
                <w:lang w:val="es-ES" w:eastAsia="es-ES"/>
              </w:rPr>
              <w:t>55</w:t>
            </w:r>
            <w:r w:rsidRPr="00C24098">
              <w:rPr>
                <w:sz w:val="19"/>
                <w:szCs w:val="19"/>
                <w:lang w:val="es-ES" w:eastAsia="es-ES"/>
              </w:rPr>
              <w:t>%</w:t>
            </w:r>
          </w:p>
        </w:tc>
      </w:tr>
      <w:tr w:rsidR="004C5C5D" w:rsidRPr="00C24098" w14:paraId="5B0787DD" w14:textId="77777777" w:rsidTr="00234ED3">
        <w:trPr>
          <w:trHeight w:val="238"/>
          <w:jc w:val="center"/>
        </w:trPr>
        <w:tc>
          <w:tcPr>
            <w:tcW w:w="1992" w:type="pct"/>
            <w:tcBorders>
              <w:top w:val="single" w:sz="2" w:space="0" w:color="auto"/>
              <w:left w:val="nil"/>
              <w:bottom w:val="single" w:sz="2" w:space="0" w:color="auto"/>
              <w:right w:val="nil"/>
            </w:tcBorders>
            <w:shd w:val="clear" w:color="auto" w:fill="auto"/>
            <w:noWrap/>
            <w:vAlign w:val="bottom"/>
            <w:hideMark/>
          </w:tcPr>
          <w:p w14:paraId="609CEDC9" w14:textId="77777777" w:rsidR="004C5C5D" w:rsidRPr="00C24098" w:rsidRDefault="004C5C5D" w:rsidP="00C24098">
            <w:pPr>
              <w:pStyle w:val="cuatexto"/>
              <w:rPr>
                <w:sz w:val="19"/>
                <w:szCs w:val="19"/>
                <w:lang w:val="es-ES" w:eastAsia="es-ES"/>
              </w:rPr>
            </w:pPr>
            <w:r w:rsidRPr="00C24098">
              <w:rPr>
                <w:sz w:val="19"/>
                <w:szCs w:val="19"/>
                <w:lang w:val="es-ES" w:eastAsia="es-ES"/>
              </w:rPr>
              <w:t>Mancomunidades</w:t>
            </w:r>
          </w:p>
        </w:tc>
        <w:tc>
          <w:tcPr>
            <w:tcW w:w="747" w:type="pct"/>
            <w:tcBorders>
              <w:top w:val="single" w:sz="2" w:space="0" w:color="auto"/>
              <w:left w:val="nil"/>
              <w:bottom w:val="single" w:sz="2" w:space="0" w:color="auto"/>
              <w:right w:val="nil"/>
            </w:tcBorders>
            <w:shd w:val="clear" w:color="auto" w:fill="auto"/>
            <w:noWrap/>
            <w:vAlign w:val="center"/>
            <w:hideMark/>
          </w:tcPr>
          <w:p w14:paraId="7F5B0FE8" w14:textId="77777777" w:rsidR="004C5C5D" w:rsidRPr="00C24098" w:rsidRDefault="004C5C5D" w:rsidP="00EF12C2">
            <w:pPr>
              <w:pStyle w:val="cuatexto"/>
              <w:jc w:val="right"/>
              <w:rPr>
                <w:sz w:val="19"/>
                <w:szCs w:val="19"/>
                <w:lang w:val="es-ES" w:eastAsia="es-ES"/>
              </w:rPr>
            </w:pPr>
            <w:r w:rsidRPr="00C24098">
              <w:rPr>
                <w:sz w:val="19"/>
                <w:szCs w:val="19"/>
                <w:lang w:val="es-ES" w:eastAsia="es-ES"/>
              </w:rPr>
              <w:t>74%</w:t>
            </w:r>
          </w:p>
        </w:tc>
        <w:tc>
          <w:tcPr>
            <w:tcW w:w="749" w:type="pct"/>
            <w:tcBorders>
              <w:top w:val="single" w:sz="2" w:space="0" w:color="auto"/>
              <w:left w:val="nil"/>
              <w:bottom w:val="single" w:sz="2" w:space="0" w:color="auto"/>
              <w:right w:val="nil"/>
            </w:tcBorders>
            <w:shd w:val="clear" w:color="auto" w:fill="auto"/>
            <w:noWrap/>
            <w:vAlign w:val="center"/>
            <w:hideMark/>
          </w:tcPr>
          <w:p w14:paraId="637E39F4" w14:textId="77777777" w:rsidR="004C5C5D" w:rsidRPr="00C24098" w:rsidRDefault="004C5C5D" w:rsidP="00EF12C2">
            <w:pPr>
              <w:pStyle w:val="cuatexto"/>
              <w:jc w:val="right"/>
              <w:rPr>
                <w:sz w:val="19"/>
                <w:szCs w:val="19"/>
                <w:lang w:val="es-ES" w:eastAsia="es-ES"/>
              </w:rPr>
            </w:pPr>
            <w:r>
              <w:rPr>
                <w:sz w:val="19"/>
                <w:szCs w:val="19"/>
                <w:lang w:val="es-ES" w:eastAsia="es-ES"/>
              </w:rPr>
              <w:t>66</w:t>
            </w:r>
            <w:r w:rsidRPr="00C24098">
              <w:rPr>
                <w:sz w:val="19"/>
                <w:szCs w:val="19"/>
                <w:lang w:val="es-ES" w:eastAsia="es-ES"/>
              </w:rPr>
              <w:t>%</w:t>
            </w:r>
          </w:p>
        </w:tc>
        <w:tc>
          <w:tcPr>
            <w:tcW w:w="747" w:type="pct"/>
            <w:tcBorders>
              <w:top w:val="single" w:sz="2" w:space="0" w:color="auto"/>
              <w:left w:val="nil"/>
              <w:bottom w:val="single" w:sz="2" w:space="0" w:color="auto"/>
              <w:right w:val="nil"/>
            </w:tcBorders>
            <w:shd w:val="clear" w:color="auto" w:fill="auto"/>
            <w:noWrap/>
            <w:vAlign w:val="center"/>
            <w:hideMark/>
          </w:tcPr>
          <w:p w14:paraId="7C823D73" w14:textId="77777777" w:rsidR="004C5C5D" w:rsidRPr="00C24098" w:rsidRDefault="004C5C5D" w:rsidP="00EF12C2">
            <w:pPr>
              <w:pStyle w:val="cuatexto"/>
              <w:jc w:val="right"/>
              <w:rPr>
                <w:sz w:val="19"/>
                <w:szCs w:val="19"/>
                <w:lang w:val="es-ES" w:eastAsia="es-ES"/>
              </w:rPr>
            </w:pPr>
            <w:r w:rsidRPr="00C24098">
              <w:rPr>
                <w:sz w:val="19"/>
                <w:szCs w:val="19"/>
                <w:lang w:val="es-ES" w:eastAsia="es-ES"/>
              </w:rPr>
              <w:t>63%</w:t>
            </w:r>
          </w:p>
        </w:tc>
        <w:tc>
          <w:tcPr>
            <w:tcW w:w="765" w:type="pct"/>
            <w:tcBorders>
              <w:top w:val="single" w:sz="2" w:space="0" w:color="auto"/>
              <w:left w:val="nil"/>
              <w:bottom w:val="single" w:sz="2" w:space="0" w:color="auto"/>
              <w:right w:val="nil"/>
            </w:tcBorders>
            <w:shd w:val="clear" w:color="auto" w:fill="auto"/>
            <w:noWrap/>
            <w:vAlign w:val="center"/>
            <w:hideMark/>
          </w:tcPr>
          <w:p w14:paraId="2B7C4FA0" w14:textId="77777777" w:rsidR="004C5C5D" w:rsidRPr="00C24098" w:rsidRDefault="004C5C5D" w:rsidP="00EF12C2">
            <w:pPr>
              <w:pStyle w:val="cuatexto"/>
              <w:jc w:val="right"/>
              <w:rPr>
                <w:sz w:val="19"/>
                <w:szCs w:val="19"/>
                <w:lang w:val="es-ES" w:eastAsia="es-ES"/>
              </w:rPr>
            </w:pPr>
            <w:r>
              <w:rPr>
                <w:sz w:val="19"/>
                <w:szCs w:val="19"/>
                <w:lang w:val="es-ES" w:eastAsia="es-ES"/>
              </w:rPr>
              <w:t>53</w:t>
            </w:r>
            <w:r w:rsidRPr="00C24098">
              <w:rPr>
                <w:sz w:val="19"/>
                <w:szCs w:val="19"/>
                <w:lang w:val="es-ES" w:eastAsia="es-ES"/>
              </w:rPr>
              <w:t>%</w:t>
            </w:r>
          </w:p>
        </w:tc>
      </w:tr>
      <w:tr w:rsidR="004C5C5D" w:rsidRPr="00C24098" w14:paraId="6486C817" w14:textId="77777777" w:rsidTr="00234ED3">
        <w:trPr>
          <w:trHeight w:val="238"/>
          <w:jc w:val="center"/>
        </w:trPr>
        <w:tc>
          <w:tcPr>
            <w:tcW w:w="1992" w:type="pct"/>
            <w:tcBorders>
              <w:top w:val="single" w:sz="2" w:space="0" w:color="auto"/>
              <w:left w:val="nil"/>
              <w:bottom w:val="single" w:sz="4" w:space="0" w:color="auto"/>
              <w:right w:val="nil"/>
            </w:tcBorders>
            <w:shd w:val="clear" w:color="auto" w:fill="auto"/>
            <w:noWrap/>
            <w:vAlign w:val="bottom"/>
            <w:hideMark/>
          </w:tcPr>
          <w:p w14:paraId="4AF401DA" w14:textId="77777777" w:rsidR="004C5C5D" w:rsidRPr="00C24098" w:rsidRDefault="004C5C5D" w:rsidP="00C24098">
            <w:pPr>
              <w:pStyle w:val="cuatexto"/>
              <w:rPr>
                <w:sz w:val="19"/>
                <w:szCs w:val="19"/>
                <w:lang w:val="es-ES" w:eastAsia="es-ES"/>
              </w:rPr>
            </w:pPr>
            <w:r w:rsidRPr="00C24098">
              <w:rPr>
                <w:sz w:val="19"/>
                <w:szCs w:val="19"/>
                <w:lang w:val="es-ES" w:eastAsia="es-ES"/>
              </w:rPr>
              <w:t>Agrupaciones de municipios</w:t>
            </w:r>
          </w:p>
        </w:tc>
        <w:tc>
          <w:tcPr>
            <w:tcW w:w="747" w:type="pct"/>
            <w:tcBorders>
              <w:top w:val="single" w:sz="2" w:space="0" w:color="auto"/>
              <w:left w:val="nil"/>
              <w:bottom w:val="single" w:sz="4" w:space="0" w:color="auto"/>
              <w:right w:val="nil"/>
            </w:tcBorders>
            <w:shd w:val="clear" w:color="auto" w:fill="auto"/>
            <w:noWrap/>
            <w:vAlign w:val="center"/>
            <w:hideMark/>
          </w:tcPr>
          <w:p w14:paraId="0DF7D680" w14:textId="77777777" w:rsidR="004C5C5D" w:rsidRPr="00C24098" w:rsidRDefault="004C5C5D" w:rsidP="00EF12C2">
            <w:pPr>
              <w:pStyle w:val="cuatexto"/>
              <w:jc w:val="right"/>
              <w:rPr>
                <w:sz w:val="19"/>
                <w:szCs w:val="19"/>
                <w:lang w:val="es-ES" w:eastAsia="es-ES"/>
              </w:rPr>
            </w:pPr>
            <w:r w:rsidRPr="00C24098">
              <w:rPr>
                <w:sz w:val="19"/>
                <w:szCs w:val="19"/>
                <w:lang w:val="es-ES" w:eastAsia="es-ES"/>
              </w:rPr>
              <w:t>73%</w:t>
            </w:r>
          </w:p>
        </w:tc>
        <w:tc>
          <w:tcPr>
            <w:tcW w:w="749" w:type="pct"/>
            <w:tcBorders>
              <w:top w:val="single" w:sz="2" w:space="0" w:color="auto"/>
              <w:left w:val="nil"/>
              <w:bottom w:val="single" w:sz="4" w:space="0" w:color="auto"/>
              <w:right w:val="nil"/>
            </w:tcBorders>
            <w:shd w:val="clear" w:color="auto" w:fill="auto"/>
            <w:noWrap/>
            <w:vAlign w:val="center"/>
            <w:hideMark/>
          </w:tcPr>
          <w:p w14:paraId="77EC98DB" w14:textId="77777777" w:rsidR="004C5C5D" w:rsidRPr="00C24098" w:rsidRDefault="004C5C5D" w:rsidP="00EF12C2">
            <w:pPr>
              <w:pStyle w:val="cuatexto"/>
              <w:jc w:val="right"/>
              <w:rPr>
                <w:sz w:val="19"/>
                <w:szCs w:val="19"/>
                <w:lang w:val="es-ES" w:eastAsia="es-ES"/>
              </w:rPr>
            </w:pPr>
            <w:r>
              <w:rPr>
                <w:sz w:val="19"/>
                <w:szCs w:val="19"/>
                <w:lang w:val="es-ES" w:eastAsia="es-ES"/>
              </w:rPr>
              <w:t>59</w:t>
            </w:r>
            <w:r w:rsidRPr="00C24098">
              <w:rPr>
                <w:sz w:val="19"/>
                <w:szCs w:val="19"/>
                <w:lang w:val="es-ES" w:eastAsia="es-ES"/>
              </w:rPr>
              <w:t>%</w:t>
            </w:r>
          </w:p>
        </w:tc>
        <w:tc>
          <w:tcPr>
            <w:tcW w:w="747" w:type="pct"/>
            <w:tcBorders>
              <w:top w:val="single" w:sz="2" w:space="0" w:color="auto"/>
              <w:left w:val="nil"/>
              <w:bottom w:val="single" w:sz="4" w:space="0" w:color="auto"/>
              <w:right w:val="nil"/>
            </w:tcBorders>
            <w:shd w:val="clear" w:color="auto" w:fill="auto"/>
            <w:noWrap/>
            <w:vAlign w:val="center"/>
            <w:hideMark/>
          </w:tcPr>
          <w:p w14:paraId="4AB0F7C7" w14:textId="77777777" w:rsidR="004C5C5D" w:rsidRPr="00C24098" w:rsidRDefault="004C5C5D" w:rsidP="00EF12C2">
            <w:pPr>
              <w:pStyle w:val="cuatexto"/>
              <w:jc w:val="right"/>
              <w:rPr>
                <w:sz w:val="19"/>
                <w:szCs w:val="19"/>
                <w:lang w:val="es-ES" w:eastAsia="es-ES"/>
              </w:rPr>
            </w:pPr>
            <w:r w:rsidRPr="00C24098">
              <w:rPr>
                <w:sz w:val="19"/>
                <w:szCs w:val="19"/>
                <w:lang w:val="es-ES" w:eastAsia="es-ES"/>
              </w:rPr>
              <w:t>55%</w:t>
            </w:r>
          </w:p>
        </w:tc>
        <w:tc>
          <w:tcPr>
            <w:tcW w:w="765" w:type="pct"/>
            <w:tcBorders>
              <w:top w:val="single" w:sz="2" w:space="0" w:color="auto"/>
              <w:left w:val="nil"/>
              <w:bottom w:val="single" w:sz="4" w:space="0" w:color="auto"/>
              <w:right w:val="nil"/>
            </w:tcBorders>
            <w:shd w:val="clear" w:color="auto" w:fill="auto"/>
            <w:noWrap/>
            <w:vAlign w:val="center"/>
            <w:hideMark/>
          </w:tcPr>
          <w:p w14:paraId="021E6EA1" w14:textId="77777777" w:rsidR="004C5C5D" w:rsidRPr="00C24098" w:rsidRDefault="004C5C5D" w:rsidP="00EF12C2">
            <w:pPr>
              <w:pStyle w:val="cuatexto"/>
              <w:jc w:val="right"/>
              <w:rPr>
                <w:sz w:val="19"/>
                <w:szCs w:val="19"/>
                <w:lang w:val="es-ES" w:eastAsia="es-ES"/>
              </w:rPr>
            </w:pPr>
            <w:r>
              <w:rPr>
                <w:sz w:val="19"/>
                <w:szCs w:val="19"/>
                <w:lang w:val="es-ES" w:eastAsia="es-ES"/>
              </w:rPr>
              <w:t>41</w:t>
            </w:r>
            <w:r w:rsidRPr="00C24098">
              <w:rPr>
                <w:sz w:val="19"/>
                <w:szCs w:val="19"/>
                <w:lang w:val="es-ES" w:eastAsia="es-ES"/>
              </w:rPr>
              <w:t>%</w:t>
            </w:r>
          </w:p>
        </w:tc>
      </w:tr>
    </w:tbl>
    <w:p w14:paraId="21B6FDA4" w14:textId="77777777" w:rsidR="004C5C5D" w:rsidRPr="00865FA4" w:rsidRDefault="004C5C5D" w:rsidP="00C7553E">
      <w:pPr>
        <w:pStyle w:val="texto"/>
        <w:spacing w:before="80"/>
        <w:ind w:left="56" w:firstLine="0"/>
        <w:rPr>
          <w:rFonts w:ascii="Arial" w:hAnsi="Arial" w:cs="Arial"/>
          <w:sz w:val="16"/>
          <w:szCs w:val="16"/>
        </w:rPr>
      </w:pPr>
      <w:r w:rsidRPr="00865FA4">
        <w:rPr>
          <w:rFonts w:ascii="Arial" w:hAnsi="Arial" w:cs="Arial"/>
          <w:sz w:val="16"/>
          <w:szCs w:val="16"/>
        </w:rPr>
        <w:t>(*) Para 2019 los plazos de rendición y envío se amplían en 99 días. Art. 48 RDL 11/2020</w:t>
      </w:r>
      <w:r w:rsidR="00AB5C2A">
        <w:rPr>
          <w:rFonts w:ascii="Arial" w:hAnsi="Arial" w:cs="Arial"/>
          <w:sz w:val="16"/>
          <w:szCs w:val="16"/>
        </w:rPr>
        <w:t>.</w:t>
      </w:r>
    </w:p>
    <w:p w14:paraId="042D3A8C" w14:textId="77777777" w:rsidR="0088085F" w:rsidRPr="00262228" w:rsidRDefault="0088085F" w:rsidP="00C24098">
      <w:pPr>
        <w:pStyle w:val="texto"/>
        <w:spacing w:before="220"/>
      </w:pPr>
      <w:r w:rsidRPr="00262228">
        <w:t xml:space="preserve">Destacar que, aunque la aprobación de cuentas se realiza en unos porcentajes superiores al 50 por ciento en general dentro del plazo establecido por la normativa, la rendición de cuentas se demora en el tiempo y los porcentajes de rendición en plazo son inferiores. </w:t>
      </w:r>
      <w:r w:rsidR="004C5C5D">
        <w:t>Co</w:t>
      </w:r>
      <w:r w:rsidRPr="00262228">
        <w:t>mprobamos que los porcentajes de rendición y envío</w:t>
      </w:r>
      <w:r w:rsidR="00BD79ED">
        <w:t xml:space="preserve"> de los municipios son superiores al ejercicio anterior y en el resto de entidades se mantiene o disminuyen dichos porcentajes</w:t>
      </w:r>
      <w:r w:rsidRPr="00262228">
        <w:t>.</w:t>
      </w:r>
    </w:p>
    <w:p w14:paraId="562BC8A7" w14:textId="77777777" w:rsidR="0088085F" w:rsidRPr="00262228" w:rsidRDefault="0088085F" w:rsidP="00262228">
      <w:pPr>
        <w:pStyle w:val="texto"/>
      </w:pPr>
      <w:r w:rsidRPr="00262228">
        <w:t>De las entidades locales que no han presentado la Cuenta General consta un cinco por ciento de municipios, un uno por ciento de concejos, un 11 por ciento de mancomunidades y un 18 por ciento de agrupaciones que han presentado el expediente de liquidación correspondiente, si bien solo un municipio lo ha aprobado en el plazo establecido.</w:t>
      </w:r>
    </w:p>
    <w:p w14:paraId="68BD868F" w14:textId="77777777" w:rsidR="0088085F" w:rsidRPr="00262228" w:rsidRDefault="0088085F" w:rsidP="00EF12C2">
      <w:pPr>
        <w:pStyle w:val="texto"/>
        <w:spacing w:after="240"/>
      </w:pPr>
      <w:r w:rsidRPr="00262228">
        <w:lastRenderedPageBreak/>
        <w:t xml:space="preserve"> Del mismo modo, mostramos el detalle de los plazos de aprobación y envío del expediente de presupuestos del ejercicio 2019 a la Dirección General de Administración Local y Despoblación:</w:t>
      </w:r>
    </w:p>
    <w:tbl>
      <w:tblPr>
        <w:tblW w:w="5000" w:type="pct"/>
        <w:jc w:val="center"/>
        <w:tblCellMar>
          <w:left w:w="70" w:type="dxa"/>
          <w:right w:w="70" w:type="dxa"/>
        </w:tblCellMar>
        <w:tblLook w:val="04A0" w:firstRow="1" w:lastRow="0" w:firstColumn="1" w:lastColumn="0" w:noHBand="0" w:noVBand="1"/>
      </w:tblPr>
      <w:tblGrid>
        <w:gridCol w:w="3577"/>
        <w:gridCol w:w="1800"/>
        <w:gridCol w:w="1800"/>
        <w:gridCol w:w="1612"/>
      </w:tblGrid>
      <w:tr w:rsidR="0088085F" w:rsidRPr="00EF12C2" w14:paraId="750C01C9" w14:textId="77777777" w:rsidTr="00C1366A">
        <w:trPr>
          <w:trHeight w:val="284"/>
          <w:jc w:val="center"/>
        </w:trPr>
        <w:tc>
          <w:tcPr>
            <w:tcW w:w="2035" w:type="pct"/>
            <w:tcBorders>
              <w:top w:val="single" w:sz="4" w:space="0" w:color="auto"/>
              <w:left w:val="nil"/>
              <w:bottom w:val="single" w:sz="4" w:space="0" w:color="auto"/>
              <w:right w:val="nil"/>
            </w:tcBorders>
            <w:shd w:val="clear" w:color="auto" w:fill="FABF8F" w:themeFill="accent6" w:themeFillTint="99"/>
            <w:noWrap/>
            <w:vAlign w:val="center"/>
            <w:hideMark/>
          </w:tcPr>
          <w:p w14:paraId="49DFF843" w14:textId="77777777" w:rsidR="0088085F" w:rsidRPr="00EF12C2" w:rsidRDefault="009544C7" w:rsidP="00EF12C2">
            <w:pPr>
              <w:pStyle w:val="cuadroCabe"/>
              <w:jc w:val="left"/>
              <w:rPr>
                <w:sz w:val="16"/>
                <w:szCs w:val="16"/>
                <w:lang w:val="es-ES" w:eastAsia="es-ES"/>
              </w:rPr>
            </w:pPr>
            <w:r w:rsidRPr="00EF12C2">
              <w:rPr>
                <w:sz w:val="16"/>
                <w:szCs w:val="16"/>
                <w:lang w:val="es-ES" w:eastAsia="es-ES"/>
              </w:rPr>
              <w:t>Tipo entidad</w:t>
            </w:r>
          </w:p>
        </w:tc>
        <w:tc>
          <w:tcPr>
            <w:tcW w:w="1024" w:type="pct"/>
            <w:tcBorders>
              <w:top w:val="single" w:sz="4" w:space="0" w:color="auto"/>
              <w:left w:val="nil"/>
              <w:bottom w:val="single" w:sz="4" w:space="0" w:color="auto"/>
              <w:right w:val="nil"/>
            </w:tcBorders>
            <w:shd w:val="clear" w:color="auto" w:fill="FABF8F" w:themeFill="accent6" w:themeFillTint="99"/>
            <w:vAlign w:val="center"/>
            <w:hideMark/>
          </w:tcPr>
          <w:p w14:paraId="3043F3CA" w14:textId="77777777" w:rsidR="0088085F" w:rsidRPr="00EF12C2" w:rsidRDefault="009544C7" w:rsidP="00C1366A">
            <w:pPr>
              <w:pStyle w:val="cuadroCabe"/>
              <w:jc w:val="right"/>
              <w:rPr>
                <w:sz w:val="16"/>
                <w:szCs w:val="16"/>
                <w:lang w:val="es-ES" w:eastAsia="es-ES"/>
              </w:rPr>
            </w:pPr>
            <w:r w:rsidRPr="00EF12C2">
              <w:rPr>
                <w:sz w:val="16"/>
                <w:szCs w:val="16"/>
                <w:lang w:val="es-ES" w:eastAsia="es-ES"/>
              </w:rPr>
              <w:t xml:space="preserve">Aprobado </w:t>
            </w:r>
            <w:r w:rsidR="0088085F" w:rsidRPr="00EF12C2">
              <w:rPr>
                <w:sz w:val="16"/>
                <w:szCs w:val="16"/>
                <w:lang w:val="es-ES" w:eastAsia="es-ES"/>
              </w:rPr>
              <w:t>en plazo (31.12.2018)</w:t>
            </w:r>
          </w:p>
        </w:tc>
        <w:tc>
          <w:tcPr>
            <w:tcW w:w="1024" w:type="pct"/>
            <w:tcBorders>
              <w:top w:val="single" w:sz="4" w:space="0" w:color="auto"/>
              <w:left w:val="nil"/>
              <w:bottom w:val="single" w:sz="4" w:space="0" w:color="auto"/>
              <w:right w:val="nil"/>
            </w:tcBorders>
            <w:shd w:val="clear" w:color="auto" w:fill="FABF8F" w:themeFill="accent6" w:themeFillTint="99"/>
            <w:vAlign w:val="center"/>
            <w:hideMark/>
          </w:tcPr>
          <w:p w14:paraId="39EC50DE" w14:textId="77777777" w:rsidR="0088085F" w:rsidRPr="00EF12C2" w:rsidRDefault="009544C7" w:rsidP="00C1366A">
            <w:pPr>
              <w:pStyle w:val="cuadroCabe"/>
              <w:jc w:val="right"/>
              <w:rPr>
                <w:sz w:val="16"/>
                <w:szCs w:val="16"/>
                <w:lang w:val="es-ES" w:eastAsia="es-ES"/>
              </w:rPr>
            </w:pPr>
            <w:r w:rsidRPr="00EF12C2">
              <w:rPr>
                <w:sz w:val="16"/>
                <w:szCs w:val="16"/>
                <w:lang w:val="es-ES" w:eastAsia="es-ES"/>
              </w:rPr>
              <w:t xml:space="preserve">Envío </w:t>
            </w:r>
            <w:r w:rsidR="0088085F" w:rsidRPr="00EF12C2">
              <w:rPr>
                <w:sz w:val="16"/>
                <w:szCs w:val="16"/>
                <w:lang w:val="es-ES" w:eastAsia="es-ES"/>
              </w:rPr>
              <w:t>en plazo (16.01.2019)</w:t>
            </w:r>
          </w:p>
        </w:tc>
        <w:tc>
          <w:tcPr>
            <w:tcW w:w="917" w:type="pct"/>
            <w:tcBorders>
              <w:top w:val="single" w:sz="4" w:space="0" w:color="auto"/>
              <w:left w:val="nil"/>
              <w:bottom w:val="single" w:sz="4" w:space="0" w:color="auto"/>
              <w:right w:val="nil"/>
            </w:tcBorders>
            <w:shd w:val="clear" w:color="auto" w:fill="FABF8F" w:themeFill="accent6" w:themeFillTint="99"/>
            <w:vAlign w:val="center"/>
            <w:hideMark/>
          </w:tcPr>
          <w:p w14:paraId="39E72F3D" w14:textId="77777777" w:rsidR="0088085F" w:rsidRPr="00EF12C2" w:rsidRDefault="009544C7" w:rsidP="00C1366A">
            <w:pPr>
              <w:pStyle w:val="cuadroCabe"/>
              <w:jc w:val="right"/>
              <w:rPr>
                <w:sz w:val="16"/>
                <w:szCs w:val="16"/>
                <w:lang w:val="es-ES" w:eastAsia="es-ES"/>
              </w:rPr>
            </w:pPr>
            <w:r w:rsidRPr="00EF12C2">
              <w:rPr>
                <w:sz w:val="16"/>
                <w:szCs w:val="16"/>
                <w:lang w:val="es-ES" w:eastAsia="es-ES"/>
              </w:rPr>
              <w:t xml:space="preserve">Envío </w:t>
            </w:r>
            <w:r w:rsidR="0088085F" w:rsidRPr="00EF12C2">
              <w:rPr>
                <w:sz w:val="16"/>
                <w:szCs w:val="16"/>
                <w:lang w:val="es-ES" w:eastAsia="es-ES"/>
              </w:rPr>
              <w:t>hasta 01.04.2019</w:t>
            </w:r>
          </w:p>
        </w:tc>
      </w:tr>
      <w:tr w:rsidR="0088085F" w:rsidRPr="00EF12C2" w14:paraId="3E38F446" w14:textId="77777777" w:rsidTr="00C1366A">
        <w:trPr>
          <w:trHeight w:val="238"/>
          <w:jc w:val="center"/>
        </w:trPr>
        <w:tc>
          <w:tcPr>
            <w:tcW w:w="2035" w:type="pct"/>
            <w:tcBorders>
              <w:top w:val="single" w:sz="4" w:space="0" w:color="auto"/>
              <w:left w:val="nil"/>
              <w:bottom w:val="single" w:sz="2" w:space="0" w:color="auto"/>
              <w:right w:val="nil"/>
            </w:tcBorders>
            <w:shd w:val="clear" w:color="auto" w:fill="auto"/>
            <w:noWrap/>
            <w:vAlign w:val="center"/>
            <w:hideMark/>
          </w:tcPr>
          <w:p w14:paraId="68AD78EC" w14:textId="77777777" w:rsidR="0088085F" w:rsidRPr="00EF12C2" w:rsidRDefault="0088085F" w:rsidP="00EF12C2">
            <w:pPr>
              <w:pStyle w:val="cuatexto"/>
              <w:jc w:val="left"/>
              <w:rPr>
                <w:sz w:val="19"/>
                <w:szCs w:val="19"/>
                <w:lang w:val="es-ES" w:eastAsia="es-ES"/>
              </w:rPr>
            </w:pPr>
            <w:r w:rsidRPr="00EF12C2">
              <w:rPr>
                <w:sz w:val="19"/>
                <w:szCs w:val="19"/>
                <w:lang w:val="es-ES" w:eastAsia="es-ES"/>
              </w:rPr>
              <w:t>Municipios</w:t>
            </w:r>
          </w:p>
        </w:tc>
        <w:tc>
          <w:tcPr>
            <w:tcW w:w="1024" w:type="pct"/>
            <w:tcBorders>
              <w:top w:val="single" w:sz="4" w:space="0" w:color="auto"/>
              <w:left w:val="nil"/>
              <w:bottom w:val="single" w:sz="2" w:space="0" w:color="auto"/>
              <w:right w:val="nil"/>
            </w:tcBorders>
            <w:shd w:val="clear" w:color="auto" w:fill="auto"/>
            <w:noWrap/>
            <w:vAlign w:val="center"/>
            <w:hideMark/>
          </w:tcPr>
          <w:p w14:paraId="6204EE24"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43%</w:t>
            </w:r>
          </w:p>
        </w:tc>
        <w:tc>
          <w:tcPr>
            <w:tcW w:w="1024" w:type="pct"/>
            <w:tcBorders>
              <w:top w:val="single" w:sz="4" w:space="0" w:color="auto"/>
              <w:left w:val="nil"/>
              <w:bottom w:val="single" w:sz="2" w:space="0" w:color="auto"/>
              <w:right w:val="nil"/>
            </w:tcBorders>
            <w:shd w:val="clear" w:color="auto" w:fill="auto"/>
            <w:noWrap/>
            <w:vAlign w:val="center"/>
            <w:hideMark/>
          </w:tcPr>
          <w:p w14:paraId="7230D74E"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4%</w:t>
            </w:r>
          </w:p>
        </w:tc>
        <w:tc>
          <w:tcPr>
            <w:tcW w:w="917" w:type="pct"/>
            <w:tcBorders>
              <w:top w:val="single" w:sz="4" w:space="0" w:color="auto"/>
              <w:left w:val="nil"/>
              <w:bottom w:val="single" w:sz="2" w:space="0" w:color="auto"/>
              <w:right w:val="nil"/>
            </w:tcBorders>
            <w:shd w:val="clear" w:color="auto" w:fill="auto"/>
            <w:noWrap/>
            <w:vAlign w:val="center"/>
            <w:hideMark/>
          </w:tcPr>
          <w:p w14:paraId="56C0D1AE"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42%</w:t>
            </w:r>
          </w:p>
        </w:tc>
      </w:tr>
      <w:tr w:rsidR="0088085F" w:rsidRPr="00EF12C2" w14:paraId="35C4D84C" w14:textId="77777777" w:rsidTr="00C1366A">
        <w:trPr>
          <w:trHeight w:val="238"/>
          <w:jc w:val="center"/>
        </w:trPr>
        <w:tc>
          <w:tcPr>
            <w:tcW w:w="2035" w:type="pct"/>
            <w:tcBorders>
              <w:top w:val="single" w:sz="2" w:space="0" w:color="auto"/>
              <w:left w:val="nil"/>
              <w:bottom w:val="single" w:sz="2" w:space="0" w:color="auto"/>
              <w:right w:val="nil"/>
            </w:tcBorders>
            <w:shd w:val="clear" w:color="auto" w:fill="auto"/>
            <w:noWrap/>
            <w:vAlign w:val="center"/>
            <w:hideMark/>
          </w:tcPr>
          <w:p w14:paraId="2A000922" w14:textId="77777777" w:rsidR="0088085F" w:rsidRPr="00EF12C2" w:rsidRDefault="0088085F" w:rsidP="00EF12C2">
            <w:pPr>
              <w:pStyle w:val="cuatexto"/>
              <w:jc w:val="left"/>
              <w:rPr>
                <w:sz w:val="19"/>
                <w:szCs w:val="19"/>
                <w:lang w:val="es-ES" w:eastAsia="es-ES"/>
              </w:rPr>
            </w:pPr>
            <w:r w:rsidRPr="00EF12C2">
              <w:rPr>
                <w:sz w:val="19"/>
                <w:szCs w:val="19"/>
                <w:lang w:val="es-ES" w:eastAsia="es-ES"/>
              </w:rPr>
              <w:t>Concejos</w:t>
            </w:r>
          </w:p>
        </w:tc>
        <w:tc>
          <w:tcPr>
            <w:tcW w:w="1024" w:type="pct"/>
            <w:tcBorders>
              <w:top w:val="single" w:sz="2" w:space="0" w:color="auto"/>
              <w:left w:val="nil"/>
              <w:bottom w:val="single" w:sz="2" w:space="0" w:color="auto"/>
              <w:right w:val="nil"/>
            </w:tcBorders>
            <w:shd w:val="clear" w:color="auto" w:fill="auto"/>
            <w:noWrap/>
            <w:vAlign w:val="center"/>
            <w:hideMark/>
          </w:tcPr>
          <w:p w14:paraId="5E6B1FD0"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17%</w:t>
            </w:r>
          </w:p>
        </w:tc>
        <w:tc>
          <w:tcPr>
            <w:tcW w:w="1024" w:type="pct"/>
            <w:tcBorders>
              <w:top w:val="single" w:sz="2" w:space="0" w:color="auto"/>
              <w:left w:val="nil"/>
              <w:bottom w:val="single" w:sz="2" w:space="0" w:color="auto"/>
              <w:right w:val="nil"/>
            </w:tcBorders>
            <w:shd w:val="clear" w:color="auto" w:fill="auto"/>
            <w:noWrap/>
            <w:vAlign w:val="center"/>
            <w:hideMark/>
          </w:tcPr>
          <w:p w14:paraId="4EB04CD2"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1%</w:t>
            </w:r>
          </w:p>
        </w:tc>
        <w:tc>
          <w:tcPr>
            <w:tcW w:w="917" w:type="pct"/>
            <w:tcBorders>
              <w:top w:val="single" w:sz="2" w:space="0" w:color="auto"/>
              <w:left w:val="nil"/>
              <w:bottom w:val="single" w:sz="2" w:space="0" w:color="auto"/>
              <w:right w:val="nil"/>
            </w:tcBorders>
            <w:shd w:val="clear" w:color="auto" w:fill="auto"/>
            <w:noWrap/>
            <w:vAlign w:val="center"/>
            <w:hideMark/>
          </w:tcPr>
          <w:p w14:paraId="5C800175"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18%</w:t>
            </w:r>
          </w:p>
        </w:tc>
      </w:tr>
      <w:tr w:rsidR="0088085F" w:rsidRPr="00EF12C2" w14:paraId="33DAC152" w14:textId="77777777" w:rsidTr="009861B8">
        <w:trPr>
          <w:trHeight w:val="238"/>
          <w:jc w:val="center"/>
        </w:trPr>
        <w:tc>
          <w:tcPr>
            <w:tcW w:w="2035" w:type="pct"/>
            <w:tcBorders>
              <w:top w:val="single" w:sz="2" w:space="0" w:color="auto"/>
              <w:left w:val="nil"/>
              <w:bottom w:val="single" w:sz="2" w:space="0" w:color="auto"/>
              <w:right w:val="nil"/>
            </w:tcBorders>
            <w:shd w:val="clear" w:color="auto" w:fill="auto"/>
            <w:noWrap/>
            <w:vAlign w:val="center"/>
            <w:hideMark/>
          </w:tcPr>
          <w:p w14:paraId="5BAA9993" w14:textId="77777777" w:rsidR="0088085F" w:rsidRPr="00EF12C2" w:rsidRDefault="0088085F" w:rsidP="00EF12C2">
            <w:pPr>
              <w:pStyle w:val="cuatexto"/>
              <w:jc w:val="left"/>
              <w:rPr>
                <w:sz w:val="19"/>
                <w:szCs w:val="19"/>
                <w:lang w:val="es-ES" w:eastAsia="es-ES"/>
              </w:rPr>
            </w:pPr>
            <w:r w:rsidRPr="00EF12C2">
              <w:rPr>
                <w:sz w:val="19"/>
                <w:szCs w:val="19"/>
                <w:lang w:val="es-ES" w:eastAsia="es-ES"/>
              </w:rPr>
              <w:t>Mancomunidades</w:t>
            </w:r>
          </w:p>
        </w:tc>
        <w:tc>
          <w:tcPr>
            <w:tcW w:w="1024" w:type="pct"/>
            <w:tcBorders>
              <w:top w:val="single" w:sz="2" w:space="0" w:color="auto"/>
              <w:left w:val="nil"/>
              <w:bottom w:val="single" w:sz="2" w:space="0" w:color="auto"/>
              <w:right w:val="nil"/>
            </w:tcBorders>
            <w:shd w:val="clear" w:color="auto" w:fill="auto"/>
            <w:noWrap/>
            <w:vAlign w:val="center"/>
            <w:hideMark/>
          </w:tcPr>
          <w:p w14:paraId="3AD27E8F"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37%</w:t>
            </w:r>
          </w:p>
        </w:tc>
        <w:tc>
          <w:tcPr>
            <w:tcW w:w="1024" w:type="pct"/>
            <w:tcBorders>
              <w:top w:val="single" w:sz="2" w:space="0" w:color="auto"/>
              <w:left w:val="nil"/>
              <w:bottom w:val="single" w:sz="2" w:space="0" w:color="auto"/>
              <w:right w:val="nil"/>
            </w:tcBorders>
            <w:shd w:val="clear" w:color="auto" w:fill="auto"/>
            <w:noWrap/>
            <w:vAlign w:val="center"/>
            <w:hideMark/>
          </w:tcPr>
          <w:p w14:paraId="384E0BD7"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2%</w:t>
            </w:r>
          </w:p>
        </w:tc>
        <w:tc>
          <w:tcPr>
            <w:tcW w:w="917" w:type="pct"/>
            <w:tcBorders>
              <w:top w:val="single" w:sz="2" w:space="0" w:color="auto"/>
              <w:left w:val="nil"/>
              <w:bottom w:val="single" w:sz="2" w:space="0" w:color="auto"/>
              <w:right w:val="nil"/>
            </w:tcBorders>
            <w:shd w:val="clear" w:color="auto" w:fill="auto"/>
            <w:noWrap/>
            <w:vAlign w:val="center"/>
            <w:hideMark/>
          </w:tcPr>
          <w:p w14:paraId="2529136B"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23%</w:t>
            </w:r>
          </w:p>
        </w:tc>
      </w:tr>
      <w:tr w:rsidR="0088085F" w:rsidRPr="00EF12C2" w14:paraId="2E0114FA" w14:textId="77777777" w:rsidTr="00C1366A">
        <w:trPr>
          <w:trHeight w:val="238"/>
          <w:jc w:val="center"/>
        </w:trPr>
        <w:tc>
          <w:tcPr>
            <w:tcW w:w="2035" w:type="pct"/>
            <w:tcBorders>
              <w:top w:val="single" w:sz="2" w:space="0" w:color="auto"/>
              <w:left w:val="nil"/>
              <w:bottom w:val="single" w:sz="4" w:space="0" w:color="auto"/>
              <w:right w:val="nil"/>
            </w:tcBorders>
            <w:shd w:val="clear" w:color="auto" w:fill="auto"/>
            <w:noWrap/>
            <w:vAlign w:val="center"/>
            <w:hideMark/>
          </w:tcPr>
          <w:p w14:paraId="6A372B45" w14:textId="77777777" w:rsidR="0088085F" w:rsidRPr="00EF12C2" w:rsidRDefault="0088085F" w:rsidP="00EF12C2">
            <w:pPr>
              <w:pStyle w:val="cuatexto"/>
              <w:jc w:val="left"/>
              <w:rPr>
                <w:sz w:val="19"/>
                <w:szCs w:val="19"/>
                <w:lang w:val="es-ES" w:eastAsia="es-ES"/>
              </w:rPr>
            </w:pPr>
            <w:r w:rsidRPr="00EF12C2">
              <w:rPr>
                <w:sz w:val="19"/>
                <w:szCs w:val="19"/>
                <w:lang w:val="es-ES" w:eastAsia="es-ES"/>
              </w:rPr>
              <w:t>Agrupaciones de municipios</w:t>
            </w:r>
          </w:p>
        </w:tc>
        <w:tc>
          <w:tcPr>
            <w:tcW w:w="1024" w:type="pct"/>
            <w:tcBorders>
              <w:top w:val="single" w:sz="2" w:space="0" w:color="auto"/>
              <w:left w:val="nil"/>
              <w:bottom w:val="single" w:sz="4" w:space="0" w:color="auto"/>
              <w:right w:val="nil"/>
            </w:tcBorders>
            <w:shd w:val="clear" w:color="auto" w:fill="auto"/>
            <w:noWrap/>
            <w:vAlign w:val="center"/>
            <w:hideMark/>
          </w:tcPr>
          <w:p w14:paraId="6183F704"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23%</w:t>
            </w:r>
          </w:p>
        </w:tc>
        <w:tc>
          <w:tcPr>
            <w:tcW w:w="1024" w:type="pct"/>
            <w:tcBorders>
              <w:top w:val="single" w:sz="2" w:space="0" w:color="auto"/>
              <w:left w:val="nil"/>
              <w:bottom w:val="single" w:sz="4" w:space="0" w:color="auto"/>
              <w:right w:val="nil"/>
            </w:tcBorders>
            <w:shd w:val="clear" w:color="auto" w:fill="auto"/>
            <w:noWrap/>
            <w:vAlign w:val="center"/>
            <w:hideMark/>
          </w:tcPr>
          <w:p w14:paraId="1EA84573"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0%</w:t>
            </w:r>
          </w:p>
        </w:tc>
        <w:tc>
          <w:tcPr>
            <w:tcW w:w="917" w:type="pct"/>
            <w:tcBorders>
              <w:top w:val="single" w:sz="2" w:space="0" w:color="auto"/>
              <w:left w:val="nil"/>
              <w:bottom w:val="single" w:sz="4" w:space="0" w:color="auto"/>
              <w:right w:val="nil"/>
            </w:tcBorders>
            <w:shd w:val="clear" w:color="auto" w:fill="auto"/>
            <w:noWrap/>
            <w:vAlign w:val="center"/>
            <w:hideMark/>
          </w:tcPr>
          <w:p w14:paraId="387CFCF5" w14:textId="77777777" w:rsidR="0088085F" w:rsidRPr="00EF12C2" w:rsidRDefault="0088085F" w:rsidP="00C1366A">
            <w:pPr>
              <w:pStyle w:val="cuatexto"/>
              <w:jc w:val="right"/>
              <w:rPr>
                <w:sz w:val="19"/>
                <w:szCs w:val="19"/>
                <w:lang w:val="es-ES" w:eastAsia="es-ES"/>
              </w:rPr>
            </w:pPr>
            <w:r w:rsidRPr="00EF12C2">
              <w:rPr>
                <w:sz w:val="19"/>
                <w:szCs w:val="19"/>
                <w:lang w:val="es-ES" w:eastAsia="es-ES"/>
              </w:rPr>
              <w:t>9%</w:t>
            </w:r>
          </w:p>
        </w:tc>
      </w:tr>
    </w:tbl>
    <w:p w14:paraId="7A8E89B7" w14:textId="77777777" w:rsidR="0088085F" w:rsidRPr="00262228" w:rsidRDefault="0088085F" w:rsidP="00EF12C2">
      <w:pPr>
        <w:pStyle w:val="texto"/>
        <w:spacing w:before="220"/>
      </w:pPr>
      <w:r w:rsidRPr="00262228">
        <w:t>Destacan los bajos índices de aprobación de presupuestos en el plazo establecido. Además, en este caso la diferencia entre la aprobación del expediente y el envío del mismo en plazo, es mayor que en el caso de la Cuenta General. En el caso de municipios y concejos los índices han mejorado y en el caso de mancomunidades y agrupaciones han empeorado respecto al ejercicio anterior.</w:t>
      </w:r>
    </w:p>
    <w:p w14:paraId="49463BF3"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En el año 2019 se fiscalizaron los ayuntamientos de Pamplona y del Valle de Egüés. Además, se realizó una fiscalización horizontal sobre la contratación de personal de la Mancomunidad de Montejurra y los ayuntamientos de Lekunberri, Lodosa, Ribaforada y Sangüesa. </w:t>
      </w:r>
    </w:p>
    <w:p w14:paraId="2676A688" w14:textId="77777777" w:rsidR="0088085F" w:rsidRPr="00262228" w:rsidRDefault="0088085F" w:rsidP="00262228">
      <w:pPr>
        <w:pStyle w:val="texto"/>
      </w:pPr>
      <w:r w:rsidRPr="00262228">
        <w:t>Las principales deficiencias detectadas en las fiscalizaciones se refieren al abono de gastos sin la tramitación del correspondiente expediente de contratación o cuya vigencia del contrato finalizó previamente, al incumplimiento de los principios de igualdad, mérito y capacidad en las contrataciones de personal y a la falta de inclusión en plantilla orgánica de puestos de carácter permanente y estructural que se cubren mediante contrataciones temporales que superan los plazos máximos permitidos por la normativa.</w:t>
      </w:r>
    </w:p>
    <w:p w14:paraId="30DF6D4C"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En cuanto a la situación financiera consolidada</w:t>
      </w:r>
      <w:r w:rsidR="003208AF">
        <w:rPr>
          <w:spacing w:val="6"/>
          <w:sz w:val="26"/>
          <w:szCs w:val="26"/>
        </w:rPr>
        <w:t xml:space="preserve"> (sin sociedades públicas)</w:t>
      </w:r>
      <w:r w:rsidRPr="00CE5750">
        <w:rPr>
          <w:spacing w:val="6"/>
          <w:sz w:val="26"/>
          <w:szCs w:val="26"/>
        </w:rPr>
        <w:t xml:space="preserve"> del sector público local, en 2019 los ingresos ascendieron a 891,40 millones, aumentando un seis por ciento respecto a 2018; los gastos ascendieron a 885,37 millones aumentando un 12 por ciento. La evolución respecto a 2015 presenta el mismo signo, si bien los ingresos aumentaron un 19 y los gastos un 21 por ciento.</w:t>
      </w:r>
    </w:p>
    <w:p w14:paraId="0670D7CD" w14:textId="77777777" w:rsidR="0088085F" w:rsidRPr="00262228" w:rsidRDefault="0088085F" w:rsidP="00262228">
      <w:pPr>
        <w:pStyle w:val="texto"/>
      </w:pPr>
      <w:r w:rsidRPr="00262228">
        <w:t>En cuanto a la composición de los gastos e ingresos más relevantes del presupuesto, los gastos de funcionamiento alcanzaron los 653,91 millones, aumentando un 11 por ciento respecto a 2015 y un cuatro por ciento sobre los de 2018. Por otro lado, los ingresos tributarios alcanzaron los 402,08 millones, habiendo aumentado este año un cuatro por ciento respecto al año anterior y un 12 por ciento respecto a 2015. El resultado presupuestario no financiero ha disminuido tanto respecto al año anterior como respecto a 2015, con un decremento del 62 y 48 por ciento respectivamente.</w:t>
      </w:r>
    </w:p>
    <w:p w14:paraId="3213891F" w14:textId="77777777" w:rsidR="0088085F" w:rsidRPr="00262228" w:rsidRDefault="0088085F" w:rsidP="00262228">
      <w:pPr>
        <w:pStyle w:val="texto"/>
      </w:pPr>
      <w:r w:rsidRPr="00262228">
        <w:lastRenderedPageBreak/>
        <w:t>El sector público local obtuvo un resultado no financiero de 31,16 millones, un ahorro neto de 107,14 millones y un remanente de tesorería para gastos generales de 275,17 millones. Este último indicador continúa la senda ascendente de los últimos años con un incremento respecto a 2015 del 43 por ciento.</w:t>
      </w:r>
    </w:p>
    <w:p w14:paraId="32804633" w14:textId="77777777" w:rsidR="0088085F" w:rsidRPr="00262228" w:rsidRDefault="0088085F" w:rsidP="00262228">
      <w:pPr>
        <w:pStyle w:val="texto"/>
      </w:pPr>
      <w:r w:rsidRPr="00262228">
        <w:t>La deuda viva en 2019 ascendía a 179,61 millones, habiéndose reducido un 40 por ciento respecto a 2015 y un 13 por ciento respecto al 2018; los entes locales presentaban un porcentaje de capacidad de endeudamiento del 13,5 por ciento.</w:t>
      </w:r>
    </w:p>
    <w:p w14:paraId="7E11E77E" w14:textId="77777777" w:rsidR="0088085F" w:rsidRPr="00262228" w:rsidRDefault="0088085F" w:rsidP="00262228">
      <w:pPr>
        <w:pStyle w:val="texto"/>
      </w:pPr>
      <w:r w:rsidRPr="00262228">
        <w:t>Además, obtuvo una capacidad de financiación de 37,78 millones y la deuda viva se situaba en el 23 por ciento de los ingresos corrientes, muy por debajo del límite del 110 por ciento establecido legalmente.</w:t>
      </w:r>
    </w:p>
    <w:p w14:paraId="0FEACC3B" w14:textId="77777777" w:rsidR="0088085F" w:rsidRPr="00262228" w:rsidRDefault="0088085F" w:rsidP="00262228">
      <w:pPr>
        <w:pStyle w:val="texto"/>
      </w:pPr>
      <w:r w:rsidRPr="00262228">
        <w:t>En definitiva, la situación económica del sector público local es saneada, los indicadores económico-financieros muestran una evolución favorable, si bien la realización de gastos no financieros y la capacidad de endeudamiento están limitados por el cumplimiento de los objetivos de estabilidad y sostenibilidad financiera, objetivos que el sector público local en su conjunto cumplió en el ejercicio 2019.</w:t>
      </w:r>
    </w:p>
    <w:p w14:paraId="3DA9A5DC"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Las entidades locales y sus entes dependientes adjudicaron en 2019 un total de 504 contratos por un importe de 102,34 millones; el 53 por ciento de ellos se corresponde con contratos de obras (66 por ciento del total del importe citado), el 30 por ciento son de servicios (19 por ciento del importe total), el 15 por ciento fueron destinados a suministros (14 por ciento del montante total) y el restante tres por ciento son concesiones de servicios. </w:t>
      </w:r>
    </w:p>
    <w:p w14:paraId="304CCC21"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 xml:space="preserve">Del análisis de la comparativa de indicadores entre los ayuntamientos navarros con los del País Vasco y los del resto del Estado existen diferencias relevantes en algunos de ellos; los gastos e ingresos por habitante son superiores en los municipios navarros a los municipios del resto del Estado e inferiores a los municipios vascos. Las transferencias recibidas son muy inferiores en relación a los municipios vascos pero superiores a los del resto del Estado. El ahorro bruto y neto per cápita es superior a los del Estado e inferior a los municipios vascos. Finalmente, la deuda viva por habitante es menor en Navarra que </w:t>
      </w:r>
      <w:r w:rsidR="00FE4FE4">
        <w:rPr>
          <w:spacing w:val="6"/>
          <w:sz w:val="26"/>
          <w:szCs w:val="26"/>
        </w:rPr>
        <w:t xml:space="preserve">en los municipios del resto del </w:t>
      </w:r>
      <w:proofErr w:type="gramStart"/>
      <w:r w:rsidR="00FE4FE4">
        <w:rPr>
          <w:spacing w:val="6"/>
          <w:sz w:val="26"/>
          <w:szCs w:val="26"/>
        </w:rPr>
        <w:t>Estado</w:t>
      </w:r>
      <w:proofErr w:type="gramEnd"/>
      <w:r w:rsidR="00FE4FE4">
        <w:rPr>
          <w:spacing w:val="6"/>
          <w:sz w:val="26"/>
          <w:szCs w:val="26"/>
        </w:rPr>
        <w:t xml:space="preserve"> pero mayor que en el País Vasco.</w:t>
      </w:r>
    </w:p>
    <w:p w14:paraId="0D3FD459"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sidRPr="00CE5750">
        <w:rPr>
          <w:spacing w:val="6"/>
          <w:sz w:val="26"/>
          <w:szCs w:val="26"/>
        </w:rPr>
        <w:t>En 2020 se ha aprobado la Ley Foral 22/2020, de 29 de diciembre, de modificación de la Ley Foral 2/1995, de Haciendas Locales de Navarra. Introduce varias novedades en materia de tributos locales y en materia de gestión económico presupuestaria de las entidades locales. Además, se adapta la ley para dotar a las entidades locales de las herramientas normativas necesarias para el cumplimiento de los objetivos de estabilidad presupuestaria y sostenibilidad financiera. El Gobierno da cumplimiento así a dos de las recomendaciones recurrentes de esta Cámara.</w:t>
      </w:r>
    </w:p>
    <w:p w14:paraId="64C2234F" w14:textId="77777777" w:rsidR="0088085F" w:rsidRPr="00BD79ED" w:rsidRDefault="0088085F" w:rsidP="0088085F">
      <w:pPr>
        <w:pStyle w:val="texto"/>
        <w:numPr>
          <w:ilvl w:val="0"/>
          <w:numId w:val="2"/>
        </w:numPr>
        <w:tabs>
          <w:tab w:val="clear" w:pos="502"/>
          <w:tab w:val="clear" w:pos="2835"/>
          <w:tab w:val="clear" w:pos="3969"/>
          <w:tab w:val="clear" w:pos="5103"/>
          <w:tab w:val="clear" w:pos="6237"/>
          <w:tab w:val="clear" w:pos="7371"/>
          <w:tab w:val="num" w:pos="360"/>
          <w:tab w:val="left" w:pos="480"/>
          <w:tab w:val="num" w:pos="600"/>
          <w:tab w:val="num" w:pos="644"/>
          <w:tab w:val="num" w:pos="720"/>
          <w:tab w:val="num" w:pos="1320"/>
        </w:tabs>
        <w:spacing w:before="120" w:after="120"/>
        <w:ind w:left="0" w:firstLine="289"/>
        <w:rPr>
          <w:rFonts w:cs="Arial"/>
          <w:i/>
          <w:color w:val="000000" w:themeColor="text1"/>
          <w:sz w:val="24"/>
        </w:rPr>
      </w:pPr>
      <w:r>
        <w:rPr>
          <w:rFonts w:cs="Arial"/>
          <w:color w:val="000000" w:themeColor="text1"/>
        </w:rPr>
        <w:lastRenderedPageBreak/>
        <w:t>Asimismo, hemos comprobado que se ha dado cumplimiento a la recomendación relativa a la información referida a la rendición de cuentas de las entidades locales en la web de la ACFN</w:t>
      </w:r>
      <w:r w:rsidRPr="00C26AD7">
        <w:rPr>
          <w:rFonts w:cs="Arial"/>
          <w:i/>
          <w:color w:val="000000" w:themeColor="text1"/>
          <w:sz w:val="24"/>
        </w:rPr>
        <w:t xml:space="preserve">. </w:t>
      </w:r>
      <w:hyperlink r:id="rId13" w:history="1">
        <w:r w:rsidRPr="00C26AD7">
          <w:rPr>
            <w:rStyle w:val="Hipervnculo"/>
            <w:i/>
            <w:sz w:val="24"/>
          </w:rPr>
          <w:t>Entidades Locales. Presupuesto y Cuentas. | Gobierno Abierto de Navarra</w:t>
        </w:r>
      </w:hyperlink>
      <w:r w:rsidRPr="00C26AD7">
        <w:rPr>
          <w:i/>
          <w:sz w:val="24"/>
        </w:rPr>
        <w:t>.</w:t>
      </w:r>
    </w:p>
    <w:p w14:paraId="06D18AC2" w14:textId="77777777" w:rsidR="00BD79ED" w:rsidRPr="00C26AD7" w:rsidRDefault="00BD79ED" w:rsidP="0088085F">
      <w:pPr>
        <w:pStyle w:val="texto"/>
        <w:numPr>
          <w:ilvl w:val="0"/>
          <w:numId w:val="2"/>
        </w:numPr>
        <w:tabs>
          <w:tab w:val="clear" w:pos="502"/>
          <w:tab w:val="clear" w:pos="2835"/>
          <w:tab w:val="clear" w:pos="3969"/>
          <w:tab w:val="clear" w:pos="5103"/>
          <w:tab w:val="clear" w:pos="6237"/>
          <w:tab w:val="clear" w:pos="7371"/>
          <w:tab w:val="num" w:pos="360"/>
          <w:tab w:val="left" w:pos="480"/>
          <w:tab w:val="num" w:pos="600"/>
          <w:tab w:val="num" w:pos="644"/>
          <w:tab w:val="num" w:pos="720"/>
          <w:tab w:val="num" w:pos="1320"/>
        </w:tabs>
        <w:spacing w:before="120" w:after="120"/>
        <w:ind w:left="0" w:firstLine="289"/>
        <w:rPr>
          <w:rFonts w:cs="Arial"/>
          <w:i/>
          <w:color w:val="000000" w:themeColor="text1"/>
          <w:sz w:val="24"/>
        </w:rPr>
      </w:pPr>
      <w:r>
        <w:rPr>
          <w:rFonts w:cs="Arial"/>
          <w:color w:val="000000" w:themeColor="text1"/>
        </w:rPr>
        <w:t xml:space="preserve">Por otra parte, la contabilidad </w:t>
      </w:r>
      <w:r w:rsidRPr="00BD79ED">
        <w:rPr>
          <w:rFonts w:cs="Arial"/>
          <w:color w:val="000000" w:themeColor="text1"/>
        </w:rPr>
        <w:t>local en Navarra está regulada sobre la base del Plan General de Contabilidad Pública adaptado a la administración local apro</w:t>
      </w:r>
      <w:r w:rsidRPr="00262228">
        <w:t>bado por Orden Ministerial de 17 de julio de 1990</w:t>
      </w:r>
      <w:r>
        <w:t>.</w:t>
      </w:r>
    </w:p>
    <w:p w14:paraId="2FC4EE06" w14:textId="77777777" w:rsidR="0088085F" w:rsidRPr="00262228" w:rsidRDefault="0088085F" w:rsidP="00262228">
      <w:pPr>
        <w:pStyle w:val="texto"/>
      </w:pPr>
      <w:r w:rsidRPr="00262228">
        <w:t>La última actualización relacionada con esta materia se produjo en 2015 con la aprobación de la nueva estructura presupuestaria de las entidades locales. Esta nueva estructura se adapta a la aplicada por las entidades locales de régimen común.</w:t>
      </w:r>
    </w:p>
    <w:p w14:paraId="30EC22D7" w14:textId="77777777" w:rsidR="0088085F" w:rsidRPr="00262228" w:rsidRDefault="0088085F" w:rsidP="00262228">
      <w:pPr>
        <w:pStyle w:val="texto"/>
      </w:pPr>
      <w:r w:rsidRPr="00262228">
        <w:t xml:space="preserve">No se han dictado normas sobre consolidación de los estados contables de la entidad local y sus entes dependientes. </w:t>
      </w:r>
    </w:p>
    <w:p w14:paraId="6E015098" w14:textId="77777777" w:rsidR="0088085F" w:rsidRPr="00262228" w:rsidRDefault="0088085F" w:rsidP="007C37EE">
      <w:pPr>
        <w:pStyle w:val="texto"/>
        <w:spacing w:after="360"/>
      </w:pPr>
      <w:r w:rsidRPr="00262228">
        <w:t xml:space="preserve">Teniendo en cuenta las conclusiones señaladas las </w:t>
      </w:r>
      <w:r w:rsidRPr="00EA1A84">
        <w:t>recomendaciones</w:t>
      </w:r>
      <w:r w:rsidRPr="00262228">
        <w:t xml:space="preserve"> de esta Cámara son las siguientes: </w:t>
      </w:r>
    </w:p>
    <w:p w14:paraId="437DC3CA" w14:textId="77777777" w:rsidR="0088085F" w:rsidRPr="00B81E61" w:rsidRDefault="0088085F" w:rsidP="007C37EE">
      <w:pPr>
        <w:pStyle w:val="texto"/>
        <w:spacing w:after="240"/>
        <w:ind w:firstLine="0"/>
        <w:rPr>
          <w:b/>
          <w:i/>
          <w:color w:val="000000" w:themeColor="text1"/>
          <w:w w:val="103"/>
          <w:szCs w:val="26"/>
        </w:rPr>
      </w:pPr>
      <w:r w:rsidRPr="00B81E61">
        <w:rPr>
          <w:b/>
          <w:i/>
          <w:color w:val="000000" w:themeColor="text1"/>
          <w:w w:val="103"/>
          <w:szCs w:val="26"/>
        </w:rPr>
        <w:t>A la Administración de la Comunidad Foral y al Parlamento de Navarra</w:t>
      </w:r>
    </w:p>
    <w:p w14:paraId="4ACCFDDD" w14:textId="77777777" w:rsidR="0088085F" w:rsidRPr="00CE5750" w:rsidRDefault="00A22908" w:rsidP="00CE5750">
      <w:pPr>
        <w:numPr>
          <w:ilvl w:val="0"/>
          <w:numId w:val="2"/>
        </w:numPr>
        <w:tabs>
          <w:tab w:val="clear" w:pos="502"/>
          <w:tab w:val="left" w:pos="480"/>
          <w:tab w:val="num" w:pos="720"/>
          <w:tab w:val="num" w:pos="6597"/>
        </w:tabs>
        <w:ind w:left="0" w:firstLine="289"/>
        <w:rPr>
          <w:i/>
          <w:spacing w:val="6"/>
          <w:sz w:val="26"/>
          <w:szCs w:val="26"/>
        </w:rPr>
      </w:pPr>
      <w:r w:rsidRPr="0038773E">
        <w:rPr>
          <w:i/>
          <w:color w:val="000000" w:themeColor="text1"/>
          <w:spacing w:val="6"/>
          <w:sz w:val="26"/>
          <w:szCs w:val="26"/>
        </w:rPr>
        <w:t>A</w:t>
      </w:r>
      <w:r w:rsidR="0088085F" w:rsidRPr="0038773E">
        <w:rPr>
          <w:i/>
          <w:color w:val="000000" w:themeColor="text1"/>
          <w:spacing w:val="6"/>
          <w:sz w:val="26"/>
          <w:szCs w:val="26"/>
        </w:rPr>
        <w:t xml:space="preserve">doptar las medidas legislativas y administrativas precisas para completar </w:t>
      </w:r>
      <w:r w:rsidR="0088085F" w:rsidRPr="00CE5750">
        <w:rPr>
          <w:i/>
          <w:spacing w:val="6"/>
          <w:sz w:val="26"/>
          <w:szCs w:val="26"/>
        </w:rPr>
        <w:t xml:space="preserve">la reestructuración de la administración local de Navarra </w:t>
      </w:r>
      <w:r>
        <w:rPr>
          <w:i/>
          <w:spacing w:val="6"/>
          <w:sz w:val="26"/>
          <w:szCs w:val="26"/>
        </w:rPr>
        <w:t>establecida en la Ley Foral 4/2019, de 4 de febrero, de Reforma de la Administración Local de Navarra</w:t>
      </w:r>
      <w:r w:rsidR="0088085F" w:rsidRPr="00CE5750">
        <w:rPr>
          <w:i/>
          <w:spacing w:val="6"/>
          <w:sz w:val="26"/>
          <w:szCs w:val="26"/>
        </w:rPr>
        <w:t>, con la finalidad de lograr una gestión pública eficiente y eficaz.</w:t>
      </w:r>
    </w:p>
    <w:p w14:paraId="3533ED30"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 xml:space="preserve"> Acometer urgentemente la reforma de la contabilidad local adaptándola al vigente Plan General de Contabilidad Pública de 2010.</w:t>
      </w:r>
    </w:p>
    <w:p w14:paraId="241F257A" w14:textId="77777777" w:rsidR="0088085F"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Elaborar normas reguladoras sobre la metodología para la consolidación de los estados contables de los entes locales y sus entes dependientes, con el fin de proporcionar una visión integral de la actividad realizada por todo el sector público local.</w:t>
      </w:r>
    </w:p>
    <w:p w14:paraId="59ED8765" w14:textId="77777777" w:rsidR="003208AF" w:rsidRPr="00CE5750" w:rsidRDefault="003208AF" w:rsidP="00CE5750">
      <w:pPr>
        <w:numPr>
          <w:ilvl w:val="0"/>
          <w:numId w:val="2"/>
        </w:numPr>
        <w:tabs>
          <w:tab w:val="clear" w:pos="502"/>
          <w:tab w:val="left" w:pos="480"/>
          <w:tab w:val="num" w:pos="720"/>
          <w:tab w:val="num" w:pos="6597"/>
        </w:tabs>
        <w:ind w:left="0" w:firstLine="289"/>
        <w:rPr>
          <w:i/>
          <w:spacing w:val="6"/>
          <w:sz w:val="26"/>
          <w:szCs w:val="26"/>
        </w:rPr>
      </w:pPr>
      <w:r w:rsidRPr="003208AF">
        <w:rPr>
          <w:i/>
          <w:spacing w:val="6"/>
          <w:sz w:val="26"/>
          <w:szCs w:val="26"/>
        </w:rPr>
        <w:t xml:space="preserve">Diseñar e impulsar la implantación de un sistema de cálculo de costes de </w:t>
      </w:r>
      <w:r w:rsidRPr="003208AF">
        <w:rPr>
          <w:i/>
          <w:spacing w:val="6"/>
          <w:sz w:val="26"/>
          <w:szCs w:val="26"/>
        </w:rPr>
        <w:br/>
        <w:t xml:space="preserve">los servicios locales, así como los correspondientes indicadores de gestión, </w:t>
      </w:r>
      <w:r w:rsidRPr="003208AF">
        <w:rPr>
          <w:i/>
          <w:spacing w:val="6"/>
          <w:sz w:val="26"/>
          <w:szCs w:val="26"/>
        </w:rPr>
        <w:br/>
        <w:t xml:space="preserve">dando cumplimiento a lo previsto tanto en la Ley de Racionalización y </w:t>
      </w:r>
      <w:proofErr w:type="spellStart"/>
      <w:r w:rsidRPr="003208AF">
        <w:rPr>
          <w:i/>
          <w:spacing w:val="6"/>
          <w:sz w:val="26"/>
          <w:szCs w:val="26"/>
        </w:rPr>
        <w:t>Sosteni</w:t>
      </w:r>
      <w:proofErr w:type="spellEnd"/>
      <w:r w:rsidRPr="003208AF">
        <w:rPr>
          <w:i/>
          <w:spacing w:val="6"/>
          <w:sz w:val="26"/>
          <w:szCs w:val="26"/>
        </w:rPr>
        <w:t>-</w:t>
      </w:r>
      <w:r w:rsidRPr="003208AF">
        <w:rPr>
          <w:i/>
          <w:spacing w:val="6"/>
          <w:sz w:val="26"/>
          <w:szCs w:val="26"/>
        </w:rPr>
        <w:br/>
      </w:r>
      <w:proofErr w:type="spellStart"/>
      <w:r w:rsidRPr="003208AF">
        <w:rPr>
          <w:i/>
          <w:spacing w:val="6"/>
          <w:sz w:val="26"/>
          <w:szCs w:val="26"/>
        </w:rPr>
        <w:t>bilidad</w:t>
      </w:r>
      <w:proofErr w:type="spellEnd"/>
      <w:r w:rsidRPr="003208AF">
        <w:rPr>
          <w:i/>
          <w:spacing w:val="6"/>
          <w:sz w:val="26"/>
          <w:szCs w:val="26"/>
        </w:rPr>
        <w:t xml:space="preserve"> de la Administración Local, como a lo dispuesto en la Ley Foral de Re-</w:t>
      </w:r>
      <w:r w:rsidRPr="003208AF">
        <w:rPr>
          <w:i/>
          <w:spacing w:val="6"/>
          <w:sz w:val="26"/>
          <w:szCs w:val="26"/>
        </w:rPr>
        <w:br/>
        <w:t>forma de la Administración Local de Navarra</w:t>
      </w:r>
    </w:p>
    <w:p w14:paraId="087011E0" w14:textId="77777777" w:rsidR="0088085F" w:rsidRDefault="0088085F" w:rsidP="00CE5750">
      <w:pPr>
        <w:numPr>
          <w:ilvl w:val="0"/>
          <w:numId w:val="2"/>
        </w:numPr>
        <w:tabs>
          <w:tab w:val="clear" w:pos="502"/>
          <w:tab w:val="left" w:pos="480"/>
          <w:tab w:val="num" w:pos="720"/>
          <w:tab w:val="num" w:pos="6597"/>
        </w:tabs>
        <w:ind w:left="0" w:firstLine="289"/>
        <w:rPr>
          <w:i/>
          <w:color w:val="000000" w:themeColor="text1"/>
          <w:spacing w:val="6"/>
          <w:sz w:val="26"/>
          <w:szCs w:val="26"/>
        </w:rPr>
      </w:pPr>
      <w:r w:rsidRPr="00CE5750">
        <w:rPr>
          <w:i/>
          <w:spacing w:val="6"/>
          <w:sz w:val="26"/>
          <w:szCs w:val="26"/>
        </w:rPr>
        <w:t xml:space="preserve">Elaborar la normativa sobre el régimen jurídico del control interno en las entidades locales, con el fin de, entre otros objetivos, lograr un control económico-presupuestario más riguroso y reforzar el papel de la función interventora </w:t>
      </w:r>
      <w:r w:rsidRPr="0038773E">
        <w:rPr>
          <w:i/>
          <w:color w:val="000000" w:themeColor="text1"/>
          <w:spacing w:val="6"/>
          <w:sz w:val="26"/>
          <w:szCs w:val="26"/>
        </w:rPr>
        <w:t>en las entidades locales.</w:t>
      </w:r>
    </w:p>
    <w:p w14:paraId="4E6A6C3B" w14:textId="77777777" w:rsidR="003208AF" w:rsidRPr="003208AF" w:rsidRDefault="003208AF" w:rsidP="00CE5750">
      <w:pPr>
        <w:numPr>
          <w:ilvl w:val="0"/>
          <w:numId w:val="2"/>
        </w:numPr>
        <w:tabs>
          <w:tab w:val="clear" w:pos="502"/>
          <w:tab w:val="left" w:pos="480"/>
          <w:tab w:val="num" w:pos="720"/>
          <w:tab w:val="num" w:pos="6597"/>
        </w:tabs>
        <w:ind w:left="0" w:firstLine="289"/>
        <w:rPr>
          <w:i/>
          <w:spacing w:val="6"/>
          <w:sz w:val="26"/>
          <w:szCs w:val="26"/>
        </w:rPr>
      </w:pPr>
      <w:r w:rsidRPr="003208AF">
        <w:rPr>
          <w:i/>
          <w:spacing w:val="6"/>
          <w:sz w:val="26"/>
          <w:szCs w:val="26"/>
        </w:rPr>
        <w:lastRenderedPageBreak/>
        <w:t xml:space="preserve">Continuar con la necesaria informatización de los procesos para facilitar a </w:t>
      </w:r>
      <w:r w:rsidRPr="003208AF">
        <w:rPr>
          <w:i/>
          <w:spacing w:val="6"/>
          <w:sz w:val="26"/>
          <w:szCs w:val="26"/>
        </w:rPr>
        <w:br/>
        <w:t xml:space="preserve">los órganos interventores de las entidades locales el cumplimiento de envío de </w:t>
      </w:r>
      <w:r w:rsidRPr="003208AF">
        <w:rPr>
          <w:i/>
          <w:spacing w:val="6"/>
          <w:sz w:val="26"/>
          <w:szCs w:val="26"/>
        </w:rPr>
        <w:br/>
        <w:t xml:space="preserve">los informes establecidos en la </w:t>
      </w:r>
      <w:proofErr w:type="spellStart"/>
      <w:r w:rsidRPr="003208AF">
        <w:rPr>
          <w:i/>
          <w:spacing w:val="6"/>
          <w:sz w:val="26"/>
          <w:szCs w:val="26"/>
        </w:rPr>
        <w:t>LOEPySF</w:t>
      </w:r>
      <w:proofErr w:type="spellEnd"/>
    </w:p>
    <w:p w14:paraId="63C6F391" w14:textId="77777777" w:rsidR="0088085F" w:rsidRPr="0038773E" w:rsidRDefault="0088085F" w:rsidP="00CE5750">
      <w:pPr>
        <w:numPr>
          <w:ilvl w:val="0"/>
          <w:numId w:val="2"/>
        </w:numPr>
        <w:tabs>
          <w:tab w:val="clear" w:pos="502"/>
          <w:tab w:val="left" w:pos="480"/>
          <w:tab w:val="num" w:pos="720"/>
          <w:tab w:val="num" w:pos="6597"/>
        </w:tabs>
        <w:ind w:left="0" w:firstLine="289"/>
        <w:rPr>
          <w:i/>
          <w:color w:val="000000" w:themeColor="text1"/>
          <w:spacing w:val="6"/>
          <w:sz w:val="26"/>
          <w:szCs w:val="26"/>
        </w:rPr>
      </w:pPr>
      <w:r w:rsidRPr="0038773E">
        <w:rPr>
          <w:i/>
          <w:color w:val="000000" w:themeColor="text1"/>
          <w:spacing w:val="6"/>
          <w:sz w:val="26"/>
          <w:szCs w:val="26"/>
        </w:rPr>
        <w:t xml:space="preserve">Finalizar la actualización del registro de entidades locales con la información referida a las sociedades públicas y fundaciones locales y </w:t>
      </w:r>
      <w:r w:rsidR="00A22908" w:rsidRPr="0038773E">
        <w:rPr>
          <w:i/>
          <w:color w:val="000000" w:themeColor="text1"/>
          <w:spacing w:val="6"/>
          <w:sz w:val="26"/>
          <w:szCs w:val="26"/>
        </w:rPr>
        <w:t xml:space="preserve">revisar, a efectos de su </w:t>
      </w:r>
      <w:r w:rsidRPr="0038773E">
        <w:rPr>
          <w:i/>
          <w:color w:val="000000" w:themeColor="text1"/>
          <w:spacing w:val="6"/>
          <w:sz w:val="26"/>
          <w:szCs w:val="26"/>
        </w:rPr>
        <w:t>corrección</w:t>
      </w:r>
      <w:r w:rsidR="0038773E" w:rsidRPr="0038773E">
        <w:rPr>
          <w:i/>
          <w:color w:val="000000" w:themeColor="text1"/>
          <w:spacing w:val="6"/>
          <w:sz w:val="26"/>
          <w:szCs w:val="26"/>
        </w:rPr>
        <w:t>,</w:t>
      </w:r>
      <w:r w:rsidRPr="0038773E">
        <w:rPr>
          <w:i/>
          <w:color w:val="000000" w:themeColor="text1"/>
          <w:spacing w:val="6"/>
          <w:sz w:val="26"/>
          <w:szCs w:val="26"/>
        </w:rPr>
        <w:t xml:space="preserve"> la información ya existente.</w:t>
      </w:r>
    </w:p>
    <w:p w14:paraId="627ADD3D"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Completar el informe sobre la situación financiera del sector público local elaborado por el Gobierno de Navarra con toda la información relativa a sociedades públicas, fundaciones y consorcios públicos.</w:t>
      </w:r>
    </w:p>
    <w:p w14:paraId="1E8645A7" w14:textId="77777777" w:rsidR="0088085F" w:rsidRPr="00CE5750" w:rsidRDefault="0088085F" w:rsidP="007C37EE">
      <w:pPr>
        <w:numPr>
          <w:ilvl w:val="0"/>
          <w:numId w:val="2"/>
        </w:numPr>
        <w:tabs>
          <w:tab w:val="clear" w:pos="502"/>
          <w:tab w:val="left" w:pos="480"/>
          <w:tab w:val="num" w:pos="720"/>
          <w:tab w:val="num" w:pos="6597"/>
        </w:tabs>
        <w:spacing w:after="360"/>
        <w:ind w:left="0" w:firstLine="289"/>
        <w:rPr>
          <w:i/>
          <w:spacing w:val="6"/>
          <w:sz w:val="26"/>
          <w:szCs w:val="26"/>
        </w:rPr>
      </w:pPr>
      <w:r w:rsidRPr="00CE5750">
        <w:rPr>
          <w:i/>
          <w:spacing w:val="6"/>
          <w:sz w:val="26"/>
          <w:szCs w:val="26"/>
        </w:rPr>
        <w:t>Elaborar un modelo de plantilla orgánica de personal que contemple, de forma clara y concreta, los requisitos e información que debe contener tal documento y que permita, a su vez, cumplir a las entidades locales con las distintas exigencias de información.</w:t>
      </w:r>
    </w:p>
    <w:p w14:paraId="202ADF01" w14:textId="77777777" w:rsidR="0088085F" w:rsidRPr="00B81E61" w:rsidRDefault="0088085F" w:rsidP="007C37EE">
      <w:pPr>
        <w:pStyle w:val="texto"/>
        <w:spacing w:after="240"/>
        <w:ind w:firstLine="0"/>
        <w:rPr>
          <w:b/>
          <w:i/>
          <w:color w:val="000000" w:themeColor="text1"/>
          <w:szCs w:val="26"/>
        </w:rPr>
      </w:pPr>
      <w:r w:rsidRPr="00B81E61">
        <w:rPr>
          <w:b/>
          <w:i/>
          <w:color w:val="000000" w:themeColor="text1"/>
          <w:szCs w:val="26"/>
        </w:rPr>
        <w:t>A las entidades locales</w:t>
      </w:r>
    </w:p>
    <w:p w14:paraId="27B9D9D8"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Incluir en la plantilla orgánica todas las plazas de carácter estructural y reducir, mediante las oportunas convocatorias, el alto grado de temporalidad que se observa en el personal de las entidades locales.</w:t>
      </w:r>
    </w:p>
    <w:p w14:paraId="1FE6FAF4"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 xml:space="preserve">Completar el proceso de implantación del inventario valorado y actualizado, de los bienes y derechos municipales, y su conexión con las cuentas de inmovilizado. </w:t>
      </w:r>
    </w:p>
    <w:p w14:paraId="7B36210D"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Crear el registro e inventario del patrimonio municipal del suelo y el registro de convenios urbanísticos.</w:t>
      </w:r>
    </w:p>
    <w:p w14:paraId="669EFBB0"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Ejercer el control interno municipal, con la extensión establecida en la legislación aplicable, respecto al control de la gestión económica de los entes dependientes, en su triple acepción de función interventora, función de control financiero y control de eficacia.</w:t>
      </w:r>
    </w:p>
    <w:p w14:paraId="7C2A7476"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Diseñar, dentro de la potestad de autoorganización de los entes locales, la estructura organizativa más racional para la gestión de los servicios públicos locales con eficacia, economía y eficiencia.</w:t>
      </w:r>
    </w:p>
    <w:p w14:paraId="03C2D7CB"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sidRPr="00CE5750">
        <w:rPr>
          <w:i/>
          <w:spacing w:val="6"/>
          <w:sz w:val="26"/>
          <w:szCs w:val="26"/>
        </w:rPr>
        <w:t>Continuar con la implantación de la metodología de costes de los servicios públicos y definir indicadores de gestión útiles para la toma de decisiones.</w:t>
      </w:r>
    </w:p>
    <w:p w14:paraId="64DD4336" w14:textId="77777777" w:rsidR="0088085F" w:rsidRPr="0038773E" w:rsidRDefault="0088085F" w:rsidP="00CE5750">
      <w:pPr>
        <w:numPr>
          <w:ilvl w:val="0"/>
          <w:numId w:val="2"/>
        </w:numPr>
        <w:tabs>
          <w:tab w:val="clear" w:pos="502"/>
          <w:tab w:val="left" w:pos="480"/>
          <w:tab w:val="num" w:pos="720"/>
          <w:tab w:val="num" w:pos="6597"/>
        </w:tabs>
        <w:ind w:left="0" w:firstLine="289"/>
        <w:rPr>
          <w:i/>
          <w:color w:val="000000" w:themeColor="text1"/>
          <w:spacing w:val="6"/>
          <w:sz w:val="26"/>
          <w:szCs w:val="26"/>
        </w:rPr>
      </w:pPr>
      <w:r w:rsidRPr="00CE5750">
        <w:rPr>
          <w:i/>
          <w:spacing w:val="6"/>
          <w:sz w:val="26"/>
          <w:szCs w:val="26"/>
        </w:rPr>
        <w:t xml:space="preserve">Aprobar el presupuesto, la liquidación presupuestaria y la cuenta general </w:t>
      </w:r>
      <w:r w:rsidRPr="0038773E">
        <w:rPr>
          <w:i/>
          <w:color w:val="000000" w:themeColor="text1"/>
          <w:spacing w:val="6"/>
          <w:sz w:val="26"/>
          <w:szCs w:val="26"/>
        </w:rPr>
        <w:t xml:space="preserve">en los plazos establecidos y realizar </w:t>
      </w:r>
      <w:r w:rsidR="00A22908" w:rsidRPr="0038773E">
        <w:rPr>
          <w:i/>
          <w:color w:val="000000" w:themeColor="text1"/>
          <w:spacing w:val="6"/>
          <w:sz w:val="26"/>
          <w:szCs w:val="26"/>
        </w:rPr>
        <w:t>su</w:t>
      </w:r>
      <w:r w:rsidRPr="0038773E">
        <w:rPr>
          <w:i/>
          <w:color w:val="000000" w:themeColor="text1"/>
          <w:spacing w:val="6"/>
          <w:sz w:val="26"/>
          <w:szCs w:val="26"/>
        </w:rPr>
        <w:t xml:space="preserve"> rendición en el plazo de 15 días desde la aprobación de los mismos.</w:t>
      </w:r>
    </w:p>
    <w:p w14:paraId="17685EDD" w14:textId="77777777" w:rsidR="0088085F" w:rsidRPr="0038773E" w:rsidRDefault="0088085F" w:rsidP="009810AC">
      <w:pPr>
        <w:numPr>
          <w:ilvl w:val="0"/>
          <w:numId w:val="2"/>
        </w:numPr>
        <w:tabs>
          <w:tab w:val="clear" w:pos="502"/>
          <w:tab w:val="left" w:pos="480"/>
          <w:tab w:val="num" w:pos="720"/>
          <w:tab w:val="num" w:pos="6597"/>
        </w:tabs>
        <w:spacing w:after="440"/>
        <w:ind w:left="0" w:firstLine="289"/>
        <w:rPr>
          <w:i/>
          <w:color w:val="000000" w:themeColor="text1"/>
          <w:spacing w:val="6"/>
          <w:sz w:val="26"/>
          <w:szCs w:val="26"/>
        </w:rPr>
      </w:pPr>
      <w:r w:rsidRPr="0038773E">
        <w:rPr>
          <w:i/>
          <w:color w:val="000000" w:themeColor="text1"/>
          <w:spacing w:val="6"/>
          <w:sz w:val="26"/>
          <w:szCs w:val="26"/>
        </w:rPr>
        <w:t>Actualizar en plazo las ponencias de valoración.</w:t>
      </w:r>
    </w:p>
    <w:p w14:paraId="1A0BFB83" w14:textId="77777777" w:rsidR="009810AC" w:rsidRPr="00B876D9" w:rsidRDefault="009810AC" w:rsidP="009810AC">
      <w:pPr>
        <w:pStyle w:val="texto"/>
        <w:spacing w:after="180"/>
      </w:pPr>
      <w:r w:rsidRPr="00B876D9">
        <w:lastRenderedPageBreak/>
        <w:t>Informe que se emite a propuesta de la auditora Edurne Martinikorena Matxain, responsable de la realización de este trabajo, una vez cumplimentados los trámites previstos por la normativa vigente.</w:t>
      </w:r>
    </w:p>
    <w:p w14:paraId="58BC7F0B" w14:textId="77777777" w:rsidR="009810AC" w:rsidRPr="00466715" w:rsidRDefault="009810AC" w:rsidP="009810AC">
      <w:pPr>
        <w:tabs>
          <w:tab w:val="center" w:pos="540"/>
          <w:tab w:val="center" w:pos="3969"/>
          <w:tab w:val="center" w:pos="5103"/>
          <w:tab w:val="center" w:pos="6237"/>
          <w:tab w:val="center" w:pos="7371"/>
        </w:tabs>
        <w:spacing w:before="280"/>
        <w:jc w:val="center"/>
        <w:rPr>
          <w:spacing w:val="6"/>
          <w:sz w:val="26"/>
          <w:szCs w:val="24"/>
        </w:rPr>
      </w:pPr>
      <w:r w:rsidRPr="00EC090F">
        <w:rPr>
          <w:spacing w:val="6"/>
          <w:sz w:val="26"/>
          <w:szCs w:val="24"/>
        </w:rPr>
        <w:t xml:space="preserve">Pamplona, </w:t>
      </w:r>
      <w:r w:rsidR="001A3CA1" w:rsidRPr="00466715">
        <w:rPr>
          <w:spacing w:val="6"/>
          <w:sz w:val="26"/>
          <w:szCs w:val="24"/>
        </w:rPr>
        <w:t>22</w:t>
      </w:r>
      <w:r w:rsidRPr="00466715">
        <w:rPr>
          <w:spacing w:val="6"/>
          <w:sz w:val="26"/>
          <w:szCs w:val="24"/>
        </w:rPr>
        <w:t xml:space="preserve"> de diciembre de 2021</w:t>
      </w:r>
    </w:p>
    <w:p w14:paraId="5262BA83" w14:textId="77777777" w:rsidR="00AC2646" w:rsidRDefault="009810AC" w:rsidP="009810AC">
      <w:pPr>
        <w:tabs>
          <w:tab w:val="center" w:pos="6237"/>
          <w:tab w:val="center" w:pos="7371"/>
        </w:tabs>
        <w:spacing w:after="60"/>
        <w:jc w:val="center"/>
        <w:rPr>
          <w:spacing w:val="6"/>
          <w:sz w:val="26"/>
          <w:szCs w:val="24"/>
        </w:rPr>
      </w:pPr>
      <w:r w:rsidRPr="007B4C24">
        <w:rPr>
          <w:spacing w:val="6"/>
          <w:sz w:val="26"/>
          <w:szCs w:val="24"/>
        </w:rPr>
        <w:t>La presidenta,</w:t>
      </w:r>
      <w:r>
        <w:rPr>
          <w:spacing w:val="6"/>
          <w:sz w:val="26"/>
          <w:szCs w:val="24"/>
        </w:rPr>
        <w:t xml:space="preserve"> </w:t>
      </w:r>
    </w:p>
    <w:p w14:paraId="309A148C" w14:textId="77777777" w:rsidR="0088085F" w:rsidRPr="00B81E61" w:rsidRDefault="009810AC" w:rsidP="009810AC">
      <w:pPr>
        <w:tabs>
          <w:tab w:val="center" w:pos="6237"/>
          <w:tab w:val="center" w:pos="7371"/>
        </w:tabs>
        <w:spacing w:after="60"/>
        <w:jc w:val="center"/>
        <w:rPr>
          <w:rFonts w:ascii="Arial" w:hAnsi="Arial"/>
          <w:i/>
          <w:iCs/>
          <w:color w:val="000000" w:themeColor="text1"/>
          <w:spacing w:val="10"/>
          <w:kern w:val="28"/>
          <w:sz w:val="25"/>
          <w:szCs w:val="26"/>
        </w:rPr>
      </w:pPr>
      <w:r w:rsidRPr="007B4C24">
        <w:rPr>
          <w:spacing w:val="6"/>
          <w:sz w:val="26"/>
          <w:szCs w:val="24"/>
        </w:rPr>
        <w:t xml:space="preserve">Asunción Olaechea Estanga </w:t>
      </w:r>
      <w:r w:rsidR="0088085F" w:rsidRPr="00B81E61">
        <w:rPr>
          <w:color w:val="000000" w:themeColor="text1"/>
        </w:rPr>
        <w:br w:type="page"/>
      </w:r>
    </w:p>
    <w:p w14:paraId="22131A59" w14:textId="77777777" w:rsidR="00460A76" w:rsidRDefault="00460A76" w:rsidP="00460A76">
      <w:pPr>
        <w:pStyle w:val="texto"/>
        <w:tabs>
          <w:tab w:val="clear" w:pos="2835"/>
          <w:tab w:val="clear" w:pos="3969"/>
          <w:tab w:val="clear" w:pos="5103"/>
          <w:tab w:val="clear" w:pos="6237"/>
          <w:tab w:val="clear" w:pos="7371"/>
          <w:tab w:val="left" w:pos="480"/>
          <w:tab w:val="num" w:pos="720"/>
          <w:tab w:val="num" w:pos="1320"/>
          <w:tab w:val="num" w:pos="1948"/>
        </w:tabs>
        <w:spacing w:before="80" w:after="80"/>
        <w:rPr>
          <w:rFonts w:cs="Arial"/>
          <w:i/>
        </w:rPr>
      </w:pPr>
      <w:bookmarkStart w:id="99" w:name="_Toc529773890"/>
      <w:bookmarkStart w:id="100" w:name="_Toc24100150"/>
      <w:bookmarkStart w:id="101" w:name="_Toc52348328"/>
      <w:bookmarkStart w:id="102" w:name="_Toc89161275"/>
    </w:p>
    <w:p w14:paraId="51E699DA" w14:textId="77777777" w:rsidR="00460A76" w:rsidRDefault="00460A76" w:rsidP="00460A76">
      <w:pPr>
        <w:pStyle w:val="texto"/>
        <w:spacing w:after="0"/>
        <w:jc w:val="center"/>
      </w:pPr>
    </w:p>
    <w:p w14:paraId="16A93204" w14:textId="77777777" w:rsidR="00460A76" w:rsidRDefault="00460A76" w:rsidP="00460A76">
      <w:pPr>
        <w:spacing w:before="360" w:after="180"/>
        <w:ind w:firstLine="0"/>
        <w:jc w:val="left"/>
        <w:rPr>
          <w:b/>
          <w:bCs/>
          <w:sz w:val="24"/>
          <w:szCs w:val="24"/>
          <w:lang w:val="es-ES" w:eastAsia="es-ES"/>
        </w:rPr>
      </w:pPr>
    </w:p>
    <w:p w14:paraId="73F0738E" w14:textId="77777777" w:rsidR="0088085F" w:rsidRPr="00460A76" w:rsidRDefault="0088085F" w:rsidP="00460A76">
      <w:pPr>
        <w:pStyle w:val="atitulo1"/>
        <w:ind w:left="851"/>
        <w:rPr>
          <w:sz w:val="32"/>
          <w:szCs w:val="32"/>
        </w:rPr>
      </w:pPr>
      <w:bookmarkStart w:id="103" w:name="_Toc90969154"/>
      <w:r w:rsidRPr="00460A76">
        <w:rPr>
          <w:sz w:val="32"/>
          <w:szCs w:val="32"/>
        </w:rPr>
        <w:t xml:space="preserve">Anexo 1. Normativa aplicable a las entidades locales durante el ejercicio </w:t>
      </w:r>
      <w:bookmarkEnd w:id="99"/>
      <w:r w:rsidRPr="00460A76">
        <w:rPr>
          <w:sz w:val="32"/>
          <w:szCs w:val="32"/>
        </w:rPr>
        <w:t>201</w:t>
      </w:r>
      <w:bookmarkEnd w:id="100"/>
      <w:bookmarkEnd w:id="101"/>
      <w:r w:rsidRPr="00460A76">
        <w:rPr>
          <w:sz w:val="32"/>
          <w:szCs w:val="32"/>
        </w:rPr>
        <w:t>9</w:t>
      </w:r>
      <w:bookmarkEnd w:id="102"/>
      <w:bookmarkEnd w:id="103"/>
    </w:p>
    <w:p w14:paraId="6A8DFFF3" w14:textId="77777777" w:rsidR="00460A76" w:rsidRDefault="00460A76">
      <w:pPr>
        <w:spacing w:after="0"/>
        <w:ind w:firstLine="0"/>
        <w:jc w:val="left"/>
        <w:rPr>
          <w:rFonts w:ascii="Arial" w:hAnsi="Arial"/>
          <w:i/>
          <w:iCs/>
          <w:color w:val="000000"/>
          <w:spacing w:val="10"/>
          <w:kern w:val="28"/>
          <w:sz w:val="25"/>
          <w:szCs w:val="26"/>
        </w:rPr>
      </w:pPr>
      <w:r>
        <w:rPr>
          <w:rFonts w:ascii="Arial" w:hAnsi="Arial"/>
          <w:i/>
          <w:iCs/>
          <w:color w:val="000000"/>
          <w:spacing w:val="10"/>
          <w:kern w:val="28"/>
          <w:sz w:val="25"/>
          <w:szCs w:val="26"/>
        </w:rPr>
        <w:br w:type="page"/>
      </w:r>
    </w:p>
    <w:p w14:paraId="64A106BC" w14:textId="77777777" w:rsidR="0088085F" w:rsidRPr="00D105E7" w:rsidRDefault="0088085F" w:rsidP="00D105E7">
      <w:pPr>
        <w:keepNext/>
        <w:spacing w:before="320" w:after="240"/>
        <w:ind w:firstLine="0"/>
        <w:rPr>
          <w:rFonts w:ascii="Arial" w:hAnsi="Arial" w:cs="Arial"/>
          <w:b/>
          <w:i/>
          <w:iCs/>
          <w:color w:val="000000"/>
          <w:spacing w:val="10"/>
          <w:kern w:val="28"/>
          <w:sz w:val="25"/>
          <w:szCs w:val="25"/>
        </w:rPr>
      </w:pPr>
      <w:r w:rsidRPr="00D105E7">
        <w:rPr>
          <w:rFonts w:ascii="Arial" w:hAnsi="Arial" w:cs="Arial"/>
          <w:b/>
          <w:i/>
          <w:iCs/>
          <w:color w:val="000000"/>
          <w:spacing w:val="10"/>
          <w:kern w:val="28"/>
          <w:sz w:val="25"/>
          <w:szCs w:val="25"/>
        </w:rPr>
        <w:lastRenderedPageBreak/>
        <w:t xml:space="preserve">a) Administración y régimen local </w:t>
      </w:r>
    </w:p>
    <w:p w14:paraId="108C44F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7/1985, de 2 de abril, Reguladora de las Bases del Régimen Local. </w:t>
      </w:r>
    </w:p>
    <w:p w14:paraId="703FB749"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6/1990, de 2 de julio, de la Administración Local de Navarra. </w:t>
      </w:r>
    </w:p>
    <w:p w14:paraId="576764C1"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19/2013, de 9 de diciembre, de Transparencia, acceso a la Información pública y buen gobierno. </w:t>
      </w:r>
    </w:p>
    <w:p w14:paraId="3491160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39/2015, de 1 de octubre, del Procedimiento Administrativo Común de las Administraciones Públicas. </w:t>
      </w:r>
    </w:p>
    <w:p w14:paraId="3D07FE0A"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40/2015, de 1 de octubre, de Régimen Jurídico del Sector Público. </w:t>
      </w:r>
    </w:p>
    <w:p w14:paraId="76A98F2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27/2018, de 24 de diciembre, de Presupuestos Generales de Navarra para el año 2019. </w:t>
      </w:r>
    </w:p>
    <w:p w14:paraId="61E512D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6/2018, de 3 de julio, de Presupuestos Generales del Estado para el año 2018, prorrogados para 2019.</w:t>
      </w:r>
    </w:p>
    <w:p w14:paraId="2C0FEBB7"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18/2016, de 13 de diciembre, reguladora del Plan de Inversiones Locales 2017-2019. </w:t>
      </w:r>
    </w:p>
    <w:p w14:paraId="79D294C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18/2017, de 27 de diciembre, por la que se establece la cuantía y reparto del Fondo de Participación de las Haciendas Locales en los tributos de Navarra por transferencias corrientes para los años 2018 y 2019.</w:t>
      </w:r>
    </w:p>
    <w:p w14:paraId="1EA1C90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18/2018, de 10 de octubre, de modificación de la Ley Foral 18/2016, de 13 de diciembre, reguladora del Plan de Inversiones Locales 2017-2019. </w:t>
      </w:r>
    </w:p>
    <w:p w14:paraId="3FAA7A7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Orden Foral 84/2017, de la Consejera de Desarrollo Rural, Medio Ambiente y Administración Local, por la que se regula la forma de aplicación de la cláusula social prevista en el artículo 20 de la Ley Foral 18/2016, de 13 de diciembre, reguladora del Plan de Inversiones Locales 2017-2019</w:t>
      </w:r>
    </w:p>
    <w:p w14:paraId="0A2A294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13/2017, de 16 de noviembre, de conciertos sociales en los ámbitos de Salud y Servicios Sociales.</w:t>
      </w:r>
    </w:p>
    <w:p w14:paraId="0E7DC1F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5/2018, de 17 de mayo, de Transparencia, acceso a la información pública y buen gobierno.</w:t>
      </w:r>
    </w:p>
    <w:p w14:paraId="0987C7C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7/2018, de 17 de mayo, de creación de la Oficina de Buenas Prácticas y Anticorrupción de la Comunidad Foral de Navarra.</w:t>
      </w:r>
    </w:p>
    <w:p w14:paraId="3908C27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12/2018, de 14 de junio, de Accesibilidad Universal.</w:t>
      </w:r>
    </w:p>
    <w:p w14:paraId="201A0609"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14/2018, de 18 de junio, de Residuos y su Fiscalidad.</w:t>
      </w:r>
    </w:p>
    <w:p w14:paraId="21664BD5"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4/2019, de 4 de febrero, de Reforma de la Administración Local de Navarra.</w:t>
      </w:r>
    </w:p>
    <w:p w14:paraId="6C77E59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8/2019, de 28 de febrero, por la que se modifica la Ley Foral 8/2005, de 1 de julio, de Protección Civil y Atención de Emergencias de Navarra.</w:t>
      </w:r>
    </w:p>
    <w:p w14:paraId="4EAEFEE9"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lastRenderedPageBreak/>
        <w:t xml:space="preserve">Ley Foral 12/2019, de 22 de marzo, de Participación Democrática de Navarra. </w:t>
      </w:r>
      <w:r w:rsidR="00FD093B">
        <w:rPr>
          <w:rFonts w:ascii="Arial" w:hAnsi="Arial" w:cs="Arial"/>
          <w:spacing w:val="6"/>
          <w:sz w:val="24"/>
          <w:szCs w:val="24"/>
        </w:rPr>
        <w:t xml:space="preserve"> </w:t>
      </w:r>
    </w:p>
    <w:p w14:paraId="2A7607A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17/2019, de 4 de abril, de Igualdad entre mujeres y hombres.</w:t>
      </w:r>
    </w:p>
    <w:p w14:paraId="0D0FCDA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20/2019, de 4 de abril, por la que se modifica la Ley Foral 6/1990, de 2 de julio, de la Administración Local de Navarra y la Ley Foral 4/2019, de 4 de febrero, de Reforma de la Administración Local de Navarra. </w:t>
      </w:r>
    </w:p>
    <w:p w14:paraId="32509C6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Real Decreto-ley 6/2019, de 1 de marzo, de medidas urgentes para garantía de la igualdad de trato y de oportunidades entre mujeres y hombres en el empleo y la ocupación.</w:t>
      </w:r>
    </w:p>
    <w:p w14:paraId="598C6851"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Real Decreto-ley 14/2019, de 31 de octubre, por el que se adoptan medidas urgentes por razones de seguridad pública en materia de administración digital, contratación del sector público y telecomunicaciones.</w:t>
      </w:r>
    </w:p>
    <w:p w14:paraId="7A8AC9E8"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sidRPr="00D105E7">
        <w:rPr>
          <w:rFonts w:ascii="Arial" w:hAnsi="Arial" w:cs="Arial"/>
          <w:b/>
          <w:i/>
          <w:iCs/>
          <w:color w:val="000000"/>
          <w:spacing w:val="10"/>
          <w:kern w:val="28"/>
          <w:sz w:val="25"/>
          <w:szCs w:val="25"/>
        </w:rPr>
        <w:t xml:space="preserve">b) Régimen económico, presupuestario y contable </w:t>
      </w:r>
    </w:p>
    <w:p w14:paraId="3970CB5C"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2/1995, de 10 de marzo, de Haciendas Locales de Navarra. </w:t>
      </w:r>
    </w:p>
    <w:p w14:paraId="3736487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7/1996, de 28 de mayo, de tarifas e instrucción del Impuesto sobre Actividades Económicas (IAE) </w:t>
      </w:r>
    </w:p>
    <w:p w14:paraId="3887A280"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 Decreto Foral 270/1998, de 21 de septiembre, Decreto Foral 234/2015 de 23 de septiembre, Decreto Foral 272/1998 y Decreto Foral 273/1998, de 21 de septiembre, de presupuesto y gasto público, de estructura presupuestaria, de aprobación de la Instrucción General de Contabilidad General y de Contabilidad Simplificada para la Administración Local de Navarra, respectivamente.</w:t>
      </w:r>
    </w:p>
    <w:p w14:paraId="4671E017"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Plan General de Contabilidad Pública adaptado a la Administración Local, aprobado por Orden Ministerial, de 17 de julio de 1990, del Ministerio de Economía y Hacienda. (Regla 425 DF 272/1998 Instrucción general contabilidad). </w:t>
      </w:r>
    </w:p>
    <w:p w14:paraId="19AEB929"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12/2006, de 21 de noviembre, del Registro de la Riqueza Territorial y de los Catastros de Navarra. </w:t>
      </w:r>
    </w:p>
    <w:p w14:paraId="5F021576"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22/2018, de 13 de noviembre, de modificación de la Ley Foral 2/1995, de 10 de marzo, de Haciendas Locales de Navarra.</w:t>
      </w:r>
    </w:p>
    <w:p w14:paraId="6DFE3937"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3/2019, de 24 enero, por la que se modifica la Ley Foral 2/1995, de 10 de marzo, de Haciendas Locales de Navarra.</w:t>
      </w:r>
    </w:p>
    <w:p w14:paraId="4CE5DBA8"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Real Decreto-ley 18/2019, de 27 de diciembre, por el que se adoptan determinadas medidas en materia tributaria, catastral y de seguridad social</w:t>
      </w:r>
    </w:p>
    <w:p w14:paraId="29288C6E"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sidRPr="00D105E7">
        <w:rPr>
          <w:rFonts w:ascii="Arial" w:hAnsi="Arial" w:cs="Arial"/>
          <w:b/>
          <w:i/>
          <w:iCs/>
          <w:color w:val="000000"/>
          <w:spacing w:val="10"/>
          <w:kern w:val="28"/>
          <w:sz w:val="25"/>
          <w:szCs w:val="25"/>
        </w:rPr>
        <w:t xml:space="preserve">c) Estabilidad presupuestaria y sostenibilidad financiera </w:t>
      </w:r>
    </w:p>
    <w:p w14:paraId="13A02DF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 Ley Orgánica 2/2012, de 27 de abril, de Estabilidad Presupuestaria y Sostenibilidad Financiera, modificada por Ley Orgánica 4/2012, de 28 de septiembre. </w:t>
      </w:r>
    </w:p>
    <w:p w14:paraId="0310BDB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lastRenderedPageBreak/>
        <w:t xml:space="preserve">Ley Orgánica 6/2015, de 12 de junio, de modificación de la Ley Orgánica 8/1980, de 22 de septiembre, de financiación de las Comunidades Autónomas y de la Ley Orgánica 2/2012, de 27 de abril, de Estabilidad Presupuestaria y Sostenibilidad Financiera. </w:t>
      </w:r>
    </w:p>
    <w:p w14:paraId="344BE768"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Orgánica 9/2013, de 20 de diciembre, de control de la deuda comercial en el sector público. </w:t>
      </w:r>
    </w:p>
    <w:p w14:paraId="5EF9624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Real Decreto-Ley 10/2019, de 29 de marzo, por el por el que se prorroga para 2019 el destino del superávit de comunidades autónomas y de las entidades locales para inversiones financieramente sostenibles y se adoptan otras medidas en relación con las funciones del personal de las entidades locales con habilitación de carácter nacional.</w:t>
      </w:r>
    </w:p>
    <w:p w14:paraId="203BA13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Real Decreto-Ley 1/2018, de 23 de marzo, por el que se prorroga el destino del superávit de las corporaciones locales para inversiones financieramente sostenibles y se modifica el ámbito objetivo de estas.</w:t>
      </w:r>
    </w:p>
    <w:p w14:paraId="2AA5BFDC"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27/2012, de 28 de diciembre, por la que se adoptan en la Comunidad Foral de Navarra medidas para garantizar la estabilidad presupuestaria y de fomento de la competitividad. </w:t>
      </w:r>
    </w:p>
    <w:p w14:paraId="33BE29D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25/2013, de 27 de diciembre, de impulso de la factura electrónica y creación del registro contable de facturas en el Sector Público. </w:t>
      </w:r>
    </w:p>
    <w:p w14:paraId="21574165"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27/2013, de 27 de diciembre, de racionalización y sostenibilidad de la Administración Local. </w:t>
      </w:r>
    </w:p>
    <w:p w14:paraId="2B748CF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Real Decreto-ley 8/2013, de 28 de junio, de medidas urgentes contra la morosidad de las administraciones públicas y de apoyo a entidades locales con problemas financieros.</w:t>
      </w:r>
    </w:p>
    <w:p w14:paraId="314FDDCE"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 Real Decreto-ley 17/2014, de 26 de diciembre, de medidas de sostenibilidad financiera de las comunidades autónomas y entidades locales y otras de carácter económico. </w:t>
      </w:r>
    </w:p>
    <w:p w14:paraId="5FFD0306"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Orden HAP/2105/2012, de 1 de octubre, por la que se desarrollan las obligaciones de suministro de información previstas en la Ley Orgánica 2/2012, de 27 de abril, de Estabilidad Presupuestaria y Sostenibilidad Financiera. </w:t>
      </w:r>
    </w:p>
    <w:p w14:paraId="0869D93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Resolución de 4 de julio de 2017, de la Secretaría General del Tesoro y Política Financiera, por la que se define el principio de prudencia financiera aplicable a las operaciones de endeudamiento y derivados de las comunidades autónomas y entidades locales.</w:t>
      </w:r>
    </w:p>
    <w:p w14:paraId="5FBE08BC"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sidRPr="00D105E7">
        <w:rPr>
          <w:rFonts w:ascii="Arial" w:hAnsi="Arial" w:cs="Arial"/>
          <w:b/>
          <w:i/>
          <w:iCs/>
          <w:color w:val="000000"/>
          <w:spacing w:val="10"/>
          <w:kern w:val="28"/>
          <w:sz w:val="25"/>
          <w:szCs w:val="25"/>
        </w:rPr>
        <w:t xml:space="preserve">d) Contratación administrativa </w:t>
      </w:r>
    </w:p>
    <w:p w14:paraId="18620FA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2/2018, de 13 de abril, de contratos públicos.</w:t>
      </w:r>
    </w:p>
    <w:p w14:paraId="04FE6C95"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15/2019, de 26 de marzo, de modificación de la Ley Foral 2/2018, de 3 de abril, de Contratos Públicos. </w:t>
      </w:r>
    </w:p>
    <w:p w14:paraId="2F98427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lastRenderedPageBreak/>
        <w:t>Decreto Foral 74/2019, de 26 de junio, por el que se regula la Junta de Contratación Pública.</w:t>
      </w:r>
    </w:p>
    <w:p w14:paraId="7F3B44E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Decreto Foral 317/2019, de 13 de noviembre, por el que se actualizan los umbrales europeos de la Ley Foral 2/2018, de 13 de abril, de Contratos Públicos.</w:t>
      </w:r>
    </w:p>
    <w:p w14:paraId="1FCFDC37"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sidRPr="00D105E7">
        <w:rPr>
          <w:rFonts w:ascii="Arial" w:hAnsi="Arial" w:cs="Arial"/>
          <w:b/>
          <w:i/>
          <w:iCs/>
          <w:color w:val="000000"/>
          <w:spacing w:val="10"/>
          <w:kern w:val="28"/>
          <w:sz w:val="25"/>
          <w:szCs w:val="25"/>
        </w:rPr>
        <w:t xml:space="preserve">e) Personal  </w:t>
      </w:r>
    </w:p>
    <w:p w14:paraId="043FF2B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Decreto Foral Legislativo 251/1993 de 30 de agosto por el que se aprueba el Texto refundido del Estatuto de Personal al servicio de las Administraciones Públicas de Navarra, así como sus disposiciones de desarrollo. </w:t>
      </w:r>
    </w:p>
    <w:p w14:paraId="244FFE7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Decreto Foral 158/1984, de 4 de julio, por el que se aprueba el Reglamento Provisional de Retribuciones del Personal al servicio de las Administraciones Públicas de Navarra (modificado por D.F.21/2017, de 29 de marzo)</w:t>
      </w:r>
    </w:p>
    <w:p w14:paraId="2BE147B0"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Decreto Foral 215/1985, de 6 de noviembre, por el que se aprueba el Reglamento de Provisión de puestos de trabajo en las Administraciones Públicas de Navarra. (modificado por D.F. 29/2017, de 17 de mayo)</w:t>
      </w:r>
    </w:p>
    <w:p w14:paraId="7C87F078"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13/2012, de 21 de junio, de medidas urgentes en materia de personal al servicio de las Administraciones Públicas de Navarra. </w:t>
      </w:r>
    </w:p>
    <w:p w14:paraId="06211B0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12/2015, de 10 de abril, de determinadas medidas urgentes en materia de personal al servicio de las Administraciones Públicas de Navarra y actualización de las pensiones de las clases pasivas de sus Montepíos (prorrogada para el año 2019 por la Ley Foral 27/2018, de 24 de diciembre, de Presupuestos Generales de Navarra para el año 2019).</w:t>
      </w:r>
    </w:p>
    <w:p w14:paraId="3F161FD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13/2015, de 10 de abril, de modificación del Texto Refundido del Estatuto del Personal al servicio de las Administraciones Públicas de Navarra, en lo relativo al acceso al empleo público de las personas con discapacidad. </w:t>
      </w:r>
    </w:p>
    <w:p w14:paraId="4ECFC468"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Real Decreto-ley 4/2015, de 22 de marzo, para la reforma urgente del Sistema de Formación Profesional para el Empleo en el ámbito laboral. </w:t>
      </w:r>
    </w:p>
    <w:p w14:paraId="13AEB30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Ley Foral 23/2018, de 23 de marzo, de 19 de noviembre, de las Policías de Navarra. </w:t>
      </w:r>
    </w:p>
    <w:p w14:paraId="301801C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Decreto-Ley Foral 1/2018, de 24 de octubre, por el que se aprueban medidas en materia de personal al servicio de la Administración de la Comunidad Foral de Navarra y sus organismos autónomos.</w:t>
      </w:r>
    </w:p>
    <w:p w14:paraId="24099D31"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6/2019, de 7 de febrero, por la que se modifica el Decreto Foral Legislativo 251/1993, de 30 de agosto, que establece el Texto Refundido del Estatuto del Personal al servicio de las Administraciones Públicas de Navarra.</w:t>
      </w:r>
    </w:p>
    <w:p w14:paraId="1FE02F7A"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Foral 7/2019, de 18 de febrero, por la que se modifica la Ley Foral 10/2003, de 5 de marzo, sobre régimen transitorio de los derechos pasivos del personal funcionario de los Montepíos de las Administraciones Públicas de Navarra.</w:t>
      </w:r>
    </w:p>
    <w:p w14:paraId="768A2A8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lastRenderedPageBreak/>
        <w:t xml:space="preserve">Decreto-Ley Foral 4/2019, de 23 de octubre, por el que se aprueban medidas urgentes en materia de personal al servicio de las Administraciones Públicas de Navarra. </w:t>
      </w:r>
    </w:p>
    <w:p w14:paraId="2D8E09EF"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sidRPr="00D105E7">
        <w:rPr>
          <w:rFonts w:ascii="Arial" w:hAnsi="Arial" w:cs="Arial"/>
          <w:b/>
          <w:i/>
          <w:iCs/>
          <w:color w:val="000000"/>
          <w:spacing w:val="10"/>
          <w:kern w:val="28"/>
          <w:sz w:val="25"/>
          <w:szCs w:val="25"/>
        </w:rPr>
        <w:t xml:space="preserve">f) Urbanismo </w:t>
      </w:r>
    </w:p>
    <w:p w14:paraId="3D1FD297"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 Decreto Foral Legislativo 1/2017 de 26 de julio, por el que se aprueba el Texto Refundido de la Ley Foral de Ordenación del Territorio y Urbanismo.</w:t>
      </w:r>
    </w:p>
    <w:p w14:paraId="08DED09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Decreto Foral 253/2019, de 16 de octubre, por el que se regula el Registro de Planeamiento de Navarra y el formato de presentación de los instrumentos de planificación urbanística y territorial de Navarra. </w:t>
      </w:r>
    </w:p>
    <w:p w14:paraId="66F5BDC5"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sidRPr="00D105E7">
        <w:rPr>
          <w:rFonts w:ascii="Arial" w:hAnsi="Arial" w:cs="Arial"/>
          <w:b/>
          <w:i/>
          <w:iCs/>
          <w:color w:val="000000"/>
          <w:spacing w:val="10"/>
          <w:kern w:val="28"/>
          <w:sz w:val="25"/>
          <w:szCs w:val="25"/>
        </w:rPr>
        <w:t xml:space="preserve">g) Subvenciones </w:t>
      </w:r>
    </w:p>
    <w:p w14:paraId="7C7E2B3E"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Ley 38/2003, de 17 de noviembre, General de subvenciones y su reglamento de desarrollo aprobado por Real Decreto 887/2006 de 21 de julio.</w:t>
      </w:r>
    </w:p>
    <w:p w14:paraId="0F4DF352"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sidRPr="00D105E7">
        <w:rPr>
          <w:rFonts w:ascii="Arial" w:hAnsi="Arial" w:cs="Arial"/>
          <w:b/>
          <w:i/>
          <w:iCs/>
          <w:color w:val="000000"/>
          <w:spacing w:val="10"/>
          <w:kern w:val="28"/>
          <w:sz w:val="25"/>
          <w:szCs w:val="25"/>
        </w:rPr>
        <w:t xml:space="preserve"> h) Normativa interna de las entidades locales </w:t>
      </w:r>
    </w:p>
    <w:p w14:paraId="3C7C45C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 xml:space="preserve">Bases de ejecución de los presupuestos de las entidades locales para 2019. </w:t>
      </w:r>
    </w:p>
    <w:p w14:paraId="068D33C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Ordenanzas y acuerdos reguladores de las tasas y precios públicos.</w:t>
      </w:r>
    </w:p>
    <w:p w14:paraId="7208A01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sidRPr="00D105E7">
        <w:rPr>
          <w:rFonts w:ascii="Arial" w:hAnsi="Arial" w:cs="Arial"/>
          <w:spacing w:val="6"/>
          <w:sz w:val="24"/>
          <w:szCs w:val="24"/>
        </w:rPr>
        <w:t>Convenios colectivos específicos.</w:t>
      </w:r>
    </w:p>
    <w:p w14:paraId="4FF1F4FC" w14:textId="77777777" w:rsidR="0088085F" w:rsidRPr="00B81E61" w:rsidRDefault="0088085F" w:rsidP="0088085F">
      <w:pPr>
        <w:pStyle w:val="texto"/>
        <w:rPr>
          <w:color w:val="000000" w:themeColor="text1"/>
          <w:szCs w:val="26"/>
        </w:rPr>
      </w:pPr>
    </w:p>
    <w:p w14:paraId="10503999" w14:textId="77777777" w:rsidR="0088085F" w:rsidRPr="00B81E61" w:rsidRDefault="0088085F" w:rsidP="0088085F">
      <w:pPr>
        <w:pStyle w:val="texto"/>
        <w:rPr>
          <w:b/>
          <w:color w:val="000000" w:themeColor="text1"/>
          <w:szCs w:val="26"/>
        </w:rPr>
      </w:pPr>
    </w:p>
    <w:p w14:paraId="70BE5215" w14:textId="77777777" w:rsidR="0088085F" w:rsidRPr="00B81E61" w:rsidRDefault="0088085F" w:rsidP="0088085F">
      <w:pPr>
        <w:rPr>
          <w:b/>
          <w:bCs/>
          <w:color w:val="000000" w:themeColor="text1"/>
          <w:sz w:val="24"/>
          <w:szCs w:val="24"/>
          <w:lang w:val="es-ES" w:eastAsia="es-ES"/>
        </w:rPr>
      </w:pPr>
      <w:r w:rsidRPr="00B81E61">
        <w:rPr>
          <w:b/>
          <w:bCs/>
          <w:color w:val="000000" w:themeColor="text1"/>
          <w:sz w:val="24"/>
          <w:szCs w:val="24"/>
          <w:lang w:val="es-ES" w:eastAsia="es-ES"/>
        </w:rPr>
        <w:br w:type="page"/>
      </w:r>
    </w:p>
    <w:p w14:paraId="505FF5FA" w14:textId="77777777" w:rsidR="00143206" w:rsidRDefault="00143206" w:rsidP="00143206">
      <w:pPr>
        <w:spacing w:before="360" w:after="180"/>
        <w:ind w:firstLine="0"/>
        <w:jc w:val="left"/>
        <w:rPr>
          <w:b/>
          <w:bCs/>
          <w:sz w:val="24"/>
          <w:szCs w:val="24"/>
          <w:lang w:val="es-ES" w:eastAsia="es-ES"/>
        </w:rPr>
      </w:pPr>
      <w:bookmarkStart w:id="104" w:name="_Toc402257034"/>
      <w:bookmarkStart w:id="105" w:name="_Toc465686694"/>
      <w:bookmarkStart w:id="106" w:name="_Toc529773891"/>
      <w:bookmarkStart w:id="107" w:name="_Toc24100151"/>
      <w:bookmarkStart w:id="108" w:name="_Toc52348329"/>
      <w:bookmarkStart w:id="109" w:name="_Toc89161276"/>
    </w:p>
    <w:p w14:paraId="0C6C4586" w14:textId="77777777" w:rsidR="00143206" w:rsidRPr="00B15970" w:rsidRDefault="00143206" w:rsidP="00143206">
      <w:pPr>
        <w:spacing w:before="360" w:after="180"/>
        <w:ind w:firstLine="0"/>
        <w:jc w:val="left"/>
        <w:rPr>
          <w:b/>
          <w:bCs/>
          <w:sz w:val="24"/>
          <w:szCs w:val="24"/>
          <w:lang w:val="es-ES" w:eastAsia="es-ES"/>
        </w:rPr>
      </w:pPr>
    </w:p>
    <w:p w14:paraId="30B3E705" w14:textId="77777777" w:rsidR="0088085F" w:rsidRPr="00143206" w:rsidRDefault="0088085F" w:rsidP="00143206">
      <w:pPr>
        <w:pStyle w:val="atitulo1"/>
        <w:ind w:left="426"/>
        <w:rPr>
          <w:sz w:val="32"/>
          <w:szCs w:val="32"/>
        </w:rPr>
      </w:pPr>
      <w:bookmarkStart w:id="110" w:name="_Toc90969155"/>
      <w:r w:rsidRPr="00143206">
        <w:rPr>
          <w:sz w:val="32"/>
          <w:szCs w:val="32"/>
        </w:rPr>
        <w:t>Anexo</w:t>
      </w:r>
      <w:bookmarkEnd w:id="104"/>
      <w:r w:rsidRPr="00143206">
        <w:rPr>
          <w:sz w:val="32"/>
          <w:szCs w:val="32"/>
        </w:rPr>
        <w:t xml:space="preserve"> 2. Situación financiera del sector público local de Navarra, año 201</w:t>
      </w:r>
      <w:bookmarkEnd w:id="105"/>
      <w:bookmarkEnd w:id="106"/>
      <w:bookmarkEnd w:id="107"/>
      <w:bookmarkEnd w:id="108"/>
      <w:r w:rsidRPr="00143206">
        <w:rPr>
          <w:sz w:val="32"/>
          <w:szCs w:val="32"/>
        </w:rPr>
        <w:t>9</w:t>
      </w:r>
      <w:bookmarkEnd w:id="109"/>
      <w:bookmarkEnd w:id="110"/>
    </w:p>
    <w:p w14:paraId="00B26D48" w14:textId="77777777" w:rsidR="0088085F" w:rsidRPr="00B81E61" w:rsidRDefault="0088085F" w:rsidP="0088085F">
      <w:pPr>
        <w:pStyle w:val="texto"/>
        <w:rPr>
          <w:color w:val="000000" w:themeColor="text1"/>
        </w:rPr>
      </w:pPr>
    </w:p>
    <w:p w14:paraId="58171B0D" w14:textId="77777777" w:rsidR="0088085F" w:rsidRPr="00B81E61" w:rsidRDefault="0088085F" w:rsidP="0088085F">
      <w:pPr>
        <w:pStyle w:val="texto"/>
        <w:rPr>
          <w:color w:val="000000" w:themeColor="text1"/>
        </w:rPr>
      </w:pPr>
    </w:p>
    <w:p w14:paraId="0975AEE6" w14:textId="77777777" w:rsidR="00477C53" w:rsidRDefault="00477C53" w:rsidP="00E36872">
      <w:pPr>
        <w:pStyle w:val="atitulo1"/>
      </w:pPr>
    </w:p>
    <w:p w14:paraId="02C35F16" w14:textId="77777777" w:rsidR="001728D0" w:rsidRDefault="001728D0" w:rsidP="001728D0">
      <w:pPr>
        <w:pStyle w:val="atitulo3"/>
      </w:pPr>
    </w:p>
    <w:p w14:paraId="1C2384F1" w14:textId="77777777" w:rsidR="00477C53" w:rsidRPr="004B2F01" w:rsidRDefault="00477C53" w:rsidP="00477C53">
      <w:pPr>
        <w:pStyle w:val="atitulo3"/>
      </w:pPr>
    </w:p>
    <w:p w14:paraId="19AFE301" w14:textId="77777777" w:rsidR="00564F2D" w:rsidRPr="004B2F01" w:rsidRDefault="00564F2D" w:rsidP="004B2F01">
      <w:pPr>
        <w:pStyle w:val="atitulo2"/>
      </w:pPr>
    </w:p>
    <w:p w14:paraId="0BA4527E" w14:textId="77777777" w:rsidR="00564F2D" w:rsidRPr="004B2F01" w:rsidRDefault="00564F2D" w:rsidP="004B2F01">
      <w:pPr>
        <w:pStyle w:val="atitulo3"/>
      </w:pPr>
    </w:p>
    <w:sectPr w:rsidR="00564F2D" w:rsidRPr="004B2F01"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385D" w14:textId="77777777" w:rsidR="00B9085A" w:rsidRDefault="00B9085A">
      <w:r>
        <w:separator/>
      </w:r>
    </w:p>
    <w:p w14:paraId="1C050168" w14:textId="77777777" w:rsidR="00B9085A" w:rsidRDefault="00B9085A"/>
    <w:p w14:paraId="0713C069" w14:textId="77777777" w:rsidR="00B9085A" w:rsidRDefault="00B9085A"/>
    <w:p w14:paraId="1BC93684" w14:textId="77777777" w:rsidR="00B9085A" w:rsidRDefault="00B9085A"/>
  </w:endnote>
  <w:endnote w:type="continuationSeparator" w:id="0">
    <w:p w14:paraId="72E261A7" w14:textId="77777777" w:rsidR="00B9085A" w:rsidRDefault="00B9085A">
      <w:r>
        <w:continuationSeparator/>
      </w:r>
    </w:p>
    <w:p w14:paraId="71C9345B" w14:textId="77777777" w:rsidR="00B9085A" w:rsidRDefault="00B9085A"/>
    <w:p w14:paraId="4EEA8E74" w14:textId="77777777" w:rsidR="00B9085A" w:rsidRDefault="00B9085A"/>
    <w:p w14:paraId="1767DAAD" w14:textId="77777777" w:rsidR="00B9085A" w:rsidRDefault="00B90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GillSans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FF87" w14:textId="77777777" w:rsidR="00B9085A" w:rsidRDefault="00B9085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608BAD" w14:textId="77777777" w:rsidR="00B9085A" w:rsidRDefault="00B9085A"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BBD4" w14:textId="77777777" w:rsidR="00B9085A" w:rsidRPr="00F03814" w:rsidRDefault="00B9085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76FFF10" wp14:editId="3E98BE03">
          <wp:extent cx="219075" cy="371475"/>
          <wp:effectExtent l="0" t="0" r="9525" b="9525"/>
          <wp:docPr id="16" name="Imagen 1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51E8B62" w14:textId="77777777" w:rsidR="00B9085A" w:rsidRPr="00F74E38" w:rsidRDefault="00B9085A" w:rsidP="00F03814">
    <w:pPr>
      <w:pStyle w:val="Piedepgina"/>
      <w:tabs>
        <w:tab w:val="clear" w:pos="4252"/>
        <w:tab w:val="clear" w:pos="8504"/>
        <w:tab w:val="center" w:pos="4560"/>
      </w:tabs>
      <w:ind w:right="360"/>
      <w:jc w:val="left"/>
      <w:rPr>
        <w:rStyle w:val="Nmerodepgina"/>
      </w:rPr>
    </w:pPr>
  </w:p>
  <w:p w14:paraId="5FD61780" w14:textId="77777777" w:rsidR="00B9085A" w:rsidRPr="00C13453" w:rsidRDefault="00B9085A"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C320" w14:textId="77777777" w:rsidR="00B9085A" w:rsidRDefault="00B9085A"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F494" w14:textId="77777777" w:rsidR="00B9085A" w:rsidRPr="00F03814" w:rsidRDefault="00B9085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71BEDB5" wp14:editId="657B2699">
          <wp:extent cx="213100" cy="3714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B5581">
      <w:rPr>
        <w:rStyle w:val="Nmerodepgina"/>
        <w:noProof/>
        <w:szCs w:val="24"/>
      </w:rPr>
      <w:t>21</w:t>
    </w:r>
    <w:r w:rsidRPr="001D4F09">
      <w:rPr>
        <w:rStyle w:val="Nmerodepgina"/>
        <w:szCs w:val="24"/>
      </w:rPr>
      <w:fldChar w:fldCharType="end"/>
    </w:r>
    <w:r w:rsidRPr="001D4F09">
      <w:rPr>
        <w:rStyle w:val="Nmerodepgina"/>
        <w:szCs w:val="24"/>
      </w:rPr>
      <w:t xml:space="preserve"> -</w:t>
    </w:r>
  </w:p>
  <w:p w14:paraId="4260BD0B" w14:textId="77777777" w:rsidR="00B9085A" w:rsidRPr="00C13453" w:rsidRDefault="00B9085A" w:rsidP="00D2472C">
    <w:pPr>
      <w:pStyle w:val="BorradorProvisional"/>
      <w:ind w:left="0"/>
      <w:jc w:val="center"/>
    </w:pPr>
  </w:p>
  <w:p w14:paraId="144134E7" w14:textId="77777777" w:rsidR="00B9085A" w:rsidRDefault="00B90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6194" w14:textId="77777777" w:rsidR="00B9085A" w:rsidRDefault="00B9085A">
      <w:r>
        <w:separator/>
      </w:r>
    </w:p>
    <w:p w14:paraId="7A8C4593" w14:textId="77777777" w:rsidR="00B9085A" w:rsidRDefault="00B9085A"/>
    <w:p w14:paraId="72561E4C" w14:textId="77777777" w:rsidR="00B9085A" w:rsidRDefault="00B9085A"/>
    <w:p w14:paraId="6CD53A39" w14:textId="77777777" w:rsidR="00B9085A" w:rsidRDefault="00B9085A"/>
  </w:footnote>
  <w:footnote w:type="continuationSeparator" w:id="0">
    <w:p w14:paraId="49C6E7E0" w14:textId="77777777" w:rsidR="00B9085A" w:rsidRDefault="00B9085A">
      <w:r>
        <w:continuationSeparator/>
      </w:r>
    </w:p>
    <w:p w14:paraId="6EBA4C3F" w14:textId="77777777" w:rsidR="00B9085A" w:rsidRDefault="00B9085A"/>
    <w:p w14:paraId="7C0BFED9" w14:textId="77777777" w:rsidR="00B9085A" w:rsidRDefault="00B9085A"/>
    <w:p w14:paraId="733CD5AC" w14:textId="77777777" w:rsidR="00B9085A" w:rsidRDefault="00B9085A"/>
  </w:footnote>
  <w:footnote w:id="1">
    <w:p w14:paraId="4084A05C" w14:textId="77777777" w:rsidR="00B9085A" w:rsidRPr="0085586A" w:rsidRDefault="00B9085A" w:rsidP="0088085F">
      <w:pPr>
        <w:autoSpaceDE w:val="0"/>
        <w:autoSpaceDN w:val="0"/>
        <w:adjustRightInd w:val="0"/>
        <w:spacing w:after="0"/>
        <w:ind w:firstLine="0"/>
        <w:rPr>
          <w:color w:val="000000" w:themeColor="text1"/>
        </w:rPr>
      </w:pPr>
      <w:r w:rsidRPr="0085586A">
        <w:rPr>
          <w:rStyle w:val="Refdenotaalpie"/>
          <w:color w:val="000000" w:themeColor="text1"/>
        </w:rPr>
        <w:footnoteRef/>
      </w:r>
      <w:r w:rsidRPr="0085586A">
        <w:rPr>
          <w:color w:val="000000" w:themeColor="text1"/>
        </w:rPr>
        <w:t xml:space="preserve"> </w:t>
      </w:r>
      <w:r w:rsidRPr="0085586A">
        <w:rPr>
          <w:color w:val="000000" w:themeColor="text1"/>
          <w:lang w:val="es-ES" w:eastAsia="es-ES"/>
        </w:rPr>
        <w:t>Los datos económicos del informe vienen expresados en millones de euros. Se ha efectuado un redondeo para mostrar dos decimales. Los datos representan siempre el redondeo de cada valor exacto y no la suma de datos redondeados. Los porcentajes también están calculados sobre los valores exactos y no sobre los redondeos.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B543" w14:textId="77777777" w:rsidR="00B9085A" w:rsidRDefault="00B9085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6BAA86C" wp14:editId="21DC31D2">
          <wp:extent cx="771525" cy="762000"/>
          <wp:effectExtent l="0" t="0" r="9525" b="0"/>
          <wp:docPr id="15" name="Imagen 1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3BB5C506" w14:textId="77777777" w:rsidR="00B9085A" w:rsidRPr="0059650E" w:rsidRDefault="00B9085A" w:rsidP="00891D73">
    <w:pPr>
      <w:pStyle w:val="Encabezado"/>
      <w:pBdr>
        <w:bottom w:val="single" w:sz="4" w:space="1" w:color="auto"/>
      </w:pBdr>
      <w:ind w:firstLine="0"/>
      <w:rPr>
        <w:lang w:val="es-ES"/>
      </w:rPr>
    </w:pPr>
    <w:r>
      <w:rPr>
        <w:lang w:val="es-ES"/>
      </w:rPr>
      <w:t xml:space="preserve">            informe de fiscalización SOBRE el sector público local de navarra, ejercicio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BE9F" w14:textId="77777777" w:rsidR="00B9085A" w:rsidRDefault="00B9085A" w:rsidP="006A2D41">
    <w:pPr>
      <w:pStyle w:val="Encabezado"/>
      <w:ind w:firstLine="0"/>
      <w:jc w:val="left"/>
    </w:pPr>
    <w:r>
      <w:rPr>
        <w:noProof/>
        <w:lang w:val="es-ES" w:eastAsia="es-ES"/>
      </w:rPr>
      <w:drawing>
        <wp:inline distT="0" distB="0" distL="0" distR="0" wp14:anchorId="04BE5196" wp14:editId="144C8877">
          <wp:extent cx="771525" cy="762000"/>
          <wp:effectExtent l="0" t="0" r="9525" b="0"/>
          <wp:docPr id="17" name="Imagen 1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8A55" w14:textId="77777777" w:rsidR="00B9085A" w:rsidRDefault="00B9085A"/>
  <w:p w14:paraId="03E88339" w14:textId="77777777" w:rsidR="00B9085A" w:rsidRDefault="00B9085A"/>
  <w:p w14:paraId="09FED8DC" w14:textId="77777777" w:rsidR="00B9085A" w:rsidRDefault="00B9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A42"/>
    <w:multiLevelType w:val="hybridMultilevel"/>
    <w:tmpl w:val="E6BA26A0"/>
    <w:lvl w:ilvl="0" w:tplc="2A462E34">
      <w:start w:val="1"/>
      <w:numFmt w:val="decimal"/>
      <w:lvlText w:val="(%1)"/>
      <w:lvlJc w:val="left"/>
      <w:pPr>
        <w:ind w:left="644" w:hanging="360"/>
      </w:pPr>
      <w:rPr>
        <w:rFonts w:hint="default"/>
        <w:i/>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7C83F35"/>
    <w:multiLevelType w:val="hybridMultilevel"/>
    <w:tmpl w:val="1FC04D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0" w15:restartNumberingAfterBreak="0">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1"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9460A3"/>
    <w:multiLevelType w:val="hybridMultilevel"/>
    <w:tmpl w:val="2786A03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519E7274"/>
    <w:multiLevelType w:val="hybridMultilevel"/>
    <w:tmpl w:val="5E960494"/>
    <w:lvl w:ilvl="0" w:tplc="B96C17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57AC33B9"/>
    <w:multiLevelType w:val="hybridMultilevel"/>
    <w:tmpl w:val="B18846F2"/>
    <w:lvl w:ilvl="0" w:tplc="428C510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17"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7003001F"/>
    <w:multiLevelType w:val="hybridMultilevel"/>
    <w:tmpl w:val="4F781162"/>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9" w15:restartNumberingAfterBreak="0">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20" w15:restartNumberingAfterBreak="0">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3"/>
  </w:num>
  <w:num w:numId="2">
    <w:abstractNumId w:val="16"/>
  </w:num>
  <w:num w:numId="3">
    <w:abstractNumId w:val="3"/>
  </w:num>
  <w:num w:numId="4">
    <w:abstractNumId w:val="11"/>
  </w:num>
  <w:num w:numId="5">
    <w:abstractNumId w:val="17"/>
  </w:num>
  <w:num w:numId="6">
    <w:abstractNumId w:val="3"/>
  </w:num>
  <w:num w:numId="7">
    <w:abstractNumId w:val="3"/>
  </w:num>
  <w:num w:numId="8">
    <w:abstractNumId w:val="3"/>
  </w:num>
  <w:num w:numId="9">
    <w:abstractNumId w:val="12"/>
  </w:num>
  <w:num w:numId="10">
    <w:abstractNumId w:val="6"/>
  </w:num>
  <w:num w:numId="11">
    <w:abstractNumId w:val="9"/>
  </w:num>
  <w:num w:numId="12">
    <w:abstractNumId w:val="18"/>
  </w:num>
  <w:num w:numId="13">
    <w:abstractNumId w:val="10"/>
  </w:num>
  <w:num w:numId="14">
    <w:abstractNumId w:val="21"/>
  </w:num>
  <w:num w:numId="15">
    <w:abstractNumId w:val="7"/>
  </w:num>
  <w:num w:numId="16">
    <w:abstractNumId w:val="2"/>
  </w:num>
  <w:num w:numId="17">
    <w:abstractNumId w:val="22"/>
  </w:num>
  <w:num w:numId="18">
    <w:abstractNumId w:val="1"/>
  </w:num>
  <w:num w:numId="19">
    <w:abstractNumId w:val="4"/>
  </w:num>
  <w:num w:numId="20">
    <w:abstractNumId w:val="20"/>
  </w:num>
  <w:num w:numId="21">
    <w:abstractNumId w:val="19"/>
  </w:num>
  <w:num w:numId="22">
    <w:abstractNumId w:val="5"/>
  </w:num>
  <w:num w:numId="23">
    <w:abstractNumId w:val="0"/>
  </w:num>
  <w:num w:numId="24">
    <w:abstractNumId w:val="8"/>
  </w:num>
  <w:num w:numId="25">
    <w:abstractNumId w:val="14"/>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5F"/>
    <w:rsid w:val="000019D8"/>
    <w:rsid w:val="00006736"/>
    <w:rsid w:val="00006A97"/>
    <w:rsid w:val="0000793A"/>
    <w:rsid w:val="0001123B"/>
    <w:rsid w:val="00012A7F"/>
    <w:rsid w:val="00017A3A"/>
    <w:rsid w:val="00017DCC"/>
    <w:rsid w:val="00032E3C"/>
    <w:rsid w:val="00033B8D"/>
    <w:rsid w:val="00033CB3"/>
    <w:rsid w:val="00036E42"/>
    <w:rsid w:val="00040389"/>
    <w:rsid w:val="0004373B"/>
    <w:rsid w:val="000448FA"/>
    <w:rsid w:val="00053A42"/>
    <w:rsid w:val="0005517D"/>
    <w:rsid w:val="0006133D"/>
    <w:rsid w:val="00063585"/>
    <w:rsid w:val="00071CD0"/>
    <w:rsid w:val="00074DF3"/>
    <w:rsid w:val="00075677"/>
    <w:rsid w:val="00075692"/>
    <w:rsid w:val="000874DF"/>
    <w:rsid w:val="00087B8D"/>
    <w:rsid w:val="00093D67"/>
    <w:rsid w:val="00093E60"/>
    <w:rsid w:val="000A18B7"/>
    <w:rsid w:val="000A253F"/>
    <w:rsid w:val="000A2C1E"/>
    <w:rsid w:val="000A3BD7"/>
    <w:rsid w:val="000A4697"/>
    <w:rsid w:val="000B0250"/>
    <w:rsid w:val="000B2291"/>
    <w:rsid w:val="000B2728"/>
    <w:rsid w:val="000B2C75"/>
    <w:rsid w:val="000B3943"/>
    <w:rsid w:val="000B4477"/>
    <w:rsid w:val="000C0704"/>
    <w:rsid w:val="000C2B07"/>
    <w:rsid w:val="000C379B"/>
    <w:rsid w:val="000C39CC"/>
    <w:rsid w:val="000C7566"/>
    <w:rsid w:val="000D188E"/>
    <w:rsid w:val="000D5335"/>
    <w:rsid w:val="000E7B86"/>
    <w:rsid w:val="000F2B66"/>
    <w:rsid w:val="000F3D83"/>
    <w:rsid w:val="00100383"/>
    <w:rsid w:val="00100F12"/>
    <w:rsid w:val="001023FA"/>
    <w:rsid w:val="00103589"/>
    <w:rsid w:val="001045C9"/>
    <w:rsid w:val="00107CC1"/>
    <w:rsid w:val="00111A92"/>
    <w:rsid w:val="001145C3"/>
    <w:rsid w:val="001161D2"/>
    <w:rsid w:val="00117107"/>
    <w:rsid w:val="00131DF1"/>
    <w:rsid w:val="00132C38"/>
    <w:rsid w:val="00133984"/>
    <w:rsid w:val="001365C4"/>
    <w:rsid w:val="0014147D"/>
    <w:rsid w:val="00141D29"/>
    <w:rsid w:val="00143206"/>
    <w:rsid w:val="0014506A"/>
    <w:rsid w:val="0014728F"/>
    <w:rsid w:val="001521A2"/>
    <w:rsid w:val="00152358"/>
    <w:rsid w:val="00155BFF"/>
    <w:rsid w:val="00160F66"/>
    <w:rsid w:val="00161A15"/>
    <w:rsid w:val="001633AF"/>
    <w:rsid w:val="00166A6C"/>
    <w:rsid w:val="001728D0"/>
    <w:rsid w:val="00173EDD"/>
    <w:rsid w:val="0017402B"/>
    <w:rsid w:val="00181D37"/>
    <w:rsid w:val="001835B7"/>
    <w:rsid w:val="0018426B"/>
    <w:rsid w:val="00185A37"/>
    <w:rsid w:val="00194309"/>
    <w:rsid w:val="00195193"/>
    <w:rsid w:val="0019660E"/>
    <w:rsid w:val="001A3CA1"/>
    <w:rsid w:val="001B39E2"/>
    <w:rsid w:val="001B6540"/>
    <w:rsid w:val="001C2B26"/>
    <w:rsid w:val="001C3A32"/>
    <w:rsid w:val="001C5C55"/>
    <w:rsid w:val="001C6B74"/>
    <w:rsid w:val="001D4F09"/>
    <w:rsid w:val="001E5CF2"/>
    <w:rsid w:val="001F1482"/>
    <w:rsid w:val="001F20D7"/>
    <w:rsid w:val="001F7744"/>
    <w:rsid w:val="002014EB"/>
    <w:rsid w:val="00202B1A"/>
    <w:rsid w:val="00203A6F"/>
    <w:rsid w:val="00204979"/>
    <w:rsid w:val="002070E0"/>
    <w:rsid w:val="00211D69"/>
    <w:rsid w:val="002179DB"/>
    <w:rsid w:val="00227824"/>
    <w:rsid w:val="00227E48"/>
    <w:rsid w:val="00230577"/>
    <w:rsid w:val="0023151B"/>
    <w:rsid w:val="0023159D"/>
    <w:rsid w:val="0023209D"/>
    <w:rsid w:val="002333F8"/>
    <w:rsid w:val="00233D79"/>
    <w:rsid w:val="00234ED3"/>
    <w:rsid w:val="00237657"/>
    <w:rsid w:val="00242BA7"/>
    <w:rsid w:val="002437B5"/>
    <w:rsid w:val="00244EF1"/>
    <w:rsid w:val="00246AA5"/>
    <w:rsid w:val="00246F21"/>
    <w:rsid w:val="0025084B"/>
    <w:rsid w:val="00253E78"/>
    <w:rsid w:val="002548FC"/>
    <w:rsid w:val="002602C1"/>
    <w:rsid w:val="00261DBA"/>
    <w:rsid w:val="00262228"/>
    <w:rsid w:val="00262C3C"/>
    <w:rsid w:val="0026436D"/>
    <w:rsid w:val="00264C88"/>
    <w:rsid w:val="0026532C"/>
    <w:rsid w:val="0026575D"/>
    <w:rsid w:val="002705B0"/>
    <w:rsid w:val="002717A6"/>
    <w:rsid w:val="00272015"/>
    <w:rsid w:val="00273C10"/>
    <w:rsid w:val="00274B4C"/>
    <w:rsid w:val="00276264"/>
    <w:rsid w:val="00280A00"/>
    <w:rsid w:val="00281DCA"/>
    <w:rsid w:val="00282AA4"/>
    <w:rsid w:val="002933DC"/>
    <w:rsid w:val="00297B04"/>
    <w:rsid w:val="002A056C"/>
    <w:rsid w:val="002A2D86"/>
    <w:rsid w:val="002A566F"/>
    <w:rsid w:val="002A66A5"/>
    <w:rsid w:val="002A6EBB"/>
    <w:rsid w:val="002B07D6"/>
    <w:rsid w:val="002B21E9"/>
    <w:rsid w:val="002B2B87"/>
    <w:rsid w:val="002B4E0F"/>
    <w:rsid w:val="002B5581"/>
    <w:rsid w:val="002B5754"/>
    <w:rsid w:val="002B693F"/>
    <w:rsid w:val="002C7026"/>
    <w:rsid w:val="002C7E08"/>
    <w:rsid w:val="002D089F"/>
    <w:rsid w:val="002D5635"/>
    <w:rsid w:val="002D65E8"/>
    <w:rsid w:val="002D7D32"/>
    <w:rsid w:val="002E02E5"/>
    <w:rsid w:val="002E0478"/>
    <w:rsid w:val="002E0791"/>
    <w:rsid w:val="002E1B92"/>
    <w:rsid w:val="002E3924"/>
    <w:rsid w:val="002E7B81"/>
    <w:rsid w:val="002F09FB"/>
    <w:rsid w:val="002F0FE3"/>
    <w:rsid w:val="002F1AF0"/>
    <w:rsid w:val="002F2530"/>
    <w:rsid w:val="002F272A"/>
    <w:rsid w:val="002F3225"/>
    <w:rsid w:val="002F53B4"/>
    <w:rsid w:val="002F5F1D"/>
    <w:rsid w:val="002F76D6"/>
    <w:rsid w:val="00303506"/>
    <w:rsid w:val="00307057"/>
    <w:rsid w:val="00310031"/>
    <w:rsid w:val="00312819"/>
    <w:rsid w:val="00312E9C"/>
    <w:rsid w:val="00313875"/>
    <w:rsid w:val="00314FFC"/>
    <w:rsid w:val="003203BF"/>
    <w:rsid w:val="003208AF"/>
    <w:rsid w:val="00321369"/>
    <w:rsid w:val="00327081"/>
    <w:rsid w:val="00330787"/>
    <w:rsid w:val="00331165"/>
    <w:rsid w:val="00337493"/>
    <w:rsid w:val="0034285F"/>
    <w:rsid w:val="00343969"/>
    <w:rsid w:val="003464A4"/>
    <w:rsid w:val="00351684"/>
    <w:rsid w:val="00354458"/>
    <w:rsid w:val="00363653"/>
    <w:rsid w:val="0036509D"/>
    <w:rsid w:val="00366DA8"/>
    <w:rsid w:val="0037228C"/>
    <w:rsid w:val="0037325A"/>
    <w:rsid w:val="003738FD"/>
    <w:rsid w:val="003810BE"/>
    <w:rsid w:val="00386F6C"/>
    <w:rsid w:val="00387709"/>
    <w:rsid w:val="0038773E"/>
    <w:rsid w:val="00387794"/>
    <w:rsid w:val="00392D2A"/>
    <w:rsid w:val="00397162"/>
    <w:rsid w:val="003A335E"/>
    <w:rsid w:val="003A3DD2"/>
    <w:rsid w:val="003B3573"/>
    <w:rsid w:val="003B5813"/>
    <w:rsid w:val="003C03EA"/>
    <w:rsid w:val="003C196B"/>
    <w:rsid w:val="003C6E1D"/>
    <w:rsid w:val="003D058C"/>
    <w:rsid w:val="003D58AB"/>
    <w:rsid w:val="003D76B1"/>
    <w:rsid w:val="003E17A6"/>
    <w:rsid w:val="003E4AA5"/>
    <w:rsid w:val="003F1CEC"/>
    <w:rsid w:val="003F43BF"/>
    <w:rsid w:val="003F6BE4"/>
    <w:rsid w:val="00403CF8"/>
    <w:rsid w:val="004054B3"/>
    <w:rsid w:val="00407459"/>
    <w:rsid w:val="00414D01"/>
    <w:rsid w:val="004160D8"/>
    <w:rsid w:val="004170FE"/>
    <w:rsid w:val="004209E6"/>
    <w:rsid w:val="00422348"/>
    <w:rsid w:val="0042324B"/>
    <w:rsid w:val="004234E8"/>
    <w:rsid w:val="00426805"/>
    <w:rsid w:val="00430150"/>
    <w:rsid w:val="004302F9"/>
    <w:rsid w:val="0043229B"/>
    <w:rsid w:val="00433C0C"/>
    <w:rsid w:val="00434450"/>
    <w:rsid w:val="00435287"/>
    <w:rsid w:val="00436007"/>
    <w:rsid w:val="00440A22"/>
    <w:rsid w:val="00451107"/>
    <w:rsid w:val="004540DF"/>
    <w:rsid w:val="0045550E"/>
    <w:rsid w:val="004561B9"/>
    <w:rsid w:val="00456456"/>
    <w:rsid w:val="00457255"/>
    <w:rsid w:val="00460A76"/>
    <w:rsid w:val="00461587"/>
    <w:rsid w:val="00462367"/>
    <w:rsid w:val="0046490C"/>
    <w:rsid w:val="00466715"/>
    <w:rsid w:val="00470287"/>
    <w:rsid w:val="00470733"/>
    <w:rsid w:val="00474353"/>
    <w:rsid w:val="00477C53"/>
    <w:rsid w:val="00485380"/>
    <w:rsid w:val="004859D2"/>
    <w:rsid w:val="00485DA5"/>
    <w:rsid w:val="004868B2"/>
    <w:rsid w:val="00490E6A"/>
    <w:rsid w:val="00493D87"/>
    <w:rsid w:val="004950D4"/>
    <w:rsid w:val="004A0506"/>
    <w:rsid w:val="004A2342"/>
    <w:rsid w:val="004A2F62"/>
    <w:rsid w:val="004B1DB8"/>
    <w:rsid w:val="004B2F01"/>
    <w:rsid w:val="004B361F"/>
    <w:rsid w:val="004B4060"/>
    <w:rsid w:val="004B4182"/>
    <w:rsid w:val="004B4538"/>
    <w:rsid w:val="004B6FB6"/>
    <w:rsid w:val="004C334E"/>
    <w:rsid w:val="004C3423"/>
    <w:rsid w:val="004C571D"/>
    <w:rsid w:val="004C5C5D"/>
    <w:rsid w:val="004D35A2"/>
    <w:rsid w:val="004D5FD1"/>
    <w:rsid w:val="004F7C93"/>
    <w:rsid w:val="00502251"/>
    <w:rsid w:val="00506105"/>
    <w:rsid w:val="00513162"/>
    <w:rsid w:val="00521EBA"/>
    <w:rsid w:val="00525809"/>
    <w:rsid w:val="00527F65"/>
    <w:rsid w:val="0053393E"/>
    <w:rsid w:val="00535130"/>
    <w:rsid w:val="00537302"/>
    <w:rsid w:val="005434E5"/>
    <w:rsid w:val="0055496B"/>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2FD1"/>
    <w:rsid w:val="005862AF"/>
    <w:rsid w:val="005907A1"/>
    <w:rsid w:val="00595E80"/>
    <w:rsid w:val="0059650E"/>
    <w:rsid w:val="00596953"/>
    <w:rsid w:val="005A6030"/>
    <w:rsid w:val="005A7814"/>
    <w:rsid w:val="005B091A"/>
    <w:rsid w:val="005B57AD"/>
    <w:rsid w:val="005B722E"/>
    <w:rsid w:val="005C02FE"/>
    <w:rsid w:val="005C50AC"/>
    <w:rsid w:val="005C6406"/>
    <w:rsid w:val="005C6682"/>
    <w:rsid w:val="005C7B45"/>
    <w:rsid w:val="005D57AE"/>
    <w:rsid w:val="005D69D1"/>
    <w:rsid w:val="005E210D"/>
    <w:rsid w:val="005E4343"/>
    <w:rsid w:val="005F2425"/>
    <w:rsid w:val="005F5EC7"/>
    <w:rsid w:val="005F7207"/>
    <w:rsid w:val="005F7FCF"/>
    <w:rsid w:val="00602902"/>
    <w:rsid w:val="00607691"/>
    <w:rsid w:val="0061062C"/>
    <w:rsid w:val="00613183"/>
    <w:rsid w:val="006133F0"/>
    <w:rsid w:val="00616888"/>
    <w:rsid w:val="006176BE"/>
    <w:rsid w:val="006212CB"/>
    <w:rsid w:val="006279F9"/>
    <w:rsid w:val="00633BB6"/>
    <w:rsid w:val="006369EE"/>
    <w:rsid w:val="0064097E"/>
    <w:rsid w:val="0064700E"/>
    <w:rsid w:val="00650183"/>
    <w:rsid w:val="00650677"/>
    <w:rsid w:val="00657326"/>
    <w:rsid w:val="0066233D"/>
    <w:rsid w:val="00662B56"/>
    <w:rsid w:val="00665642"/>
    <w:rsid w:val="006736A9"/>
    <w:rsid w:val="00673BC7"/>
    <w:rsid w:val="00674975"/>
    <w:rsid w:val="00675D39"/>
    <w:rsid w:val="0068560B"/>
    <w:rsid w:val="006A1277"/>
    <w:rsid w:val="006A2602"/>
    <w:rsid w:val="006A2D41"/>
    <w:rsid w:val="006A67E1"/>
    <w:rsid w:val="006A6C4E"/>
    <w:rsid w:val="006C36FB"/>
    <w:rsid w:val="006C7D62"/>
    <w:rsid w:val="006D0B23"/>
    <w:rsid w:val="006D0C4A"/>
    <w:rsid w:val="006D2ED6"/>
    <w:rsid w:val="006D5685"/>
    <w:rsid w:val="006E1987"/>
    <w:rsid w:val="006E23B2"/>
    <w:rsid w:val="006E5207"/>
    <w:rsid w:val="006E610D"/>
    <w:rsid w:val="006F00A7"/>
    <w:rsid w:val="006F2195"/>
    <w:rsid w:val="006F2D94"/>
    <w:rsid w:val="006F5C70"/>
    <w:rsid w:val="006F6A20"/>
    <w:rsid w:val="00703FB3"/>
    <w:rsid w:val="007047B2"/>
    <w:rsid w:val="00704DE7"/>
    <w:rsid w:val="00706868"/>
    <w:rsid w:val="007078B8"/>
    <w:rsid w:val="00707B7B"/>
    <w:rsid w:val="00715E32"/>
    <w:rsid w:val="007162D1"/>
    <w:rsid w:val="00716463"/>
    <w:rsid w:val="0071706E"/>
    <w:rsid w:val="00723826"/>
    <w:rsid w:val="00727292"/>
    <w:rsid w:val="0073138B"/>
    <w:rsid w:val="00733DD5"/>
    <w:rsid w:val="00736897"/>
    <w:rsid w:val="00742B1B"/>
    <w:rsid w:val="00742F6A"/>
    <w:rsid w:val="007446E8"/>
    <w:rsid w:val="007447E2"/>
    <w:rsid w:val="00751553"/>
    <w:rsid w:val="0075165E"/>
    <w:rsid w:val="00752A05"/>
    <w:rsid w:val="00753112"/>
    <w:rsid w:val="00754E10"/>
    <w:rsid w:val="00760196"/>
    <w:rsid w:val="007603F0"/>
    <w:rsid w:val="007629CD"/>
    <w:rsid w:val="00762A29"/>
    <w:rsid w:val="0076327D"/>
    <w:rsid w:val="00763524"/>
    <w:rsid w:val="00767745"/>
    <w:rsid w:val="007707FC"/>
    <w:rsid w:val="00770BE3"/>
    <w:rsid w:val="0077177A"/>
    <w:rsid w:val="007728A8"/>
    <w:rsid w:val="00775915"/>
    <w:rsid w:val="00785A76"/>
    <w:rsid w:val="00787852"/>
    <w:rsid w:val="007915BC"/>
    <w:rsid w:val="007967FA"/>
    <w:rsid w:val="00797E7A"/>
    <w:rsid w:val="007A0EA6"/>
    <w:rsid w:val="007A2D9E"/>
    <w:rsid w:val="007A717F"/>
    <w:rsid w:val="007B0381"/>
    <w:rsid w:val="007B097F"/>
    <w:rsid w:val="007B0CFC"/>
    <w:rsid w:val="007B0F3D"/>
    <w:rsid w:val="007B148D"/>
    <w:rsid w:val="007B18C8"/>
    <w:rsid w:val="007B28DE"/>
    <w:rsid w:val="007B7A5F"/>
    <w:rsid w:val="007C36BE"/>
    <w:rsid w:val="007C37EE"/>
    <w:rsid w:val="007C6BBC"/>
    <w:rsid w:val="007D53ED"/>
    <w:rsid w:val="007D6001"/>
    <w:rsid w:val="007D7F94"/>
    <w:rsid w:val="007E1B76"/>
    <w:rsid w:val="007E219A"/>
    <w:rsid w:val="007E37BF"/>
    <w:rsid w:val="007E5A67"/>
    <w:rsid w:val="007E6593"/>
    <w:rsid w:val="007F0D71"/>
    <w:rsid w:val="007F1101"/>
    <w:rsid w:val="007F2CB1"/>
    <w:rsid w:val="00803D20"/>
    <w:rsid w:val="008112A0"/>
    <w:rsid w:val="0081696D"/>
    <w:rsid w:val="00816E01"/>
    <w:rsid w:val="008173D0"/>
    <w:rsid w:val="0082013A"/>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5380F"/>
    <w:rsid w:val="0085586A"/>
    <w:rsid w:val="008579E5"/>
    <w:rsid w:val="008600C7"/>
    <w:rsid w:val="008617D0"/>
    <w:rsid w:val="00861A60"/>
    <w:rsid w:val="00862357"/>
    <w:rsid w:val="00862D02"/>
    <w:rsid w:val="008637B9"/>
    <w:rsid w:val="00863ED5"/>
    <w:rsid w:val="00864194"/>
    <w:rsid w:val="00865FA4"/>
    <w:rsid w:val="00870399"/>
    <w:rsid w:val="008711EC"/>
    <w:rsid w:val="008718FE"/>
    <w:rsid w:val="00872946"/>
    <w:rsid w:val="00874B65"/>
    <w:rsid w:val="0088085F"/>
    <w:rsid w:val="00883928"/>
    <w:rsid w:val="00883DDE"/>
    <w:rsid w:val="00887997"/>
    <w:rsid w:val="00891D73"/>
    <w:rsid w:val="00892A44"/>
    <w:rsid w:val="008A2DE8"/>
    <w:rsid w:val="008A2F96"/>
    <w:rsid w:val="008A312D"/>
    <w:rsid w:val="008A3E09"/>
    <w:rsid w:val="008A3E57"/>
    <w:rsid w:val="008A5DF5"/>
    <w:rsid w:val="008A77A7"/>
    <w:rsid w:val="008B3F34"/>
    <w:rsid w:val="008C56B9"/>
    <w:rsid w:val="008D05E0"/>
    <w:rsid w:val="008D2600"/>
    <w:rsid w:val="008D7C40"/>
    <w:rsid w:val="008E0AC0"/>
    <w:rsid w:val="008E16E7"/>
    <w:rsid w:val="008E221A"/>
    <w:rsid w:val="008E3FFE"/>
    <w:rsid w:val="008E60BE"/>
    <w:rsid w:val="008E6B74"/>
    <w:rsid w:val="008F0FAF"/>
    <w:rsid w:val="008F46CD"/>
    <w:rsid w:val="008F6480"/>
    <w:rsid w:val="008F7740"/>
    <w:rsid w:val="00900CA2"/>
    <w:rsid w:val="00903653"/>
    <w:rsid w:val="00910A52"/>
    <w:rsid w:val="00911479"/>
    <w:rsid w:val="0091484D"/>
    <w:rsid w:val="00923043"/>
    <w:rsid w:val="00925E71"/>
    <w:rsid w:val="0093329F"/>
    <w:rsid w:val="009361CC"/>
    <w:rsid w:val="009368EA"/>
    <w:rsid w:val="00937043"/>
    <w:rsid w:val="009445D3"/>
    <w:rsid w:val="00944DBF"/>
    <w:rsid w:val="00945580"/>
    <w:rsid w:val="009544C7"/>
    <w:rsid w:val="00955A8A"/>
    <w:rsid w:val="00956974"/>
    <w:rsid w:val="0095705D"/>
    <w:rsid w:val="0096400D"/>
    <w:rsid w:val="00965C64"/>
    <w:rsid w:val="00966600"/>
    <w:rsid w:val="009671D9"/>
    <w:rsid w:val="00971352"/>
    <w:rsid w:val="00975E5B"/>
    <w:rsid w:val="00977C8F"/>
    <w:rsid w:val="00977F94"/>
    <w:rsid w:val="009810AC"/>
    <w:rsid w:val="009861B8"/>
    <w:rsid w:val="009863E9"/>
    <w:rsid w:val="00992E20"/>
    <w:rsid w:val="009936FC"/>
    <w:rsid w:val="00993925"/>
    <w:rsid w:val="00993977"/>
    <w:rsid w:val="009A05D1"/>
    <w:rsid w:val="009A28AC"/>
    <w:rsid w:val="009A3A5B"/>
    <w:rsid w:val="009A3F2A"/>
    <w:rsid w:val="009A521B"/>
    <w:rsid w:val="009B0993"/>
    <w:rsid w:val="009B216E"/>
    <w:rsid w:val="009B2AAC"/>
    <w:rsid w:val="009B3521"/>
    <w:rsid w:val="009B541C"/>
    <w:rsid w:val="009B7AA5"/>
    <w:rsid w:val="009C4460"/>
    <w:rsid w:val="009D024C"/>
    <w:rsid w:val="009D2FED"/>
    <w:rsid w:val="009D3ACE"/>
    <w:rsid w:val="009D7192"/>
    <w:rsid w:val="009E0E38"/>
    <w:rsid w:val="009E1A35"/>
    <w:rsid w:val="009F09AA"/>
    <w:rsid w:val="009F2C16"/>
    <w:rsid w:val="009F2C1B"/>
    <w:rsid w:val="009F335C"/>
    <w:rsid w:val="009F4235"/>
    <w:rsid w:val="00A002B5"/>
    <w:rsid w:val="00A005AA"/>
    <w:rsid w:val="00A0260C"/>
    <w:rsid w:val="00A041B5"/>
    <w:rsid w:val="00A04F8C"/>
    <w:rsid w:val="00A05158"/>
    <w:rsid w:val="00A07973"/>
    <w:rsid w:val="00A13BF5"/>
    <w:rsid w:val="00A14837"/>
    <w:rsid w:val="00A20762"/>
    <w:rsid w:val="00A225E3"/>
    <w:rsid w:val="00A22908"/>
    <w:rsid w:val="00A23A26"/>
    <w:rsid w:val="00A24A8F"/>
    <w:rsid w:val="00A25708"/>
    <w:rsid w:val="00A25BF0"/>
    <w:rsid w:val="00A3026E"/>
    <w:rsid w:val="00A357D9"/>
    <w:rsid w:val="00A4576A"/>
    <w:rsid w:val="00A45948"/>
    <w:rsid w:val="00A45AD0"/>
    <w:rsid w:val="00A45EE9"/>
    <w:rsid w:val="00A53C14"/>
    <w:rsid w:val="00A54021"/>
    <w:rsid w:val="00A60044"/>
    <w:rsid w:val="00A61410"/>
    <w:rsid w:val="00A6198A"/>
    <w:rsid w:val="00A646BD"/>
    <w:rsid w:val="00A65108"/>
    <w:rsid w:val="00A7067F"/>
    <w:rsid w:val="00A707A7"/>
    <w:rsid w:val="00A7090C"/>
    <w:rsid w:val="00A718FD"/>
    <w:rsid w:val="00A72008"/>
    <w:rsid w:val="00A72341"/>
    <w:rsid w:val="00A72CB5"/>
    <w:rsid w:val="00A75F97"/>
    <w:rsid w:val="00A776ED"/>
    <w:rsid w:val="00A77D09"/>
    <w:rsid w:val="00A80E50"/>
    <w:rsid w:val="00A8137F"/>
    <w:rsid w:val="00A83663"/>
    <w:rsid w:val="00A83B0F"/>
    <w:rsid w:val="00A84216"/>
    <w:rsid w:val="00A90BFA"/>
    <w:rsid w:val="00A92BF3"/>
    <w:rsid w:val="00A942F8"/>
    <w:rsid w:val="00A943C8"/>
    <w:rsid w:val="00A950A4"/>
    <w:rsid w:val="00A9520D"/>
    <w:rsid w:val="00A96563"/>
    <w:rsid w:val="00A9747D"/>
    <w:rsid w:val="00AA00A6"/>
    <w:rsid w:val="00AA27EA"/>
    <w:rsid w:val="00AA5E6C"/>
    <w:rsid w:val="00AA6BA8"/>
    <w:rsid w:val="00AA7F5A"/>
    <w:rsid w:val="00AB2340"/>
    <w:rsid w:val="00AB5C2A"/>
    <w:rsid w:val="00AB5FE4"/>
    <w:rsid w:val="00AB659D"/>
    <w:rsid w:val="00AC229F"/>
    <w:rsid w:val="00AC2646"/>
    <w:rsid w:val="00AC3578"/>
    <w:rsid w:val="00AD7671"/>
    <w:rsid w:val="00AE53E8"/>
    <w:rsid w:val="00AE6FE4"/>
    <w:rsid w:val="00AE74C5"/>
    <w:rsid w:val="00AF2059"/>
    <w:rsid w:val="00AF3D84"/>
    <w:rsid w:val="00AF4161"/>
    <w:rsid w:val="00AF580B"/>
    <w:rsid w:val="00B007C8"/>
    <w:rsid w:val="00B03B85"/>
    <w:rsid w:val="00B14410"/>
    <w:rsid w:val="00B15E61"/>
    <w:rsid w:val="00B17157"/>
    <w:rsid w:val="00B24F35"/>
    <w:rsid w:val="00B32C88"/>
    <w:rsid w:val="00B33587"/>
    <w:rsid w:val="00B34747"/>
    <w:rsid w:val="00B42E49"/>
    <w:rsid w:val="00B50903"/>
    <w:rsid w:val="00B62FFE"/>
    <w:rsid w:val="00B65013"/>
    <w:rsid w:val="00B70238"/>
    <w:rsid w:val="00B7123A"/>
    <w:rsid w:val="00B7435C"/>
    <w:rsid w:val="00B76F38"/>
    <w:rsid w:val="00B8085D"/>
    <w:rsid w:val="00B81EFF"/>
    <w:rsid w:val="00B836BB"/>
    <w:rsid w:val="00B84122"/>
    <w:rsid w:val="00B862B0"/>
    <w:rsid w:val="00B9085A"/>
    <w:rsid w:val="00B9733A"/>
    <w:rsid w:val="00BA2B7C"/>
    <w:rsid w:val="00BB142A"/>
    <w:rsid w:val="00BB34B9"/>
    <w:rsid w:val="00BB35C2"/>
    <w:rsid w:val="00BB553B"/>
    <w:rsid w:val="00BC28D7"/>
    <w:rsid w:val="00BC376C"/>
    <w:rsid w:val="00BC6321"/>
    <w:rsid w:val="00BC7817"/>
    <w:rsid w:val="00BD33B6"/>
    <w:rsid w:val="00BD3819"/>
    <w:rsid w:val="00BD5242"/>
    <w:rsid w:val="00BD642D"/>
    <w:rsid w:val="00BD6988"/>
    <w:rsid w:val="00BD79ED"/>
    <w:rsid w:val="00BE1A77"/>
    <w:rsid w:val="00BE4742"/>
    <w:rsid w:val="00BE7383"/>
    <w:rsid w:val="00BE754D"/>
    <w:rsid w:val="00BF1DB9"/>
    <w:rsid w:val="00BF6D10"/>
    <w:rsid w:val="00BF6E79"/>
    <w:rsid w:val="00C03F6C"/>
    <w:rsid w:val="00C12108"/>
    <w:rsid w:val="00C121D9"/>
    <w:rsid w:val="00C13453"/>
    <w:rsid w:val="00C1366A"/>
    <w:rsid w:val="00C13CE1"/>
    <w:rsid w:val="00C21108"/>
    <w:rsid w:val="00C220F9"/>
    <w:rsid w:val="00C24098"/>
    <w:rsid w:val="00C2541C"/>
    <w:rsid w:val="00C26862"/>
    <w:rsid w:val="00C30458"/>
    <w:rsid w:val="00C31DA6"/>
    <w:rsid w:val="00C33260"/>
    <w:rsid w:val="00C4598F"/>
    <w:rsid w:val="00C50360"/>
    <w:rsid w:val="00C54E12"/>
    <w:rsid w:val="00C55468"/>
    <w:rsid w:val="00C6085C"/>
    <w:rsid w:val="00C622C3"/>
    <w:rsid w:val="00C63BD5"/>
    <w:rsid w:val="00C66CB1"/>
    <w:rsid w:val="00C71D1A"/>
    <w:rsid w:val="00C74906"/>
    <w:rsid w:val="00C7553E"/>
    <w:rsid w:val="00C762E6"/>
    <w:rsid w:val="00C81B40"/>
    <w:rsid w:val="00C81FEA"/>
    <w:rsid w:val="00C83969"/>
    <w:rsid w:val="00C83E40"/>
    <w:rsid w:val="00C86C95"/>
    <w:rsid w:val="00C965E4"/>
    <w:rsid w:val="00CA05EB"/>
    <w:rsid w:val="00CA3515"/>
    <w:rsid w:val="00CA3A05"/>
    <w:rsid w:val="00CA4FBF"/>
    <w:rsid w:val="00CB14E9"/>
    <w:rsid w:val="00CB6D90"/>
    <w:rsid w:val="00CB72C3"/>
    <w:rsid w:val="00CC21F4"/>
    <w:rsid w:val="00CC45E4"/>
    <w:rsid w:val="00CD019F"/>
    <w:rsid w:val="00CD27C5"/>
    <w:rsid w:val="00CE01B8"/>
    <w:rsid w:val="00CE4169"/>
    <w:rsid w:val="00CE5750"/>
    <w:rsid w:val="00CE6C44"/>
    <w:rsid w:val="00CE7894"/>
    <w:rsid w:val="00CF06A1"/>
    <w:rsid w:val="00CF1467"/>
    <w:rsid w:val="00CF48D6"/>
    <w:rsid w:val="00CF57D6"/>
    <w:rsid w:val="00CF6C1B"/>
    <w:rsid w:val="00CF6E96"/>
    <w:rsid w:val="00D019D5"/>
    <w:rsid w:val="00D040FE"/>
    <w:rsid w:val="00D0601E"/>
    <w:rsid w:val="00D105E7"/>
    <w:rsid w:val="00D168FD"/>
    <w:rsid w:val="00D16F64"/>
    <w:rsid w:val="00D2472C"/>
    <w:rsid w:val="00D279BA"/>
    <w:rsid w:val="00D37822"/>
    <w:rsid w:val="00D404B5"/>
    <w:rsid w:val="00D42203"/>
    <w:rsid w:val="00D4444C"/>
    <w:rsid w:val="00D44657"/>
    <w:rsid w:val="00D447CB"/>
    <w:rsid w:val="00D458DE"/>
    <w:rsid w:val="00D47D16"/>
    <w:rsid w:val="00D505F4"/>
    <w:rsid w:val="00D51CE1"/>
    <w:rsid w:val="00D54D57"/>
    <w:rsid w:val="00D562F2"/>
    <w:rsid w:val="00D61B93"/>
    <w:rsid w:val="00D67E4A"/>
    <w:rsid w:val="00D763FD"/>
    <w:rsid w:val="00D809C2"/>
    <w:rsid w:val="00D90AD1"/>
    <w:rsid w:val="00D941F7"/>
    <w:rsid w:val="00D96D3F"/>
    <w:rsid w:val="00DA4DDF"/>
    <w:rsid w:val="00DB0804"/>
    <w:rsid w:val="00DB2FC4"/>
    <w:rsid w:val="00DB6EDE"/>
    <w:rsid w:val="00DC382A"/>
    <w:rsid w:val="00DD1FA9"/>
    <w:rsid w:val="00DE1923"/>
    <w:rsid w:val="00DE2B33"/>
    <w:rsid w:val="00DE309A"/>
    <w:rsid w:val="00DE492F"/>
    <w:rsid w:val="00DE60B7"/>
    <w:rsid w:val="00DE638B"/>
    <w:rsid w:val="00DE72EE"/>
    <w:rsid w:val="00DF37E5"/>
    <w:rsid w:val="00DF53D9"/>
    <w:rsid w:val="00E029EF"/>
    <w:rsid w:val="00E034FE"/>
    <w:rsid w:val="00E03B06"/>
    <w:rsid w:val="00E041E5"/>
    <w:rsid w:val="00E04888"/>
    <w:rsid w:val="00E0763B"/>
    <w:rsid w:val="00E10302"/>
    <w:rsid w:val="00E1352C"/>
    <w:rsid w:val="00E17EC5"/>
    <w:rsid w:val="00E26BFD"/>
    <w:rsid w:val="00E27E90"/>
    <w:rsid w:val="00E33D02"/>
    <w:rsid w:val="00E34F2C"/>
    <w:rsid w:val="00E35BF3"/>
    <w:rsid w:val="00E35D79"/>
    <w:rsid w:val="00E36872"/>
    <w:rsid w:val="00E4641E"/>
    <w:rsid w:val="00E519AE"/>
    <w:rsid w:val="00E57AF7"/>
    <w:rsid w:val="00E6241B"/>
    <w:rsid w:val="00E63EE0"/>
    <w:rsid w:val="00E64FCC"/>
    <w:rsid w:val="00E6778A"/>
    <w:rsid w:val="00E703B6"/>
    <w:rsid w:val="00E72200"/>
    <w:rsid w:val="00E72B1B"/>
    <w:rsid w:val="00E75D47"/>
    <w:rsid w:val="00E766F5"/>
    <w:rsid w:val="00E82948"/>
    <w:rsid w:val="00E90218"/>
    <w:rsid w:val="00E913BB"/>
    <w:rsid w:val="00E95F2E"/>
    <w:rsid w:val="00E96821"/>
    <w:rsid w:val="00EA005B"/>
    <w:rsid w:val="00EA1508"/>
    <w:rsid w:val="00EA1541"/>
    <w:rsid w:val="00EA1A84"/>
    <w:rsid w:val="00EA32E4"/>
    <w:rsid w:val="00EA78B4"/>
    <w:rsid w:val="00EA7E36"/>
    <w:rsid w:val="00EB0898"/>
    <w:rsid w:val="00EB3A45"/>
    <w:rsid w:val="00EB627B"/>
    <w:rsid w:val="00EB6D94"/>
    <w:rsid w:val="00EC4183"/>
    <w:rsid w:val="00EC6468"/>
    <w:rsid w:val="00EC6708"/>
    <w:rsid w:val="00ED207C"/>
    <w:rsid w:val="00ED21C8"/>
    <w:rsid w:val="00ED325A"/>
    <w:rsid w:val="00ED3F41"/>
    <w:rsid w:val="00ED5615"/>
    <w:rsid w:val="00ED692E"/>
    <w:rsid w:val="00ED69AF"/>
    <w:rsid w:val="00EE1847"/>
    <w:rsid w:val="00EE240E"/>
    <w:rsid w:val="00EE688E"/>
    <w:rsid w:val="00EE6A6D"/>
    <w:rsid w:val="00EF03E2"/>
    <w:rsid w:val="00EF12C2"/>
    <w:rsid w:val="00EF73A5"/>
    <w:rsid w:val="00EF7F8B"/>
    <w:rsid w:val="00F00F8C"/>
    <w:rsid w:val="00F03814"/>
    <w:rsid w:val="00F05342"/>
    <w:rsid w:val="00F07A09"/>
    <w:rsid w:val="00F1390C"/>
    <w:rsid w:val="00F14D98"/>
    <w:rsid w:val="00F20C5E"/>
    <w:rsid w:val="00F212BF"/>
    <w:rsid w:val="00F26F85"/>
    <w:rsid w:val="00F32439"/>
    <w:rsid w:val="00F36A1D"/>
    <w:rsid w:val="00F41308"/>
    <w:rsid w:val="00F41705"/>
    <w:rsid w:val="00F44278"/>
    <w:rsid w:val="00F4617C"/>
    <w:rsid w:val="00F51B65"/>
    <w:rsid w:val="00F52AAB"/>
    <w:rsid w:val="00F52EB6"/>
    <w:rsid w:val="00F55260"/>
    <w:rsid w:val="00F6316B"/>
    <w:rsid w:val="00F65AE0"/>
    <w:rsid w:val="00F74E38"/>
    <w:rsid w:val="00F7590F"/>
    <w:rsid w:val="00F76D6F"/>
    <w:rsid w:val="00F778B0"/>
    <w:rsid w:val="00F81771"/>
    <w:rsid w:val="00F829E8"/>
    <w:rsid w:val="00F83BC2"/>
    <w:rsid w:val="00F92EC1"/>
    <w:rsid w:val="00F94C47"/>
    <w:rsid w:val="00FA0421"/>
    <w:rsid w:val="00FA239F"/>
    <w:rsid w:val="00FA3389"/>
    <w:rsid w:val="00FA3476"/>
    <w:rsid w:val="00FA495F"/>
    <w:rsid w:val="00FB0C10"/>
    <w:rsid w:val="00FB3C36"/>
    <w:rsid w:val="00FB4280"/>
    <w:rsid w:val="00FB7CCE"/>
    <w:rsid w:val="00FC01C8"/>
    <w:rsid w:val="00FC5027"/>
    <w:rsid w:val="00FC50C7"/>
    <w:rsid w:val="00FC511D"/>
    <w:rsid w:val="00FC68BC"/>
    <w:rsid w:val="00FD093B"/>
    <w:rsid w:val="00FD11D4"/>
    <w:rsid w:val="00FD1955"/>
    <w:rsid w:val="00FD225D"/>
    <w:rsid w:val="00FD2384"/>
    <w:rsid w:val="00FD5739"/>
    <w:rsid w:val="00FE3101"/>
    <w:rsid w:val="00FE452E"/>
    <w:rsid w:val="00FE4FE4"/>
    <w:rsid w:val="00FF1764"/>
    <w:rsid w:val="00FF4275"/>
    <w:rsid w:val="00FF4A4C"/>
    <w:rsid w:val="00FF4C15"/>
    <w:rsid w:val="00FF7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50735F1"/>
  <w15:docId w15:val="{469B2E89-4657-40D9-8446-92AD8044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85380F"/>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88085F"/>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88085F"/>
    <w:rPr>
      <w:rFonts w:ascii="Arial" w:hAnsi="Arial"/>
      <w:bCs/>
      <w:iCs/>
      <w:color w:val="000000"/>
      <w:spacing w:val="10"/>
      <w:kern w:val="28"/>
      <w:sz w:val="25"/>
      <w:szCs w:val="26"/>
      <w:lang w:val="es-ES_tradnl" w:eastAsia="en-US"/>
    </w:rPr>
  </w:style>
  <w:style w:type="paragraph" w:styleId="Prrafodelista">
    <w:name w:val="List Paragraph"/>
    <w:basedOn w:val="Normal"/>
    <w:uiPriority w:val="99"/>
    <w:qFormat/>
    <w:rsid w:val="0088085F"/>
    <w:pPr>
      <w:spacing w:after="0"/>
      <w:ind w:left="720" w:firstLine="0"/>
      <w:contextualSpacing/>
      <w:jc w:val="left"/>
    </w:pPr>
  </w:style>
  <w:style w:type="character" w:customStyle="1" w:styleId="PiedepginaCar">
    <w:name w:val="Pie de página Car"/>
    <w:basedOn w:val="Fuentedeprrafopredeter"/>
    <w:link w:val="Piedepgina"/>
    <w:rsid w:val="0088085F"/>
    <w:rPr>
      <w:spacing w:val="6"/>
      <w:lang w:val="es-ES_tradnl" w:eastAsia="en-US"/>
    </w:rPr>
  </w:style>
  <w:style w:type="character" w:customStyle="1" w:styleId="Ttulo5Car">
    <w:name w:val="Título 5 Car"/>
    <w:basedOn w:val="Fuentedeprrafopredeter"/>
    <w:link w:val="Ttulo5"/>
    <w:uiPriority w:val="99"/>
    <w:rsid w:val="0088085F"/>
    <w:rPr>
      <w:b/>
      <w:sz w:val="28"/>
      <w:lang w:eastAsia="en-US"/>
    </w:rPr>
  </w:style>
  <w:style w:type="character" w:customStyle="1" w:styleId="markedcontent">
    <w:name w:val="markedcontent"/>
    <w:basedOn w:val="Fuentedeprrafopredeter"/>
    <w:rsid w:val="0088085F"/>
  </w:style>
  <w:style w:type="paragraph" w:styleId="Textonotapie">
    <w:name w:val="footnote text"/>
    <w:basedOn w:val="Normal"/>
    <w:link w:val="TextonotapieCar"/>
    <w:semiHidden/>
    <w:unhideWhenUsed/>
    <w:rsid w:val="0088085F"/>
    <w:pPr>
      <w:spacing w:after="0"/>
    </w:pPr>
  </w:style>
  <w:style w:type="character" w:customStyle="1" w:styleId="TextonotapieCar">
    <w:name w:val="Texto nota pie Car"/>
    <w:basedOn w:val="Fuentedeprrafopredeter"/>
    <w:link w:val="Textonotapie"/>
    <w:semiHidden/>
    <w:rsid w:val="0088085F"/>
    <w:rPr>
      <w:lang w:val="es-ES_tradnl" w:eastAsia="en-US"/>
    </w:rPr>
  </w:style>
  <w:style w:type="character" w:styleId="Refdenotaalpie">
    <w:name w:val="footnote reference"/>
    <w:basedOn w:val="Fuentedeprrafopredeter"/>
    <w:semiHidden/>
    <w:unhideWhenUsed/>
    <w:rsid w:val="0088085F"/>
    <w:rPr>
      <w:vertAlign w:val="superscript"/>
    </w:rPr>
  </w:style>
  <w:style w:type="character" w:customStyle="1" w:styleId="Ttulo4Car">
    <w:name w:val="Título 4 Car"/>
    <w:basedOn w:val="Fuentedeprrafopredeter"/>
    <w:link w:val="Ttulo4"/>
    <w:rsid w:val="0085380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308">
      <w:bodyDiv w:val="1"/>
      <w:marLeft w:val="0"/>
      <w:marRight w:val="0"/>
      <w:marTop w:val="0"/>
      <w:marBottom w:val="0"/>
      <w:divBdr>
        <w:top w:val="none" w:sz="0" w:space="0" w:color="auto"/>
        <w:left w:val="none" w:sz="0" w:space="0" w:color="auto"/>
        <w:bottom w:val="none" w:sz="0" w:space="0" w:color="auto"/>
        <w:right w:val="none" w:sz="0" w:space="0" w:color="auto"/>
      </w:divBdr>
    </w:div>
    <w:div w:id="643581550">
      <w:bodyDiv w:val="1"/>
      <w:marLeft w:val="0"/>
      <w:marRight w:val="0"/>
      <w:marTop w:val="0"/>
      <w:marBottom w:val="0"/>
      <w:divBdr>
        <w:top w:val="none" w:sz="0" w:space="0" w:color="auto"/>
        <w:left w:val="none" w:sz="0" w:space="0" w:color="auto"/>
        <w:bottom w:val="none" w:sz="0" w:space="0" w:color="auto"/>
        <w:right w:val="none" w:sz="0" w:space="0" w:color="auto"/>
      </w:divBdr>
    </w:div>
    <w:div w:id="689916320">
      <w:bodyDiv w:val="1"/>
      <w:marLeft w:val="0"/>
      <w:marRight w:val="0"/>
      <w:marTop w:val="0"/>
      <w:marBottom w:val="0"/>
      <w:divBdr>
        <w:top w:val="none" w:sz="0" w:space="0" w:color="auto"/>
        <w:left w:val="none" w:sz="0" w:space="0" w:color="auto"/>
        <w:bottom w:val="none" w:sz="0" w:space="0" w:color="auto"/>
        <w:right w:val="none" w:sz="0" w:space="0" w:color="auto"/>
      </w:divBdr>
    </w:div>
    <w:div w:id="1029062357">
      <w:bodyDiv w:val="1"/>
      <w:marLeft w:val="0"/>
      <w:marRight w:val="0"/>
      <w:marTop w:val="0"/>
      <w:marBottom w:val="0"/>
      <w:divBdr>
        <w:top w:val="none" w:sz="0" w:space="0" w:color="auto"/>
        <w:left w:val="none" w:sz="0" w:space="0" w:color="auto"/>
        <w:bottom w:val="none" w:sz="0" w:space="0" w:color="auto"/>
        <w:right w:val="none" w:sz="0" w:space="0" w:color="auto"/>
      </w:divBdr>
    </w:div>
    <w:div w:id="1686324284">
      <w:bodyDiv w:val="1"/>
      <w:marLeft w:val="0"/>
      <w:marRight w:val="0"/>
      <w:marTop w:val="0"/>
      <w:marBottom w:val="0"/>
      <w:divBdr>
        <w:top w:val="none" w:sz="0" w:space="0" w:color="auto"/>
        <w:left w:val="none" w:sz="0" w:space="0" w:color="auto"/>
        <w:bottom w:val="none" w:sz="0" w:space="0" w:color="auto"/>
        <w:right w:val="none" w:sz="0" w:space="0" w:color="auto"/>
      </w:divBdr>
    </w:div>
    <w:div w:id="1951424831">
      <w:bodyDiv w:val="1"/>
      <w:marLeft w:val="0"/>
      <w:marRight w:val="0"/>
      <w:marTop w:val="0"/>
      <w:marBottom w:val="0"/>
      <w:divBdr>
        <w:top w:val="none" w:sz="0" w:space="0" w:color="auto"/>
        <w:left w:val="none" w:sz="0" w:space="0" w:color="auto"/>
        <w:bottom w:val="none" w:sz="0" w:space="0" w:color="auto"/>
        <w:right w:val="none" w:sz="0" w:space="0" w:color="auto"/>
      </w:divBdr>
    </w:div>
    <w:div w:id="21342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biernoabierto.navarra.es/es/transparencia/informacion-publica/entidades-locales-presupuesto-cuent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D9E38-1D7B-4CAB-BB60-3E30C247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11751</Words>
  <Characters>64041</Characters>
  <Application>Microsoft Office Word</Application>
  <DocSecurity>4</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D863793</dc:creator>
  <cp:lastModifiedBy>Aranaz, Carlota</cp:lastModifiedBy>
  <cp:revision>2</cp:revision>
  <cp:lastPrinted>2021-12-21T07:34:00Z</cp:lastPrinted>
  <dcterms:created xsi:type="dcterms:W3CDTF">2021-12-22T12:56:00Z</dcterms:created>
  <dcterms:modified xsi:type="dcterms:W3CDTF">2021-12-22T12:56:00Z</dcterms:modified>
</cp:coreProperties>
</file>