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7an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w:t>
      </w:r>
      <w:r>
        <w:rPr>
          <w:rStyle w:val="1"/>
        </w:rPr>
        <w:t xml:space="preserve"> Izapide</w:t>
        <w:softHyphen/>
        <w:softHyphen/>
        <w:softHyphen/>
        <w:t xml:space="preserve">tzeko onar</w:t>
        <w:softHyphen/>
        <w:softHyphen/>
        <w:softHyphen/>
        <w:t xml:space="preserve">tzea Ángel Ansa Echegaray jaunak aurkezturiko mozioa, zeinaren bidez Nafarroako Gobernua premiatzen baita EmanZipa programako laguntza lortzeko baldintzetako zenbait alda ditzan.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Ángel Ansa Echegaray jaunak, Legebiltzarreko Erregelamenduan xedatuaren babesean, honako mozio hau aurkezten du, Lehendakaritzako, Berdintasuneko, Funtzio Publikoko eta Barneko Batzordean eztabaidatzeko:</w:t>
      </w:r>
    </w:p>
    <w:p>
      <w:pPr>
        <w:pStyle w:val="0"/>
        <w:suppressAutoHyphens w:val="false"/>
        <w:rPr>
          <w:rStyle w:val="1"/>
        </w:rPr>
      </w:pPr>
      <w:r>
        <w:rPr>
          <w:rStyle w:val="1"/>
        </w:rPr>
        <w:t xml:space="preserve">Mozioa, zeinaren bidez Nafarroako Gobernua premiatzen baita EmanZipa programako laguntza lortzeko baldintzetako zenbait alda ditzan.</w:t>
      </w:r>
    </w:p>
    <w:p>
      <w:pPr>
        <w:pStyle w:val="0"/>
        <w:suppressAutoHyphens w:val="false"/>
        <w:rPr>
          <w:rStyle w:val="1"/>
        </w:rPr>
      </w:pPr>
      <w:r>
        <w:rPr>
          <w:rStyle w:val="1"/>
        </w:rPr>
        <w:t xml:space="preserve">Espainiako Gazteriaren Kontseiluko Gazteriaren Emantzipazioaren Behatokiak egindako azken txostenean –2021eko lehenbiziko seihilekoari dagokio– adierazten denez, 30 urtera bitarteko nafar gazteen % 13,8 bakarrik daude emantzipaturik: Nafarroak inoiz izan duen daturik baxuena, nazioko batez bestekoaren azpitikoa, han % 14,3koa baita. Nafarroa 14.a da 17 autonomia erkidegoen artean; 2,9 puntu soilik azkenaren gainetik (Gaztela-Mantxa, % 10,9). Ematzipazioa da, langabeziarekin batera, gazteen arazorik handienetako bat.</w:t>
      </w:r>
    </w:p>
    <w:p>
      <w:pPr>
        <w:pStyle w:val="0"/>
        <w:suppressAutoHyphens w:val="false"/>
        <w:rPr>
          <w:rStyle w:val="1"/>
        </w:rPr>
      </w:pPr>
      <w:r>
        <w:rPr>
          <w:rStyle w:val="1"/>
        </w:rPr>
        <w:t xml:space="preserve">EmanZipa-Nafarroan gazteei emantzipatzen laguntzeko programa prestazio bermatu bat da, ohiko etxebizitzaren alokairua ordaintzen laguntzeko; 23 urtetik 31 urtera bitarteko gazteei zuzendua da eta 3 urtez luza daiteke gehienez ere (ez dute zertan jarraituak izan). Laguntzaren zenbatekoa etxebizitzaren hileko alokairuaren errentaren % 50ekoa izanen da, eta gehienez ere 250 eurokoa hilean, etxebizitzaren errenta hilean 675 euro baino gehiagokoa ez izatearen baldintzarekin.</w:t>
      </w:r>
    </w:p>
    <w:p>
      <w:pPr>
        <w:pStyle w:val="0"/>
        <w:suppressAutoHyphens w:val="false"/>
        <w:rPr>
          <w:rStyle w:val="1"/>
        </w:rPr>
      </w:pPr>
      <w:r>
        <w:rPr>
          <w:rStyle w:val="1"/>
        </w:rPr>
        <w:t xml:space="preserve">Gure ustez, programa nabarmen hobetzen ahal da, bi arlotan hobetu ere: batetik, adin-tartea (23tik 31ra urte bitarte) zabaltzen ahal da; izan ere, Gazteriaren Foru Legeak ezartzen du pertsona bat 30 urte bete arte dela gaztea, baina adin horretan da gazte asko emantzipatzen direnean, eta hortik programa 35 urtera bitarte luzatzearen premia); bestetik, programak ez du errazten pisu bat hainbat pertsonaren artean hartzea; hortaz, etxebizitzaren gehieneko hileko errenta handitzea proposatzen da, hileko laguntza indibidualaren gehieneko zenbatekoa aldatu behar izan gabe (250 €).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Programaren balizko onuradunen adin-tartea 35era urtera bitartekoa izateraino handitzea legegintzaldia bukatu aitzin.</w:t>
      </w:r>
    </w:p>
    <w:p>
      <w:pPr>
        <w:pStyle w:val="0"/>
        <w:suppressAutoHyphens w:val="false"/>
        <w:rPr>
          <w:rStyle w:val="1"/>
        </w:rPr>
      </w:pPr>
      <w:r>
        <w:rPr>
          <w:rStyle w:val="1"/>
        </w:rPr>
        <w:t xml:space="preserve">2. Etxebizitzaren hileko gehieneko errentaren betekizuna hileko 675 €-tik gora igotzea, laguntzaren gehieneko zenbatekoa aldatu gabe (250 € hilean), etxebizitza zenbait pertsonaren artean partekatzeko aukera aldezteko.</w:t>
      </w:r>
    </w:p>
    <w:p>
      <w:pPr>
        <w:pStyle w:val="0"/>
        <w:suppressAutoHyphens w:val="false"/>
        <w:rPr>
          <w:rStyle w:val="1"/>
        </w:rPr>
      </w:pPr>
      <w:r>
        <w:rPr>
          <w:rStyle w:val="1"/>
        </w:rPr>
        <w:t xml:space="preserve">Iruñean, 2022ko urtarrilaren 26an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