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A266" w14:textId="77777777" w:rsidR="004600A6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Marta Álvarez Alonso andreak galdera egin du Santo Domingo egoitza egokitzeko proiektuari buruz (10-21/PES-00338). Hona Nafarroako Gobernuko Eskubide Sozialetako kontseilariak informatzeko duena:</w:t>
      </w:r>
    </w:p>
    <w:p w14:paraId="788F262F" w14:textId="3DAD18EA" w:rsidR="00960AE8" w:rsidRPr="00960AE8" w:rsidRDefault="00960AE8" w:rsidP="00960AE8">
      <w:pPr>
        <w:numPr>
          <w:ilvl w:val="0"/>
          <w:numId w:val="11"/>
        </w:numPr>
        <w:spacing w:after="120"/>
        <w:ind w:left="284" w:hanging="284"/>
        <w:rPr>
          <w:i/>
          <w:rFonts w:cs="Arial"/>
        </w:rPr>
      </w:pPr>
      <w:r>
        <w:rPr>
          <w:i/>
        </w:rPr>
        <w:t xml:space="preserve">Zein da Eskubide Sozialetako Departamentuak hartutako erabakia: Santo Domingo zahar-etxea berritzea, ala hura abandonatu eta Oncineda egoitzan zahar-etxe berria egitea?</w:t>
      </w:r>
      <w:r>
        <w:rPr>
          <w:i/>
        </w:rPr>
        <w:t xml:space="preserve"> </w:t>
      </w:r>
      <w:r>
        <w:rPr>
          <w:i/>
        </w:rPr>
        <w:t xml:space="preserve">Idatzitako aurreproiekturik ba al dago jadanik?</w:t>
      </w:r>
    </w:p>
    <w:p w14:paraId="253822E9" w14:textId="77777777" w:rsidR="004600A6" w:rsidRDefault="00960AE8" w:rsidP="00960AE8">
      <w:pPr>
        <w:spacing w:after="120"/>
        <w:ind w:left="284"/>
        <w:rPr>
          <w:rFonts w:cs="Arial"/>
        </w:rPr>
      </w:pPr>
      <w:r>
        <w:t xml:space="preserve">Departamentua obra-exekuziorako proiektu baten lizitazioa prestatzen ari da, Oncineda aterpetxean (Iratxeko monasterioaren kalea 11, Lizarra) egokitze lanak egin eta Santo Domingo egoitza bertara aldatzeko.</w:t>
      </w:r>
    </w:p>
    <w:p w14:paraId="3E1D1F06" w14:textId="37DFF148" w:rsidR="00960AE8" w:rsidRPr="00960AE8" w:rsidRDefault="00960AE8" w:rsidP="00960AE8">
      <w:pPr>
        <w:numPr>
          <w:ilvl w:val="0"/>
          <w:numId w:val="11"/>
        </w:numPr>
        <w:spacing w:after="120"/>
        <w:ind w:left="284" w:hanging="284"/>
        <w:rPr>
          <w:i/>
          <w:rFonts w:cs="Arial"/>
        </w:rPr>
      </w:pPr>
      <w:r>
        <w:rPr>
          <w:i/>
        </w:rPr>
        <w:t xml:space="preserve">Bigarren aukeraren alde egin bada, departamentuaren ustez aukera horrek urratu egiten al du Gizarte Eskubideen Ministerioarekin sinaturiko hitzarmenean jasotakoa?</w:t>
      </w:r>
      <w:r>
        <w:rPr>
          <w:i/>
        </w:rPr>
        <w:t xml:space="preserve"> </w:t>
      </w:r>
      <w:r>
        <w:rPr>
          <w:i/>
        </w:rPr>
        <w:t xml:space="preserve">Erantzuna arrazoitzeko eskatzen da.</w:t>
      </w:r>
    </w:p>
    <w:p w14:paraId="7E3C0603" w14:textId="77777777" w:rsidR="00960AE8" w:rsidRPr="00960AE8" w:rsidRDefault="00960AE8" w:rsidP="00960AE8">
      <w:pPr>
        <w:spacing w:after="120"/>
        <w:ind w:left="284"/>
        <w:rPr>
          <w:rFonts w:cs="Arial"/>
        </w:rPr>
      </w:pPr>
      <w:r>
        <w:t xml:space="preserve">Ez; ezta gutxiago ere.</w:t>
      </w:r>
      <w:r>
        <w:t xml:space="preserve"> </w:t>
      </w:r>
      <w:r>
        <w:t xml:space="preserve">Gizarte Eskubideen Ministerioarekin sinatutako hitzarmenean hau ezarri zen:</w:t>
      </w:r>
    </w:p>
    <w:p w14:paraId="5FBFA350" w14:textId="77777777" w:rsidR="00960AE8" w:rsidRPr="00960AE8" w:rsidRDefault="00960AE8" w:rsidP="00960AE8">
      <w:pPr>
        <w:spacing w:after="120"/>
        <w:ind w:left="284"/>
        <w:rPr>
          <w:rFonts w:cs="Arial"/>
        </w:rPr>
      </w:pPr>
      <w:r>
        <w:t xml:space="preserve">Santo Domingo egoitza egokitzea (100 plazako egoitza, oztopo arkitektonikoak dituena). Plaza kopurua txikitu eta 15-16 laguneko bizikidetza-unitateak sortu nahi dira; pertsona gehienek banako logela izanen dute.</w:t>
      </w:r>
      <w:r>
        <w:t xml:space="preserve"> </w:t>
      </w:r>
      <w:r>
        <w:t xml:space="preserve">Unitate bakoitzak bere jangela, sukalde txikia eta egongelak izanen ditu.</w:t>
      </w:r>
      <w:r>
        <w:t xml:space="preserve"> </w:t>
      </w:r>
      <w:r>
        <w:t xml:space="preserve">Dauden oztopo arkitektonikoak kenduko dira, eta airea girotzeko sistema aldatu eginen da energia-efizientzia hobetzeko.</w:t>
      </w:r>
    </w:p>
    <w:p w14:paraId="55E92893" w14:textId="77777777" w:rsidR="00960AE8" w:rsidRPr="00960AE8" w:rsidRDefault="00960AE8" w:rsidP="00960AE8">
      <w:pPr>
        <w:spacing w:after="120"/>
        <w:ind w:left="284"/>
        <w:rPr>
          <w:rFonts w:cs="Arial"/>
        </w:rPr>
      </w:pPr>
      <w:r>
        <w:t xml:space="preserve">Esku arteko proiektua ez da zehatz-mehatz hitzarmenean adierazitakoa. Izan ere, egoitza lekuz aldatuko da eta, hortaz, Santo Domingo egoitza Lizarrako Oncineda aterpetxean egokitzeko obrak izanen dira.</w:t>
      </w:r>
    </w:p>
    <w:p w14:paraId="6CC67A8C" w14:textId="77777777" w:rsidR="00960AE8" w:rsidRPr="00960AE8" w:rsidRDefault="00960AE8" w:rsidP="00960AE8">
      <w:pPr>
        <w:spacing w:after="120"/>
        <w:ind w:left="284"/>
        <w:rPr>
          <w:rFonts w:cs="Arial"/>
        </w:rPr>
      </w:pPr>
      <w:r>
        <w:t xml:space="preserve">Lekualdatze horren arrazoia da, besteak beste, proiektua errazago gauzatu ahalko dela arkitekturaren aldetik, Oncineda aterpetxea ez dagoelako hirigune historikoan eta ez delako eraikin babestua, Santo Domingo egoitza bezala. </w:t>
      </w:r>
      <w:r>
        <w:t xml:space="preserve"> </w:t>
      </w:r>
      <w:r>
        <w:t xml:space="preserve">Horrexegatik, malgutasun handiagorako aukera ematen du espazioak definitzeko garaian, eta egoitzako plaza gehiago sortu ahalko dira egungo egoitzaren eraikina zaharberrituta baino.</w:t>
      </w:r>
    </w:p>
    <w:p w14:paraId="18AA84A6" w14:textId="77777777" w:rsidR="004600A6" w:rsidRDefault="00960AE8" w:rsidP="00960AE8">
      <w:pPr>
        <w:spacing w:after="120"/>
        <w:ind w:left="284"/>
        <w:rPr>
          <w:rFonts w:cs="Arial"/>
        </w:rPr>
      </w:pPr>
      <w:r>
        <w:t xml:space="preserve">Aintzat hartu behar da, gainera, obrak beste eraikin batean eginez eragozpen gutxiago sortuko zaiela egoiliarrei: ez dute beren egoitzatik alde egin beharko aldi baterako, obrak egin bitartean. Santo Domingo egoitzaren egungo eraikina zaharberrituko balitz, egoitza osoa hustu beharko litzateke zaharberritze integrala egiteko.</w:t>
      </w:r>
      <w:r>
        <w:t xml:space="preserve"> </w:t>
      </w:r>
      <w:r>
        <w:t xml:space="preserve">Egoiliarrak behin-behineko baliabide batean kokatu beharko lirateke bi urterako, gutxienez, horrek dakarren nahastearekin.</w:t>
      </w:r>
    </w:p>
    <w:p w14:paraId="183EF886" w14:textId="75A0109E" w:rsidR="00960AE8" w:rsidRPr="00960AE8" w:rsidRDefault="00960AE8" w:rsidP="00960AE8">
      <w:pPr>
        <w:numPr>
          <w:ilvl w:val="0"/>
          <w:numId w:val="11"/>
        </w:numPr>
        <w:spacing w:after="120"/>
        <w:ind w:left="284" w:hanging="284"/>
        <w:rPr>
          <w:i/>
          <w:rFonts w:cs="Arial"/>
        </w:rPr>
      </w:pPr>
      <w:r>
        <w:rPr>
          <w:i/>
        </w:rPr>
        <w:t xml:space="preserve">Urteko zer aurrekontu- eta finantzaketa-aurreikuspen darabil departamentuak aukera baterako eta besterako?</w:t>
      </w:r>
      <w:r>
        <w:rPr>
          <w:i/>
        </w:rPr>
        <w:t xml:space="preserve"> </w:t>
      </w:r>
      <w:r>
        <w:rPr>
          <w:i/>
        </w:rPr>
        <w:t xml:space="preserve">Halakorik baldin bada, finantzaketaren aurreikuspen ekonomikoa eta egutegi-aurreikuspena jaso nahi ditugu.</w:t>
      </w:r>
    </w:p>
    <w:p w14:paraId="283641CB" w14:textId="77777777" w:rsidR="004600A6" w:rsidRDefault="00960AE8" w:rsidP="00960AE8">
      <w:pPr>
        <w:spacing w:after="120"/>
        <w:ind w:left="284"/>
        <w:rPr>
          <w:rFonts w:cs="Arial"/>
        </w:rPr>
      </w:pPr>
      <w:r>
        <w:t xml:space="preserve">Obrarako aurrekontu-aurreikuspena 6 milioi euro ingurukoa da, eta obra egiteko epea bi urte ingurukoa.</w:t>
      </w:r>
      <w:r>
        <w:t xml:space="preserve"> </w:t>
      </w:r>
      <w:r>
        <w:t xml:space="preserve">Oraindik zehaztu gabe dago, ez baita idatzi behin betiko proiektua.</w:t>
      </w:r>
    </w:p>
    <w:p w14:paraId="2C45EA5A" w14:textId="7585C728" w:rsidR="00960AE8" w:rsidRPr="00960AE8" w:rsidRDefault="00960AE8" w:rsidP="00960AE8">
      <w:pPr>
        <w:numPr>
          <w:ilvl w:val="0"/>
          <w:numId w:val="11"/>
        </w:numPr>
        <w:spacing w:after="120"/>
        <w:ind w:left="284" w:hanging="284"/>
        <w:rPr>
          <w:i/>
          <w:rFonts w:cs="Arial"/>
        </w:rPr>
      </w:pPr>
      <w:r>
        <w:rPr>
          <w:i/>
        </w:rPr>
        <w:t xml:space="preserve">Aurreikuspenen arabera, zenbat egoiliar-postu izanen dira azkenean, aukera batean eta bestean?</w:t>
      </w:r>
    </w:p>
    <w:p w14:paraId="482F9E61" w14:textId="77777777" w:rsidR="004600A6" w:rsidRDefault="00960AE8" w:rsidP="00960AE8">
      <w:pPr>
        <w:spacing w:after="120"/>
        <w:ind w:left="284"/>
        <w:rPr>
          <w:rFonts w:cs="Arial"/>
        </w:rPr>
      </w:pPr>
      <w:r>
        <w:t xml:space="preserve">Gaur egun Santo Domingo egoitzan 61 plaza daude okupatuta, eta proiektu berriarekin gutxienez ere 65 izan behar lirateke.</w:t>
      </w:r>
      <w:r>
        <w:t xml:space="preserve"> </w:t>
      </w:r>
      <w:r>
        <w:t xml:space="preserve">Egungo Santo Domingo egoitza zaharberrituz gero, plaza kopurua txikitu eginen litzateke.</w:t>
      </w:r>
    </w:p>
    <w:p w14:paraId="3EA93450" w14:textId="77777777" w:rsidR="004600A6" w:rsidRDefault="0006150C" w:rsidP="00CA544A">
      <w:pPr>
        <w:spacing w:after="120"/>
        <w:rPr>
          <w:rFonts w:cs="Arial"/>
        </w:rPr>
      </w:pPr>
      <w:r>
        <w:t xml:space="preserve">Hori guztia jakinarazten dizut, Nafarroako Parlamentuko Erregelamenduaren 194. artikulua betez.</w:t>
      </w:r>
    </w:p>
    <w:p w14:paraId="5C49B014" w14:textId="65DBDC8F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2021eko azaroaren 22an.</w:t>
      </w:r>
    </w:p>
    <w:p w14:paraId="5890F769" w14:textId="3F70DA05" w:rsidR="0006150C" w:rsidRPr="004600A6" w:rsidRDefault="00CD4DF7" w:rsidP="004600A6">
      <w:pPr>
        <w:spacing w:after="120"/>
        <w:jc w:val="center"/>
        <w:rPr>
          <w:rFonts w:cs="Arial"/>
        </w:rPr>
      </w:pPr>
      <w:r>
        <w:t xml:space="preserve">Eskubide Sozialetako kontseilaria: María Carmen Maeztu Villafranca</w:t>
      </w:r>
    </w:p>
    <w:sectPr w:rsidR="0006150C" w:rsidRPr="004600A6" w:rsidSect="004600A6">
      <w:headerReference w:type="default" r:id="rId7"/>
      <w:footerReference w:type="even" r:id="rId8"/>
      <w:footerReference w:type="default" r:id="rId9"/>
      <w:pgSz w:w="11906" w:h="16838" w:code="9"/>
      <w:pgMar w:top="1418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57A8" w14:textId="77777777" w:rsidR="00891EE2" w:rsidRDefault="00891EE2">
      <w:r>
        <w:separator/>
      </w:r>
    </w:p>
  </w:endnote>
  <w:endnote w:type="continuationSeparator" w:id="0">
    <w:p w14:paraId="176A5D70" w14:textId="77777777" w:rsidR="00891EE2" w:rsidRDefault="008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505E" w14:textId="2EDE1B4B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F1E8" w14:textId="3454A8D7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3EA2" w14:textId="77777777" w:rsidR="00891EE2" w:rsidRDefault="00891EE2">
      <w:r>
        <w:separator/>
      </w:r>
    </w:p>
  </w:footnote>
  <w:footnote w:type="continuationSeparator" w:id="0">
    <w:p w14:paraId="0D8ED8BA" w14:textId="77777777" w:rsidR="00891EE2" w:rsidRDefault="0089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6F3" w14:textId="103AA18F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F77"/>
    <w:multiLevelType w:val="hybridMultilevel"/>
    <w:tmpl w:val="C0CAA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61A1"/>
    <w:multiLevelType w:val="hybridMultilevel"/>
    <w:tmpl w:val="C5468D40"/>
    <w:lvl w:ilvl="0" w:tplc="DAAA2E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0A66C4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00A6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91EE2"/>
    <w:rsid w:val="008A7332"/>
    <w:rsid w:val="008B7359"/>
    <w:rsid w:val="008D403D"/>
    <w:rsid w:val="008F0A77"/>
    <w:rsid w:val="00960AE8"/>
    <w:rsid w:val="00970F18"/>
    <w:rsid w:val="00973763"/>
    <w:rsid w:val="00980A6E"/>
    <w:rsid w:val="00992EBB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AF7CDA"/>
    <w:rsid w:val="00B123A0"/>
    <w:rsid w:val="00B42E53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72E319"/>
  <w15:chartTrackingRefBased/>
  <w15:docId w15:val="{49FD0FF5-D7B5-47DC-810D-A87FB2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2015-09-24T13:01:00Z</cp:lastPrinted>
  <dcterms:created xsi:type="dcterms:W3CDTF">2021-12-17T09:04:00Z</dcterms:created>
  <dcterms:modified xsi:type="dcterms:W3CDTF">2021-12-17T09:07:00Z</dcterms:modified>
</cp:coreProperties>
</file>