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del Departamento de Educación para regular la jornada de los escolares en el sistema educativo navarro,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los artículos 190, 191 y 192 del Reglamento de la Cámara, realiza la siguiente pregunta al Gobierno de Navarra para su respuesta oral en Pleno por el Consejero de Educación.</w:t>
      </w:r>
    </w:p>
    <w:p>
      <w:pPr>
        <w:pStyle w:val="0"/>
        <w:suppressAutoHyphens w:val="false"/>
        <w:rPr>
          <w:rStyle w:val="1"/>
        </w:rPr>
      </w:pPr>
      <w:r>
        <w:rPr>
          <w:rStyle w:val="1"/>
        </w:rPr>
        <w:t xml:space="preserve">¿Cuál es el plan del Departamento de Educación para regular la jornada de los escolares en el Sistema Educativo Navarro y sobre qué supuestos básicos se sustenta?</w:t>
      </w:r>
    </w:p>
    <w:p>
      <w:pPr>
        <w:pStyle w:val="0"/>
        <w:suppressAutoHyphens w:val="false"/>
        <w:rPr>
          <w:rStyle w:val="1"/>
        </w:rPr>
      </w:pPr>
      <w:r>
        <w:rPr>
          <w:rStyle w:val="1"/>
        </w:rPr>
        <w:t xml:space="preserve">Pamplona, a 15 de febrero de 2022</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