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w:t>
        <w:softHyphen/>
        <w:softHyphen/>
        <w:t xml:space="preserve">tzarreko Erregelamenduko 130. artikuluan ezarritakoa betez, agin</w:t>
        <w:softHyphen/>
        <w:softHyphen/>
        <w:t xml:space="preserve">tzen dut Nafarroako Parlamentuko Aldizkari Ofizialean argitara dadin Nafarroako Foru Ogasunei buruzko mar</w:t>
        <w:softHyphen/>
        <w:t xml:space="preserve">txoaren 10eko 2/1995 Foru Legea alda</w:t>
        <w:softHyphen/>
        <w:t xml:space="preserve">tzeko Foru Lege proiektuari aurkezturiko osoko zuzenketa. Proiektu hori 2022ko urtarrilaren 26ko 8. Nafarroako Parlamentuko Aldizkari Ofizialean argitaratu zen.</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Proiektuaren osoko zuzenketa, hura Nafarroako Gobernuari itzultzea proposatzen duena. </w:t>
      </w:r>
    </w:p>
    <w:p>
      <w:pPr>
        <w:pStyle w:val="0"/>
        <w:suppressAutoHyphens w:val="false"/>
        <w:rPr>
          <w:rStyle w:val="1"/>
        </w:rPr>
      </w:pPr>
      <w:r>
        <w:rPr>
          <w:rStyle w:val="1"/>
        </w:rPr>
        <w:t xml:space="preserve">Zioak: Nafarroako Foru Ogasunei buruzko martxoaren 10eko 2/1995 Foru Legea aldatzen duen Foru Lege proiektua atzera pausoa da formetan legearen aldaketaren beraren muinean.</w:t>
      </w:r>
    </w:p>
    <w:p>
      <w:pPr>
        <w:pStyle w:val="0"/>
        <w:suppressAutoHyphens w:val="false"/>
        <w:rPr>
          <w:rStyle w:val="1"/>
        </w:rPr>
      </w:pPr>
      <w:r>
        <w:rPr>
          <w:rStyle w:val="1"/>
        </w:rPr>
        <w:t xml:space="preserve">Formei dagokienez, kontuan izanda arau honek udal eta kontzejuentzat duen indarra eta garrantzia, lehentasuna eman zaio testuak presaka prestatu eta izapidetzeari, eta hala dago jasota txosten teknikoetako batzuetan; diru kopuru handiak aplikatu dira zioen azalpen teknikorik gabe, eta arauaren erabaki garrantzitsuak zioen azalpen juridikorik gabe.   Lege testu hau kontuz berrikusi behar zatekeen, eta behar bezain zehatz osatu, behar adinako mailan. </w:t>
      </w:r>
    </w:p>
    <w:p>
      <w:pPr>
        <w:pStyle w:val="0"/>
        <w:suppressAutoHyphens w:val="false"/>
        <w:rPr>
          <w:rStyle w:val="1"/>
        </w:rPr>
      </w:pPr>
      <w:r>
        <w:rPr>
          <w:rStyle w:val="1"/>
        </w:rPr>
        <w:t xml:space="preserve">Muinari dagokionez, goizetik gauera Hiriburutza Agiria bertan behera utzi da bat-batean, eta politikoki ez gaude ados horrekin. Bere garaian abal teknikoa eman zitzaion txosten sendo baten bidez.  Edonor harri eta lur gelditzen da ikustean Gobernuari eusten dion alderdi gehiengodunak hauteskunde programako puntu nagusietako bat aldatu duela hain zuzen ere oposizioko alderdietako batekin negoziatu eta gero, legeari aurka egin ez diezaion. </w:t>
      </w:r>
    </w:p>
    <w:p>
      <w:pPr>
        <w:pStyle w:val="0"/>
        <w:suppressAutoHyphens w:val="false"/>
        <w:rPr>
          <w:rStyle w:val="1"/>
        </w:rPr>
      </w:pPr>
      <w:r>
        <w:rPr>
          <w:rStyle w:val="1"/>
        </w:rPr>
        <w:t xml:space="preserve">Funtsei esleitutako zenbatekoek ere ez dute abalik. Esaterako, Kohesio Funtsari 16.000.000 euro esleitu zaizkio txosten tekniko baten abalik gabe, eta horrek agerian uzten du baldintza politiko bat betetzeko hornitu dela. </w:t>
      </w:r>
    </w:p>
    <w:p>
      <w:pPr>
        <w:pStyle w:val="0"/>
        <w:suppressAutoHyphens w:val="false"/>
        <w:rPr>
          <w:rStyle w:val="1"/>
        </w:rPr>
      </w:pPr>
      <w:r>
        <w:rPr>
          <w:rStyle w:val="1"/>
        </w:rPr>
        <w:t xml:space="preserve">Transferentzia Arrunten Funtsaren igoera ez da izan behar adinakoa, toki ogasunek Foru Ogasunaren tributu bilketan parte hartzea baita funts horren helburua. Gobernuaren datuen arabera, Foru Ogasunak % 15 handitu du tributu bilketa, eta egiaztatu ahal dugu nola berriz ere zekenkeriaz jardun nahi duen udalekin, tributuen % 15eko igoera hori ez ezik, aurrekontu orokorren guztizko zenbatekoaren igoera ere ukatuz; izan ere, aurrekontuak % 8,2 igo dira, eta funtserako % 7,6ko igoera proposatu dute. </w:t>
      </w:r>
    </w:p>
    <w:p>
      <w:pPr>
        <w:pStyle w:val="0"/>
        <w:suppressAutoHyphens w:val="false"/>
        <w:rPr>
          <w:rStyle w:val="1"/>
        </w:rPr>
      </w:pPr>
      <w:r>
        <w:rPr>
          <w:rStyle w:val="1"/>
        </w:rPr>
        <w:t xml:space="preserve">Tuterako Hiriari ez zaio eman Hiriburutza Agiririk, zeinari Navarra Sumak 5.600.000 euroko balorazioa egiten baitio, Erriberako gainerakoei Tuterak ematen dizkien zerbitzuei buruz egindako azterketaren arabera. Alderdi Sozialistak bete gabeko beste hauteskunde-konpromiso bat da hori. </w:t>
      </w:r>
    </w:p>
    <w:p>
      <w:pPr>
        <w:pStyle w:val="0"/>
        <w:suppressAutoHyphens w:val="false"/>
        <w:rPr>
          <w:rStyle w:val="1"/>
        </w:rPr>
      </w:pPr>
      <w:r>
        <w:rPr>
          <w:rStyle w:val="1"/>
        </w:rPr>
        <w:t xml:space="preserve">Nafarroako Gobernuak udalekin eta Nafarroako Udal eta Kontzejuen Federazioekin ez du batere harremanik izan, eta hori, dirua udalena eta udalentzat izanda. Navarra Sumarekin ere ez du harremanik izan, udal askotan gobernatzen duen eta udalen kopuru handienean dagoen alderdia izanda. </w:t>
      </w:r>
    </w:p>
    <w:p>
      <w:pPr>
        <w:pStyle w:val="0"/>
        <w:suppressAutoHyphens w:val="false"/>
        <w:rPr>
          <w:rStyle w:val="1"/>
        </w:rPr>
      </w:pPr>
      <w:r>
        <w:rPr>
          <w:rStyle w:val="1"/>
        </w:rPr>
        <w:t xml:space="preserve">Ez du bermatu udalerri eta kontzejuek abiapuntu izatea 2021eko esleipena + KPIa + 2. Parlamentuak begiratu behar du toki erakunde bakar batek ez dezan jaso lehengo finantzaketa sistemarekin jasoko lukeena baino gutxiago. </w:t>
      </w:r>
    </w:p>
    <w:p>
      <w:pPr>
        <w:pStyle w:val="0"/>
        <w:suppressAutoHyphens w:val="false"/>
        <w:rPr>
          <w:rStyle w:val="1"/>
        </w:rPr>
      </w:pPr>
      <w:r>
        <w:rPr>
          <w:rStyle w:val="1"/>
        </w:rPr>
        <w:t xml:space="preserve">Hurrengo urteetarako, lurralde-kohesioaren funtsari dagokionez, KPIaren igoera soila aplikatu nahi da. Uste dugu KPIa+2 igotzea bermatu behar dela. </w:t>
      </w:r>
    </w:p>
    <w:p>
      <w:pPr>
        <w:pStyle w:val="0"/>
        <w:suppressAutoHyphens w:val="false"/>
        <w:rPr>
          <w:rStyle w:val="1"/>
        </w:rPr>
      </w:pPr>
      <w:r>
        <w:rPr>
          <w:rStyle w:val="1"/>
        </w:rPr>
        <w:t xml:space="preserve">Tamalez, gobernu honek, jakin arren ez zela beteko funtsaren lehenbiziko ordainketa, ez du trantsizioko edo konturako ordainketa-sistemarik ezarri. Arduragabekeria iruditzen zaigu oraindik ere toki erakundeek ez jakitea ez zenbat ez noiz jasoko duten. Jakin badakigu toki erakunde batzuek departamentura jo dutela argibide eske eta ez dietela erantzun. </w:t>
      </w:r>
    </w:p>
    <w:p>
      <w:pPr>
        <w:pStyle w:val="0"/>
        <w:suppressAutoHyphens w:val="false"/>
        <w:rPr>
          <w:rStyle w:val="1"/>
        </w:rPr>
      </w:pPr>
      <w:r>
        <w:rPr>
          <w:rStyle w:val="1"/>
        </w:rPr>
        <w:t xml:space="preserve">Azaldutako arrazoi horiek guztiak aski eta sobera dira proiektua itzultzeko, alde batera utzita irizpide politikoek eusten diotela lege honi eta Parlamentuak horrela ezin diola abalik eman. Parlamentuak behar du lege honen funtsezko aldaketa guztiak txosten tekniko eta juridiko zorrotz eta sakonetan bermatuta egotea.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