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del Estado a estudiar una política de impulso a la modificación del Estatuto de Roma para incluir el reconocimiento del ecocidio como un delito internacional, presentada por la Ilma. Sra. D.ª Ainhoa Aznárez Igarza.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Ainhoa Aznárez Igarza, Parlamentaria Foral adscrita a la Agrupación Parlamentaria Foral Podemos-Ahal Dugu, al amparo de lo dispuesto en el Reglamento de esta Cámara, presenta la siguiente moción para su debate y votación en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Derecho Ambiental en el marco internacional fue visto por primera vez en “La Conferencia de Naciones Unidas sobre el Medio Humano”, mejor conocida como Conferencia de Estocolmo de 1972, evento que concentró la atención internacional en temas medioambientales. Las preocupaciones sobre la degradación ambiental y la contaminación transfronteriza fueron las grandes revoluciones, pues implicaban que la contaminación no reconocía límites políticos o geográficos y afectaba a los países, regiones y pueblos, más allá de su punto de origen. En la Conferencia se hizo una llamada a los gobiernos para que orientaran sus esfuerzos a la preservación del medio ambiente, subrayando la importancia de establecer un sistema jurídico eficaz que contribuyera a revertir las tendencias que amenazaban el medio ambiente y garantizara a las generaciones futuras su derecho a un medio apropiado. </w:t>
      </w:r>
    </w:p>
    <w:p>
      <w:pPr>
        <w:pStyle w:val="0"/>
        <w:suppressAutoHyphens w:val="false"/>
        <w:rPr>
          <w:rStyle w:val="1"/>
        </w:rPr>
      </w:pPr>
      <w:r>
        <w:rPr>
          <w:rStyle w:val="1"/>
        </w:rPr>
        <w:t xml:space="preserve">De igual forma, el Protocolo de Montreal de 1987, relativo a Sustancias Agotadoras de la Capa de Ozono, fue quizá el primer instrumento internacional con un tema específico. Su objetivo fue proteger la capa de ozono mediante el control de producción de las sustancias degradadoras de esta. Dicho protocolo entró en vigor el 1 de enero de 1989 y fue revisado en cinco ocasiones: en 1990 en Londres, en 1992 en Copenhague, en 1995 en Viena, en 1997 en Montreal y en 1999 en Beijing. Si bien el carácter del protocolo fue más bien técnico, puede considerarse como uno de los instrumentos con mayor capacidad vinculatoria, esto debido a la precisión de sus preceptos. </w:t>
      </w:r>
    </w:p>
    <w:p>
      <w:pPr>
        <w:pStyle w:val="0"/>
        <w:suppressAutoHyphens w:val="false"/>
        <w:rPr>
          <w:rStyle w:val="1"/>
        </w:rPr>
      </w:pPr>
      <w:r>
        <w:rPr>
          <w:rStyle w:val="1"/>
        </w:rPr>
        <w:t xml:space="preserve">Por otra parte, la Cumbre de la Tierra (Conferencia de Río) de 1992, se distinguió más por su faceta política. En ella se reconoció la importancia de integrar la protección del medio ambiente y la administración de los recursos naturales en las políticas de desarrollo. Esta idea, a su vez, fue tomada de la definición de “desarrollo sostenible” (o sustentable) hecha por la Comisión Brundtland en 1987, que lo describió como “el desarrollo que satisface las necesidades del presente sin comprometer la habilidad de las generaciones futuras para satisfacer sus propias necesidades”. Esta tendencia ha sido incorporada en la doctrina ambiental de la mayoría de los países, a pesar de que la Conferencia de Río no generó normas como tal. La firma del Protocolo de Kyoto en 1997 fue la siguiente reunión internacional enfocada a la creación de normas y vínculos jurídicos para proteger el medio ambiente. </w:t>
      </w:r>
    </w:p>
    <w:p>
      <w:pPr>
        <w:pStyle w:val="0"/>
        <w:suppressAutoHyphens w:val="false"/>
        <w:rPr>
          <w:rStyle w:val="1"/>
        </w:rPr>
      </w:pPr>
      <w:r>
        <w:rPr>
          <w:rStyle w:val="1"/>
        </w:rPr>
        <w:t xml:space="preserve">Según un estudio de SEO/Birdlife, publicado en marzo de 2020, sobre “El carácter disuasorio, efectivo y proporcional de las sanciones penales impuestas en España y Portugal en delitos contra el medio ambiente y su adecuación a la Directiva 2008/99/CE sobre protección del medio ambiente a través del derecho penal”, en los últimos años se está produciendo un aumento generalizado de los delitos ambientales. En este estudio, SEO /Birdlife detecta lo siguiente: </w:t>
      </w:r>
    </w:p>
    <w:p>
      <w:pPr>
        <w:pStyle w:val="0"/>
        <w:suppressAutoHyphens w:val="false"/>
        <w:rPr>
          <w:rStyle w:val="1"/>
        </w:rPr>
      </w:pPr>
      <w:r>
        <w:rPr>
          <w:rStyle w:val="1"/>
        </w:rPr>
        <w:t xml:space="preserve">– Una mejora en el funcionamiento del sistema sancionador penal a lo largo de los últimos 10 años (sobre todo desde el 2012) tanto en la fase de descubrimiento de las agresiones como en la que afecta a la judicialización y condena de las mismas. </w:t>
      </w:r>
    </w:p>
    <w:p>
      <w:pPr>
        <w:pStyle w:val="0"/>
        <w:suppressAutoHyphens w:val="false"/>
        <w:rPr>
          <w:rStyle w:val="1"/>
        </w:rPr>
      </w:pPr>
      <w:r>
        <w:rPr>
          <w:rStyle w:val="1"/>
        </w:rPr>
        <w:t xml:space="preserve">– Esta mejora se ha manifestado especialmente en las condenas por delitos contra la flora y fauna y contra los animales domésticos. La reforma del 2015, que sanciona formas de conductas imprudentes en los delitos contra la flora y fauna, aumenta y precisa el concepto de maltrato animal, así como una mayor sensibilidad social de las instituciones encargadas de perseguir estos comportamientos, especialmente respecto al maltrato. </w:t>
      </w:r>
    </w:p>
    <w:p>
      <w:pPr>
        <w:pStyle w:val="0"/>
        <w:suppressAutoHyphens w:val="false"/>
        <w:rPr>
          <w:rStyle w:val="1"/>
        </w:rPr>
      </w:pPr>
      <w:r>
        <w:rPr>
          <w:rStyle w:val="1"/>
        </w:rPr>
        <w:t xml:space="preserve">– Sin embargo, se detecta una tendencia a no imponer la pena privativa de libertad o, en todo caso, con una duración inferior a dos años. Cuando se supera este límite, lo que se produce únicamente en los delitos contra los recursos naturales, es habitual que se indulten parcialmente hasta una cuantía igual o inferior a los dos años, lo que facilita que el juez pueda suspender la ejecución. </w:t>
      </w:r>
    </w:p>
    <w:p>
      <w:pPr>
        <w:pStyle w:val="0"/>
        <w:suppressAutoHyphens w:val="false"/>
        <w:rPr>
          <w:rStyle w:val="1"/>
        </w:rPr>
      </w:pPr>
      <w:r>
        <w:rPr>
          <w:rStyle w:val="1"/>
        </w:rPr>
        <w:t xml:space="preserve">Por tanto, este tipo de delitos, pese a estar descritos y sometidos a penas cada vez más disuasorias (aunque todavía muy lejos de las que deberían imponerse en comparación al daño causado), cuentan con un elevado índice de impunidad, siendo además muy compleja su investigación y judicialización. </w:t>
      </w:r>
    </w:p>
    <w:p>
      <w:pPr>
        <w:pStyle w:val="0"/>
        <w:suppressAutoHyphens w:val="false"/>
        <w:rPr>
          <w:rStyle w:val="1"/>
        </w:rPr>
      </w:pPr>
      <w:r>
        <w:rPr>
          <w:rStyle w:val="1"/>
        </w:rPr>
        <w:t xml:space="preserve">Es necesaria una nueva técnica para la construcción de los delitos en contra del ambiente que garanticen realmente la protección del sujeto protegido y el castigo a quien lo dañe, sea de manera dolosa o culposa. </w:t>
      </w:r>
    </w:p>
    <w:p>
      <w:pPr>
        <w:pStyle w:val="0"/>
        <w:suppressAutoHyphens w:val="false"/>
        <w:rPr>
          <w:rStyle w:val="1"/>
        </w:rPr>
      </w:pPr>
      <w:r>
        <w:rPr>
          <w:rStyle w:val="1"/>
        </w:rPr>
        <w:t xml:space="preserve">En países más avanzados se han hecho cosas para tratar de proteger de manera eficaz al medio ambiente, se han implementado en sus leyes penales la figura del “ecocidio”, en la que manifiestan que “es cualquier acto ilícito o arbitrario (culposo) perpetrado a sabiendas de que existe una probabilidad sustancial de que cause daños graves que sean extensos y duraderos al medio ambiente”. </w:t>
      </w:r>
    </w:p>
    <w:p>
      <w:pPr>
        <w:pStyle w:val="0"/>
        <w:suppressAutoHyphens w:val="false"/>
        <w:rPr>
          <w:rStyle w:val="1"/>
        </w:rPr>
      </w:pPr>
      <w:r>
        <w:rPr>
          <w:rStyle w:val="1"/>
        </w:rPr>
        <w:t xml:space="preserve">El apoyo de los países a la iniciativa de convertir el ecocidio en un delito internacional es cada vez mayor: en diciembre pasado, los pequeños Estados insulares de Vanuatu y las Maldivas pidieron que se considerara seriamente el delito de ecocidio en la asamblea de la Corte Penal Internacional, donde se manifestó que se debe de trabajar para actualizar el marco legal y este se convierta en una herramienta poderosa para prevenir los delitos contra la naturaleza (ecocidio) mediante la inclusión del ecocidio en el Estatuto de Roma. </w:t>
      </w:r>
    </w:p>
    <w:p>
      <w:pPr>
        <w:pStyle w:val="0"/>
        <w:suppressAutoHyphens w:val="false"/>
        <w:rPr>
          <w:rStyle w:val="1"/>
        </w:rPr>
      </w:pPr>
      <w:r>
        <w:rPr>
          <w:rStyle w:val="1"/>
        </w:rPr>
        <w:t xml:space="preserve">Actualmente, el Estatuto de Roma es el instrumento mediante el cual se constituye la Corte Penal Internacional (CPI). Consta de 13 secciones y 128 artículos; en su artículo 1° estipula: “La Corte estará facultada para ejercer su jurisdicción sobre personas respecto de los crímenes más graves de trascendencia internacional de conformidad con el presente Estatuto y tendrá carácter complementario de las jurisdicciones penales nacionales. La competencia y el funcionamiento de la Corte se regirán por las disposiciones del presente Estatuto”. </w:t>
      </w:r>
    </w:p>
    <w:p>
      <w:pPr>
        <w:pStyle w:val="0"/>
        <w:suppressAutoHyphens w:val="false"/>
        <w:rPr>
          <w:rStyle w:val="1"/>
        </w:rPr>
      </w:pPr>
      <w:r>
        <w:rPr>
          <w:rStyle w:val="1"/>
        </w:rPr>
        <w:t xml:space="preserve">Así, la CPI es el primer tribunal internacional de carácter permanente encargado de juzgar a los responsables de crímenes contra la humanidad, genocidio, crímenes de guerra y, tras la Conferencia de Revisión del Estatuto de Roma (Kampala, 2010), del crimen de agresión en el caso de países que, como España, hayan ratificado dicha revisión. </w:t>
      </w:r>
    </w:p>
    <w:p>
      <w:pPr>
        <w:pStyle w:val="0"/>
        <w:suppressAutoHyphens w:val="false"/>
        <w:rPr>
          <w:rStyle w:val="1"/>
        </w:rPr>
      </w:pPr>
      <w:r>
        <w:rPr>
          <w:rStyle w:val="1"/>
        </w:rPr>
        <w:t xml:space="preserve">Esta jurisdicción penal de vocación universal es un paso importante en la lucha contra la impunidad. Garantiza, por ejemplo, equilibrio entre culturas jurídicas, idiomas de la Corte, papel de los Estados e independencia de la Corte, y poderes del Fiscal y derechos de la defensa. Su competencia se limitará a los crímenes más graves y trascendentales para la comunidad internacional, como los siguientes: </w:t>
      </w:r>
    </w:p>
    <w:p>
      <w:pPr>
        <w:pStyle w:val="0"/>
        <w:suppressAutoHyphens w:val="false"/>
        <w:rPr>
          <w:rStyle w:val="1"/>
        </w:rPr>
      </w:pPr>
      <w:r>
        <w:rPr>
          <w:rStyle w:val="1"/>
        </w:rPr>
        <w:t xml:space="preserve">• El crimen de genocidio. </w:t>
      </w:r>
    </w:p>
    <w:p>
      <w:pPr>
        <w:pStyle w:val="0"/>
        <w:suppressAutoHyphens w:val="false"/>
        <w:rPr>
          <w:rStyle w:val="1"/>
        </w:rPr>
      </w:pPr>
      <w:r>
        <w:rPr>
          <w:rStyle w:val="1"/>
        </w:rPr>
        <w:t xml:space="preserve">• Los crímenes de lesa humanidad. </w:t>
      </w:r>
    </w:p>
    <w:p>
      <w:pPr>
        <w:pStyle w:val="0"/>
        <w:suppressAutoHyphens w:val="false"/>
        <w:rPr>
          <w:rStyle w:val="1"/>
        </w:rPr>
      </w:pPr>
      <w:r>
        <w:rPr>
          <w:rStyle w:val="1"/>
        </w:rPr>
        <w:t xml:space="preserve">• Los crímenes de guerra. </w:t>
      </w:r>
    </w:p>
    <w:p>
      <w:pPr>
        <w:pStyle w:val="0"/>
        <w:suppressAutoHyphens w:val="false"/>
        <w:rPr>
          <w:rStyle w:val="1"/>
        </w:rPr>
      </w:pPr>
      <w:r>
        <w:rPr>
          <w:rStyle w:val="1"/>
        </w:rPr>
        <w:t xml:space="preserve">• El crimen de agresión. </w:t>
      </w:r>
    </w:p>
    <w:p>
      <w:pPr>
        <w:pStyle w:val="0"/>
        <w:suppressAutoHyphens w:val="false"/>
        <w:rPr>
          <w:rStyle w:val="1"/>
        </w:rPr>
      </w:pPr>
      <w:r>
        <w:rPr>
          <w:rStyle w:val="1"/>
        </w:rPr>
        <w:t xml:space="preserve">Lo que se pretende hacer con la figura del ecocidio es que sea el quinto delito como crimen grave y que tenga jurisdicción la Corte Penal Internacional. Los crímenes contra el medio ambiente tendrían la misma categoría que los crímenes de guerra o los crímenes contra los seres humanos y puede ser procesado en la Corte Penal Internacional de La Haya (CPI). </w:t>
      </w:r>
    </w:p>
    <w:p>
      <w:pPr>
        <w:pStyle w:val="0"/>
        <w:suppressAutoHyphens w:val="false"/>
        <w:rPr>
          <w:rStyle w:val="1"/>
        </w:rPr>
      </w:pPr>
      <w:r>
        <w:rPr>
          <w:rStyle w:val="1"/>
        </w:rPr>
        <w:t xml:space="preserve">Países que han apoyado la iniciativa son: Chile, Escocia, Reino Unido, Bangladesh, Canadá y España, entre otros. Estos países, han manifestado el reconocimiento del ecocidio como crimen internacional en virtud del Estatuto de Roma de la Corte Penal Internacional, la negociación de una enmienda al Estatuto de Roma de la Corte Penal Internacional para establecer un crimen de ecocidio y la posibilidad de legislar sobre el ecocidio a nivel nacional e internacional. Sin embargo, España aún no está entre los países que han reformado sus leyes para introducir el delito de ecocidio en su legislación penal. </w:t>
      </w:r>
    </w:p>
    <w:p>
      <w:pPr>
        <w:pStyle w:val="0"/>
        <w:suppressAutoHyphens w:val="false"/>
        <w:rPr>
          <w:rStyle w:val="1"/>
        </w:rPr>
      </w:pPr>
      <w:r>
        <w:rPr>
          <w:rStyle w:val="1"/>
        </w:rPr>
        <w:t xml:space="preserve">En este sentido, y teniendo en cuenta todo lo expuesto, se presenta la siguiente propuesta de resolución: </w:t>
      </w:r>
    </w:p>
    <w:p>
      <w:pPr>
        <w:pStyle w:val="0"/>
        <w:suppressAutoHyphens w:val="false"/>
        <w:rPr>
          <w:rStyle w:val="1"/>
        </w:rPr>
      </w:pPr>
      <w:r>
        <w:rPr>
          <w:rStyle w:val="1"/>
        </w:rPr>
        <w:t xml:space="preserve">El Parlamento de Navarra insta al Gobierno del Estado a estudiar una política de impulso a la modificación del Estatuto de Roma como vía para incluir el reconocimiento del ecocidio como un delito internacional, así como a valorar la realización de las reformas procesales y penales congruentes con este objetivo en nuestro Derecho interno. </w:t>
      </w:r>
    </w:p>
    <w:p>
      <w:pPr>
        <w:pStyle w:val="0"/>
        <w:suppressAutoHyphens w:val="false"/>
        <w:rPr>
          <w:rStyle w:val="1"/>
        </w:rPr>
      </w:pPr>
      <w:r>
        <w:rPr>
          <w:rStyle w:val="1"/>
        </w:rPr>
        <w:t xml:space="preserve">En Pamplona-Iruña a 24 de febrero de 2022 </w:t>
      </w:r>
    </w:p>
    <w:p>
      <w:pPr>
        <w:pStyle w:val="0"/>
        <w:suppressAutoHyphens w:val="false"/>
        <w:rPr>
          <w:rStyle w:val="1"/>
        </w:rPr>
      </w:pPr>
      <w:r>
        <w:rPr>
          <w:rStyle w:val="1"/>
        </w:rPr>
        <w:t xml:space="preserve">La Parlamentaria Foral: Ainhoa Aznárez Igarza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