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3DCB" w14:textId="77777777" w:rsidR="00D02E04" w:rsidRDefault="00BC3A3A" w:rsidP="007A14AD">
      <w:pPr>
        <w:ind w:firstLine="540"/>
        <w:rPr>
          <w:rFonts w:cs="Arial"/>
        </w:rPr>
      </w:pPr>
      <w:r>
        <w:t xml:space="preserve">Navarra Suma talde parlamentarioari atxikitako foru parlamentari Marta Álvarez Alonso</w:t>
      </w:r>
      <w:r>
        <w:rPr>
          <w:color w:val="000000"/>
          <w:szCs w:val="24"/>
        </w:rPr>
        <w:t xml:space="preserve"> andreak idatziz erantzuteko </w:t>
      </w:r>
      <w:r>
        <w:t xml:space="preserve">10-21/PES-00391 galdera egin du. Hori dela-eta, </w:t>
      </w:r>
      <w:r>
        <w:rPr>
          <w:color w:val="000000"/>
          <w:szCs w:val="24"/>
        </w:rPr>
        <w:t xml:space="preserve">Lurralde Antolamenduko,</w:t>
      </w:r>
      <w:r>
        <w:t xml:space="preserve"> Etxebizitzako, Paisaiako eta Proiektu Estrategikoetako kontseilariak honako hau jakinarazten dio:</w:t>
      </w:r>
    </w:p>
    <w:p w14:paraId="56FA245E" w14:textId="77777777" w:rsidR="00D02E04" w:rsidRDefault="0042700F" w:rsidP="007A14AD">
      <w:pPr>
        <w:ind w:firstLine="540"/>
        <w:rPr>
          <w:color w:val="000000"/>
          <w:szCs w:val="24"/>
          <w:rFonts w:cs="Arial"/>
        </w:rPr>
      </w:pPr>
      <w:r>
        <w:rPr>
          <w:color w:val="000000"/>
          <w:szCs w:val="24"/>
        </w:rPr>
        <w:t xml:space="preserve">1.- 2021eko ekitaldia itxita, Lurralde Antolamenduko, Etxebizitzako, Paisaiako eta Proiektu Estrategikoetako Departamentuaren “320000 32100 7800 261400, Dirulaguntzak eta sorospenak etxebizitzetako jarduketetarako” izeneko aurrekontu partidaren kargura 26.296.710,21 euroko betebeharrak aitortu dira birgaitze jarduketetarako dirulaguntzak direla-eta.</w:t>
      </w:r>
    </w:p>
    <w:p w14:paraId="0305F422" w14:textId="2A42927A" w:rsidR="00CB1602" w:rsidRDefault="00CB1602" w:rsidP="007A14AD">
      <w:pPr>
        <w:ind w:firstLine="540"/>
        <w:rPr>
          <w:color w:val="000000"/>
          <w:szCs w:val="24"/>
          <w:rFonts w:cs="Arial"/>
        </w:rPr>
      </w:pPr>
      <w:r>
        <w:rPr>
          <w:color w:val="000000"/>
          <w:szCs w:val="24"/>
        </w:rPr>
        <w:t xml:space="preserve">2.- 26.296.710,21 euro horietatik, Lurralde Antolamenduko, Etxebizitzako, Paisaiako eta Proiektu Estrategikoetako Departamentuak etxebizitzetan irisgarritasuna hobetzeko birgaitze obretara bideratu duen aurrekontu zatia 9.545.029,41 eurokoa da.</w:t>
      </w:r>
      <w:r>
        <w:rPr>
          <w:color w:val="000000"/>
          <w:szCs w:val="24"/>
        </w:rPr>
        <w:t xml:space="preserve"> </w:t>
      </w:r>
    </w:p>
    <w:p w14:paraId="1673693D" w14:textId="77777777" w:rsidR="0042700F" w:rsidRDefault="0042700F" w:rsidP="007A14AD">
      <w:pPr>
        <w:ind w:firstLine="540"/>
        <w:rPr>
          <w:color w:val="000000"/>
          <w:szCs w:val="24"/>
          <w:rFonts w:cs="Arial"/>
        </w:rPr>
      </w:pPr>
      <w:r>
        <w:rPr>
          <w:color w:val="000000"/>
          <w:szCs w:val="24"/>
        </w:rPr>
        <w:t xml:space="preserve">Hori bat dator Nafarroan etxebizitzaren arloko jarduketa babesgarriak arautzen dituen irailaren 18ko 61/2013 Foru Dekretuaren 45.1.d) artikuluarekin; izan ere, Nafarroan babesgarria da birgaitze arloko jarduketa hau:</w:t>
      </w:r>
    </w:p>
    <w:p w14:paraId="6498F512" w14:textId="77777777" w:rsidR="0042700F" w:rsidRPr="0042700F" w:rsidRDefault="0042700F" w:rsidP="0042700F">
      <w:pPr>
        <w:ind w:firstLine="540"/>
        <w:rPr>
          <w:i/>
          <w:color w:val="000000"/>
          <w:szCs w:val="24"/>
          <w:rFonts w:cs="Arial"/>
        </w:rPr>
      </w:pPr>
      <w:r>
        <w:rPr>
          <w:i/>
          <w:color w:val="000000"/>
          <w:szCs w:val="24"/>
        </w:rPr>
        <w:t xml:space="preserve">“d) Irisgarritasun unibertsala eta ororentzako diseinua.</w:t>
      </w:r>
    </w:p>
    <w:p w14:paraId="5AFE8EF3" w14:textId="77777777" w:rsidR="0042700F" w:rsidRPr="0042700F" w:rsidRDefault="0042700F" w:rsidP="0042700F">
      <w:pPr>
        <w:ind w:firstLine="540"/>
        <w:rPr>
          <w:i/>
          <w:color w:val="000000"/>
          <w:szCs w:val="24"/>
          <w:rFonts w:cs="Arial"/>
        </w:rPr>
      </w:pPr>
      <w:r>
        <w:rPr>
          <w:i/>
          <w:color w:val="000000"/>
          <w:szCs w:val="24"/>
        </w:rPr>
        <w:t xml:space="preserve">Ororentzako irisgarritasuna eta diseinua egokitzeko lantzat hartuko dira oztopoak kentzeko eta desgaitasuna dutenentzako sarbidea eta erabilera errazteko egiten direnak”.</w:t>
      </w:r>
    </w:p>
    <w:p w14:paraId="72BEF131" w14:textId="77777777" w:rsidR="0042700F" w:rsidRDefault="0042700F" w:rsidP="007A14AD">
      <w:pPr>
        <w:ind w:firstLine="540"/>
        <w:rPr>
          <w:color w:val="000000"/>
          <w:szCs w:val="24"/>
          <w:rFonts w:cs="Arial"/>
        </w:rPr>
      </w:pPr>
      <w:r>
        <w:rPr>
          <w:color w:val="000000"/>
          <w:szCs w:val="24"/>
        </w:rPr>
        <w:t xml:space="preserve">Hauek dira dirulaguntza lerro nagusiak:</w:t>
      </w:r>
    </w:p>
    <w:p w14:paraId="2237DABD" w14:textId="77777777" w:rsidR="0042700F" w:rsidRDefault="0042700F" w:rsidP="0042700F">
      <w:pPr>
        <w:numPr>
          <w:ilvl w:val="0"/>
          <w:numId w:val="18"/>
        </w:numPr>
        <w:rPr>
          <w:color w:val="000000"/>
          <w:szCs w:val="24"/>
          <w:rFonts w:cs="Arial"/>
        </w:rPr>
      </w:pPr>
      <w:r>
        <w:rPr>
          <w:color w:val="000000"/>
          <w:szCs w:val="24"/>
        </w:rPr>
        <w:t xml:space="preserve">Eraikinetan igogailua paratzea, baldin eta ez bazuten, eta irisgarritasun unibertsalari eta ororentzako diseinuari buruzko araudi berariazkora egokitzea, eraikinaren sarreratik etxebizitza guztien sarreraraino.</w:t>
      </w:r>
      <w:r>
        <w:rPr>
          <w:color w:val="000000"/>
          <w:szCs w:val="24"/>
        </w:rPr>
        <w:tab/>
      </w:r>
    </w:p>
    <w:p w14:paraId="53CF5AE7" w14:textId="77777777" w:rsidR="0042700F" w:rsidRDefault="0042700F" w:rsidP="0042700F">
      <w:pPr>
        <w:numPr>
          <w:ilvl w:val="0"/>
          <w:numId w:val="18"/>
        </w:numPr>
        <w:rPr>
          <w:color w:val="000000"/>
          <w:szCs w:val="24"/>
          <w:rFonts w:cs="Arial"/>
        </w:rPr>
      </w:pPr>
      <w:r>
        <w:rPr>
          <w:color w:val="000000"/>
          <w:szCs w:val="24"/>
        </w:rPr>
        <w:t xml:space="preserve">Dagoeneko igogailua zuten eraikinetan, irisgarritasun unibertsalari eta ororentzako diseinuari buruzko araudi berariazkora egokitzea, eraikinaren sarreratik etxebizitza guztien sarreraraino.</w:t>
      </w:r>
    </w:p>
    <w:p w14:paraId="54DF2C61" w14:textId="77777777" w:rsidR="0042700F" w:rsidRDefault="0042700F" w:rsidP="0042700F">
      <w:pPr>
        <w:numPr>
          <w:ilvl w:val="0"/>
          <w:numId w:val="18"/>
        </w:numPr>
        <w:rPr>
          <w:color w:val="000000"/>
          <w:szCs w:val="24"/>
          <w:rFonts w:cs="Arial"/>
        </w:rPr>
      </w:pPr>
      <w:r>
        <w:rPr>
          <w:color w:val="000000"/>
          <w:szCs w:val="24"/>
        </w:rPr>
        <w:t xml:space="preserve"> </w:t>
      </w:r>
      <w:r>
        <w:rPr>
          <w:color w:val="000000"/>
          <w:szCs w:val="24"/>
        </w:rPr>
        <w:t xml:space="preserve">Igogailurik ez zuten eraikinetan igogailua paratzea eta irisgarritasun unibertsalari eta ororentzako diseinuari buruzko araudi berariazkora partzialki egokitzea, erabat egokitzeko ezintasuna edo zailtasun larria justifikatuta.</w:t>
      </w:r>
      <w:r>
        <w:rPr>
          <w:color w:val="000000"/>
          <w:szCs w:val="24"/>
        </w:rPr>
        <w:tab/>
      </w:r>
    </w:p>
    <w:p w14:paraId="45D77970" w14:textId="77777777" w:rsidR="00D02E04" w:rsidRDefault="0042700F" w:rsidP="0042700F">
      <w:pPr>
        <w:numPr>
          <w:ilvl w:val="0"/>
          <w:numId w:val="18"/>
        </w:numPr>
        <w:rPr>
          <w:color w:val="000000"/>
          <w:szCs w:val="24"/>
          <w:rFonts w:cs="Arial"/>
        </w:rPr>
      </w:pPr>
      <w:r>
        <w:rPr>
          <w:color w:val="000000"/>
          <w:szCs w:val="24"/>
        </w:rPr>
        <w:t xml:space="preserve">Dagoeneko igogailua zuten eraikinetan, irisgarritasun unibertsalari eta ororentzako diseinuari buruzko araudi berariazkora partzialki egokitzea, erabat egokitzeko ezintasuna edo zailtasun larria justifikatuta.</w:t>
      </w:r>
    </w:p>
    <w:p w14:paraId="0A9F5CCC" w14:textId="77777777" w:rsidR="00D02E04" w:rsidRDefault="0042700F" w:rsidP="0042700F">
      <w:pPr>
        <w:ind w:firstLine="540"/>
        <w:rPr>
          <w:color w:val="000000"/>
          <w:szCs w:val="24"/>
          <w:rFonts w:cs="Arial"/>
        </w:rPr>
      </w:pPr>
      <w:r>
        <w:t xml:space="preserve">Irisgarritasun unibertsalari eta ororentzako diseinuari buruzko araudi berariazkoarekiko egokitzapena erabatekoa dela joko da DA DB-SUA/2 dokumentuko 2. taulan ezarritako balioak lortzen direnean (Eraikingintzaren Kode Teknikoa, Erabileraren Segurtasunari eta Irisgarritasunari buruzko oinarrizko dokumentua, 2. Irisgarritasun baldintzen egokitze eraginkorra lehendik dauden eraikinetan).</w:t>
      </w:r>
    </w:p>
    <w:p w14:paraId="0B04780F" w14:textId="77777777" w:rsidR="00D02E04" w:rsidRDefault="0042700F" w:rsidP="0042700F">
      <w:pPr>
        <w:ind w:firstLine="540"/>
        <w:rPr>
          <w:color w:val="000000"/>
          <w:szCs w:val="24"/>
          <w:rFonts w:cs="Arial"/>
        </w:rPr>
      </w:pPr>
      <w:r>
        <w:rPr>
          <w:color w:val="000000"/>
          <w:szCs w:val="24"/>
        </w:rPr>
        <w:t xml:space="preserve">Hala behar denean, Eraikingintzaren Kode Teknikoko DB-SUA dokumentua bete ordez bestelako konponbideak aplikatzen ahal dira, onargarriak badira.</w:t>
      </w:r>
      <w:r>
        <w:rPr>
          <w:color w:val="000000"/>
          <w:szCs w:val="24"/>
        </w:rPr>
        <w:t xml:space="preserve"> </w:t>
      </w:r>
      <w:r>
        <w:rPr>
          <w:color w:val="000000"/>
          <w:szCs w:val="24"/>
        </w:rPr>
        <w:t xml:space="preserve">Hartara, irisgarritasun unibertsalerako eta ororentzako diseinurako neurriak ezartzeko jarduketa jakin bat teknikoki edo ekonomikoki bideraezintzat joko da kasu hauetan:</w:t>
      </w:r>
    </w:p>
    <w:p w14:paraId="25731771" w14:textId="77777777" w:rsidR="00D02E04" w:rsidRDefault="0042700F" w:rsidP="0042700F">
      <w:pPr>
        <w:rPr>
          <w:color w:val="000000"/>
          <w:szCs w:val="24"/>
          <w:rFonts w:cs="Arial"/>
        </w:rPr>
      </w:pPr>
      <w:r>
        <w:rPr>
          <w:color w:val="000000"/>
          <w:szCs w:val="24"/>
        </w:rPr>
        <w:t xml:space="preserve">1.</w:t>
      </w:r>
      <w:r>
        <w:rPr>
          <w:color w:val="000000"/>
          <w:szCs w:val="24"/>
        </w:rPr>
        <w:t xml:space="preserve"> </w:t>
      </w:r>
      <w:r>
        <w:rPr>
          <w:color w:val="000000"/>
          <w:szCs w:val="24"/>
        </w:rPr>
        <w:t xml:space="preserve">Igogailurik ez zegoen tokian igogailu bat jartzean eta eskailera-mailak kentzean, ezinezkoa bada obrak elementu komunen espazio fisikoan edo kanpoko espazioan gauzatzea eta obrak gauzatzeko, aplikatu beharreko araudiarekin bat, hartu beharko litzatekeen lokal edo etxebizitza zatiaren jabearen ezezkoa jasota badago dokumentu fede-emailearen bitartez; hori Nafarroan etxebizitza izateko eskubideari buruzko maiatzaren 10eko 10/2010 Foru Legearen 55. artikuluan xedatutakoa galarazi gabe.</w:t>
      </w:r>
    </w:p>
    <w:p w14:paraId="640C6CEB" w14:textId="77777777" w:rsidR="00D02E04" w:rsidRDefault="0042700F" w:rsidP="0042700F">
      <w:pPr>
        <w:rPr>
          <w:color w:val="000000"/>
          <w:szCs w:val="24"/>
          <w:rFonts w:cs="Arial"/>
        </w:rPr>
      </w:pPr>
      <w:r>
        <w:rPr>
          <w:color w:val="000000"/>
          <w:szCs w:val="24"/>
        </w:rPr>
        <w:t xml:space="preserve">2.</w:t>
      </w:r>
      <w:r>
        <w:rPr>
          <w:color w:val="000000"/>
          <w:szCs w:val="24"/>
        </w:rPr>
        <w:t xml:space="preserve"> </w:t>
      </w:r>
      <w:r>
        <w:rPr>
          <w:color w:val="000000"/>
          <w:szCs w:val="24"/>
        </w:rPr>
        <w:t xml:space="preserve">Obra batzuen gauzatzea DB SUAren zehaztapenetara erabat egokitzen denean ere, gauzatze horrek ezinbestean ekartzen badu bizigarritasun baldintzak edo derrigorrez bete beharreko beste arau batzuek ezarritako baldintzak betetzeari uztea.</w:t>
      </w:r>
    </w:p>
    <w:p w14:paraId="686AE05D" w14:textId="4B57029F" w:rsidR="0042700F" w:rsidRPr="0042700F" w:rsidRDefault="0042700F" w:rsidP="0042700F">
      <w:pPr>
        <w:rPr>
          <w:color w:val="000000"/>
          <w:szCs w:val="24"/>
          <w:rFonts w:cs="Arial"/>
        </w:rPr>
      </w:pPr>
      <w:r>
        <w:rPr>
          <w:color w:val="000000"/>
          <w:szCs w:val="24"/>
        </w:rPr>
        <w:t xml:space="preserve">3.</w:t>
      </w:r>
      <w:r>
        <w:rPr>
          <w:color w:val="000000"/>
          <w:szCs w:val="24"/>
        </w:rPr>
        <w:t xml:space="preserve"> </w:t>
      </w:r>
      <w:r>
        <w:rPr>
          <w:color w:val="000000"/>
          <w:szCs w:val="24"/>
        </w:rPr>
        <w:t xml:space="preserve">DB SUAren zehaztapenetara erabat egokitzen diren arren, obrak gauzatzeak aurrekontua bestelako konponbide alternatibo batzuena baino % 20 handiagoa izatea eskatzen badu. Etxebizitzaren arloan eskumena duen departamentuak erabakiko du alternatiba horiek onargarriak ote diren aintzat hartuz irisgarritasun baldintzak zenbateraino hobetzen dituzten, eta horretarako, irizpide hauek aplikatuko ditu:</w:t>
      </w:r>
    </w:p>
    <w:p w14:paraId="672E389C" w14:textId="77777777" w:rsidR="0042700F" w:rsidRPr="0042700F" w:rsidRDefault="0042700F" w:rsidP="0042700F">
      <w:pPr>
        <w:rPr>
          <w:color w:val="000000"/>
          <w:szCs w:val="24"/>
          <w:rFonts w:cs="Arial"/>
        </w:rPr>
      </w:pPr>
      <w:r>
        <w:rPr>
          <w:color w:val="000000"/>
          <w:szCs w:val="24"/>
        </w:rPr>
        <w:t xml:space="preserve">a) Betebeharrak murriztea DB SUAn sartutako parametro guztiak betetzea teknikoki edo ekonomikoki bideraezina den kasuetan baizik ez da onartuko.</w:t>
      </w:r>
    </w:p>
    <w:p w14:paraId="733E96EE" w14:textId="77777777" w:rsidR="0042700F" w:rsidRPr="0042700F" w:rsidRDefault="0042700F" w:rsidP="0042700F">
      <w:pPr>
        <w:rPr>
          <w:color w:val="000000"/>
          <w:szCs w:val="24"/>
          <w:rFonts w:cs="Arial"/>
        </w:rPr>
      </w:pPr>
      <w:r>
        <w:rPr>
          <w:color w:val="000000"/>
          <w:szCs w:val="24"/>
        </w:rPr>
        <w:t xml:space="preserve">b) Aurrerago adierazten diren murrizketak muga izanen dira, eta ezin izanen dira aplikatu araudian xedatutakora gehiago lotzeko aukerarik bada.</w:t>
      </w:r>
    </w:p>
    <w:p w14:paraId="433115A2" w14:textId="77777777" w:rsidR="0042700F" w:rsidRPr="0042700F" w:rsidRDefault="0042700F" w:rsidP="0042700F">
      <w:pPr>
        <w:rPr>
          <w:color w:val="000000"/>
          <w:szCs w:val="24"/>
          <w:rFonts w:cs="Arial"/>
        </w:rPr>
      </w:pPr>
      <w:r>
        <w:rPr>
          <w:color w:val="000000"/>
          <w:szCs w:val="24"/>
        </w:rPr>
        <w:t xml:space="preserve">b.1) Eskailerak.</w:t>
      </w:r>
      <w:r>
        <w:rPr>
          <w:color w:val="000000"/>
          <w:szCs w:val="24"/>
        </w:rPr>
        <w:t xml:space="preserve"> </w:t>
      </w:r>
      <w:r>
        <w:rPr>
          <w:color w:val="000000"/>
          <w:szCs w:val="24"/>
        </w:rPr>
        <w:t xml:space="preserve">Eskailera baten zabalera 90 cm-ra murrizten ahalko da gehienez, baldin eta aurretik zegoena igogailua instalatzeko txikiagotzen bada edo, xede berarekin aurretik zegoen eskailera kendu eta beste bat eraikitzen bada, honela: eskailera berriaren oin azaleraren % 60 baino gehiago aurretik zegoen eskaileraren kutxan eraikita.</w:t>
      </w:r>
    </w:p>
    <w:p w14:paraId="4D17B45A" w14:textId="77777777" w:rsidR="0042700F" w:rsidRPr="0042700F" w:rsidRDefault="0042700F" w:rsidP="0042700F">
      <w:pPr>
        <w:rPr>
          <w:color w:val="000000"/>
          <w:szCs w:val="24"/>
          <w:rFonts w:cs="Arial"/>
        </w:rPr>
      </w:pPr>
      <w:r>
        <w:rPr>
          <w:color w:val="000000"/>
          <w:szCs w:val="24"/>
        </w:rPr>
        <w:t xml:space="preserve">b.2) Arrapalak:</w:t>
      </w:r>
    </w:p>
    <w:p w14:paraId="216ECBFF" w14:textId="77777777" w:rsidR="0042700F" w:rsidRPr="0042700F" w:rsidRDefault="0042700F" w:rsidP="0042700F">
      <w:pPr>
        <w:rPr>
          <w:color w:val="000000"/>
          <w:szCs w:val="24"/>
          <w:rFonts w:cs="Arial"/>
        </w:rPr>
      </w:pPr>
      <w:r>
        <w:rPr>
          <w:color w:val="000000"/>
          <w:szCs w:val="24"/>
        </w:rPr>
        <w:t xml:space="preserve">b.2.1) Zabalera: arrapalen zabalera 100 cm-ra murrizten ahalko da gehienez, betiere tarteko eskailburuetan, bai eta tarte bakoitzaren hasieran eta bukaeran dauden azalera horizontaletan ere, 120 cm-ko diametroko zirkulua egiteko tokia badago.</w:t>
      </w:r>
    </w:p>
    <w:p w14:paraId="3294AD4F" w14:textId="77777777" w:rsidR="0042700F" w:rsidRPr="0042700F" w:rsidRDefault="0042700F" w:rsidP="0042700F">
      <w:pPr>
        <w:rPr>
          <w:color w:val="000000"/>
          <w:szCs w:val="24"/>
          <w:rFonts w:cs="Arial"/>
        </w:rPr>
      </w:pPr>
      <w:r>
        <w:rPr>
          <w:color w:val="000000"/>
          <w:szCs w:val="24"/>
        </w:rPr>
        <w:t xml:space="preserve">b.2.2) Maldak: maldak % 12koak izanen dira gehienez 3 metrora arteko luzera duten tarteetan; % 10ekoak izanen dira 3 eta 8 metro arteko tarteetan, eta % 8koak 15 metrora arteko tarteetan.</w:t>
      </w:r>
    </w:p>
    <w:p w14:paraId="0CC987F8" w14:textId="77777777" w:rsidR="0042700F" w:rsidRPr="0042700F" w:rsidRDefault="0042700F" w:rsidP="0042700F">
      <w:pPr>
        <w:rPr>
          <w:color w:val="000000"/>
          <w:szCs w:val="24"/>
          <w:rFonts w:cs="Arial"/>
        </w:rPr>
      </w:pPr>
      <w:r>
        <w:rPr>
          <w:color w:val="000000"/>
          <w:szCs w:val="24"/>
        </w:rPr>
        <w:t xml:space="preserve">b.2.3) Eskailera-buruak: 120 cm-ko diametroa duen zirkulua egiteko modukoak izanen dira.</w:t>
      </w:r>
    </w:p>
    <w:p w14:paraId="2A71E786" w14:textId="77777777" w:rsidR="0042700F" w:rsidRPr="0042700F" w:rsidRDefault="0042700F" w:rsidP="0042700F">
      <w:pPr>
        <w:rPr>
          <w:color w:val="000000"/>
          <w:szCs w:val="24"/>
          <w:rFonts w:cs="Arial"/>
        </w:rPr>
      </w:pPr>
      <w:r>
        <w:rPr>
          <w:color w:val="000000"/>
          <w:szCs w:val="24"/>
        </w:rPr>
        <w:t xml:space="preserve">b.3) Korridoreak.</w:t>
      </w:r>
      <w:r>
        <w:rPr>
          <w:color w:val="000000"/>
          <w:szCs w:val="24"/>
        </w:rPr>
        <w:t xml:space="preserve"> </w:t>
      </w:r>
      <w:r>
        <w:rPr>
          <w:color w:val="000000"/>
          <w:szCs w:val="24"/>
        </w:rPr>
        <w:t xml:space="preserve">Korridoreak 100 cm zabal izanen dira gutxienez, 80 cm-ra arte estutzeko aukerarekin, betiere tarte horien luzera 50 cm-tik gorakoa ez bada. </w:t>
      </w:r>
      <w:r>
        <w:rPr>
          <w:color w:val="000000"/>
          <w:szCs w:val="24"/>
        </w:rPr>
        <w:t xml:space="preserve"> </w:t>
      </w:r>
      <w:r>
        <w:rPr>
          <w:color w:val="000000"/>
          <w:szCs w:val="24"/>
        </w:rPr>
        <w:t xml:space="preserve">Norabide-aldaketetan bira emateko espazioak edo 10 metrotik gorako korridoreak 120 cm-ko diametroko zirkulua egiteko modukoak izanen dira.</w:t>
      </w:r>
    </w:p>
    <w:p w14:paraId="6ECBBC85" w14:textId="77777777" w:rsidR="0042700F" w:rsidRPr="0042700F" w:rsidRDefault="0042700F" w:rsidP="0042700F">
      <w:pPr>
        <w:rPr>
          <w:color w:val="000000"/>
          <w:szCs w:val="24"/>
          <w:rFonts w:cs="Arial"/>
        </w:rPr>
      </w:pPr>
      <w:r>
        <w:rPr>
          <w:color w:val="000000"/>
          <w:szCs w:val="24"/>
        </w:rPr>
        <w:t xml:space="preserve">b.4) Igogailuak:</w:t>
      </w:r>
    </w:p>
    <w:p w14:paraId="190C270A" w14:textId="77777777" w:rsidR="0042700F" w:rsidRPr="0042700F" w:rsidRDefault="0042700F" w:rsidP="0042700F">
      <w:pPr>
        <w:rPr>
          <w:color w:val="000000"/>
          <w:szCs w:val="24"/>
          <w:rFonts w:cs="Arial"/>
        </w:rPr>
      </w:pPr>
      <w:r>
        <w:rPr>
          <w:color w:val="000000"/>
          <w:szCs w:val="24"/>
        </w:rPr>
        <w:t xml:space="preserve">b.4.1) Igogailu-kabina: hona, igogailu-kabinaren barneko gutxieneko neurriak: 90 cm-ko zabalera bider 120 cm-ko sakonera (120 x 120 cm, angeluko aterik bada), aintzat hartuta oztopoak kentzen direla.</w:t>
      </w:r>
      <w:r>
        <w:rPr>
          <w:color w:val="000000"/>
          <w:szCs w:val="24"/>
        </w:rPr>
        <w:t xml:space="preserve"> </w:t>
      </w:r>
      <w:r>
        <w:rPr>
          <w:color w:val="000000"/>
          <w:szCs w:val="24"/>
        </w:rPr>
        <w:t xml:space="preserve">Gehienez ere 70 cm-ko zabalera bider 90 cm-ko sakonera badago, ulertuko da oztoporik ez dela kendu baina irisgarritasuna hobetu dela; neurri horien azpitik ulertuko da ez direla hobetu irisgarritasun baldintzak.</w:t>
      </w:r>
    </w:p>
    <w:p w14:paraId="024273B1" w14:textId="77777777" w:rsidR="0042700F" w:rsidRPr="0042700F" w:rsidRDefault="0042700F" w:rsidP="0042700F">
      <w:pPr>
        <w:rPr>
          <w:color w:val="000000"/>
          <w:szCs w:val="24"/>
          <w:rFonts w:cs="Arial"/>
        </w:rPr>
      </w:pPr>
      <w:r>
        <w:rPr>
          <w:color w:val="000000"/>
          <w:szCs w:val="24"/>
        </w:rPr>
        <w:t xml:space="preserve">b.4.2) Ateak: igogailuaren ateen zabalera librea ez da izanen 75 cm-tik beherakoa, alde batera utzita aurreko paragrafoan aurreikusitako salbuespena.</w:t>
      </w:r>
    </w:p>
    <w:p w14:paraId="6F7BF506" w14:textId="77777777" w:rsidR="00D02E04" w:rsidRDefault="0042700F" w:rsidP="0042700F">
      <w:pPr>
        <w:rPr>
          <w:color w:val="000000"/>
          <w:szCs w:val="24"/>
          <w:rFonts w:cs="Arial"/>
        </w:rPr>
      </w:pPr>
      <w:r>
        <w:rPr>
          <w:color w:val="000000"/>
          <w:szCs w:val="24"/>
        </w:rPr>
        <w:t xml:space="preserve">b.4.3) Sarbideak: igogailuaren atearen parean, 120 cm-ko diametroko zirkulua egiten ahalko da.</w:t>
      </w:r>
    </w:p>
    <w:p w14:paraId="52FF94B2" w14:textId="77777777" w:rsidR="00D02E04" w:rsidRDefault="00CB1602" w:rsidP="0042700F">
      <w:pPr>
        <w:ind w:firstLine="540"/>
        <w:rPr>
          <w:color w:val="000000"/>
          <w:szCs w:val="24"/>
          <w:rFonts w:cs="Arial"/>
        </w:rPr>
      </w:pPr>
      <w:r>
        <w:rPr>
          <w:color w:val="000000"/>
          <w:szCs w:val="24"/>
        </w:rPr>
        <w:t xml:space="preserve">3.- 9.545.029,41 euro horiekin dirulaguntza eman da 2.737 etxebizitza birgaitzeko, 197 espedientetan.</w:t>
      </w:r>
      <w:r>
        <w:rPr>
          <w:color w:val="000000"/>
          <w:szCs w:val="24"/>
        </w:rPr>
        <w:t xml:space="preserve"> </w:t>
      </w:r>
    </w:p>
    <w:p w14:paraId="2140069C" w14:textId="2986F560" w:rsidR="00D02E04" w:rsidRDefault="00A56CCF" w:rsidP="00A56CCF">
      <w:pPr>
        <w:ind w:firstLine="540"/>
        <w:rPr>
          <w:color w:val="000000"/>
          <w:szCs w:val="24"/>
          <w:rFonts w:cs="Arial"/>
        </w:rPr>
      </w:pPr>
      <w:r>
        <w:rPr>
          <w:color w:val="000000"/>
          <w:szCs w:val="24"/>
        </w:rPr>
        <w:t xml:space="preserve">Hori guztia jakinarazten dizut, Nafarroako Parlamentuko Erregelamenduaren 194. artikulua betez.</w:t>
      </w:r>
    </w:p>
    <w:p w14:paraId="2C45B890" w14:textId="630A9F1D" w:rsidR="00D02E04" w:rsidRDefault="00A56CCF" w:rsidP="00697CA3">
      <w:pPr>
        <w:jc w:val="center"/>
        <w:rPr>
          <w:color w:val="000000"/>
          <w:szCs w:val="24"/>
          <w:rFonts w:cs="Arial"/>
        </w:rPr>
      </w:pPr>
      <w:r>
        <w:rPr>
          <w:color w:val="000000"/>
          <w:szCs w:val="24"/>
        </w:rPr>
        <w:t xml:space="preserve">Iruñean, 2022ko urtarrilaren 11n</w:t>
      </w:r>
    </w:p>
    <w:p w14:paraId="0BC996F4" w14:textId="28C38F72" w:rsidR="00D77C2F" w:rsidRPr="00E07A7D" w:rsidRDefault="00D02E04" w:rsidP="00E07A7D">
      <w:pPr>
        <w:ind w:firstLine="540"/>
        <w:jc w:val="center"/>
        <w:rPr>
          <w:color w:val="000000"/>
          <w:szCs w:val="24"/>
          <w:rFonts w:cs="Arial"/>
        </w:rPr>
      </w:pPr>
      <w:r>
        <w:rPr>
          <w:color w:val="000000"/>
          <w:szCs w:val="24"/>
        </w:rPr>
        <w:t xml:space="preserve">Lurralde Antolamenduko, Etxebizitzako, Paisaiako eta Proiektu Estrategikoetako kontseilaria: José María Aierdi Fernández de Barrena</w:t>
      </w:r>
    </w:p>
    <w:sectPr w:rsidR="00D77C2F" w:rsidRPr="00E07A7D" w:rsidSect="00D02E04">
      <w:headerReference w:type="default" r:id="rId7"/>
      <w:footerReference w:type="even" r:id="rId8"/>
      <w:pgSz w:w="11906" w:h="16838" w:code="9"/>
      <w:pgMar w:top="993" w:right="1701" w:bottom="1418" w:left="1701" w:header="709" w:footer="4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A1DE" w14:textId="77777777" w:rsidR="0028203C" w:rsidRDefault="0028203C" w:rsidP="00381BB8">
      <w:pPr>
        <w:pStyle w:val="Encabezado"/>
      </w:pPr>
      <w:r>
        <w:separator/>
      </w:r>
    </w:p>
  </w:endnote>
  <w:endnote w:type="continuationSeparator" w:id="0">
    <w:p w14:paraId="7A532BBE" w14:textId="77777777" w:rsidR="0028203C" w:rsidRDefault="0028203C"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1F41"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B9B9" w14:textId="77777777" w:rsidR="0028203C" w:rsidRDefault="0028203C" w:rsidP="00381BB8">
      <w:pPr>
        <w:pStyle w:val="Encabezado"/>
      </w:pPr>
      <w:r>
        <w:separator/>
      </w:r>
    </w:p>
  </w:footnote>
  <w:footnote w:type="continuationSeparator" w:id="0">
    <w:p w14:paraId="1280C8AD" w14:textId="77777777" w:rsidR="0028203C" w:rsidRDefault="0028203C"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F037" w14:textId="5DBE1A77"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7505C2"/>
    <w:multiLevelType w:val="hybridMultilevel"/>
    <w:tmpl w:val="AC3ADBFC"/>
    <w:lvl w:ilvl="0" w:tplc="4F362E4E">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5"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3"/>
  </w:num>
  <w:num w:numId="3">
    <w:abstractNumId w:val="9"/>
  </w:num>
  <w:num w:numId="4">
    <w:abstractNumId w:val="15"/>
  </w:num>
  <w:num w:numId="5">
    <w:abstractNumId w:val="1"/>
  </w:num>
  <w:num w:numId="6">
    <w:abstractNumId w:val="14"/>
  </w:num>
  <w:num w:numId="7">
    <w:abstractNumId w:val="6"/>
  </w:num>
  <w:num w:numId="8">
    <w:abstractNumId w:val="5"/>
  </w:num>
  <w:num w:numId="9">
    <w:abstractNumId w:val="7"/>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3"/>
  </w:num>
  <w:num w:numId="15">
    <w:abstractNumId w:val="0"/>
  </w:num>
  <w:num w:numId="16">
    <w:abstractNumId w:val="10"/>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15B45"/>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03A"/>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3E6F"/>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203C"/>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5961"/>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CB1"/>
    <w:rsid w:val="0041642D"/>
    <w:rsid w:val="00417309"/>
    <w:rsid w:val="00420B84"/>
    <w:rsid w:val="0042685B"/>
    <w:rsid w:val="0042700F"/>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96DC7"/>
    <w:rsid w:val="004A178B"/>
    <w:rsid w:val="004A466A"/>
    <w:rsid w:val="004A4922"/>
    <w:rsid w:val="004A6ED0"/>
    <w:rsid w:val="004A74B0"/>
    <w:rsid w:val="004B0725"/>
    <w:rsid w:val="004B0F6D"/>
    <w:rsid w:val="004B22DE"/>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22D1"/>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D7F36"/>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D53"/>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25C1"/>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BB3"/>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1D6E"/>
    <w:rsid w:val="00892C33"/>
    <w:rsid w:val="00895B89"/>
    <w:rsid w:val="008976F5"/>
    <w:rsid w:val="008A27CC"/>
    <w:rsid w:val="008A336D"/>
    <w:rsid w:val="008A565D"/>
    <w:rsid w:val="008A578A"/>
    <w:rsid w:val="008A5AEC"/>
    <w:rsid w:val="008A5F4C"/>
    <w:rsid w:val="008A6745"/>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1469"/>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66D2C"/>
    <w:rsid w:val="00B712A8"/>
    <w:rsid w:val="00B72389"/>
    <w:rsid w:val="00B744A0"/>
    <w:rsid w:val="00B7636D"/>
    <w:rsid w:val="00B7685B"/>
    <w:rsid w:val="00B77069"/>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602"/>
    <w:rsid w:val="00CB1AFC"/>
    <w:rsid w:val="00CB2B7E"/>
    <w:rsid w:val="00CB2BA4"/>
    <w:rsid w:val="00CB789F"/>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2E04"/>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217E"/>
    <w:rsid w:val="00DC3D45"/>
    <w:rsid w:val="00DC3E09"/>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4ED5"/>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6609F2E"/>
  <w15:chartTrackingRefBased/>
  <w15:docId w15:val="{FD1F61CF-00EB-4060-8B22-E55E730D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3</cp:revision>
  <cp:lastPrinted>2018-10-15T10:28:00Z</cp:lastPrinted>
  <dcterms:created xsi:type="dcterms:W3CDTF">2022-01-17T08:30:00Z</dcterms:created>
  <dcterms:modified xsi:type="dcterms:W3CDTF">2022-01-17T08:31:00Z</dcterms:modified>
</cp:coreProperties>
</file>