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consultas médicas no presenciales en Atención Primaria,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Porcentaje de consultas médicas no presenciales en Atención Primaria desglosado de forma mensual, desde octubre de 2021 hasta marzo de 2022 en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Porcentaje de consultas médicas no presenciales en Atención Primaria desglosado de forma mensual, desde octubre de 2021 hasta marzo de 2022 por cada Zona Básica de Salud.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marzo de 2022.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