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ejecutar las medidas necesarias para desarrollar y poner en marcha un Plan Integral de Salud Visual y Prevención de la Ceguera, aprobada por la Comisión de Salud del Parlamento de Navarra en sesión celebrada el día 3 de mayo de 2022,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Ejecutar las medidas necesarias, en coordinación con el resto de las administraciones públicas y la sociedad civil, para desarrollar y poner en marcha un Plan Integral de Salud Visual y Prevención de la Ceguera, sustentado en cuatro estrategias: prevención y atención temprana, investigación, sostenibilidad económica y legitimación social. </w:t>
      </w:r>
    </w:p>
    <w:p>
      <w:pPr>
        <w:pStyle w:val="0"/>
        <w:suppressAutoHyphens w:val="false"/>
        <w:rPr>
          <w:rStyle w:val="1"/>
        </w:rPr>
      </w:pPr>
      <w:r>
        <w:rPr>
          <w:rStyle w:val="1"/>
        </w:rPr>
        <w:t xml:space="preserve">2. Poner en marcha el plan dando prioridad a la prevención y atención temprana, entre otras, mediante la formación y coordinación de la Atención Primaria y Sociosanitaria con las Especialidades, así como la mejor dotación y capacitación de los profesionales, también mediante recursos modernizados y suficientes de diagnóstico. Prevenir y atajar supone invertir en evitar costes sociales y económicos en atención o en prestaciones, y en mejorar autonomía y calidad de vida de las personas. </w:t>
      </w:r>
    </w:p>
    <w:p>
      <w:pPr>
        <w:pStyle w:val="0"/>
        <w:suppressAutoHyphens w:val="false"/>
        <w:rPr>
          <w:rStyle w:val="1"/>
        </w:rPr>
      </w:pPr>
      <w:r>
        <w:rPr>
          <w:rStyle w:val="1"/>
        </w:rPr>
        <w:t xml:space="preserve">3. Seguir desarrollando estrategias de promoción de la salud y prevención para el abordaje de la cronicidad y la diabetes, así como para atajar con eficacia la ceguera evitable mediante el conocimiento y la prevención de aquellas patologías oculares ya reconocidas como evitables. </w:t>
      </w:r>
    </w:p>
    <w:p>
      <w:pPr>
        <w:pStyle w:val="0"/>
        <w:suppressAutoHyphens w:val="false"/>
        <w:rPr>
          <w:rStyle w:val="1"/>
        </w:rPr>
      </w:pPr>
      <w:r>
        <w:rPr>
          <w:rStyle w:val="1"/>
        </w:rPr>
        <w:t xml:space="preserve">4. Redoblar los esfuerzos en investigación científica y médica, así como a poner en marcha una estrategia que contemple estudios epidemiológicos, de incidencia y prevalencia; de evaluación económica; de análisis cuanti-cualitativo de carga social de la enfermedad, incluido años con calidad de vida y autonomía personal y laboral de los pacientes; y de financiación de líneas de investigación básica y traslacional orientadas a la aplicación clínica. </w:t>
      </w:r>
    </w:p>
    <w:p>
      <w:pPr>
        <w:pStyle w:val="0"/>
        <w:suppressAutoHyphens w:val="false"/>
        <w:rPr>
          <w:rStyle w:val="1"/>
        </w:rPr>
      </w:pPr>
      <w:r>
        <w:rPr>
          <w:rStyle w:val="1"/>
        </w:rPr>
        <w:t xml:space="preserve">5. Trazar una estrategia de sostenibilidad económica que incluya acceso a innovación diagnóstica y terapéutica, así como para la identificación de mecanismos moduladores orientados a la personalización de tratamientos, tanto mediante big data como técnicas genómicas. Esto requiere, también, adecuación de los recursos humanos a la demanda asistencial. </w:t>
      </w:r>
    </w:p>
    <w:p>
      <w:pPr>
        <w:pStyle w:val="0"/>
        <w:suppressAutoHyphens w:val="false"/>
        <w:rPr>
          <w:rStyle w:val="1"/>
        </w:rPr>
      </w:pPr>
      <w:r>
        <w:rPr>
          <w:rStyle w:val="1"/>
        </w:rPr>
        <w:t xml:space="preserve">6. Perfeccionar un modelo organizativo que integre las terapias de rehabilitación visual (oftalmología y optometría son las únicas especialidades médicas que no cuentan con rehabilitación), mediante el reforzamiento de los servicios de optometría públicos. O la telemedicina como elemento clave, así como un plan que coordine Atención Primaria y ámbitos hospitalarios o sociosanitarios con diferentes especialidades y saberes profesionales (medicina de familia, oftalmología, enfermería, psicología, psiquiatría, trabajo social, centros asistenciales...). </w:t>
      </w:r>
    </w:p>
    <w:p>
      <w:pPr>
        <w:pStyle w:val="0"/>
        <w:suppressAutoHyphens w:val="false"/>
        <w:rPr>
          <w:rStyle w:val="1"/>
        </w:rPr>
      </w:pPr>
      <w:r>
        <w:rPr>
          <w:rStyle w:val="1"/>
        </w:rPr>
        <w:t xml:space="preserve">7. Elaborar un mapa de procesos relacionados con la atención a enfermedades visuales congénitas o adquiridas en la primera infancia. </w:t>
      </w:r>
    </w:p>
    <w:p>
      <w:pPr>
        <w:pStyle w:val="0"/>
        <w:suppressAutoHyphens w:val="false"/>
        <w:rPr>
          <w:rStyle w:val="1"/>
        </w:rPr>
      </w:pPr>
      <w:r>
        <w:rPr>
          <w:rStyle w:val="1"/>
        </w:rPr>
        <w:t xml:space="preserve">8. Prestar especial atención a las enfermedades raras oculares, aún más desprotegidas por su baja prevalencia que el resto de patologías. </w:t>
      </w:r>
    </w:p>
    <w:p>
      <w:pPr>
        <w:pStyle w:val="0"/>
        <w:suppressAutoHyphens w:val="false"/>
        <w:rPr>
          <w:rStyle w:val="1"/>
        </w:rPr>
      </w:pPr>
      <w:r>
        <w:rPr>
          <w:rStyle w:val="1"/>
        </w:rPr>
        <w:t xml:space="preserve">9. Trabajar en el diseño de circuitos adaptados en Atención Primaria, atención hospitalaria y agentes sociales y comunitarios”.</w:t>
      </w:r>
    </w:p>
    <w:p>
      <w:pPr>
        <w:pStyle w:val="0"/>
        <w:suppressAutoHyphens w:val="false"/>
        <w:rPr>
          <w:rStyle w:val="1"/>
        </w:rPr>
      </w:pPr>
      <w:r>
        <w:rPr>
          <w:rStyle w:val="1"/>
        </w:rPr>
        <w:t xml:space="preserve">Pamplona, 4 de mayo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