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Kultur Eskubideei buruzko Foru Legearen 39. artikuluari buruz Ana Isabel Ansa Ascunce andreak aurkeztutako galdera (10-22/POR-00183).</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Nafarroako Parlamentuko Erregelamenduan ezarritakoaren babesean, honako galdera hau aurkezten du, Nafarroako Gobernuko Kultura eta Kiroleko kontseilariak Legebiltzarreko Osoko Bilkuran ahoz erantzun dezan:</w:t>
      </w:r>
    </w:p>
    <w:p>
      <w:pPr>
        <w:pStyle w:val="0"/>
        <w:suppressAutoHyphens w:val="false"/>
        <w:rPr>
          <w:rStyle w:val="1"/>
        </w:rPr>
      </w:pPr>
      <w:r>
        <w:rPr>
          <w:rStyle w:val="1"/>
        </w:rPr>
        <w:t xml:space="preserve">Nafarroako Eskubide Kulturalei buruzko Foru Legearen 39. artikuluak honela dio:</w:t>
      </w:r>
    </w:p>
    <w:p>
      <w:pPr>
        <w:pStyle w:val="0"/>
        <w:suppressAutoHyphens w:val="false"/>
        <w:rPr>
          <w:rStyle w:val="1"/>
        </w:rPr>
      </w:pPr>
      <w:r>
        <w:rPr>
          <w:rStyle w:val="1"/>
        </w:rPr>
        <w:t xml:space="preserve">“39. artikulua. Kultur ekintzailetzarako funtsak eta krediturako irispidea.</w:t>
      </w:r>
    </w:p>
    <w:p>
      <w:pPr>
        <w:pStyle w:val="0"/>
        <w:suppressAutoHyphens w:val="false"/>
        <w:rPr>
          <w:rStyle w:val="1"/>
        </w:rPr>
      </w:pPr>
      <w:r>
        <w:rPr>
          <w:rStyle w:val="1"/>
        </w:rPr>
        <w:t xml:space="preserve">Kulturaren arloko eskumena duen departamentua, bere kabuz edo Foru Komunitateko Administrazioaren beste departamentu batzuekin edo beste entitate batzuekin elkarlanean, funtsak edo bestelako finantza tresnak sortzeaz arduratuko da, kultur sektoreetako mikroenpresei eta enpresa txikiei kreditua ematea errazteko. Halaber arduratuko da kultur ekintzailetza sortu, garatu eta hedatzeko eta kultur ondasun eta zerbitzuak ekoizteko pizgarria izanen den beste edozein neurri hartzeaz”.</w:t>
      </w:r>
    </w:p>
    <w:p>
      <w:pPr>
        <w:pStyle w:val="0"/>
        <w:suppressAutoHyphens w:val="false"/>
        <w:rPr>
          <w:rStyle w:val="1"/>
        </w:rPr>
      </w:pPr>
      <w:r>
        <w:rPr>
          <w:rStyle w:val="1"/>
        </w:rPr>
        <w:t xml:space="preserve">Departamentuak planteatu al du legearen puntu hori garatzea, berak edo bestea departamentu batzuekin batera?</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