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competencia del Departamento de Cohesión Territorial para la tramitación del proyecto y ejecución de la 2ª fase del canal de Navarra, formulada por el Ilmo. Sr. D. Miguel Bujanda Cirauqui (10-22/PES-00162).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Miguel Bujanda Cirauqui, miembro de las Cortes de Navarra, adscrito al Grupo Parlamentario Navarra Suma (NA+), al amparo de lo dispuesto en el Reglamento de la Cámara, realiza la siguiente pregunta escrita al consejero de Cohesión Territorial: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 su Departamento el competente para toda la tramitación de proyecto y ejecución de la 2.ª fase del Canal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caso negativo, ¿de qué partes, en concreto, del proyecto y ejecución de la 2.ª fase del Canal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16 de mayo de 2022.</w:t>
      </w:r>
    </w:p>
    <w:p>
      <w:pPr>
        <w:pStyle w:val="0"/>
        <w:suppressAutoHyphens w:val="false"/>
        <w:rPr>
          <w:rStyle w:val="1"/>
          <w:spacing w:val="-2.88"/>
        </w:rPr>
      </w:pPr>
      <w:r>
        <w:rPr>
          <w:rStyle w:val="1"/>
          <w:spacing w:val="-2.88"/>
        </w:rPr>
        <w:t xml:space="preserve">El Parlamentario Foral: Miguel Bujanda Cirauqui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