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inmuebles con valor artístico y cultural de Navarra que requieren actuaciones para garantizar su conservación, formulada por el Ilmo. Sr. D. Maiorga Ramírez Erro (10-22/PES-00194).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Con respecto a las necesidades de actuaciones necesarias para su conservación en inmuebles con valor artístico y cultural de Navarra, este parlamentario desea conocer: </w:t>
      </w:r>
    </w:p>
    <w:p>
      <w:pPr>
        <w:pStyle w:val="0"/>
        <w:suppressAutoHyphens w:val="false"/>
        <w:rPr>
          <w:rStyle w:val="1"/>
        </w:rPr>
      </w:pPr>
      <w:r>
        <w:rPr>
          <w:rStyle w:val="1"/>
        </w:rPr>
        <w:t xml:space="preserve">• Una relación detallada de los inmuebles de Navarra que requieren actuaciones para garantizar su conservación con especificación del estado actual de las mismas, las necesidades de actuación, y quién es su propietario. </w:t>
      </w:r>
    </w:p>
    <w:p>
      <w:pPr>
        <w:pStyle w:val="0"/>
        <w:suppressAutoHyphens w:val="false"/>
        <w:rPr>
          <w:rStyle w:val="1"/>
        </w:rPr>
      </w:pPr>
      <w:r>
        <w:rPr>
          <w:rStyle w:val="1"/>
        </w:rPr>
        <w:t xml:space="preserve">En lruñea, a 9 de junio de 2022</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