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86F6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Nafarroako Parlamentuak, 2022ko ekainaren 23an egindako Osoko Bilkuran, honako foru lege hau onetsi zuen: “</w:t>
      </w:r>
      <w:r w:rsidRPr="004B684F">
        <w:rPr>
          <w:rStyle w:val="Normal1"/>
          <w:lang w:val="eu-ES"/>
        </w:rPr>
        <w:t>Foru Legea, zeinaren bidez aldatzen baita 16/2019 Foru Legea, martxoaren 26koa, Eskuin muturreko taldeek edo funtzionario publikoek eragindako motibazio politikoko ekintzen biktimen errekonozimenduari eta erreparazioari buruzkoa”.</w:t>
      </w:r>
    </w:p>
    <w:p w14:paraId="44438B58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Legebiltzarreko Erregelam</w:t>
      </w:r>
      <w:r w:rsidRPr="004B684F">
        <w:rPr>
          <w:rStyle w:val="Normal1"/>
          <w:lang w:val="eu-ES"/>
        </w:rPr>
        <w:t>enduko 146. artikuluan ezarritakoa betez, argitara dadin agintzen da.</w:t>
      </w:r>
    </w:p>
    <w:p w14:paraId="6E459219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Iruñean, 2022ko ekainaren 28an</w:t>
      </w:r>
    </w:p>
    <w:p w14:paraId="7E02AED5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Lehendakaria: Unai Hualde Iglesias</w:t>
      </w:r>
    </w:p>
    <w:p w14:paraId="47FA14FE" w14:textId="77777777" w:rsidR="00FD606F" w:rsidRPr="004B684F" w:rsidRDefault="004B684F">
      <w:pPr>
        <w:pStyle w:val="Titulotexto"/>
        <w:rPr>
          <w:lang w:val="eu-ES"/>
        </w:rPr>
      </w:pPr>
      <w:r w:rsidRPr="004B684F">
        <w:rPr>
          <w:lang w:val="eu-ES"/>
        </w:rPr>
        <w:t>Foru Legea, zeinaren bidez aldatzen baita 16/2019 Foru Legea, martxoaren 26koa, Eskuin muturreko taldeek edo funtzionari</w:t>
      </w:r>
      <w:r w:rsidRPr="004B684F">
        <w:rPr>
          <w:lang w:val="eu-ES"/>
        </w:rPr>
        <w:t>o publikoek eragindako motibazio politikoko ekintzen biktimen errekonozimenduari eta erreparazioari buruzkoa</w:t>
      </w:r>
    </w:p>
    <w:p w14:paraId="6004389A" w14:textId="77777777" w:rsidR="00FD606F" w:rsidRPr="004B684F" w:rsidRDefault="004B684F">
      <w:pPr>
        <w:ind w:firstLine="0"/>
        <w:jc w:val="center"/>
        <w:rPr>
          <w:rStyle w:val="Normal1"/>
          <w:lang w:val="eu-ES"/>
        </w:rPr>
      </w:pPr>
      <w:r w:rsidRPr="004B684F">
        <w:rPr>
          <w:rStyle w:val="Normal1"/>
          <w:lang w:val="eu-ES"/>
        </w:rPr>
        <w:t>HITZAURREA</w:t>
      </w:r>
    </w:p>
    <w:p w14:paraId="1CFC4E1B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Apirilaren 10eko 16/2019 Foru Legeak arautzen du eskuin muturreko taldeek edo funtzionario publikoek eragindako motibazio politikoko eki</w:t>
      </w:r>
      <w:r w:rsidRPr="004B684F">
        <w:rPr>
          <w:rStyle w:val="Normal1"/>
          <w:lang w:val="eu-ES"/>
        </w:rPr>
        <w:t>ntzen biktimei errekonozimendua eta erreparazioa emateko Nafarroako sistema. Zehazki, 12. artikuluan, biktimek osasungintzako arretarako nahiz kalte fisiko, psikologiko edo materialengatiko ordainak jasotzeko daukaten eskubidea zehazteari dagokionez, igorp</w:t>
      </w:r>
      <w:r w:rsidRPr="004B684F">
        <w:rPr>
          <w:rStyle w:val="Normal1"/>
          <w:lang w:val="eu-ES"/>
        </w:rPr>
        <w:t>ena egiten du apirilaren 28ko 9/2010 Foru Legeak, Terrorismoaren biktimei laguntzekoak, xedatutakora. Igorpen horrek problema batzuk sortzen ditu aplikatua izateko.</w:t>
      </w:r>
    </w:p>
    <w:p w14:paraId="164D1357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 xml:space="preserve">Terrorismoaren biktimei laguntzeko apirilaren 28ko 9/2010 Foru Legeak erreparazio-neurrien </w:t>
      </w:r>
      <w:r w:rsidRPr="004B684F">
        <w:rPr>
          <w:rStyle w:val="Normal1"/>
          <w:lang w:val="eu-ES"/>
        </w:rPr>
        <w:t>multzo bat ezartzen du (kalte-ordainak, laguntzak), Estatuak eman litzakeen horien osagarri gisa. Halatan, Nafarroako kalte-ordainen eta laguntzen zenbatekoa izanen da Estatuko Administrazio Orokorrak ematen dituen kopuruen % 30ekoa. Alabaina, motibazio po</w:t>
      </w:r>
      <w:r w:rsidRPr="004B684F">
        <w:rPr>
          <w:rStyle w:val="Normal1"/>
          <w:lang w:val="eu-ES"/>
        </w:rPr>
        <w:t>litikoko biktimei ez die Estatuak inoiz kalte-ordainik eman, eta horrek ginderamatzake existitzen ez den estatu-laguntza bati osagarri halako bat jartzearen ezintasunera.</w:t>
      </w:r>
    </w:p>
    <w:p w14:paraId="25EBA68E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Baldin eta % 30aren laguntza osagarria motibazio politikoko egintzen biktimentzako la</w:t>
      </w:r>
      <w:r w:rsidRPr="004B684F">
        <w:rPr>
          <w:rStyle w:val="Normal1"/>
          <w:lang w:val="eu-ES"/>
        </w:rPr>
        <w:t xml:space="preserve">guntzen muga gisa aplikatuko balitz, horrek esan nahi luke legeztatu egiten dela tratu-desberdinkeriako egoera nabari bat: batetik leudeke terrorismoaren biktimak, zeinek Estatuaren kalte-ordaina gehi jada aipaturiko osagarri autonomikoa jasotzen baitute, </w:t>
      </w:r>
      <w:r w:rsidRPr="004B684F">
        <w:rPr>
          <w:rStyle w:val="Normal1"/>
          <w:lang w:val="eu-ES"/>
        </w:rPr>
        <w:t xml:space="preserve">eta bestetik, motibazio politikoko biktimak, zeinek kalte-ordain gisa % 30 baizik ez bailukete jasoko, jasan eta frogaturiko kalteengatik. Horrekin ez da tratu-berdintasunik bermatzen biktima-talde desberdinen artean (terrorismoaren biktimak eta motibazio </w:t>
      </w:r>
      <w:r w:rsidRPr="004B684F">
        <w:rPr>
          <w:rStyle w:val="Normal1"/>
          <w:lang w:val="eu-ES"/>
        </w:rPr>
        <w:t>politikoko biktimak), halatan kontraesan nabarmenean eroriz biktimen diskriminaziorik ezaren eta tratu mesedegarriaren printzipioarekiko, zeina martxoaren 26ko 16/2019 Foru Legearen 5.3 artikuluak jasotzen baitu.</w:t>
      </w:r>
    </w:p>
    <w:p w14:paraId="5C616708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Terrorismoaren biktimei laguntzeko Foru Leg</w:t>
      </w:r>
      <w:r w:rsidRPr="004B684F">
        <w:rPr>
          <w:rStyle w:val="Normal1"/>
          <w:lang w:val="eu-ES"/>
        </w:rPr>
        <w:t>ean, kalte-ordaina izan dezaketen kalte psikiko dira baliaezintasun handia, ezintasun iraunkor absolutua eta ezintasun iraunkor osoa. Horrenbestez, terrorismoaren biktimentzako foru araudia hertsiki aplikatuz gero, motibazio politikoko biktimen kasuan ezin</w:t>
      </w:r>
      <w:r w:rsidRPr="004B684F">
        <w:rPr>
          <w:rStyle w:val="Normal1"/>
          <w:lang w:val="eu-ES"/>
        </w:rPr>
        <w:t xml:space="preserve"> izanen zaie kalte-ordainik eman ezintasun iraunkor partzialari loturiko kalte psikiko edo psikologikoen kasuei, ez eta baliaezintasunik gabeko lesio iraunkorrei edo aldi baterako ezintasunari ere, are Estatuak kalte-ordain horiek terrorismoaren biktimentz</w:t>
      </w:r>
      <w:r w:rsidRPr="004B684F">
        <w:rPr>
          <w:rStyle w:val="Normal1"/>
          <w:lang w:val="eu-ES"/>
        </w:rPr>
        <w:t>at aurreikusi egiten baditu ere.</w:t>
      </w:r>
    </w:p>
    <w:p w14:paraId="1FBA88C2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Bestetik, martxoaren 26ko 16/2019 Foru Legearen bigarren xedapen gehigarrian Nafarroako Gobernua gaitzen da erregelamenduzko garapena egin dezan eta, zehazki, terrorismoaren biktimei buruzko legediak aurreikusitako kalte-or</w:t>
      </w:r>
      <w:r w:rsidRPr="004B684F">
        <w:rPr>
          <w:rStyle w:val="Normal1"/>
          <w:lang w:val="eu-ES"/>
        </w:rPr>
        <w:t>dainak eta laguntzak doitu eta egokitu ditzan legedi horren helburuetara. Erregelamenduzko garapenean biktimen kolektiboek (terrorismoarenek eta motibazio politikokoek) jasotako kalte-ordainak elkarrengana hurbiltzeko aurreikusten den doikuntza horrek erag</w:t>
      </w:r>
      <w:r w:rsidRPr="004B684F">
        <w:rPr>
          <w:rStyle w:val="Normal1"/>
          <w:lang w:val="eu-ES"/>
        </w:rPr>
        <w:t>ozpen teknikoak ditu, begi-bistako arriskua izanik gehiegizko araupetze batean erortzea, mugatua baita erregelamendu bidezko doikuntza-ahalmen hori. Doitzeak ez du legea eraldatu edo mutatzeko modurik ematen; hori dela-eta, erregelamendu bitartezko doikunt</w:t>
      </w:r>
      <w:r w:rsidRPr="004B684F">
        <w:rPr>
          <w:rStyle w:val="Normal1"/>
          <w:lang w:val="eu-ES"/>
        </w:rPr>
        <w:t>za horrek ezin izanen du kolektibo horien arteko tratu-desberdinkeria onbideratu.</w:t>
      </w:r>
    </w:p>
    <w:p w14:paraId="521D2EB3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Azken batean, bai 12. artikuluak aurreikusitako igorpenak bai Eskuin muturreko taldeek edo funtzionario publikoek eragindako motibazio politikoko ekintzen biktimen errekonozi</w:t>
      </w:r>
      <w:r w:rsidRPr="004B684F">
        <w:rPr>
          <w:rStyle w:val="Normal1"/>
          <w:lang w:val="eu-ES"/>
        </w:rPr>
        <w:t>menduari eta erreparazioari buruzko martxoaren 26ko 16/2019 Foru Legearen bigarren xedapen gehigarrian aurreikusitako erregelamenduzko garapenak problema-multzo bat dakarte aplikatuak izaterakoan, foru lege mailako araugintzazko konponbidea behar dutenak.</w:t>
      </w:r>
    </w:p>
    <w:p w14:paraId="44957A05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lastRenderedPageBreak/>
        <w:t>Hori guztia dela-eta, aldaketa honek xede du Terrorismoaren biktimei laguntzeko Foru Legerako igorpena gainditzea, motibo politikoengatiko indarkeria jasan duten pertsonen aldeko prestazio zehatzak ezartzea, biktima-kolektibo bereiztuen arteko babes-berdin</w:t>
      </w:r>
      <w:r w:rsidRPr="004B684F">
        <w:rPr>
          <w:rStyle w:val="Normal1"/>
          <w:lang w:val="eu-ES"/>
        </w:rPr>
        <w:t>tasuna bermatzea (terrorismoaren biktimak/indarkeria politikoaren biktimak) eta, azkenik, behar den segurtasun juridikoa ekartzea biktimei eta laguntzen xede diren pertsonei.</w:t>
      </w:r>
    </w:p>
    <w:p w14:paraId="3576E85C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b/>
          <w:lang w:val="eu-ES"/>
        </w:rPr>
        <w:t>Artikulu bakarra.</w:t>
      </w:r>
      <w:r w:rsidRPr="004B684F">
        <w:rPr>
          <w:rStyle w:val="Normal1"/>
          <w:lang w:val="eu-ES"/>
        </w:rPr>
        <w:t xml:space="preserve"> Aldatzea 16/2019 Foru Legea, martxoaren 26koa, eskuin muturreko</w:t>
      </w:r>
      <w:r w:rsidRPr="004B684F">
        <w:rPr>
          <w:rStyle w:val="Normal1"/>
          <w:lang w:val="eu-ES"/>
        </w:rPr>
        <w:t xml:space="preserve"> taldeek edo funtzionario publikoek eragindako motibazio politikoko ekintzen biktimen errekonozimenduari eta erreparazioari buruzkoa.</w:t>
      </w:r>
    </w:p>
    <w:p w14:paraId="2DBCE365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u w:val="single"/>
          <w:lang w:val="eu-ES"/>
        </w:rPr>
        <w:t>Bat</w:t>
      </w:r>
      <w:r w:rsidRPr="004B684F">
        <w:rPr>
          <w:rStyle w:val="Normal1"/>
          <w:lang w:val="eu-ES"/>
        </w:rPr>
        <w:t>. 2. artikuluaren bigarren paragrafoa aldatzen da. Testu hau izanen du:</w:t>
      </w:r>
    </w:p>
    <w:p w14:paraId="426C6897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“Baldin eta, pertsona baten giza eskubideen urr</w:t>
      </w:r>
      <w:r w:rsidRPr="004B684F">
        <w:rPr>
          <w:rStyle w:val="Normal1"/>
          <w:lang w:val="eu-ES"/>
        </w:rPr>
        <w:t>aketaren zuzeneko ondorio gisa, haren heriotza gertatu bada, haren kausadunek eskubidea izanen dute biktima-aitorpena eskatzeko eta diruzko konpentsazioa jasotzeko, foru lege honen 12.5 artikuluan horretarako ezartzen diren erregelei jarraikiz”.</w:t>
      </w:r>
    </w:p>
    <w:p w14:paraId="53F54CF5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u w:val="single"/>
          <w:lang w:val="eu-ES"/>
        </w:rPr>
        <w:t>Bi</w:t>
      </w:r>
      <w:r w:rsidRPr="004B684F">
        <w:rPr>
          <w:rStyle w:val="Normal1"/>
          <w:lang w:val="eu-ES"/>
        </w:rPr>
        <w:t>. 9. art</w:t>
      </w:r>
      <w:r w:rsidRPr="004B684F">
        <w:rPr>
          <w:rStyle w:val="Normal1"/>
          <w:lang w:val="eu-ES"/>
        </w:rPr>
        <w:t>ikuluko 1. apartatua aldatzea. Honako testua izanen du aurrerantzean:</w:t>
      </w:r>
    </w:p>
    <w:p w14:paraId="62320490" w14:textId="77777777" w:rsid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“1. Eskabideak foru lege honen esparru subjektiboan aipatzen diren pertsonek sustatu eta aurkeztu ahalko dituzte. Legitimazio aktiboa izanen dute, halaber, aipatutako esparrukoak izan ez</w:t>
      </w:r>
      <w:r w:rsidRPr="004B684F">
        <w:rPr>
          <w:rStyle w:val="Normal1"/>
          <w:lang w:val="eu-ES"/>
        </w:rPr>
        <w:t xml:space="preserve"> arren, foru lege honen aplikazio eremuan sartzen diren egitateak zuzenean eta zorrozki ezagutu dituzten pertsonek edo entitateek. Eskabide horiek lau urte eta sei hilabeteko hasiera-epean aurkeztu ahalko dira, arlo horretan eskudun den departamentuko kont</w:t>
      </w:r>
      <w:r w:rsidRPr="004B684F">
        <w:rPr>
          <w:rStyle w:val="Normal1"/>
          <w:lang w:val="eu-ES"/>
        </w:rPr>
        <w:t>seilariaren foru agindua, eskabide-aurkezpenerako epea irekitzen duena, Nafarroako Aldizkari Ofizialean argitaratu eta biharamunetik aurrera”.</w:t>
      </w:r>
    </w:p>
    <w:p w14:paraId="141FFFA8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u w:val="single"/>
          <w:lang w:val="eu-ES"/>
        </w:rPr>
        <w:t>Hiru</w:t>
      </w:r>
      <w:r w:rsidRPr="004B684F">
        <w:rPr>
          <w:rStyle w:val="Normal1"/>
          <w:lang w:val="eu-ES"/>
        </w:rPr>
        <w:t>. 11. artikuluko 3. apartatua aldatzen da. Honako testua izanen du aurrerantzean:</w:t>
      </w:r>
    </w:p>
    <w:p w14:paraId="2A9F84DB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“3. Ebazpena hilabeteko ep</w:t>
      </w:r>
      <w:r w:rsidRPr="004B684F">
        <w:rPr>
          <w:rStyle w:val="Normal1"/>
          <w:lang w:val="eu-ES"/>
        </w:rPr>
        <w:t>ean jakinaraziko zaio interesdunari, eta, kasua bada, bidezko diren errekurtsoak aurkezteko aukera adieraziko zaio.</w:t>
      </w:r>
    </w:p>
    <w:p w14:paraId="44B8A192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Prozedura ebatzi eta ebazpena jakinarazteko gehieneko epea hamasei hilabetekoa izanen da, salbu eta artikulu honen 1. apartatuan oinarri har</w:t>
      </w:r>
      <w:r w:rsidRPr="004B684F">
        <w:rPr>
          <w:rStyle w:val="Normal1"/>
          <w:lang w:val="eu-ES"/>
        </w:rPr>
        <w:t>turik epea luzatua izan den kasuan”.</w:t>
      </w:r>
    </w:p>
    <w:p w14:paraId="7A1B39F9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u w:val="single"/>
          <w:lang w:val="eu-ES"/>
        </w:rPr>
        <w:t>Lau</w:t>
      </w:r>
      <w:r w:rsidRPr="004B684F">
        <w:rPr>
          <w:rStyle w:val="Normal1"/>
          <w:lang w:val="eu-ES"/>
        </w:rPr>
        <w:t>. 12. artikulua aldatzen da. Testu hau izanen du:</w:t>
      </w:r>
    </w:p>
    <w:p w14:paraId="018C00CB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“12 artikulua. Biktima deklaratzearen ondorioak.</w:t>
      </w:r>
    </w:p>
    <w:p w14:paraId="73071E9F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1. Foru lege honen xedapenen arabera biktima deklaratuak diren pertsonek aitortuta edukiko dituzte, osasun arretaz ga</w:t>
      </w:r>
      <w:r w:rsidRPr="004B684F">
        <w:rPr>
          <w:rStyle w:val="Normal1"/>
          <w:lang w:val="eu-ES"/>
        </w:rPr>
        <w:t>inera, kalte fisiko, psikologiko edo materialengatiko ordain ekonomikoak.</w:t>
      </w:r>
    </w:p>
    <w:p w14:paraId="732EA069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Ordain ekonomiko horiek bateragarri dira gertakari berengatik beste erakunde batzuengandik jasotzera zilegituta egon litezkeeneko beste kopuruekin, baldin eta foru lege honen babesea</w:t>
      </w:r>
      <w:r w:rsidRPr="004B684F">
        <w:rPr>
          <w:rStyle w:val="Normal1"/>
          <w:lang w:val="eu-ES"/>
        </w:rPr>
        <w:t>n aitortuak izan diren ordain ekonomikoak baino baxuagoak badira. Ondorioz, beste entitate batzuengandik jasotako edo haiek aitortutako kopuruak baxuagoak direnean Foru Komunitateko Administrazioak emandakoak baino, hartzaileak azken horrengandik jasoko du</w:t>
      </w:r>
      <w:r w:rsidRPr="004B684F">
        <w:rPr>
          <w:rStyle w:val="Normal1"/>
          <w:lang w:val="eu-ES"/>
        </w:rPr>
        <w:t xml:space="preserve"> bi laguntza horien arteko aldea bakarrik.</w:t>
      </w:r>
    </w:p>
    <w:p w14:paraId="5ECCE20A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2. Jasandako kalte fisiko edo psikologikoengatiko ordain ekonomikoen zenbatekoak honakoak izanen dira:</w:t>
      </w:r>
    </w:p>
    <w:p w14:paraId="75088A3F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a) Heriotzagatik: 250.000 euro.</w:t>
      </w:r>
    </w:p>
    <w:p w14:paraId="63AC9350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b) Baliaezintasun handiagatik: 500.000 euro.</w:t>
      </w:r>
    </w:p>
    <w:p w14:paraId="6E9C4AC9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c) Ezintasun iraunkor absolutuagatik: 180.000 euro.</w:t>
      </w:r>
    </w:p>
    <w:p w14:paraId="7CEE0258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d) Ezintasun iraunkor osoagatik: 100.000 euro.</w:t>
      </w:r>
    </w:p>
    <w:p w14:paraId="51DCD797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e) Ezintasun iraunkor partzialagatik: 75.000 euro.</w:t>
      </w:r>
    </w:p>
    <w:p w14:paraId="20478BCE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f) Aurreko apartatuetan aurreikusitako kalte-ordainen zenbatekoak handiagotu eginen dira kantitate finko b</w:t>
      </w:r>
      <w:r w:rsidRPr="004B684F">
        <w:rPr>
          <w:rStyle w:val="Normal1"/>
          <w:lang w:val="eu-ES"/>
        </w:rPr>
        <w:t>atean, kasuko errenta-adierazle publikoaren 20 hilabete-kuotakoa, heriotza-unean edo lesioa eragin zuen indarkeriazko ekintzaren unean biktimarekiko mendekotasun ekonomikoa zeukaten ondorengo ahaideetako edo harreran hartutako adingabeetako bakoitzarengati</w:t>
      </w:r>
      <w:r w:rsidRPr="004B684F">
        <w:rPr>
          <w:rStyle w:val="Normal1"/>
          <w:lang w:val="eu-ES"/>
        </w:rPr>
        <w:t>k.</w:t>
      </w:r>
    </w:p>
    <w:p w14:paraId="73CB3067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lastRenderedPageBreak/>
        <w:t>g) Baliaezintasun gabeko lesio iraunkorrengatik: zenbatekoa zehaztuko da eskabidea aurkezteko unean indardun den sistema erabiliz, zeinaren bidez baloratzen baitira pertsonei zirkulazio-ezbeharretan eragindako kalte eta galerak, eta baremo gisa harturik</w:t>
      </w:r>
      <w:r w:rsidRPr="004B684F">
        <w:rPr>
          <w:rStyle w:val="Normal1"/>
          <w:lang w:val="eu-ES"/>
        </w:rPr>
        <w:t xml:space="preserve"> lan-istriputik edo lanbide-gaixotasunetik eratorritako behin betiko eta baliaezintasunik gabeko lesio, mutilazio eta deformazioengatiko kalte-ordainen zenbatekoei buruz gizarte-segurantzako legedia aplikatzetik suertatzen den hori. Guztizko zenbatekoak ez</w:t>
      </w:r>
      <w:r w:rsidRPr="004B684F">
        <w:rPr>
          <w:rStyle w:val="Normal1"/>
          <w:lang w:val="eu-ES"/>
        </w:rPr>
        <w:t xml:space="preserve"> du ezein kasutan gaindituko ezintasun iraunkor partzialerako adierazitako zenbatekoa.</w:t>
      </w:r>
    </w:p>
    <w:p w14:paraId="550CE610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h) Aldi baterako ezintasunagatik: izanen da aldi baterako ezintasuneko egoeran aurkitzen deneko epeari dagokion eguneroko errenta-adierazle publikoaren bikoitza. Mugatza</w:t>
      </w:r>
      <w:r w:rsidRPr="004B684F">
        <w:rPr>
          <w:rStyle w:val="Normal1"/>
          <w:lang w:val="eu-ES"/>
        </w:rPr>
        <w:t>t izanen du hileko 18 kuota (Ondorio Askotarako Errenta-adierazle Publikoa/egun x 2, hileko 18 kuotako mugaraino). Ondorio horietarako, ulertuko da biktima aldi baterako ezintasun egoeran dagoela osasungintza-arreta jasotzen duen eta bere lanbidean jardute</w:t>
      </w:r>
      <w:r w:rsidRPr="004B684F">
        <w:rPr>
          <w:rStyle w:val="Normal1"/>
          <w:lang w:val="eu-ES"/>
        </w:rPr>
        <w:t>ko edo bere ohiko jardueretan aritzeko ezinduta dagoen bitartean.</w:t>
      </w:r>
    </w:p>
    <w:p w14:paraId="6AE2DD62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i) Mendekotasun-egoeragatik, alorreko departamentu eskudunak biktimei edozein gradu eta mailatan aitortua, honako portzentajeetan gehituko dira Foru Komunitateko Administrazioak emandako kop</w:t>
      </w:r>
      <w:r w:rsidRPr="004B684F">
        <w:rPr>
          <w:rStyle w:val="Normal1"/>
          <w:lang w:val="eu-ES"/>
        </w:rPr>
        <w:t>uruak:</w:t>
      </w:r>
    </w:p>
    <w:p w14:paraId="1C53F62F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– 100eko 30eko igoera, III. gradua –mendekotasun handia, 1. eta 2. mailak– onartu zaien pertsonentzat.</w:t>
      </w:r>
    </w:p>
    <w:p w14:paraId="5C182D08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– 100eko 20ko igoera, II. gradua –mendekotasun larria, 1. eta 2. mailak– onartu zaien pertsonentzat.</w:t>
      </w:r>
    </w:p>
    <w:p w14:paraId="26848272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– 100eko 10eko igoera, I. gradua –mendekotasu</w:t>
      </w:r>
      <w:r w:rsidRPr="004B684F">
        <w:rPr>
          <w:rStyle w:val="Normal1"/>
          <w:lang w:val="eu-ES"/>
        </w:rPr>
        <w:t>n moderatua, 1. eta 2. mailak– onartu zaien pertsonentzat.</w:t>
      </w:r>
    </w:p>
    <w:p w14:paraId="448D1087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Zenbateko horiek bateragarriak izanen dira biktimek jasotzeko eskubidea duten beste edozein zenbatekorekin, non eta ez diren kontzeptu beraren ondoriozkoak.</w:t>
      </w:r>
    </w:p>
    <w:p w14:paraId="72BFDEF6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3. Nafarroako Foru komunitateko Administ</w:t>
      </w:r>
      <w:r w:rsidRPr="004B684F">
        <w:rPr>
          <w:rStyle w:val="Normal1"/>
          <w:lang w:val="eu-ES"/>
        </w:rPr>
        <w:t>razioak, Osasunbidea-Nafarroako Osasun Zerbitzuaren bitartez, beharrezkoa gertatzen den osasungintza-arreta edo arreta psikologikoa emanen die biktima deklaratuak diren pertsonei, foru lege honetako xedapenei jarraikiz, ahal den heinean berreskuratze alder</w:t>
      </w:r>
      <w:r w:rsidRPr="004B684F">
        <w:rPr>
          <w:rStyle w:val="Normal1"/>
          <w:lang w:val="eu-ES"/>
        </w:rPr>
        <w:t>a kasuko gertakaria baino lehenagoko baldintzak. Hori ezinezkoa denean, eta beste zentro batzuetan eman beharrekoa denean, administrazio horrek eskaturiko zerbitzu eta tratamendu bakoiztuen ondoriozko gastuak ordainduko dira.</w:t>
      </w:r>
    </w:p>
    <w:p w14:paraId="45D96DFD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Osasungintza-arretak barne har</w:t>
      </w:r>
      <w:r w:rsidRPr="004B684F">
        <w:rPr>
          <w:rStyle w:val="Normal1"/>
          <w:lang w:val="eu-ES"/>
        </w:rPr>
        <w:t>tuko du tratamendu medikoa, protesi-ezarpena edo horien aldizkako hobekuntzak, bai eta errehabilitazio-premiaren ondoriozko gastuak ere, Osasunbidea-Nafarroako Osasun Zerbitzuak diagnostikaturikoak direnean.</w:t>
      </w:r>
    </w:p>
    <w:p w14:paraId="415D6F08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Arreta psikologikoa jasotzen ahalko da, medikuak</w:t>
      </w:r>
      <w:r w:rsidRPr="004B684F">
        <w:rPr>
          <w:rStyle w:val="Normal1"/>
          <w:lang w:val="eu-ES"/>
        </w:rPr>
        <w:t xml:space="preserve"> aurretiaz horretarako agindua emanik, indarkeriazko ekintzak eragindako edo agerian utzitako nahasmendu psikologikoen agerpenetik aurrera.</w:t>
      </w:r>
    </w:p>
    <w:p w14:paraId="387963DE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4. Kalte materialengatiko ordainketek barne hartuko dituzte etxebizitzetan, gauzaki pertsonaletan, merkataritza- edo</w:t>
      </w:r>
      <w:r w:rsidRPr="004B684F">
        <w:rPr>
          <w:rStyle w:val="Normal1"/>
          <w:lang w:val="eu-ES"/>
        </w:rPr>
        <w:t xml:space="preserve"> industria-establezimenduetan eta ibilgailuetan egin direnak. Kalte-konponketak barne hartuko ditu lehenagoko bizigarritasun- edo funtzionamendu-baldintzak berreskuratzeko beharrezkoak diren urratsak.</w:t>
      </w:r>
    </w:p>
    <w:p w14:paraId="23F90CF3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Kalte materialen ordainketek ordezko izaera izanen dute</w:t>
      </w:r>
      <w:r w:rsidRPr="004B684F">
        <w:rPr>
          <w:rStyle w:val="Normal1"/>
          <w:lang w:val="eu-ES"/>
        </w:rPr>
        <w:t xml:space="preserve"> administrazio publikoek aitorturikoen edo aseguru-kontratuetatik eratorritakoen aldean, eta kontzeptu horiengatik jasotako kopuruan murriztuko dira.</w:t>
      </w:r>
    </w:p>
    <w:p w14:paraId="24727CD4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5. Heriotzagatiko kalte-ordainketarako eskubidearen titular izanen dira, erreferentziatzat heriotzaren gertaeguna harturik:</w:t>
      </w:r>
    </w:p>
    <w:p w14:paraId="572B8D7B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a) Hildako pertsonaren ezkontidea, legalki bananduta ez bazeuden, edo gutxienik heriotza-unearen aurreko bi urteetan zehar harekin a</w:t>
      </w:r>
      <w:r w:rsidRPr="004B684F">
        <w:rPr>
          <w:rStyle w:val="Normal1"/>
          <w:lang w:val="eu-ES"/>
        </w:rPr>
        <w:t>ntzeko afektibitate-harremanez elkarturik modu iraunkorrean bizi izandako pertsona, salbu eta ondorengotza amankomuna izan bazuten, ezen kasu horretan nahikoa izanen da elkarbizitza soila; eta hildakoaren seme-alabak.</w:t>
      </w:r>
    </w:p>
    <w:p w14:paraId="3CDF97ED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b) Arestian aipatuetakorik ez egonez g</w:t>
      </w:r>
      <w:r w:rsidRPr="004B684F">
        <w:rPr>
          <w:rStyle w:val="Normal1"/>
          <w:lang w:val="eu-ES"/>
        </w:rPr>
        <w:t>ero, hartzaile izanen dira, lehentasun-hurrenkeran eta hurrenkeran jarraian datozenak bazter utzirik, hildakoaren gurasoak, anai-arrebak, bilobak eta aitona-amonak.</w:t>
      </w:r>
    </w:p>
    <w:p w14:paraId="68D43CAE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lastRenderedPageBreak/>
        <w:t>c) Arestian aipatuetakorik ez egonez gero, elkarbizitzan partaide izandako pertsonaren seme</w:t>
      </w:r>
      <w:r w:rsidRPr="004B684F">
        <w:rPr>
          <w:rStyle w:val="Normal1"/>
          <w:lang w:val="eu-ES"/>
        </w:rPr>
        <w:t>-alabak, eta hildakoak familia-harrera iraunkorrean edo adopzioaurrekoan hartutako adingabeak, ekonomikoki haren mende baldin bazeuden.</w:t>
      </w:r>
    </w:p>
    <w:p w14:paraId="3128DA65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 xml:space="preserve">6. Aurreko apartatuan aurreikusitako kasuetako batean elkarrekin suertatzen badira zenbait onuradun, kalte-ordainketari </w:t>
      </w:r>
      <w:r w:rsidRPr="004B684F">
        <w:rPr>
          <w:rStyle w:val="Normal1"/>
          <w:lang w:val="eu-ES"/>
        </w:rPr>
        <w:t>dagokion zenbatekoaren banaketa honela eginen da:</w:t>
      </w:r>
    </w:p>
    <w:p w14:paraId="074F1FD9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a) Kasua bada 5.a) apartatuan jasotzen dena, kopurua erdibanatu eginen da, erdi bat dagokiola legalki banandu gabeko ezkontideari edo elkarbizitza-partaideari, eta bestea seme-alabei. Azken erdi hori zati b</w:t>
      </w:r>
      <w:r w:rsidRPr="004B684F">
        <w:rPr>
          <w:rStyle w:val="Normal1"/>
          <w:lang w:val="eu-ES"/>
        </w:rPr>
        <w:t>erdinetan banatuko da.</w:t>
      </w:r>
    </w:p>
    <w:p w14:paraId="0185826E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b) Kasua bada 5. b) apartatuan jasotzen dena, kopurua zati berdinetan banatuko da ahaidetasun-lotura bereko pertsonen artean.</w:t>
      </w:r>
    </w:p>
    <w:p w14:paraId="79E96B15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c) Kasua bada 5.c) apartatuan jasotzen dena, kopurua zati berdinetan banatuko da batera suertatzen diren on</w:t>
      </w:r>
      <w:r w:rsidRPr="004B684F">
        <w:rPr>
          <w:rStyle w:val="Normal1"/>
          <w:lang w:val="eu-ES"/>
        </w:rPr>
        <w:t>uradunen artean.</w:t>
      </w:r>
    </w:p>
    <w:p w14:paraId="0ABDFC85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 xml:space="preserve">7. Artikulu honen ondorioetarako, pertsona batek zenduarekiko mendekotasun ekonomikoa duela ulertuko da heriotza-unean horren kontura bizi bazen osoki nahiz partzialki eta ez zuen eskuratzen, urteko kontaketan, une hartan indarrean zegoen </w:t>
      </w:r>
      <w:r w:rsidRPr="004B684F">
        <w:rPr>
          <w:rStyle w:val="Normal1"/>
          <w:lang w:val="eu-ES"/>
        </w:rPr>
        <w:t>errenta-adierazle publikoak urteko kontaketan ere zeukan zenbatekoaren ehuneko 150 baino gehiagoko edozein izaeratako errenta edo diru-sarrerarik”.</w:t>
      </w:r>
    </w:p>
    <w:p w14:paraId="358D2AF2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u w:val="single"/>
          <w:lang w:val="eu-ES"/>
        </w:rPr>
        <w:t>Bost</w:t>
      </w:r>
      <w:r w:rsidRPr="004B684F">
        <w:rPr>
          <w:rStyle w:val="Normal1"/>
          <w:lang w:val="eu-ES"/>
        </w:rPr>
        <w:t>. 16. artikuluko 5. apartatua aldatzea. Honako testua izanen du aurrerantzean:</w:t>
      </w:r>
    </w:p>
    <w:p w14:paraId="03B55B56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“5. Administrazio publiko</w:t>
      </w:r>
      <w:r w:rsidRPr="004B684F">
        <w:rPr>
          <w:rStyle w:val="Normal1"/>
          <w:lang w:val="eu-ES"/>
        </w:rPr>
        <w:t>ko kide izan gabe Errekonozimendu eta Erreparaziorako Batzordeko kide diren pertsonek eskubidea izanen dute, beren eginkizunetan aritzeagatiko ordain gisa, Nafarroako Gobernuaren erabaki bidez ezartzen diren dietak eta lokomozio- edo bidaiatze-gastuengatik</w:t>
      </w:r>
      <w:r w:rsidRPr="004B684F">
        <w:rPr>
          <w:rStyle w:val="Normal1"/>
          <w:lang w:val="eu-ES"/>
        </w:rPr>
        <w:t>o sariak jasotzeko. Egun bakoitzeko ez da sortuko dieta bat baino gehiagorako eskubiderik”.</w:t>
      </w:r>
    </w:p>
    <w:p w14:paraId="5F7DA86A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u w:val="single"/>
          <w:lang w:val="eu-ES"/>
        </w:rPr>
        <w:t>Sei</w:t>
      </w:r>
      <w:r w:rsidRPr="004B684F">
        <w:rPr>
          <w:rStyle w:val="Normal1"/>
          <w:lang w:val="eu-ES"/>
        </w:rPr>
        <w:t>. Bigarren xedapen gehigarria aldatzen da. Testu hau izanen du:</w:t>
      </w:r>
    </w:p>
    <w:p w14:paraId="72B2D0DB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“Bigarren xedapen gehigarria. Kredituak gaitzea.</w:t>
      </w:r>
    </w:p>
    <w:p w14:paraId="51036668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Nafarroako Gobernuak, bere eskumenen esparruan, xedatuko du foru lege honek ezarritako laguntzei aurre egin ahal izateko beharrezkoak diren kredituak gaitzea”.</w:t>
      </w:r>
    </w:p>
    <w:p w14:paraId="0A7C7F92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u w:val="single"/>
          <w:lang w:val="eu-ES"/>
        </w:rPr>
        <w:t>Zazpi</w:t>
      </w:r>
      <w:r w:rsidRPr="004B684F">
        <w:rPr>
          <w:rStyle w:val="Normal1"/>
          <w:lang w:val="eu-ES"/>
        </w:rPr>
        <w:t>. Hirugarren xedapen gehigarria aldatzen da. Testu hau izanen du:</w:t>
      </w:r>
    </w:p>
    <w:p w14:paraId="6536CB12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“Hirugarren xedapen gehig</w:t>
      </w:r>
      <w:r w:rsidRPr="004B684F">
        <w:rPr>
          <w:rStyle w:val="Normal1"/>
          <w:lang w:val="eu-ES"/>
        </w:rPr>
        <w:t>arria. Erregelamenduzko garapena.</w:t>
      </w:r>
    </w:p>
    <w:p w14:paraId="021952E0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Nafarroako Gobernuak beharrezkoak diren erregelamenduzko xedapenak jaulkiko ditu foru lege honetan jasotako aurreikuspenak garatu eta aplikatzeko”.</w:t>
      </w:r>
    </w:p>
    <w:p w14:paraId="208D0CFB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b/>
          <w:lang w:val="eu-ES"/>
        </w:rPr>
        <w:t xml:space="preserve">Azken xedapen bakarra. </w:t>
      </w:r>
      <w:r w:rsidRPr="004B684F">
        <w:rPr>
          <w:rStyle w:val="Normal1"/>
          <w:lang w:val="eu-ES"/>
        </w:rPr>
        <w:t>Foru legeak indarra hartzea.</w:t>
      </w:r>
    </w:p>
    <w:p w14:paraId="5E37B61A" w14:textId="77777777" w:rsidR="00FD606F" w:rsidRPr="004B684F" w:rsidRDefault="004B684F">
      <w:pPr>
        <w:rPr>
          <w:rStyle w:val="Normal1"/>
          <w:lang w:val="eu-ES"/>
        </w:rPr>
      </w:pPr>
      <w:r w:rsidRPr="004B684F">
        <w:rPr>
          <w:rStyle w:val="Normal1"/>
          <w:lang w:val="eu-ES"/>
        </w:rPr>
        <w:t>Foru lege honek Nafarr</w:t>
      </w:r>
      <w:r w:rsidRPr="004B684F">
        <w:rPr>
          <w:rStyle w:val="Normal1"/>
          <w:lang w:val="eu-ES"/>
        </w:rPr>
        <w:t>oako Aldizkari Ofizialean argitaratu eta biharamunean hartuko du indarra.</w:t>
      </w:r>
    </w:p>
    <w:sectPr w:rsidR="00FD606F" w:rsidRPr="004B6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06F"/>
    <w:rsid w:val="004B684F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7916"/>
  <w15:docId w15:val="{D9D0419B-3A70-4733-A5BA-E62DAC4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2204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2022-07-04T08:27:00Z</dcterms:created>
  <dcterms:modified xsi:type="dcterms:W3CDTF">2022-07-04T08:27:00Z</dcterms:modified>
</cp:coreProperties>
</file>