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septiembre de 2022, la Mesa del Parlamento de Navarra, previo acuerdo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Aprobar las Normas de ordenación del debate sobre Pleno Monográfico sobre “Estrategias para luchar contra la pobreza y la exclusión en Navarra”, que se insertan a continuación: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“1.ª El plazo para la presentación de propuestas de resolución relacionadas de forma directa con el objeto del debate finalizará a las 12:00 horas del día anterior a la de la celebración de la sesión del Pleno. Cada grupo parlamentario o agrupación parlamentaria podrá presentar un máximo de 3 propuestas.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Finalizado el plazo de presentación de propuestas, ese mismo día se procederá a la admisión de dichas propuestas por la Mesa y a su remisión a los portavoces de los diversos grupos parlamentarios y agrupación parlamentaria, para su examen.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2.ª El debate se iniciará con la intervención de los y las portavoces de los grupos parlamentarios por un tiempo máximo de veinte minutos para explicar su posicionamiento, defender sus propuestas y pronunciarse también respecto a las presentadas por los otros grupos parlamentarios o agrupación parlamentaria. El orden de intervención se establecerá en atención al número de miembros, comenzando por el de mayor número y concluyendo por el de menor.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Finalizado el anterior turno, podrá intervenir un representante del Gobierno de Navarra para expresar su posición respecto a las cuestiones objeto de debate, por el mismo tiempo.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Durante el debate, la Presidencia podrá admitir a trámite enmiendas “in voce” siempre que tengan por objeto subsanar errores o incorrecciones técnicas, terminológicas o gramaticales. En cualquier otro supuesto, sólo podrán admitirse a trámite cuando ningún grupo parlamentario o agrupación parlamentaria se oponga a su admisión.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3.ª Finalizado el debate de las propuestas, se procederá a su votación según el orden establecido en la norma 2.ª. Las propuestas formuladas por cada grupo parlamentario o agrupación parlamentaria se votarán de forma conjunta. No obstante, a petición de cualquier portavoz, podrá procederse a su votación separada”.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Ordenar la publicación de estas normas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septiembre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