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3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  <w:spacing w:val="0.961"/>
        </w:rPr>
      </w:pPr>
      <w:r>
        <w:rPr>
          <w:b w:val="true"/>
          <w:rFonts w:ascii="Helvetica LT Std" w:cs="Helvetica LT Std" w:eastAsia="Helvetica LT Std" w:hAnsi="Helvetica LT Std"/>
          <w:spacing w:val="0.961"/>
        </w:rPr>
        <w:t xml:space="preserve">1.º</w:t>
      </w:r>
      <w:r>
        <w:rPr>
          <w:rFonts w:ascii="Helvetica LT Std" w:cs="Helvetica LT Std" w:eastAsia="Helvetica LT Std" w:hAnsi="Helvetica LT Std"/>
          <w:spacing w:val="0.961"/>
        </w:rPr>
        <w:t xml:space="preserve"> Admitir a trámite la pregunta sobre el recurso contencioso-administrativo interpuesto contra la inactividad del Departamento de Presidencia, Igualdad, Función Pública e Interior por la no aprobación de distintos reglamentos recogidos en la vigente Ley Foral de las Policías de Navarra, formulada por el Ilmo. Sr. D. Adolfo Araiz Flamarique.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3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Cámara, presenta para su tramitación las siguientes preguntas al Departamento de Presidencia, Igualdad, Función Pública e Interior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uno de los sindicatos presentes en la Mesa Sectorial de la Policía Foral se interpuso a principios de este año un recurso contencioso-administrativo contra la inactividad del Departamento por la no aprobación de distintos reglamentos cuya aprobación está recogida en la vigente Ley Foral de las Policías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formulan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1.-¿Es cierto a que a día de hoy todavía no se ha remitido el expediente administrativo al órgano judicial que está tramitando el citado recurso contencioso-administrativo tal como regula la ley reguladora de esta jurisdicción?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2.-¿Es cierto que el Gobierno ha sido requerido hasta en tres ocasiones por el órgano judicial para la remisión del citado expediente administrativo?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3.-¿Cuál es la razón por la que el Gobierno no ha remitido dicho expediente administrativo?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4.-¿Quién es la autoridad o funcionario público responsable de la remisión de tal expediente administrativo?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5.-¿Se ha acordado por el órgano judicial la imposición de alguna multa coercitiva por la negativa reiterada a la remisión del expediente administrativo?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22 de septiembre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