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 los Gobiernos de Navarra y de España a regular actividades sanitarias relativas a la cirugía plástica, estética y reparadora, aprobada por la Comisión de Salud del Parlamento de Navarra en sesión celebrada el día 14 de octubre de 2022, cuyo texto se inserta a continuación:</w:t>
      </w:r>
    </w:p>
    <w:p>
      <w:pPr>
        <w:pStyle w:val="0"/>
        <w:suppressAutoHyphens w:val="false"/>
        <w:rPr>
          <w:rStyle w:val="1"/>
        </w:rPr>
      </w:pPr>
      <w:r>
        <w:rPr>
          <w:rStyle w:val="1"/>
        </w:rPr>
        <w:t xml:space="preserve">“El Parlamento de Navarra insta al Gobierno de España y al Departamento de Salud del Gobierno de Navarra, en el marco de sus competencias, a: </w:t>
      </w:r>
    </w:p>
    <w:p>
      <w:pPr>
        <w:pStyle w:val="0"/>
        <w:suppressAutoHyphens w:val="false"/>
        <w:rPr>
          <w:rStyle w:val="1"/>
        </w:rPr>
      </w:pPr>
      <w:r>
        <w:rPr>
          <w:rStyle w:val="1"/>
        </w:rPr>
        <w:t xml:space="preserve">1. Conformar unos criterios comunes sobre el control y cumplimiento de la normativa, junto con las comunidades autónomas y en el seno del Consejo Interterritorial del Sistema Nacional de Salud, de los centros sanitarios con autorización de la unidad asistencial U.47 Cirugía Estética. </w:t>
      </w:r>
    </w:p>
    <w:p>
      <w:pPr>
        <w:pStyle w:val="0"/>
        <w:suppressAutoHyphens w:val="false"/>
        <w:rPr>
          <w:rStyle w:val="1"/>
        </w:rPr>
      </w:pPr>
      <w:r>
        <w:rPr>
          <w:rStyle w:val="1"/>
        </w:rPr>
        <w:t xml:space="preserve">2. Facilitar a los pacientes información sobre las competencias y técnicas que pueden realizar los especialistas de Cirugía Plástica, Reparadora y Estética y otros especialistas médicos de acuerdo con las competencias del programa formativo oficial de su especialidad. </w:t>
      </w:r>
    </w:p>
    <w:p>
      <w:pPr>
        <w:pStyle w:val="0"/>
        <w:suppressAutoHyphens w:val="false"/>
        <w:rPr>
          <w:rStyle w:val="1"/>
        </w:rPr>
      </w:pPr>
      <w:r>
        <w:rPr>
          <w:rStyle w:val="1"/>
        </w:rPr>
        <w:t xml:space="preserve">3. Modificar el Real Decreto 1277/2003, de 10 de octubre, por el que se establecen las bases generales sobre autorización de centros, servicios y establecimientos sanitarios, para evitar el intrusismo y garantizar que todas las actividades sanitarias se realizan por profesionales que dispongan de la titulación oficialmente reconocida. </w:t>
      </w:r>
    </w:p>
    <w:p>
      <w:pPr>
        <w:pStyle w:val="0"/>
        <w:suppressAutoHyphens w:val="false"/>
        <w:rPr>
          <w:rStyle w:val="1"/>
        </w:rPr>
      </w:pPr>
      <w:r>
        <w:rPr>
          <w:rStyle w:val="1"/>
        </w:rPr>
        <w:t xml:space="preserve">4. Establecer la obligatoriedad de la posesión del título de médico especialista, recogido en nuestro ordenamiento jurídico, para el ejercicio profesional de todas las especialidades médicas y el desempeño de las funciones propias de cada una de ellas.  </w:t>
      </w:r>
    </w:p>
    <w:p>
      <w:pPr>
        <w:pStyle w:val="0"/>
        <w:suppressAutoHyphens w:val="false"/>
        <w:rPr>
          <w:rStyle w:val="1"/>
          <w:spacing w:val="0.961"/>
        </w:rPr>
      </w:pPr>
      <w:r>
        <w:rPr>
          <w:rStyle w:val="1"/>
          <w:spacing w:val="0.961"/>
        </w:rPr>
        <w:t xml:space="preserve">5. Luchar por la erradicación de cualquier intrusismo y pseudociencia que afecte a las distintas especialidades de profesiones médicas y desarrollar el Plan Nacional de Pseudoterapias. </w:t>
      </w:r>
    </w:p>
    <w:p>
      <w:pPr>
        <w:pStyle w:val="0"/>
        <w:suppressAutoHyphens w:val="false"/>
        <w:rPr>
          <w:rStyle w:val="1"/>
        </w:rPr>
      </w:pPr>
      <w:r>
        <w:rPr>
          <w:rStyle w:val="1"/>
        </w:rPr>
        <w:t xml:space="preserve">6. Velar por el pleno cumplimiento de la Ley 41/2002, de 14 de noviembre, básica reguladora de la autonomía del paciente y de derechos y obligaciones en materia de información y documentación clínica”.</w:t>
      </w:r>
    </w:p>
    <w:p>
      <w:pPr>
        <w:pStyle w:val="0"/>
        <w:suppressAutoHyphens w:val="false"/>
        <w:rPr>
          <w:rStyle w:val="1"/>
        </w:rPr>
      </w:pPr>
      <w:r>
        <w:rPr>
          <w:rStyle w:val="1"/>
        </w:rPr>
        <w:t xml:space="preserve">Pamplona, 14 de octubre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