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Pablo Azkona Molinet jaunak aurkeztutako gaurkotasun handiko galdera, Prestazio Handiko Trenaren (PHT) eta Euskal Y-aren loturari buruzkoa.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Hurrengo 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Pablo Azcona Molinet jaunak,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gaurkotasun handiko honako galdera hau aurkezten du, Nafarroako Gobernuko Lurralde Kohesiorako kon</w:t>
      </w:r>
      <w:r>
        <w:rPr>
          <w:rStyle w:val="1"/>
        </w:rPr>
        <w:t xml:space="preserve">ts</w:t>
      </w:r>
      <w:r>
        <w:rPr>
          <w:rStyle w:val="1"/>
        </w:rPr>
        <w:t xml:space="preserve">eilariak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Prestazio Handiko Trenaren (PHT) eta Euskal Y-aren etorkizuneko loturari dagokionez, zein</w:t>
      </w:r>
      <w:r>
        <w:rPr>
          <w:rStyle w:val="1"/>
        </w:rPr>
        <w:t xml:space="preserve">tz</w:t>
      </w:r>
      <w:r>
        <w:rPr>
          <w:rStyle w:val="1"/>
        </w:rPr>
        <w:t xml:space="preserve">uk dira Lurralde Kohesiorako Departamentuak eta/edo Garraioetako, Mugikortasuneko eta Hiri Agendako Ministerioak eskatutako azterlanak?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