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25 de noviembre  de 2022,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manifiesta su firme compromiso y apoyo a la transferencia de tráfico enmarcada en la LORAFNA”.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noviembre 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