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DC3B" w14:textId="77777777" w:rsidR="00E12861" w:rsidRDefault="00645AFB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Navarra Suma talde parlamentarioari atxikiriko foru parlamentari Iñaki Iriarte López jaunak informazio-eskaera egin du (PES-00223), non honako informazio hau eskatzen baitio Nafarroako Gobernuari:</w:t>
      </w:r>
    </w:p>
    <w:p w14:paraId="5AEE9C7F" w14:textId="77777777" w:rsidR="00E12861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Zenbat salaketa izan dira orain arte Nafarroan, menperakuntza kimikorako ziztadengatik?</w:t>
      </w:r>
      <w:r>
        <w:rPr>
          <w:b/>
          <w:sz w:val="22"/>
          <w:rFonts w:ascii="DejaVu Serif" w:hAnsi="DejaVu Serif"/>
        </w:rPr>
        <w:t xml:space="preserve"> </w:t>
      </w:r>
    </w:p>
    <w:p w14:paraId="3C08F6A2" w14:textId="1C5A9ABA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Foruzaingoak guztira pertsonei egindako balizko ziztadei lotutako 24 gertaeraren berri eman du.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Balizko 24 ziztada horien barruan daude biktimek Foruzaingoari helarazitako edozein susmo edo sentsazio, nabaritu izanagatik kontaktu edo ziztadaren bat, zorabioak edo koordinazio-eza.</w:t>
      </w:r>
      <w:r>
        <w:rPr>
          <w:rFonts w:ascii="DejaVu Serif" w:hAnsi="DejaVu Serif"/>
        </w:rPr>
        <w:t xml:space="preserve"> </w:t>
      </w:r>
    </w:p>
    <w:p w14:paraId="27605713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Jakitera emandako gertaera guztiak herrietako jaien harira izan dira.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Salbuespenak salbuespen, biktimen adin-tarteari dagokionez, gazteenak 13 urte ditu, eta zaharrenak 40.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Hiru kasutan, biktimak gizonak ziren.</w:t>
      </w:r>
    </w:p>
    <w:p w14:paraId="6C61DBDB" w14:textId="0EF6A68E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Kasu guztietan berehala aktibatu ziren Foruzaingoak sexu-erasoengatik ezarritako protokoloa eta Osasunbideak menperakuntza kimikoarengatik ezarritakoa.</w:t>
      </w:r>
    </w:p>
    <w:p w14:paraId="03F44F0B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Lau kasutan, biktimak artatu zituzten medikuek ondorioztatu dute ziztada batekin bateragarria den zauri-motaren bat zegoela, hau da, ez soilik gorritasunak, hanturak edo ubeldurak, baizik eta mikrozauri ziztakariak.</w:t>
      </w:r>
    </w:p>
    <w:p w14:paraId="793D8BCE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Kasu gehienetan, eta jai giroan gertatutako gertakariak zirenez, biktimek alkohola edan zuten, kantitate ezberdinetan.</w:t>
      </w:r>
    </w:p>
    <w:p w14:paraId="53349584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Lekualdatzea, miaketa eta odol-analisiak berehala egin baziren ere, Foruzaingoak ez du izan borondatea ezereztu dezaketen droga toxikoengatik edo bestelako substantziengatik –alkohola edatea salbu, aurrez aipatua– intoxikatutako inoren berri.</w:t>
      </w:r>
    </w:p>
    <w:p w14:paraId="1DB7689F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Ezein kasutan ez zen egon inolako sexu-eraso edo -abusurik, ezta hura egiteko saiakerarik ere.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Era berean, gerora ez zen egon bestelako delitu motarik, ezta saiakuntzarik ere.</w:t>
      </w:r>
    </w:p>
    <w:p w14:paraId="39C2F699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Gertaera guztiak ikertu ziren, eta jakinarazitako gertaeretako bakoitzaren ikerketa-ildoak aztertu ondoren, orain arte emaitza negatiboa izan dute.</w:t>
      </w:r>
      <w:r>
        <w:rPr>
          <w:rFonts w:ascii="DejaVu Serif" w:hAnsi="DejaVu Serif"/>
        </w:rPr>
        <w:t xml:space="preserve"> </w:t>
      </w:r>
    </w:p>
    <w:p w14:paraId="196E9C62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Ezein kasutan ez da egon gertaera horiek ikusi eta zuzeneko lekukotzat har daitekeen hirugarren pertsonarik.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Biktimek edo hurbilekoek adierazi dituzten pertsona guztien kasuan, hurbil samar egoteagatik eta susmo hutsagatik egin dute salaketa, eta ez da zuzenean ikusi haien aurkako inolako ekintza zehatzik.</w:t>
      </w:r>
    </w:p>
    <w:p w14:paraId="0DAFF64A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Ez da xiringa, orratz edo antzekorik zeramatzan inor lokalizatu.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Kasu batean bakarrik, oinezko bati zotz batzuk kendu zitzaizkion, eta Polizia Zientifikoaren Dibisioak aztertu ondoren, orain arte ez da emaitza positiborik egon.</w:t>
      </w:r>
    </w:p>
    <w:p w14:paraId="197EEDE0" w14:textId="43722987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Zein da salatzaileen adina?</w:t>
      </w:r>
      <w:r>
        <w:rPr>
          <w:b/>
          <w:sz w:val="22"/>
          <w:rFonts w:ascii="DejaVu Serif" w:hAnsi="DejaVu Serif"/>
        </w:rPr>
        <w:t xml:space="preserve"> </w:t>
      </w:r>
    </w:p>
    <w:p w14:paraId="36BE13FE" w14:textId="77777777" w:rsidR="00E12861" w:rsidRDefault="005A2A34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rFonts w:ascii="DejaVu Serif" w:hAnsi="DejaVu Serif"/>
        </w:rPr>
        <w:t xml:space="preserve">Biktimen adin-tarteari dagokionez, gazteenak 13 urte ditu, eta zaharrenak 40.</w:t>
      </w:r>
      <w:r>
        <w:rPr>
          <w:rFonts w:ascii="DejaVu Serif" w:hAnsi="DejaVu Serif"/>
        </w:rPr>
        <w:t xml:space="preserve"> </w:t>
      </w:r>
      <w:r>
        <w:rPr>
          <w:rFonts w:ascii="DejaVu Serif" w:hAnsi="DejaVu Serif"/>
        </w:rPr>
        <w:t xml:space="preserve">Hiru kasutan, biktimak gizonak ziren.</w:t>
      </w:r>
    </w:p>
    <w:p w14:paraId="15129186" w14:textId="35F9444D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Balizko egileren bat identifikatu al da?</w:t>
      </w:r>
      <w:r>
        <w:rPr>
          <w:b/>
          <w:sz w:val="22"/>
          <w:rFonts w:ascii="DejaVu Serif" w:hAnsi="DejaVu Serif"/>
        </w:rPr>
        <w:t xml:space="preserve"> </w:t>
      </w:r>
    </w:p>
    <w:p w14:paraId="39A0DC7F" w14:textId="77777777" w:rsidR="00E12861" w:rsidRDefault="005A2A34" w:rsidP="00E12861">
      <w:pPr>
        <w:pStyle w:val="Default"/>
        <w:spacing w:line="276" w:lineRule="auto"/>
        <w:jc w:val="both"/>
        <w:rPr>
          <w:rFonts w:ascii="DejaVu Serif" w:hAnsi="DejaVu Serif" w:cs="Calibri Light"/>
        </w:rPr>
      </w:pPr>
      <w:r>
        <w:rPr>
          <w:rFonts w:ascii="DejaVu Serif" w:hAnsi="DejaVu Serif"/>
        </w:rPr>
        <w:t xml:space="preserve">Lehen aipatu bezala, ez da egilerik identifikatu; are gehiago, ezein kasutan ez dago ziztaden edo substantziaren bat inokulatu izanaren zuzeneko lekukorik.</w:t>
      </w:r>
    </w:p>
    <w:p w14:paraId="0E8B779C" w14:textId="04CCA349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Zer ondorio izan dute salatzaileei egindako analisi medikoek?</w:t>
      </w:r>
      <w:r>
        <w:rPr>
          <w:b/>
          <w:sz w:val="22"/>
          <w:rFonts w:ascii="DejaVu Serif" w:hAnsi="DejaVu Serif"/>
        </w:rPr>
        <w:t xml:space="preserve"> </w:t>
      </w:r>
    </w:p>
    <w:p w14:paraId="539007E7" w14:textId="77777777" w:rsidR="00E12861" w:rsidRDefault="000D0777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Kasu guztietan emaitzek negatibo eman zuten substantzia toxikoen kontsumoari dagokionez; alabaina, alkohol-kontsumoa bai detektatu zen.</w:t>
      </w:r>
    </w:p>
    <w:p w14:paraId="558B4A38" w14:textId="6B37B7B8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Medikuek zenbat kasutan egiaztatu zuten ziztadak egotea?</w:t>
      </w:r>
      <w:r>
        <w:rPr>
          <w:b/>
          <w:sz w:val="22"/>
          <w:rFonts w:ascii="DejaVu Serif" w:hAnsi="DejaVu Serif"/>
        </w:rPr>
        <w:t xml:space="preserve"> </w:t>
      </w:r>
    </w:p>
    <w:p w14:paraId="30B76522" w14:textId="77777777" w:rsidR="00E12861" w:rsidRDefault="00B60B3B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Lau kasutan medikuek ziztadekin bateragarriak diren zauriak egiaztatu zituzten.</w:t>
      </w:r>
      <w:r>
        <w:rPr>
          <w:sz w:val="22"/>
          <w:rFonts w:ascii="DejaVu Serif" w:hAnsi="DejaVu Serif"/>
        </w:rPr>
        <w:t xml:space="preserve"> </w:t>
      </w:r>
    </w:p>
    <w:p w14:paraId="0BEC8019" w14:textId="578BFEB6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Nafarroako Gobernuak jarraibideren bat eman dio Foruzaingoari kasu horiek ikertzeko?</w:t>
      </w:r>
      <w:r>
        <w:rPr>
          <w:b/>
          <w:sz w:val="22"/>
          <w:rFonts w:ascii="DejaVu Serif" w:hAnsi="DejaVu Serif"/>
        </w:rPr>
        <w:t xml:space="preserve"> </w:t>
      </w:r>
    </w:p>
    <w:p w14:paraId="19DDEE71" w14:textId="77777777" w:rsidR="00E12861" w:rsidRDefault="00A30BBA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Kasu guztietan ikerketa ofizioz abiatu da, balizko ziztadak pairatu dituzten pertsonek gertatutakoa Polizia Judizialeko unitateei jakinarazitakoan.</w:t>
      </w:r>
    </w:p>
    <w:p w14:paraId="03B395AB" w14:textId="06AF9B1A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Poliziako arduradunekin bildu al da haien iritzia ezagutzeko?</w:t>
      </w:r>
      <w:r>
        <w:rPr>
          <w:b/>
          <w:sz w:val="22"/>
          <w:rFonts w:ascii="DejaVu Serif" w:hAnsi="DejaVu Serif"/>
        </w:rPr>
        <w:t xml:space="preserve"> </w:t>
      </w:r>
    </w:p>
    <w:p w14:paraId="184ADDA9" w14:textId="77777777" w:rsidR="00E12861" w:rsidRDefault="00A30BBA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Poliziako arduradunek komunikazio-bide arin eta jarraitua dute, eta modu egokian informatzen dute jakitun diren gertaera garrantzitsuenen bilakaerari buruz.</w:t>
      </w:r>
    </w:p>
    <w:p w14:paraId="6340CA87" w14:textId="72112F27" w:rsidR="0005046D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Zer hipotesi darabilte Nafarroako Gobernuak eta Foruzaingoak eraso-olatu hori azaltzeko?</w:t>
      </w:r>
      <w:r>
        <w:rPr>
          <w:b/>
          <w:sz w:val="22"/>
          <w:rFonts w:ascii="DejaVu Serif" w:hAnsi="DejaVu Serif"/>
        </w:rPr>
        <w:t xml:space="preserve"> </w:t>
      </w:r>
    </w:p>
    <w:p w14:paraId="5AF7CB79" w14:textId="77777777" w:rsidR="00E12861" w:rsidRDefault="00A30BBA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Foruzaingoak gertaera horien balizko egileen profilei lotutako elementu objektibo gutxi ditu.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Beraz, egoki jotzen da ez egitea oinarri objektibo sendorik gabeko hipotesirik.</w:t>
      </w:r>
    </w:p>
    <w:p w14:paraId="6FAADFF2" w14:textId="0B2664DB" w:rsidR="00AE2C60" w:rsidRDefault="0005046D" w:rsidP="00E12861">
      <w:pPr>
        <w:pStyle w:val="Default"/>
        <w:spacing w:line="276" w:lineRule="auto"/>
        <w:jc w:val="both"/>
        <w:rPr>
          <w:b/>
          <w:sz w:val="22"/>
          <w:szCs w:val="22"/>
          <w:rFonts w:ascii="DejaVu Serif" w:hAnsi="DejaVu Serif"/>
        </w:rPr>
      </w:pPr>
      <w:r>
        <w:rPr>
          <w:b/>
          <w:sz w:val="22"/>
          <w:rFonts w:ascii="DejaVu Serif" w:hAnsi="DejaVu Serif"/>
        </w:rPr>
        <w:t xml:space="preserve">Informazioa partekatu edo alderatu al da Gobernuaren ordezkariarekin edo beste autonomia-erkidegoekin?</w:t>
      </w:r>
    </w:p>
    <w:p w14:paraId="04D2B6C4" w14:textId="77777777" w:rsidR="00E12861" w:rsidRDefault="007B3DC3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Harremanak izan dira eta informazioa partekatu da ikerketa-arloan homologoak diren polizia-kidegoetako kideekin, hala Nafarroan aritzen direnekin nola Mossos d´Escuadra eta Ertzaintzakoekin.</w:t>
      </w:r>
    </w:p>
    <w:p w14:paraId="5D0F87B1" w14:textId="77777777" w:rsidR="00E12861" w:rsidRDefault="0005046D" w:rsidP="00E12861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br w:type="page"/>
      </w:r>
      <w:r>
        <w:rPr>
          <w:sz w:val="22"/>
          <w:rFonts w:ascii="DejaVu Serif" w:hAnsi="DejaVu Serif"/>
        </w:rPr>
        <w:t xml:space="preserve">Hori guztia jakinarazten dizut, Nafarroako Parlamentuko Erregelamenduaren 194. artikuluan xedatutakoa betez.</w:t>
      </w:r>
    </w:p>
    <w:p w14:paraId="565FAE3E" w14:textId="7190C8D3" w:rsidR="00E12861" w:rsidRDefault="002A0B65" w:rsidP="00E12861">
      <w:pPr>
        <w:pStyle w:val="Default"/>
        <w:spacing w:line="276" w:lineRule="auto"/>
        <w:jc w:val="center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Iruñean, 2022ko urriaren 3an</w:t>
      </w:r>
    </w:p>
    <w:p w14:paraId="36344B9E" w14:textId="77777777" w:rsidR="00E12861" w:rsidRPr="00E12861" w:rsidRDefault="00E12861" w:rsidP="00E12861">
      <w:pPr>
        <w:spacing w:line="360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Lehendakaritzako, Berdintasuneko, Funtzio Publikoko eta Barneko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Remírez Apesteguía</w:t>
      </w:r>
    </w:p>
    <w:p w14:paraId="351CD434" w14:textId="11B7C13C" w:rsidR="00FC285A" w:rsidRDefault="00FC285A" w:rsidP="00E12861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</w:p>
    <w:sectPr w:rsidR="00FC285A" w:rsidSect="00E12861">
      <w:headerReference w:type="default" r:id="rId8"/>
      <w:pgSz w:w="11906" w:h="16838" w:code="9"/>
      <w:pgMar w:top="127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CDFE" w14:textId="77777777" w:rsidR="008D2C75" w:rsidRDefault="008D2C75" w:rsidP="00C61F02">
      <w:r>
        <w:separator/>
      </w:r>
    </w:p>
  </w:endnote>
  <w:endnote w:type="continuationSeparator" w:id="0">
    <w:p w14:paraId="70316271" w14:textId="77777777" w:rsidR="008D2C75" w:rsidRDefault="008D2C75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A0F0" w14:textId="77777777" w:rsidR="008D2C75" w:rsidRDefault="008D2C75" w:rsidP="00C61F02">
      <w:r>
        <w:separator/>
      </w:r>
    </w:p>
  </w:footnote>
  <w:footnote w:type="continuationSeparator" w:id="0">
    <w:p w14:paraId="63C21211" w14:textId="77777777" w:rsidR="008D2C75" w:rsidRDefault="008D2C75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4F0F" w14:textId="64A2D1FF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05775">
    <w:abstractNumId w:val="9"/>
  </w:num>
  <w:num w:numId="2" w16cid:durableId="1390687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532647">
    <w:abstractNumId w:val="5"/>
  </w:num>
  <w:num w:numId="4" w16cid:durableId="402139322">
    <w:abstractNumId w:val="10"/>
  </w:num>
  <w:num w:numId="5" w16cid:durableId="694383127">
    <w:abstractNumId w:val="3"/>
  </w:num>
  <w:num w:numId="6" w16cid:durableId="867567287">
    <w:abstractNumId w:val="1"/>
  </w:num>
  <w:num w:numId="7" w16cid:durableId="945186733">
    <w:abstractNumId w:val="0"/>
  </w:num>
  <w:num w:numId="8" w16cid:durableId="707603592">
    <w:abstractNumId w:val="8"/>
  </w:num>
  <w:num w:numId="9" w16cid:durableId="457335894">
    <w:abstractNumId w:val="7"/>
  </w:num>
  <w:num w:numId="10" w16cid:durableId="2083285005">
    <w:abstractNumId w:val="12"/>
  </w:num>
  <w:num w:numId="11" w16cid:durableId="25474809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53576383">
    <w:abstractNumId w:val="4"/>
  </w:num>
  <w:num w:numId="13" w16cid:durableId="277225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84111">
    <w:abstractNumId w:val="2"/>
  </w:num>
  <w:num w:numId="15" w16cid:durableId="1680035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46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077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029F"/>
    <w:rsid w:val="00111597"/>
    <w:rsid w:val="00111D51"/>
    <w:rsid w:val="00112694"/>
    <w:rsid w:val="00112D4A"/>
    <w:rsid w:val="00112E57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1ED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5E69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65AD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7F3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656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2A34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3DC3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0DFA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496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2D2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75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56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BBA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2C60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B3B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0808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861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CFD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1599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296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6CDF9F"/>
  <w15:chartTrackingRefBased/>
  <w15:docId w15:val="{7BBF5383-1BC4-4DBA-8175-6DAA6FC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Textoennegrita">
    <w:name w:val="Strong"/>
    <w:uiPriority w:val="22"/>
    <w:qFormat/>
    <w:rsid w:val="00AE2C60"/>
    <w:rPr>
      <w:b/>
      <w:bCs/>
    </w:rPr>
  </w:style>
  <w:style w:type="paragraph" w:styleId="Sinespaciado">
    <w:name w:val="No Spacing"/>
    <w:uiPriority w:val="1"/>
    <w:qFormat/>
    <w:rsid w:val="00AE2C60"/>
    <w:rPr>
      <w:rFonts w:ascii="Calibri" w:hAnsi="Calibri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5FE4-C756-4B8B-B9BA-5AA15E6F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2022-06-24T11:10:00Z</cp:lastPrinted>
  <dcterms:created xsi:type="dcterms:W3CDTF">2022-10-04T07:31:00Z</dcterms:created>
  <dcterms:modified xsi:type="dcterms:W3CDTF">2022-10-04T09:25:00Z</dcterms:modified>
</cp:coreProperties>
</file>