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gauzatu den prestakun</w:t>
        <w:softHyphen/>
        <w:t xml:space="preserve">tza- eta kon</w:t>
        <w:softHyphen/>
        <w:t xml:space="preserve">tzien</w:t>
        <w:softHyphen/>
        <w:t xml:space="preserve">tziazio-programaren bat desgaitasunen bat duten ikasleekiko bullying eta eskola-jazarpeneko kasuak prebeni</w:t>
        <w:softHyphen/>
        <w:t xml:space="preserve">tzeko, irakasleei, ikasleei eta ikasleen gurasoei zuzenduta.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</w:t>
        <w:softHyphen/>
        <w:t xml:space="preserve">tsi zenetik, gauzatu al da prestakun</w:t>
        <w:softHyphen/>
        <w:t xml:space="preserve">tza- eta kon</w:t>
        <w:softHyphen/>
        <w:t xml:space="preserve">tzien</w:t>
        <w:softHyphen/>
        <w:t xml:space="preserve">tziazio-programaren bat desgaitasunen bat duten ikasleekiko bullying eta eskola-jazarpeneko kasuak prebeni</w:t>
        <w:softHyphen/>
        <w:t xml:space="preserve">tzeko, irakasleei, ikasleei eta ikasleen gurasoei zuzendua?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