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evaluación de la tercera medida del primer cambio establecido en el Plan Operativo de Accesibilidad 2021 para la Dirección General de Presidencia y Gobierno Abierto, formulada por el Ilmo. Sr. D. Jorge Esparza Garrido.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6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(NA+), al amparo de lo dispuesto en el Reglamento de la Cámara, realiza la siguiente pregunta escrita:</w:t>
      </w:r>
    </w:p>
    <w:p>
      <w:pPr>
        <w:pStyle w:val="0"/>
        <w:suppressAutoHyphens w:val="false"/>
        <w:rPr>
          <w:rStyle w:val="1"/>
        </w:rPr>
      </w:pPr>
      <w:r>
        <w:rPr>
          <w:rStyle w:val="1"/>
        </w:rPr>
        <w:t xml:space="preserve">En el Plan Operativo de Accesibilidad 2021 se establecía para la Dirección General de Presidencia y Gobierno Abierto un primer cambio cuya tercera medida consistía en: Adecuación de las páginas web existentes al cumplimiento de la normativa de accesibilidad.</w:t>
      </w:r>
    </w:p>
    <w:p>
      <w:pPr>
        <w:pStyle w:val="0"/>
        <w:suppressAutoHyphens w:val="false"/>
        <w:rPr>
          <w:rStyle w:val="1"/>
        </w:rPr>
      </w:pPr>
      <w:r>
        <w:rPr>
          <w:rStyle w:val="1"/>
        </w:rPr>
        <w:t xml:space="preserve">¿Por qué se ha señalado como “finalizada” en la evaluación de este plan si el informe recoge expresamente en su página 42 que “el análisis de las páginas web se ha iniciado durante 2021, pero no se encontraba finalizado a 31 de diciembre”, la ejecución presupuestaria de la medida se sitúa en solo el 36% de lo previsto y todos los indicadores de la medida aparecen vacíos?</w:t>
      </w:r>
    </w:p>
    <w:p>
      <w:pPr>
        <w:pStyle w:val="0"/>
        <w:suppressAutoHyphens w:val="false"/>
        <w:rPr>
          <w:rStyle w:val="1"/>
        </w:rPr>
      </w:pPr>
      <w:r>
        <w:rPr>
          <w:rStyle w:val="1"/>
        </w:rPr>
        <w:t xml:space="preserve">Pamplona, a 2 de febrero de 2023.</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