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Emakumeen aurkako indarkeriaren arloko 2023-2027 urte anitzeko planari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xedatuaren babesean, honako galdera hau aurkezten du, Lehendakaritzako, Berdintasuneko, Funtzio Publikoko eta Barneko kontseilariak otsailaren 23ko Osoko Bilkuran ahoz erantzun dezan.</w:t>
      </w:r>
    </w:p>
    <w:p>
      <w:pPr>
        <w:pStyle w:val="0"/>
        <w:suppressAutoHyphens w:val="false"/>
        <w:rPr>
          <w:rStyle w:val="1"/>
        </w:rPr>
      </w:pPr>
      <w:r>
        <w:rPr>
          <w:rStyle w:val="1"/>
        </w:rPr>
        <w:t xml:space="preserve">Nafarroari zertan eraginen dio onetsi berri den Emakumeen aurkako indarkeriaren arloko 2023-2027 urte anitzeko planak?</w:t>
      </w:r>
    </w:p>
    <w:p>
      <w:pPr>
        <w:pStyle w:val="0"/>
        <w:suppressAutoHyphens w:val="false"/>
        <w:rPr>
          <w:rStyle w:val="1"/>
        </w:rPr>
      </w:pPr>
      <w:r>
        <w:rPr>
          <w:rStyle w:val="1"/>
        </w:rPr>
        <w:t xml:space="preserve">Iruñean, 2023ko otsailaren 16an.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