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tuko Lehendakaritzako, Berdintasuneko, Funtzio Publikoko eta Barneko Batzordeak, 2023ko otsailaren 14an egin</w:t>
        <w:softHyphen/>
        <w:t xml:space="preserve">da</w:t>
        <w:softHyphen/>
        <w:t xml:space="preserve">ko bileran,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“Erabakia. Horren bidez, Nafarroako Berdintasunerako Institutua premiatzen da berdintasun-teknikarien sarearen egoera hobetzeko proposamen bat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Berdintasunerako Institutua premiatzen du ahalik eta lasterren: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Berdintasun-teknikarien sarearen egoera hobetzeko proposamen bat egin dezan, baita figura horren hedapen progresiboa egitekoa ere, modu batean edo bestean sarea Nafarroako Foru Komunitate osoan bermatuta egon dadin.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2. Planifikazio bat egin dezan, arian-arian lanpostu horien epe luzerako egonkortasuna berma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Koordinazio-esparru finkoa sortu dezan, legeak ezartzen dituen edukiak lantzeko eta horiek toki entitateetan eta mankomunitateetan gauzatu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Albait lasterren onets dezan Emakumeen eta gizonen arteko berdintasunaren alorrean Nafarroako Foru Komunitateko administrazioa eta Nafarroako toki entitateak koordinatzeko batzordea sortzeko foru dekretua.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Aipatu batzorde horretan estrategia bat adostu dezan, berdintasuneko agentearen figura sendotu eta zabaltze aldera udal edo mankomunitate guztietan, bertan erabakitzeko administrazio bakoitzaren lankidetza-esparrua –hala ekonomikoa nola laguntza teknikoari dagokiona–, bai eta egonkortasuna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