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8BCFA" w14:textId="77777777" w:rsidR="001C3A32" w:rsidRPr="00204979" w:rsidRDefault="00FA495F" w:rsidP="00075677">
      <w:pPr>
        <w:pStyle w:val="cuadroCabe"/>
      </w:pPr>
      <w:r w:rsidRPr="00A8137F">
        <w:rPr>
          <w:noProof/>
          <w:lang w:val="es-ES" w:eastAsia="es-ES"/>
        </w:rPr>
        <mc:AlternateContent>
          <mc:Choice Requires="wps">
            <w:drawing>
              <wp:anchor distT="0" distB="0" distL="114300" distR="114300" simplePos="0" relativeHeight="251657728" behindDoc="0" locked="0" layoutInCell="1" allowOverlap="1" wp14:anchorId="625B239A" wp14:editId="5D71C587">
                <wp:simplePos x="0" y="0"/>
                <wp:positionH relativeFrom="column">
                  <wp:posOffset>-151765</wp:posOffset>
                </wp:positionH>
                <wp:positionV relativeFrom="paragraph">
                  <wp:posOffset>-819151</wp:posOffset>
                </wp:positionV>
                <wp:extent cx="1047750" cy="885825"/>
                <wp:effectExtent l="0" t="0" r="0" b="952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88582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7479B36" w14:textId="77777777" w:rsidR="00FF1DBC" w:rsidRPr="003A7956" w:rsidRDefault="00FF1DBC" w:rsidP="004C3423">
                            <w:pPr>
                              <w:spacing w:after="0"/>
                              <w:ind w:firstLine="0"/>
                              <w:jc w:val="center"/>
                              <w:rPr>
                                <w:sz w:val="18"/>
                                <w:szCs w:val="18"/>
                                <w:lang w:val="es-ES"/>
                              </w:rPr>
                            </w:pPr>
                            <w:r w:rsidRPr="003A7956">
                              <w:rPr>
                                <w:sz w:val="18"/>
                                <w:szCs w:val="18"/>
                                <w:lang w:val="es-ES"/>
                              </w:rPr>
                              <w:t>CAMARA DE</w:t>
                            </w:r>
                          </w:p>
                          <w:p w14:paraId="511A3CF0" w14:textId="77777777" w:rsidR="00FF1DBC" w:rsidRPr="003A7956" w:rsidRDefault="00FF1DBC" w:rsidP="004C3423">
                            <w:pPr>
                              <w:spacing w:after="0"/>
                              <w:ind w:firstLine="0"/>
                              <w:jc w:val="center"/>
                              <w:rPr>
                                <w:sz w:val="18"/>
                                <w:szCs w:val="18"/>
                                <w:lang w:val="es-ES"/>
                              </w:rPr>
                            </w:pPr>
                            <w:r w:rsidRPr="003A7956">
                              <w:rPr>
                                <w:sz w:val="18"/>
                                <w:szCs w:val="18"/>
                                <w:lang w:val="es-ES"/>
                              </w:rPr>
                              <w:t>COMPTOS</w:t>
                            </w:r>
                          </w:p>
                          <w:p w14:paraId="76A09741" w14:textId="77777777" w:rsidR="00FF1DBC" w:rsidRPr="003A7956" w:rsidRDefault="00FF1DBC" w:rsidP="004C3423">
                            <w:pPr>
                              <w:spacing w:after="0"/>
                              <w:ind w:firstLine="0"/>
                              <w:jc w:val="center"/>
                              <w:rPr>
                                <w:sz w:val="18"/>
                                <w:szCs w:val="18"/>
                                <w:lang w:val="es-ES"/>
                              </w:rPr>
                            </w:pPr>
                            <w:r w:rsidRPr="003A7956">
                              <w:rPr>
                                <w:sz w:val="18"/>
                                <w:szCs w:val="18"/>
                                <w:lang w:val="es-ES"/>
                              </w:rPr>
                              <w:t>DE NAVARRA</w:t>
                            </w:r>
                          </w:p>
                          <w:p w14:paraId="09D7912D" w14:textId="77777777" w:rsidR="00FF1DBC" w:rsidRPr="003A7956" w:rsidRDefault="00FF1DBC" w:rsidP="004C3423">
                            <w:pPr>
                              <w:spacing w:after="0"/>
                              <w:ind w:firstLine="0"/>
                              <w:jc w:val="center"/>
                              <w:rPr>
                                <w:color w:val="808080"/>
                                <w:sz w:val="18"/>
                                <w:szCs w:val="18"/>
                                <w:lang w:val="es-ES"/>
                              </w:rPr>
                            </w:pPr>
                            <w:r w:rsidRPr="003A7956">
                              <w:rPr>
                                <w:color w:val="808080"/>
                                <w:sz w:val="18"/>
                                <w:szCs w:val="18"/>
                                <w:lang w:val="es-ES"/>
                              </w:rPr>
                              <w:t>NAFARROAKO</w:t>
                            </w:r>
                          </w:p>
                          <w:p w14:paraId="2DE928DD" w14:textId="77777777" w:rsidR="00FF1DBC" w:rsidRPr="003A7956" w:rsidRDefault="00FF1DBC" w:rsidP="004C3423">
                            <w:pPr>
                              <w:spacing w:after="0"/>
                              <w:ind w:firstLine="0"/>
                              <w:jc w:val="center"/>
                              <w:rPr>
                                <w:color w:val="808080"/>
                                <w:sz w:val="18"/>
                                <w:szCs w:val="18"/>
                                <w:lang w:val="es-ES"/>
                              </w:rPr>
                            </w:pPr>
                            <w:r w:rsidRPr="003A7956">
                              <w:rPr>
                                <w:color w:val="808080"/>
                                <w:sz w:val="18"/>
                                <w:szCs w:val="18"/>
                                <w:lang w:val="es-ES"/>
                              </w:rPr>
                              <w:t>KONTUEN</w:t>
                            </w:r>
                          </w:p>
                          <w:p w14:paraId="64D184FE" w14:textId="77777777" w:rsidR="00FF1DBC" w:rsidRPr="003A7956" w:rsidRDefault="00FF1DBC" w:rsidP="004C3423">
                            <w:pPr>
                              <w:spacing w:after="0"/>
                              <w:ind w:firstLine="0"/>
                              <w:jc w:val="center"/>
                              <w:rPr>
                                <w:color w:val="808080"/>
                                <w:sz w:val="18"/>
                                <w:szCs w:val="18"/>
                                <w:lang w:val="es-ES"/>
                              </w:rPr>
                            </w:pPr>
                            <w:r w:rsidRPr="003A7956">
                              <w:rPr>
                                <w:color w:val="808080"/>
                                <w:sz w:val="18"/>
                                <w:szCs w:val="18"/>
                                <w:lang w:val="es-ES"/>
                              </w:rPr>
                              <w:t>GANBERA</w:t>
                            </w:r>
                          </w:p>
                          <w:p w14:paraId="54E7F4E4" w14:textId="77777777" w:rsidR="00FF1DBC" w:rsidRPr="002C7026" w:rsidRDefault="00FF1DBC"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B239A" id="_x0000_t202" coordsize="21600,21600" o:spt="202" path="m,l,21600r21600,l21600,xe">
                <v:stroke joinstyle="miter"/>
                <v:path gradientshapeok="t" o:connecttype="rect"/>
              </v:shapetype>
              <v:shape id="Text Box 7" o:spid="_x0000_s1026" type="#_x0000_t202" style="position:absolute;left:0;text-align:left;margin-left:-11.95pt;margin-top:-64.5pt;width:82.5pt;height:6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" stroked="f" strokecolor="white">
                <v:textbox>
                  <w:txbxContent>
                    <w:p w14:paraId="37479B36" w14:textId="77777777" w:rsidR="00FF1DBC" w:rsidRPr="003A7956" w:rsidRDefault="00FF1DBC" w:rsidP="004C3423">
                      <w:pPr>
                        <w:spacing w:after="0"/>
                        <w:ind w:firstLine="0"/>
                        <w:jc w:val="center"/>
                        <w:rPr>
                          <w:sz w:val="18"/>
                          <w:szCs w:val="18"/>
                          <w:lang w:val="es-ES"/>
                        </w:rPr>
                      </w:pPr>
                      <w:r w:rsidRPr="003A7956">
                        <w:rPr>
                          <w:sz w:val="18"/>
                          <w:szCs w:val="18"/>
                          <w:lang w:val="es-ES"/>
                        </w:rPr>
                        <w:t>CAMARA DE</w:t>
                      </w:r>
                    </w:p>
                    <w:p w14:paraId="511A3CF0" w14:textId="77777777" w:rsidR="00FF1DBC" w:rsidRPr="003A7956" w:rsidRDefault="00FF1DBC" w:rsidP="004C3423">
                      <w:pPr>
                        <w:spacing w:after="0"/>
                        <w:ind w:firstLine="0"/>
                        <w:jc w:val="center"/>
                        <w:rPr>
                          <w:sz w:val="18"/>
                          <w:szCs w:val="18"/>
                          <w:lang w:val="es-ES"/>
                        </w:rPr>
                      </w:pPr>
                      <w:r w:rsidRPr="003A7956">
                        <w:rPr>
                          <w:sz w:val="18"/>
                          <w:szCs w:val="18"/>
                          <w:lang w:val="es-ES"/>
                        </w:rPr>
                        <w:t>COMPTOS</w:t>
                      </w:r>
                    </w:p>
                    <w:p w14:paraId="76A09741" w14:textId="77777777" w:rsidR="00FF1DBC" w:rsidRPr="003A7956" w:rsidRDefault="00FF1DBC" w:rsidP="004C3423">
                      <w:pPr>
                        <w:spacing w:after="0"/>
                        <w:ind w:firstLine="0"/>
                        <w:jc w:val="center"/>
                        <w:rPr>
                          <w:sz w:val="18"/>
                          <w:szCs w:val="18"/>
                          <w:lang w:val="es-ES"/>
                        </w:rPr>
                      </w:pPr>
                      <w:r w:rsidRPr="003A7956">
                        <w:rPr>
                          <w:sz w:val="18"/>
                          <w:szCs w:val="18"/>
                          <w:lang w:val="es-ES"/>
                        </w:rPr>
                        <w:t>DE NAVARRA</w:t>
                      </w:r>
                    </w:p>
                    <w:p w14:paraId="09D7912D" w14:textId="77777777" w:rsidR="00FF1DBC" w:rsidRPr="003A7956" w:rsidRDefault="00FF1DBC" w:rsidP="004C3423">
                      <w:pPr>
                        <w:spacing w:after="0"/>
                        <w:ind w:firstLine="0"/>
                        <w:jc w:val="center"/>
                        <w:rPr>
                          <w:color w:val="808080"/>
                          <w:sz w:val="18"/>
                          <w:szCs w:val="18"/>
                          <w:lang w:val="es-ES"/>
                        </w:rPr>
                      </w:pPr>
                      <w:r w:rsidRPr="003A7956">
                        <w:rPr>
                          <w:color w:val="808080"/>
                          <w:sz w:val="18"/>
                          <w:szCs w:val="18"/>
                          <w:lang w:val="es-ES"/>
                        </w:rPr>
                        <w:t>NAFARROAKO</w:t>
                      </w:r>
                    </w:p>
                    <w:p w14:paraId="2DE928DD" w14:textId="77777777" w:rsidR="00FF1DBC" w:rsidRPr="003A7956" w:rsidRDefault="00FF1DBC" w:rsidP="004C3423">
                      <w:pPr>
                        <w:spacing w:after="0"/>
                        <w:ind w:firstLine="0"/>
                        <w:jc w:val="center"/>
                        <w:rPr>
                          <w:color w:val="808080"/>
                          <w:sz w:val="18"/>
                          <w:szCs w:val="18"/>
                          <w:lang w:val="es-ES"/>
                        </w:rPr>
                      </w:pPr>
                      <w:r w:rsidRPr="003A7956">
                        <w:rPr>
                          <w:color w:val="808080"/>
                          <w:sz w:val="18"/>
                          <w:szCs w:val="18"/>
                          <w:lang w:val="es-ES"/>
                        </w:rPr>
                        <w:t>KONTUEN</w:t>
                      </w:r>
                    </w:p>
                    <w:p w14:paraId="64D184FE" w14:textId="77777777" w:rsidR="00FF1DBC" w:rsidRPr="003A7956" w:rsidRDefault="00FF1DBC" w:rsidP="004C3423">
                      <w:pPr>
                        <w:spacing w:after="0"/>
                        <w:ind w:firstLine="0"/>
                        <w:jc w:val="center"/>
                        <w:rPr>
                          <w:color w:val="808080"/>
                          <w:sz w:val="18"/>
                          <w:szCs w:val="18"/>
                          <w:lang w:val="es-ES"/>
                        </w:rPr>
                      </w:pPr>
                      <w:r w:rsidRPr="003A7956">
                        <w:rPr>
                          <w:color w:val="808080"/>
                          <w:sz w:val="18"/>
                          <w:szCs w:val="18"/>
                          <w:lang w:val="es-ES"/>
                        </w:rPr>
                        <w:t>GANBERA</w:t>
                      </w:r>
                    </w:p>
                    <w:p w14:paraId="54E7F4E4" w14:textId="77777777" w:rsidR="00FF1DBC" w:rsidRPr="002C7026" w:rsidRDefault="00FF1DBC" w:rsidP="002C7026">
                      <w:pPr>
                        <w:spacing w:after="0"/>
                        <w:ind w:firstLine="0"/>
                        <w:jc w:val="center"/>
                        <w:rPr>
                          <w:rFonts w:ascii="Trajan" w:hAnsi="Trajan"/>
                          <w:color w:val="808080"/>
                          <w:sz w:val="18"/>
                          <w:szCs w:val="18"/>
                          <w:lang w:val="es-ES"/>
                        </w:rPr>
                      </w:pPr>
                    </w:p>
                  </w:txbxContent>
                </v:textbox>
              </v:shape>
            </w:pict>
          </mc:Fallback>
        </mc:AlternateContent>
      </w:r>
    </w:p>
    <w:p w14:paraId="43868B20" w14:textId="77777777" w:rsidR="002E31B1" w:rsidRPr="002E31B1" w:rsidRDefault="002E31B1" w:rsidP="00DE6975">
      <w:pPr>
        <w:pStyle w:val="EstiloPortada"/>
        <w:spacing w:after="360"/>
        <w:ind w:left="2693" w:right="0"/>
        <w:jc w:val="right"/>
        <w:rPr>
          <w:rFonts w:ascii="Arial" w:hAnsi="Arial" w:cs="Arial"/>
          <w:color w:val="A6A6A6" w:themeColor="background1" w:themeShade="A6"/>
          <w:sz w:val="48"/>
          <w:szCs w:val="48"/>
        </w:rPr>
      </w:pPr>
    </w:p>
    <w:p w14:paraId="1B942F55" w14:textId="77777777" w:rsidR="00C30199" w:rsidRPr="00F44616" w:rsidRDefault="00C30199" w:rsidP="00C30199">
      <w:pPr>
        <w:pStyle w:val="EstiloPortada"/>
        <w:ind w:left="2552" w:right="0"/>
        <w:jc w:val="right"/>
        <w:rPr>
          <w:sz w:val="56"/>
          <w:szCs w:val="56"/>
        </w:rPr>
      </w:pPr>
      <w:r w:rsidRPr="00F44616">
        <w:rPr>
          <w:sz w:val="52"/>
          <w:szCs w:val="52"/>
        </w:rPr>
        <w:t xml:space="preserve">Concesiones realizadas    mediante peaje en </w:t>
      </w:r>
      <w:r w:rsidRPr="00F44616">
        <w:rPr>
          <w:sz w:val="56"/>
          <w:szCs w:val="56"/>
        </w:rPr>
        <w:t>sombra</w:t>
      </w:r>
      <w:r w:rsidR="005F5DF2" w:rsidRPr="00F44616">
        <w:rPr>
          <w:sz w:val="56"/>
          <w:szCs w:val="56"/>
        </w:rPr>
        <w:t xml:space="preserve"> 2014-2021</w:t>
      </w:r>
    </w:p>
    <w:p w14:paraId="1EE88827" w14:textId="77777777" w:rsidR="001C3A32" w:rsidRPr="00204979" w:rsidRDefault="001C3A32" w:rsidP="00891D73">
      <w:pPr>
        <w:pStyle w:val="texto"/>
      </w:pPr>
    </w:p>
    <w:p w14:paraId="59BC0374" w14:textId="77777777" w:rsidR="001C3A32" w:rsidRPr="00204979" w:rsidRDefault="001C3A32" w:rsidP="00891D73">
      <w:pPr>
        <w:pStyle w:val="texto"/>
      </w:pPr>
    </w:p>
    <w:p w14:paraId="1CDD5754" w14:textId="77777777" w:rsidR="002F2530" w:rsidRPr="00204979" w:rsidRDefault="002F2530" w:rsidP="00891D73">
      <w:pPr>
        <w:pStyle w:val="texto"/>
      </w:pPr>
    </w:p>
    <w:p w14:paraId="726BF15A" w14:textId="77777777" w:rsidR="002F2530" w:rsidRPr="00204979" w:rsidRDefault="002F2530" w:rsidP="00891D73">
      <w:pPr>
        <w:pStyle w:val="texto"/>
      </w:pPr>
    </w:p>
    <w:p w14:paraId="3217009C" w14:textId="77777777" w:rsidR="001C3A32" w:rsidRPr="00204979" w:rsidRDefault="001C3A32" w:rsidP="00891D73">
      <w:pPr>
        <w:pStyle w:val="texto"/>
      </w:pPr>
    </w:p>
    <w:p w14:paraId="377F1E57" w14:textId="77777777" w:rsidR="001C3A32" w:rsidRPr="00204979" w:rsidRDefault="001C3A32" w:rsidP="00891D73">
      <w:pPr>
        <w:pStyle w:val="texto"/>
      </w:pPr>
    </w:p>
    <w:p w14:paraId="22BBB5E4" w14:textId="77777777" w:rsidR="001C3A32" w:rsidRPr="00204979" w:rsidRDefault="001C3A32" w:rsidP="00891D73">
      <w:pPr>
        <w:pStyle w:val="texto"/>
      </w:pPr>
    </w:p>
    <w:p w14:paraId="163DADD8" w14:textId="77777777" w:rsidR="001C3A32" w:rsidRPr="00204979" w:rsidRDefault="001C3A32" w:rsidP="00891D73">
      <w:pPr>
        <w:pStyle w:val="texto"/>
      </w:pPr>
    </w:p>
    <w:p w14:paraId="5742EBEB" w14:textId="77777777" w:rsidR="001C3A32" w:rsidRPr="00204979" w:rsidRDefault="001C3A32" w:rsidP="00891D73">
      <w:pPr>
        <w:pStyle w:val="texto"/>
      </w:pPr>
    </w:p>
    <w:p w14:paraId="3D6175E8" w14:textId="77777777" w:rsidR="001C3A32" w:rsidRPr="00204979" w:rsidRDefault="001C3A32" w:rsidP="00891D73">
      <w:pPr>
        <w:pStyle w:val="texto"/>
      </w:pPr>
    </w:p>
    <w:p w14:paraId="5EF50F75" w14:textId="77777777" w:rsidR="001C3A32" w:rsidRDefault="001C3A32" w:rsidP="00891D73">
      <w:pPr>
        <w:pStyle w:val="texto"/>
      </w:pPr>
    </w:p>
    <w:p w14:paraId="7A5EF4F6" w14:textId="77777777" w:rsidR="00642C47" w:rsidRPr="00204979" w:rsidRDefault="00642C47" w:rsidP="00891D73">
      <w:pPr>
        <w:pStyle w:val="texto"/>
      </w:pPr>
    </w:p>
    <w:p w14:paraId="27E86C11" w14:textId="77777777" w:rsidR="001C3A32" w:rsidRPr="00204979" w:rsidRDefault="001C3A32" w:rsidP="00891D73">
      <w:pPr>
        <w:pStyle w:val="texto"/>
      </w:pPr>
    </w:p>
    <w:p w14:paraId="1A8694D4" w14:textId="77777777" w:rsidR="00844F74" w:rsidRPr="00204979" w:rsidRDefault="00844F74" w:rsidP="00891D73">
      <w:pPr>
        <w:pStyle w:val="texto"/>
      </w:pPr>
    </w:p>
    <w:p w14:paraId="38085BE3" w14:textId="77777777" w:rsidR="00844F74" w:rsidRPr="00204979" w:rsidRDefault="00844F74" w:rsidP="00891D73">
      <w:pPr>
        <w:pStyle w:val="texto"/>
      </w:pPr>
    </w:p>
    <w:p w14:paraId="33B9E942" w14:textId="77777777" w:rsidR="00716463" w:rsidRDefault="00A2489F" w:rsidP="009936FC">
      <w:pPr>
        <w:pStyle w:val="Fechaportada"/>
      </w:pPr>
      <w:r>
        <w:t>Febrero</w:t>
      </w:r>
      <w:r w:rsidR="003B288D">
        <w:t xml:space="preserve"> de 2023</w:t>
      </w:r>
    </w:p>
    <w:p w14:paraId="7E3661FD" w14:textId="77777777" w:rsidR="002E31B1" w:rsidRPr="001D4F09" w:rsidRDefault="002E31B1" w:rsidP="009936FC">
      <w:pPr>
        <w:pStyle w:val="Fechaportada"/>
      </w:pPr>
    </w:p>
    <w:p w14:paraId="075A1F06" w14:textId="77777777" w:rsidR="008E3FFE" w:rsidRPr="001D4F09" w:rsidRDefault="008E3FFE" w:rsidP="00891D73">
      <w:pPr>
        <w:pStyle w:val="ndice"/>
        <w:rPr>
          <w:rFonts w:ascii="Times New Roman" w:hAnsi="Times New Roman"/>
        </w:rPr>
        <w:sectPr w:rsidR="008E3FFE" w:rsidRPr="001D4F09" w:rsidSect="0019660E">
          <w:headerReference w:type="default" r:id="rId8"/>
          <w:footerReference w:type="even" r:id="rId9"/>
          <w:footerReference w:type="default" r:id="rId10"/>
          <w:headerReference w:type="first" r:id="rId11"/>
          <w:footerReference w:type="first" r:id="rId12"/>
          <w:pgSz w:w="11907" w:h="16840" w:code="9"/>
          <w:pgMar w:top="2835" w:right="1559" w:bottom="1644" w:left="1559" w:header="369" w:footer="136" w:gutter="0"/>
          <w:pgNumType w:start="1"/>
          <w:cols w:space="720"/>
          <w:titlePg/>
          <w:docGrid w:linePitch="360"/>
        </w:sectPr>
      </w:pPr>
    </w:p>
    <w:p w14:paraId="2764E340" w14:textId="77777777" w:rsidR="001C3A32" w:rsidRDefault="00891D73" w:rsidP="00891D73">
      <w:pPr>
        <w:pStyle w:val="ndice"/>
      </w:pPr>
      <w:r w:rsidRPr="00891D73">
        <w:lastRenderedPageBreak/>
        <w:t>Índice</w:t>
      </w:r>
    </w:p>
    <w:p w14:paraId="646EDF52" w14:textId="77777777" w:rsidR="00C30199" w:rsidRPr="004740FB" w:rsidRDefault="00C30199" w:rsidP="00C30199">
      <w:pPr>
        <w:pStyle w:val="ndice"/>
        <w:ind w:right="-156"/>
        <w:jc w:val="right"/>
        <w:rPr>
          <w:b w:val="0"/>
          <w:i/>
          <w:sz w:val="16"/>
          <w:szCs w:val="16"/>
        </w:rPr>
      </w:pPr>
      <w:r w:rsidRPr="004740FB">
        <w:rPr>
          <w:b w:val="0"/>
          <w:i/>
          <w:sz w:val="16"/>
          <w:szCs w:val="16"/>
        </w:rPr>
        <w:t>P</w:t>
      </w:r>
      <w:r>
        <w:rPr>
          <w:b w:val="0"/>
          <w:i/>
          <w:sz w:val="16"/>
          <w:szCs w:val="16"/>
        </w:rPr>
        <w:t>á</w:t>
      </w:r>
      <w:r w:rsidRPr="004740FB">
        <w:rPr>
          <w:b w:val="0"/>
          <w:i/>
          <w:sz w:val="16"/>
          <w:szCs w:val="16"/>
        </w:rPr>
        <w:t>gina</w:t>
      </w:r>
    </w:p>
    <w:p w14:paraId="0C7A3B29" w14:textId="77777777" w:rsidR="00706FEF" w:rsidRDefault="00C30199">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126321312" w:history="1">
        <w:r w:rsidR="00706FEF" w:rsidRPr="00F6603D">
          <w:rPr>
            <w:rStyle w:val="Hipervnculo"/>
            <w:noProof/>
          </w:rPr>
          <w:t>Abreviaturas</w:t>
        </w:r>
        <w:r w:rsidR="00706FEF">
          <w:rPr>
            <w:noProof/>
            <w:webHidden/>
          </w:rPr>
          <w:tab/>
        </w:r>
        <w:r w:rsidR="00706FEF">
          <w:rPr>
            <w:noProof/>
            <w:webHidden/>
          </w:rPr>
          <w:fldChar w:fldCharType="begin"/>
        </w:r>
        <w:r w:rsidR="00706FEF">
          <w:rPr>
            <w:noProof/>
            <w:webHidden/>
          </w:rPr>
          <w:instrText xml:space="preserve"> PAGEREF _Toc126321312 \h </w:instrText>
        </w:r>
        <w:r w:rsidR="00706FEF">
          <w:rPr>
            <w:noProof/>
            <w:webHidden/>
          </w:rPr>
        </w:r>
        <w:r w:rsidR="00706FEF">
          <w:rPr>
            <w:noProof/>
            <w:webHidden/>
          </w:rPr>
          <w:fldChar w:fldCharType="separate"/>
        </w:r>
        <w:r w:rsidR="00706FEF">
          <w:rPr>
            <w:noProof/>
            <w:webHidden/>
          </w:rPr>
          <w:t>3</w:t>
        </w:r>
        <w:r w:rsidR="00706FEF">
          <w:rPr>
            <w:noProof/>
            <w:webHidden/>
          </w:rPr>
          <w:fldChar w:fldCharType="end"/>
        </w:r>
      </w:hyperlink>
    </w:p>
    <w:p w14:paraId="483C5CBA" w14:textId="77777777" w:rsidR="00706FEF" w:rsidRDefault="004A3625">
      <w:pPr>
        <w:pStyle w:val="TDC1"/>
        <w:rPr>
          <w:rFonts w:asciiTheme="minorHAnsi" w:eastAsiaTheme="minorEastAsia" w:hAnsiTheme="minorHAnsi" w:cstheme="minorBidi"/>
          <w:smallCaps w:val="0"/>
          <w:noProof/>
          <w:szCs w:val="22"/>
          <w:lang w:val="es-ES" w:eastAsia="es-ES"/>
        </w:rPr>
      </w:pPr>
      <w:hyperlink w:anchor="_Toc126321313" w:history="1">
        <w:r w:rsidR="00706FEF" w:rsidRPr="00F6603D">
          <w:rPr>
            <w:rStyle w:val="Hipervnculo"/>
            <w:noProof/>
          </w:rPr>
          <w:t>I. Introducción</w:t>
        </w:r>
        <w:r w:rsidR="00706FEF">
          <w:rPr>
            <w:noProof/>
            <w:webHidden/>
          </w:rPr>
          <w:tab/>
        </w:r>
        <w:r w:rsidR="00706FEF">
          <w:rPr>
            <w:noProof/>
            <w:webHidden/>
          </w:rPr>
          <w:fldChar w:fldCharType="begin"/>
        </w:r>
        <w:r w:rsidR="00706FEF">
          <w:rPr>
            <w:noProof/>
            <w:webHidden/>
          </w:rPr>
          <w:instrText xml:space="preserve"> PAGEREF _Toc126321313 \h </w:instrText>
        </w:r>
        <w:r w:rsidR="00706FEF">
          <w:rPr>
            <w:noProof/>
            <w:webHidden/>
          </w:rPr>
        </w:r>
        <w:r w:rsidR="00706FEF">
          <w:rPr>
            <w:noProof/>
            <w:webHidden/>
          </w:rPr>
          <w:fldChar w:fldCharType="separate"/>
        </w:r>
        <w:r w:rsidR="00706FEF">
          <w:rPr>
            <w:noProof/>
            <w:webHidden/>
          </w:rPr>
          <w:t>4</w:t>
        </w:r>
        <w:r w:rsidR="00706FEF">
          <w:rPr>
            <w:noProof/>
            <w:webHidden/>
          </w:rPr>
          <w:fldChar w:fldCharType="end"/>
        </w:r>
      </w:hyperlink>
    </w:p>
    <w:p w14:paraId="4EBE1453" w14:textId="77777777" w:rsidR="00706FEF" w:rsidRDefault="004A3625">
      <w:pPr>
        <w:pStyle w:val="TDC1"/>
        <w:rPr>
          <w:rFonts w:asciiTheme="minorHAnsi" w:eastAsiaTheme="minorEastAsia" w:hAnsiTheme="minorHAnsi" w:cstheme="minorBidi"/>
          <w:smallCaps w:val="0"/>
          <w:noProof/>
          <w:szCs w:val="22"/>
          <w:lang w:val="es-ES" w:eastAsia="es-ES"/>
        </w:rPr>
      </w:pPr>
      <w:hyperlink w:anchor="_Toc126321314" w:history="1">
        <w:r w:rsidR="00706FEF" w:rsidRPr="00F6603D">
          <w:rPr>
            <w:rStyle w:val="Hipervnculo"/>
            <w:noProof/>
          </w:rPr>
          <w:t>II. Objetivos, alcance y limitaciones</w:t>
        </w:r>
        <w:r w:rsidR="00706FEF">
          <w:rPr>
            <w:noProof/>
            <w:webHidden/>
          </w:rPr>
          <w:tab/>
        </w:r>
        <w:r w:rsidR="00706FEF">
          <w:rPr>
            <w:noProof/>
            <w:webHidden/>
          </w:rPr>
          <w:fldChar w:fldCharType="begin"/>
        </w:r>
        <w:r w:rsidR="00706FEF">
          <w:rPr>
            <w:noProof/>
            <w:webHidden/>
          </w:rPr>
          <w:instrText xml:space="preserve"> PAGEREF _Toc126321314 \h </w:instrText>
        </w:r>
        <w:r w:rsidR="00706FEF">
          <w:rPr>
            <w:noProof/>
            <w:webHidden/>
          </w:rPr>
        </w:r>
        <w:r w:rsidR="00706FEF">
          <w:rPr>
            <w:noProof/>
            <w:webHidden/>
          </w:rPr>
          <w:fldChar w:fldCharType="separate"/>
        </w:r>
        <w:r w:rsidR="00706FEF">
          <w:rPr>
            <w:noProof/>
            <w:webHidden/>
          </w:rPr>
          <w:t>5</w:t>
        </w:r>
        <w:r w:rsidR="00706FEF">
          <w:rPr>
            <w:noProof/>
            <w:webHidden/>
          </w:rPr>
          <w:fldChar w:fldCharType="end"/>
        </w:r>
      </w:hyperlink>
    </w:p>
    <w:p w14:paraId="6D1E9C4D" w14:textId="77777777" w:rsidR="00706FEF" w:rsidRDefault="004A3625">
      <w:pPr>
        <w:pStyle w:val="TDC1"/>
        <w:rPr>
          <w:rFonts w:asciiTheme="minorHAnsi" w:eastAsiaTheme="minorEastAsia" w:hAnsiTheme="minorHAnsi" w:cstheme="minorBidi"/>
          <w:smallCaps w:val="0"/>
          <w:noProof/>
          <w:szCs w:val="22"/>
          <w:lang w:val="es-ES" w:eastAsia="es-ES"/>
        </w:rPr>
      </w:pPr>
      <w:hyperlink w:anchor="_Toc126321315" w:history="1">
        <w:r w:rsidR="00706FEF" w:rsidRPr="00F6603D">
          <w:rPr>
            <w:rStyle w:val="Hipervnculo"/>
            <w:noProof/>
          </w:rPr>
          <w:t>III. Conclusiones y recomendaciones</w:t>
        </w:r>
        <w:r w:rsidR="00706FEF">
          <w:rPr>
            <w:noProof/>
            <w:webHidden/>
          </w:rPr>
          <w:tab/>
        </w:r>
        <w:r w:rsidR="00706FEF">
          <w:rPr>
            <w:noProof/>
            <w:webHidden/>
          </w:rPr>
          <w:fldChar w:fldCharType="begin"/>
        </w:r>
        <w:r w:rsidR="00706FEF">
          <w:rPr>
            <w:noProof/>
            <w:webHidden/>
          </w:rPr>
          <w:instrText xml:space="preserve"> PAGEREF _Toc126321315 \h </w:instrText>
        </w:r>
        <w:r w:rsidR="00706FEF">
          <w:rPr>
            <w:noProof/>
            <w:webHidden/>
          </w:rPr>
        </w:r>
        <w:r w:rsidR="00706FEF">
          <w:rPr>
            <w:noProof/>
            <w:webHidden/>
          </w:rPr>
          <w:fldChar w:fldCharType="separate"/>
        </w:r>
        <w:r w:rsidR="00706FEF">
          <w:rPr>
            <w:noProof/>
            <w:webHidden/>
          </w:rPr>
          <w:t>7</w:t>
        </w:r>
        <w:r w:rsidR="00706FEF">
          <w:rPr>
            <w:noProof/>
            <w:webHidden/>
          </w:rPr>
          <w:fldChar w:fldCharType="end"/>
        </w:r>
      </w:hyperlink>
    </w:p>
    <w:p w14:paraId="4A5F223E" w14:textId="77777777" w:rsidR="00706FEF" w:rsidRDefault="004A3625">
      <w:pPr>
        <w:pStyle w:val="TDC1"/>
        <w:rPr>
          <w:rFonts w:asciiTheme="minorHAnsi" w:eastAsiaTheme="minorEastAsia" w:hAnsiTheme="minorHAnsi" w:cstheme="minorBidi"/>
          <w:smallCaps w:val="0"/>
          <w:noProof/>
          <w:szCs w:val="22"/>
          <w:lang w:val="es-ES" w:eastAsia="es-ES"/>
        </w:rPr>
      </w:pPr>
      <w:hyperlink w:anchor="_Toc126321316" w:history="1">
        <w:r w:rsidR="00706FEF" w:rsidRPr="00F6603D">
          <w:rPr>
            <w:rStyle w:val="Hipervnculo"/>
            <w:noProof/>
          </w:rPr>
          <w:t xml:space="preserve">IV. </w:t>
        </w:r>
        <w:r w:rsidR="00706FEF" w:rsidRPr="00F6603D">
          <w:rPr>
            <w:rStyle w:val="Hipervnculo"/>
            <w:noProof/>
            <w:spacing w:val="-2"/>
          </w:rPr>
          <w:t>Responsabilidad de la Administración de la Comunidad Foral de Navarra</w:t>
        </w:r>
        <w:r w:rsidR="00706FEF">
          <w:rPr>
            <w:noProof/>
            <w:webHidden/>
          </w:rPr>
          <w:tab/>
        </w:r>
        <w:r w:rsidR="00706FEF">
          <w:rPr>
            <w:noProof/>
            <w:webHidden/>
          </w:rPr>
          <w:fldChar w:fldCharType="begin"/>
        </w:r>
        <w:r w:rsidR="00706FEF">
          <w:rPr>
            <w:noProof/>
            <w:webHidden/>
          </w:rPr>
          <w:instrText xml:space="preserve"> PAGEREF _Toc126321316 \h </w:instrText>
        </w:r>
        <w:r w:rsidR="00706FEF">
          <w:rPr>
            <w:noProof/>
            <w:webHidden/>
          </w:rPr>
        </w:r>
        <w:r w:rsidR="00706FEF">
          <w:rPr>
            <w:noProof/>
            <w:webHidden/>
          </w:rPr>
          <w:fldChar w:fldCharType="separate"/>
        </w:r>
        <w:r w:rsidR="00706FEF">
          <w:rPr>
            <w:noProof/>
            <w:webHidden/>
          </w:rPr>
          <w:t>11</w:t>
        </w:r>
        <w:r w:rsidR="00706FEF">
          <w:rPr>
            <w:noProof/>
            <w:webHidden/>
          </w:rPr>
          <w:fldChar w:fldCharType="end"/>
        </w:r>
      </w:hyperlink>
    </w:p>
    <w:p w14:paraId="3EB1907F" w14:textId="77777777" w:rsidR="00706FEF" w:rsidRDefault="004A3625">
      <w:pPr>
        <w:pStyle w:val="TDC1"/>
        <w:rPr>
          <w:rFonts w:asciiTheme="minorHAnsi" w:eastAsiaTheme="minorEastAsia" w:hAnsiTheme="minorHAnsi" w:cstheme="minorBidi"/>
          <w:smallCaps w:val="0"/>
          <w:noProof/>
          <w:szCs w:val="22"/>
          <w:lang w:val="es-ES" w:eastAsia="es-ES"/>
        </w:rPr>
      </w:pPr>
      <w:hyperlink w:anchor="_Toc126321317" w:history="1">
        <w:r w:rsidR="00706FEF" w:rsidRPr="00F6603D">
          <w:rPr>
            <w:rStyle w:val="Hipervnculo"/>
            <w:noProof/>
          </w:rPr>
          <w:t>V. Responsabilidad de la Cámara de Comptos de Navarra</w:t>
        </w:r>
        <w:r w:rsidR="00706FEF">
          <w:rPr>
            <w:noProof/>
            <w:webHidden/>
          </w:rPr>
          <w:tab/>
        </w:r>
        <w:r w:rsidR="00706FEF">
          <w:rPr>
            <w:noProof/>
            <w:webHidden/>
          </w:rPr>
          <w:fldChar w:fldCharType="begin"/>
        </w:r>
        <w:r w:rsidR="00706FEF">
          <w:rPr>
            <w:noProof/>
            <w:webHidden/>
          </w:rPr>
          <w:instrText xml:space="preserve"> PAGEREF _Toc126321317 \h </w:instrText>
        </w:r>
        <w:r w:rsidR="00706FEF">
          <w:rPr>
            <w:noProof/>
            <w:webHidden/>
          </w:rPr>
        </w:r>
        <w:r w:rsidR="00706FEF">
          <w:rPr>
            <w:noProof/>
            <w:webHidden/>
          </w:rPr>
          <w:fldChar w:fldCharType="separate"/>
        </w:r>
        <w:r w:rsidR="00706FEF">
          <w:rPr>
            <w:noProof/>
            <w:webHidden/>
          </w:rPr>
          <w:t>12</w:t>
        </w:r>
        <w:r w:rsidR="00706FEF">
          <w:rPr>
            <w:noProof/>
            <w:webHidden/>
          </w:rPr>
          <w:fldChar w:fldCharType="end"/>
        </w:r>
      </w:hyperlink>
    </w:p>
    <w:p w14:paraId="3D012829" w14:textId="77777777" w:rsidR="00706FEF" w:rsidRDefault="004A3625">
      <w:pPr>
        <w:pStyle w:val="TDC1"/>
        <w:rPr>
          <w:rFonts w:asciiTheme="minorHAnsi" w:eastAsiaTheme="minorEastAsia" w:hAnsiTheme="minorHAnsi" w:cstheme="minorBidi"/>
          <w:smallCaps w:val="0"/>
          <w:noProof/>
          <w:szCs w:val="22"/>
          <w:lang w:val="es-ES" w:eastAsia="es-ES"/>
        </w:rPr>
      </w:pPr>
      <w:hyperlink w:anchor="_Toc126321318" w:history="1">
        <w:r w:rsidR="00706FEF" w:rsidRPr="00F6603D">
          <w:rPr>
            <w:rStyle w:val="Hipervnculo"/>
            <w:noProof/>
          </w:rPr>
          <w:t>Apéndice 1: Infraestructuras de la Administración de la Comunidad Foral de Navarra financiadas mediante peaje en sombra</w:t>
        </w:r>
        <w:r w:rsidR="00706FEF">
          <w:rPr>
            <w:noProof/>
            <w:webHidden/>
          </w:rPr>
          <w:tab/>
        </w:r>
        <w:r w:rsidR="00706FEF">
          <w:rPr>
            <w:noProof/>
            <w:webHidden/>
          </w:rPr>
          <w:fldChar w:fldCharType="begin"/>
        </w:r>
        <w:r w:rsidR="00706FEF">
          <w:rPr>
            <w:noProof/>
            <w:webHidden/>
          </w:rPr>
          <w:instrText xml:space="preserve"> PAGEREF _Toc126321318 \h </w:instrText>
        </w:r>
        <w:r w:rsidR="00706FEF">
          <w:rPr>
            <w:noProof/>
            <w:webHidden/>
          </w:rPr>
        </w:r>
        <w:r w:rsidR="00706FEF">
          <w:rPr>
            <w:noProof/>
            <w:webHidden/>
          </w:rPr>
          <w:fldChar w:fldCharType="separate"/>
        </w:r>
        <w:r w:rsidR="00706FEF">
          <w:rPr>
            <w:noProof/>
            <w:webHidden/>
          </w:rPr>
          <w:t>13</w:t>
        </w:r>
        <w:r w:rsidR="00706FEF">
          <w:rPr>
            <w:noProof/>
            <w:webHidden/>
          </w:rPr>
          <w:fldChar w:fldCharType="end"/>
        </w:r>
      </w:hyperlink>
    </w:p>
    <w:p w14:paraId="706E866E" w14:textId="77777777" w:rsidR="00706FEF" w:rsidRDefault="004A3625">
      <w:pPr>
        <w:pStyle w:val="TDC2"/>
        <w:rPr>
          <w:rFonts w:asciiTheme="minorHAnsi" w:eastAsiaTheme="minorEastAsia" w:hAnsiTheme="minorHAnsi" w:cstheme="minorBidi"/>
          <w:noProof/>
          <w:szCs w:val="22"/>
          <w:lang w:val="es-ES" w:eastAsia="es-ES"/>
        </w:rPr>
      </w:pPr>
      <w:hyperlink w:anchor="_Toc126321319" w:history="1">
        <w:r w:rsidR="00706FEF" w:rsidRPr="00F6603D">
          <w:rPr>
            <w:rStyle w:val="Hipervnculo"/>
            <w:noProof/>
          </w:rPr>
          <w:t>1.1. Fórmula del peaje en sombra</w:t>
        </w:r>
        <w:r w:rsidR="00706FEF">
          <w:rPr>
            <w:noProof/>
            <w:webHidden/>
          </w:rPr>
          <w:tab/>
        </w:r>
        <w:r w:rsidR="00706FEF">
          <w:rPr>
            <w:noProof/>
            <w:webHidden/>
          </w:rPr>
          <w:fldChar w:fldCharType="begin"/>
        </w:r>
        <w:r w:rsidR="00706FEF">
          <w:rPr>
            <w:noProof/>
            <w:webHidden/>
          </w:rPr>
          <w:instrText xml:space="preserve"> PAGEREF _Toc126321319 \h </w:instrText>
        </w:r>
        <w:r w:rsidR="00706FEF">
          <w:rPr>
            <w:noProof/>
            <w:webHidden/>
          </w:rPr>
        </w:r>
        <w:r w:rsidR="00706FEF">
          <w:rPr>
            <w:noProof/>
            <w:webHidden/>
          </w:rPr>
          <w:fldChar w:fldCharType="separate"/>
        </w:r>
        <w:r w:rsidR="00706FEF">
          <w:rPr>
            <w:noProof/>
            <w:webHidden/>
          </w:rPr>
          <w:t>13</w:t>
        </w:r>
        <w:r w:rsidR="00706FEF">
          <w:rPr>
            <w:noProof/>
            <w:webHidden/>
          </w:rPr>
          <w:fldChar w:fldCharType="end"/>
        </w:r>
      </w:hyperlink>
    </w:p>
    <w:p w14:paraId="5B282C7C" w14:textId="77777777" w:rsidR="00706FEF" w:rsidRDefault="004A3625">
      <w:pPr>
        <w:pStyle w:val="TDC2"/>
        <w:rPr>
          <w:rFonts w:asciiTheme="minorHAnsi" w:eastAsiaTheme="minorEastAsia" w:hAnsiTheme="minorHAnsi" w:cstheme="minorBidi"/>
          <w:noProof/>
          <w:szCs w:val="22"/>
          <w:lang w:val="es-ES" w:eastAsia="es-ES"/>
        </w:rPr>
      </w:pPr>
      <w:hyperlink w:anchor="_Toc126321320" w:history="1">
        <w:r w:rsidR="00706FEF" w:rsidRPr="00F6603D">
          <w:rPr>
            <w:rStyle w:val="Hipervnculo"/>
            <w:noProof/>
          </w:rPr>
          <w:t>1.2. Autovías</w:t>
        </w:r>
        <w:r w:rsidR="00706FEF">
          <w:rPr>
            <w:noProof/>
            <w:webHidden/>
          </w:rPr>
          <w:tab/>
        </w:r>
        <w:r w:rsidR="00706FEF">
          <w:rPr>
            <w:noProof/>
            <w:webHidden/>
          </w:rPr>
          <w:fldChar w:fldCharType="begin"/>
        </w:r>
        <w:r w:rsidR="00706FEF">
          <w:rPr>
            <w:noProof/>
            <w:webHidden/>
          </w:rPr>
          <w:instrText xml:space="preserve"> PAGEREF _Toc126321320 \h </w:instrText>
        </w:r>
        <w:r w:rsidR="00706FEF">
          <w:rPr>
            <w:noProof/>
            <w:webHidden/>
          </w:rPr>
        </w:r>
        <w:r w:rsidR="00706FEF">
          <w:rPr>
            <w:noProof/>
            <w:webHidden/>
          </w:rPr>
          <w:fldChar w:fldCharType="separate"/>
        </w:r>
        <w:r w:rsidR="00706FEF">
          <w:rPr>
            <w:noProof/>
            <w:webHidden/>
          </w:rPr>
          <w:t>14</w:t>
        </w:r>
        <w:r w:rsidR="00706FEF">
          <w:rPr>
            <w:noProof/>
            <w:webHidden/>
          </w:rPr>
          <w:fldChar w:fldCharType="end"/>
        </w:r>
      </w:hyperlink>
    </w:p>
    <w:p w14:paraId="2F3F7B12" w14:textId="77777777" w:rsidR="00706FEF" w:rsidRDefault="004A3625">
      <w:pPr>
        <w:pStyle w:val="TDC2"/>
        <w:rPr>
          <w:rFonts w:asciiTheme="minorHAnsi" w:eastAsiaTheme="minorEastAsia" w:hAnsiTheme="minorHAnsi" w:cstheme="minorBidi"/>
          <w:noProof/>
          <w:szCs w:val="22"/>
          <w:lang w:val="es-ES" w:eastAsia="es-ES"/>
        </w:rPr>
      </w:pPr>
      <w:hyperlink w:anchor="_Toc126321321" w:history="1">
        <w:r w:rsidR="00706FEF" w:rsidRPr="00F6603D">
          <w:rPr>
            <w:rStyle w:val="Hipervnculo"/>
            <w:noProof/>
          </w:rPr>
          <w:t>1.3. Zonas regables del Canal de Navarra</w:t>
        </w:r>
        <w:r w:rsidR="00706FEF">
          <w:rPr>
            <w:noProof/>
            <w:webHidden/>
          </w:rPr>
          <w:tab/>
        </w:r>
        <w:r w:rsidR="00706FEF">
          <w:rPr>
            <w:noProof/>
            <w:webHidden/>
          </w:rPr>
          <w:fldChar w:fldCharType="begin"/>
        </w:r>
        <w:r w:rsidR="00706FEF">
          <w:rPr>
            <w:noProof/>
            <w:webHidden/>
          </w:rPr>
          <w:instrText xml:space="preserve"> PAGEREF _Toc126321321 \h </w:instrText>
        </w:r>
        <w:r w:rsidR="00706FEF">
          <w:rPr>
            <w:noProof/>
            <w:webHidden/>
          </w:rPr>
        </w:r>
        <w:r w:rsidR="00706FEF">
          <w:rPr>
            <w:noProof/>
            <w:webHidden/>
          </w:rPr>
          <w:fldChar w:fldCharType="separate"/>
        </w:r>
        <w:r w:rsidR="00706FEF">
          <w:rPr>
            <w:noProof/>
            <w:webHidden/>
          </w:rPr>
          <w:t>19</w:t>
        </w:r>
        <w:r w:rsidR="00706FEF">
          <w:rPr>
            <w:noProof/>
            <w:webHidden/>
          </w:rPr>
          <w:fldChar w:fldCharType="end"/>
        </w:r>
      </w:hyperlink>
    </w:p>
    <w:p w14:paraId="31613C34" w14:textId="77777777" w:rsidR="00706FEF" w:rsidRDefault="004A3625">
      <w:pPr>
        <w:pStyle w:val="TDC1"/>
        <w:rPr>
          <w:rFonts w:asciiTheme="minorHAnsi" w:eastAsiaTheme="minorEastAsia" w:hAnsiTheme="minorHAnsi" w:cstheme="minorBidi"/>
          <w:smallCaps w:val="0"/>
          <w:noProof/>
          <w:szCs w:val="22"/>
          <w:lang w:val="es-ES" w:eastAsia="es-ES"/>
        </w:rPr>
      </w:pPr>
      <w:hyperlink w:anchor="_Toc126321322" w:history="1">
        <w:r w:rsidR="00706FEF" w:rsidRPr="00F6603D">
          <w:rPr>
            <w:rStyle w:val="Hipervnculo"/>
            <w:noProof/>
          </w:rPr>
          <w:t>Apéndice 2: Observaciones y hallazgos de la fiscalización</w:t>
        </w:r>
        <w:r w:rsidR="00706FEF">
          <w:rPr>
            <w:noProof/>
            <w:webHidden/>
          </w:rPr>
          <w:tab/>
        </w:r>
        <w:r w:rsidR="00706FEF">
          <w:rPr>
            <w:noProof/>
            <w:webHidden/>
          </w:rPr>
          <w:fldChar w:fldCharType="begin"/>
        </w:r>
        <w:r w:rsidR="00706FEF">
          <w:rPr>
            <w:noProof/>
            <w:webHidden/>
          </w:rPr>
          <w:instrText xml:space="preserve"> PAGEREF _Toc126321322 \h </w:instrText>
        </w:r>
        <w:r w:rsidR="00706FEF">
          <w:rPr>
            <w:noProof/>
            <w:webHidden/>
          </w:rPr>
        </w:r>
        <w:r w:rsidR="00706FEF">
          <w:rPr>
            <w:noProof/>
            <w:webHidden/>
          </w:rPr>
          <w:fldChar w:fldCharType="separate"/>
        </w:r>
        <w:r w:rsidR="00706FEF">
          <w:rPr>
            <w:noProof/>
            <w:webHidden/>
          </w:rPr>
          <w:t>24</w:t>
        </w:r>
        <w:r w:rsidR="00706FEF">
          <w:rPr>
            <w:noProof/>
            <w:webHidden/>
          </w:rPr>
          <w:fldChar w:fldCharType="end"/>
        </w:r>
      </w:hyperlink>
    </w:p>
    <w:p w14:paraId="7A4F687C" w14:textId="77777777" w:rsidR="00706FEF" w:rsidRDefault="004A3625">
      <w:pPr>
        <w:pStyle w:val="TDC2"/>
        <w:rPr>
          <w:rFonts w:asciiTheme="minorHAnsi" w:eastAsiaTheme="minorEastAsia" w:hAnsiTheme="minorHAnsi" w:cstheme="minorBidi"/>
          <w:noProof/>
          <w:szCs w:val="22"/>
          <w:lang w:val="es-ES" w:eastAsia="es-ES"/>
        </w:rPr>
      </w:pPr>
      <w:hyperlink w:anchor="_Toc126321323" w:history="1">
        <w:r w:rsidR="00706FEF" w:rsidRPr="00F6603D">
          <w:rPr>
            <w:rStyle w:val="Hipervnculo"/>
            <w:noProof/>
          </w:rPr>
          <w:t>2.1. Autovías</w:t>
        </w:r>
        <w:r w:rsidR="00706FEF">
          <w:rPr>
            <w:noProof/>
            <w:webHidden/>
          </w:rPr>
          <w:tab/>
        </w:r>
        <w:r w:rsidR="00706FEF">
          <w:rPr>
            <w:noProof/>
            <w:webHidden/>
          </w:rPr>
          <w:fldChar w:fldCharType="begin"/>
        </w:r>
        <w:r w:rsidR="00706FEF">
          <w:rPr>
            <w:noProof/>
            <w:webHidden/>
          </w:rPr>
          <w:instrText xml:space="preserve"> PAGEREF _Toc126321323 \h </w:instrText>
        </w:r>
        <w:r w:rsidR="00706FEF">
          <w:rPr>
            <w:noProof/>
            <w:webHidden/>
          </w:rPr>
        </w:r>
        <w:r w:rsidR="00706FEF">
          <w:rPr>
            <w:noProof/>
            <w:webHidden/>
          </w:rPr>
          <w:fldChar w:fldCharType="separate"/>
        </w:r>
        <w:r w:rsidR="00706FEF">
          <w:rPr>
            <w:noProof/>
            <w:webHidden/>
          </w:rPr>
          <w:t>24</w:t>
        </w:r>
        <w:r w:rsidR="00706FEF">
          <w:rPr>
            <w:noProof/>
            <w:webHidden/>
          </w:rPr>
          <w:fldChar w:fldCharType="end"/>
        </w:r>
      </w:hyperlink>
    </w:p>
    <w:p w14:paraId="536855D5" w14:textId="77777777" w:rsidR="00706FEF" w:rsidRDefault="004A3625">
      <w:pPr>
        <w:pStyle w:val="TDC2"/>
        <w:rPr>
          <w:rFonts w:asciiTheme="minorHAnsi" w:eastAsiaTheme="minorEastAsia" w:hAnsiTheme="minorHAnsi" w:cstheme="minorBidi"/>
          <w:noProof/>
          <w:szCs w:val="22"/>
          <w:lang w:val="es-ES" w:eastAsia="es-ES"/>
        </w:rPr>
      </w:pPr>
      <w:hyperlink w:anchor="_Toc126321324" w:history="1">
        <w:r w:rsidR="00706FEF" w:rsidRPr="00F6603D">
          <w:rPr>
            <w:rStyle w:val="Hipervnculo"/>
            <w:noProof/>
          </w:rPr>
          <w:t>2.2. Canal de Navarra</w:t>
        </w:r>
        <w:r w:rsidR="00706FEF">
          <w:rPr>
            <w:noProof/>
            <w:webHidden/>
          </w:rPr>
          <w:tab/>
        </w:r>
        <w:r w:rsidR="00706FEF">
          <w:rPr>
            <w:noProof/>
            <w:webHidden/>
          </w:rPr>
          <w:fldChar w:fldCharType="begin"/>
        </w:r>
        <w:r w:rsidR="00706FEF">
          <w:rPr>
            <w:noProof/>
            <w:webHidden/>
          </w:rPr>
          <w:instrText xml:space="preserve"> PAGEREF _Toc126321324 \h </w:instrText>
        </w:r>
        <w:r w:rsidR="00706FEF">
          <w:rPr>
            <w:noProof/>
            <w:webHidden/>
          </w:rPr>
        </w:r>
        <w:r w:rsidR="00706FEF">
          <w:rPr>
            <w:noProof/>
            <w:webHidden/>
          </w:rPr>
          <w:fldChar w:fldCharType="separate"/>
        </w:r>
        <w:r w:rsidR="00706FEF">
          <w:rPr>
            <w:noProof/>
            <w:webHidden/>
          </w:rPr>
          <w:t>32</w:t>
        </w:r>
        <w:r w:rsidR="00706FEF">
          <w:rPr>
            <w:noProof/>
            <w:webHidden/>
          </w:rPr>
          <w:fldChar w:fldCharType="end"/>
        </w:r>
      </w:hyperlink>
    </w:p>
    <w:p w14:paraId="64B19EB9" w14:textId="77777777" w:rsidR="00706FEF" w:rsidRDefault="004A3625">
      <w:pPr>
        <w:pStyle w:val="TDC2"/>
        <w:rPr>
          <w:rFonts w:asciiTheme="minorHAnsi" w:eastAsiaTheme="minorEastAsia" w:hAnsiTheme="minorHAnsi" w:cstheme="minorBidi"/>
          <w:noProof/>
          <w:szCs w:val="22"/>
          <w:lang w:val="es-ES" w:eastAsia="es-ES"/>
        </w:rPr>
      </w:pPr>
      <w:hyperlink w:anchor="_Toc126321325" w:history="1">
        <w:r w:rsidR="00706FEF" w:rsidRPr="00F6603D">
          <w:rPr>
            <w:rStyle w:val="Hipervnculo"/>
            <w:noProof/>
          </w:rPr>
          <w:t>2.3. Información económico patrimonial del peaje en sombra</w:t>
        </w:r>
        <w:r w:rsidR="00706FEF">
          <w:rPr>
            <w:noProof/>
            <w:webHidden/>
          </w:rPr>
          <w:tab/>
        </w:r>
        <w:r w:rsidR="00706FEF">
          <w:rPr>
            <w:noProof/>
            <w:webHidden/>
          </w:rPr>
          <w:fldChar w:fldCharType="begin"/>
        </w:r>
        <w:r w:rsidR="00706FEF">
          <w:rPr>
            <w:noProof/>
            <w:webHidden/>
          </w:rPr>
          <w:instrText xml:space="preserve"> PAGEREF _Toc126321325 \h </w:instrText>
        </w:r>
        <w:r w:rsidR="00706FEF">
          <w:rPr>
            <w:noProof/>
            <w:webHidden/>
          </w:rPr>
        </w:r>
        <w:r w:rsidR="00706FEF">
          <w:rPr>
            <w:noProof/>
            <w:webHidden/>
          </w:rPr>
          <w:fldChar w:fldCharType="separate"/>
        </w:r>
        <w:r w:rsidR="00706FEF">
          <w:rPr>
            <w:noProof/>
            <w:webHidden/>
          </w:rPr>
          <w:t>41</w:t>
        </w:r>
        <w:r w:rsidR="00706FEF">
          <w:rPr>
            <w:noProof/>
            <w:webHidden/>
          </w:rPr>
          <w:fldChar w:fldCharType="end"/>
        </w:r>
      </w:hyperlink>
    </w:p>
    <w:p w14:paraId="0D2310F4" w14:textId="77777777" w:rsidR="00706FEF" w:rsidRDefault="004A3625">
      <w:pPr>
        <w:pStyle w:val="TDC2"/>
        <w:rPr>
          <w:rFonts w:asciiTheme="minorHAnsi" w:eastAsiaTheme="minorEastAsia" w:hAnsiTheme="minorHAnsi" w:cstheme="minorBidi"/>
          <w:noProof/>
          <w:szCs w:val="22"/>
          <w:lang w:val="es-ES" w:eastAsia="es-ES"/>
        </w:rPr>
      </w:pPr>
      <w:hyperlink w:anchor="_Toc126321326" w:history="1">
        <w:r w:rsidR="00706FEF" w:rsidRPr="00F6603D">
          <w:rPr>
            <w:rStyle w:val="Hipervnculo"/>
            <w:noProof/>
          </w:rPr>
          <w:t>2.4. Estabilidad presupuestaria e impacto en el déficit del peaje en sombra</w:t>
        </w:r>
        <w:r w:rsidR="00706FEF">
          <w:rPr>
            <w:noProof/>
            <w:webHidden/>
          </w:rPr>
          <w:tab/>
        </w:r>
        <w:r w:rsidR="00706FEF">
          <w:rPr>
            <w:noProof/>
            <w:webHidden/>
          </w:rPr>
          <w:fldChar w:fldCharType="begin"/>
        </w:r>
        <w:r w:rsidR="00706FEF">
          <w:rPr>
            <w:noProof/>
            <w:webHidden/>
          </w:rPr>
          <w:instrText xml:space="preserve"> PAGEREF _Toc126321326 \h </w:instrText>
        </w:r>
        <w:r w:rsidR="00706FEF">
          <w:rPr>
            <w:noProof/>
            <w:webHidden/>
          </w:rPr>
        </w:r>
        <w:r w:rsidR="00706FEF">
          <w:rPr>
            <w:noProof/>
            <w:webHidden/>
          </w:rPr>
          <w:fldChar w:fldCharType="separate"/>
        </w:r>
        <w:r w:rsidR="00706FEF">
          <w:rPr>
            <w:noProof/>
            <w:webHidden/>
          </w:rPr>
          <w:t>43</w:t>
        </w:r>
        <w:r w:rsidR="00706FEF">
          <w:rPr>
            <w:noProof/>
            <w:webHidden/>
          </w:rPr>
          <w:fldChar w:fldCharType="end"/>
        </w:r>
      </w:hyperlink>
    </w:p>
    <w:p w14:paraId="154E09C7" w14:textId="77777777" w:rsidR="00706FEF" w:rsidRDefault="004A3625">
      <w:pPr>
        <w:pStyle w:val="TDC1"/>
        <w:rPr>
          <w:rFonts w:asciiTheme="minorHAnsi" w:eastAsiaTheme="minorEastAsia" w:hAnsiTheme="minorHAnsi" w:cstheme="minorBidi"/>
          <w:smallCaps w:val="0"/>
          <w:noProof/>
          <w:szCs w:val="22"/>
          <w:lang w:val="es-ES" w:eastAsia="es-ES"/>
        </w:rPr>
      </w:pPr>
      <w:hyperlink w:anchor="_Toc126321327" w:history="1">
        <w:r w:rsidR="00706FEF" w:rsidRPr="00F6603D">
          <w:rPr>
            <w:rStyle w:val="Hipervnculo"/>
            <w:noProof/>
          </w:rPr>
          <w:t>Apéndice 3: Marco jurídico aplicable</w:t>
        </w:r>
        <w:r w:rsidR="00706FEF">
          <w:rPr>
            <w:noProof/>
            <w:webHidden/>
          </w:rPr>
          <w:tab/>
        </w:r>
        <w:r w:rsidR="00706FEF">
          <w:rPr>
            <w:noProof/>
            <w:webHidden/>
          </w:rPr>
          <w:fldChar w:fldCharType="begin"/>
        </w:r>
        <w:r w:rsidR="00706FEF">
          <w:rPr>
            <w:noProof/>
            <w:webHidden/>
          </w:rPr>
          <w:instrText xml:space="preserve"> PAGEREF _Toc126321327 \h </w:instrText>
        </w:r>
        <w:r w:rsidR="00706FEF">
          <w:rPr>
            <w:noProof/>
            <w:webHidden/>
          </w:rPr>
        </w:r>
        <w:r w:rsidR="00706FEF">
          <w:rPr>
            <w:noProof/>
            <w:webHidden/>
          </w:rPr>
          <w:fldChar w:fldCharType="separate"/>
        </w:r>
        <w:r w:rsidR="00706FEF">
          <w:rPr>
            <w:noProof/>
            <w:webHidden/>
          </w:rPr>
          <w:t>46</w:t>
        </w:r>
        <w:r w:rsidR="00706FEF">
          <w:rPr>
            <w:noProof/>
            <w:webHidden/>
          </w:rPr>
          <w:fldChar w:fldCharType="end"/>
        </w:r>
      </w:hyperlink>
    </w:p>
    <w:p w14:paraId="6DD9E66A" w14:textId="77777777" w:rsidR="00891D73" w:rsidRDefault="00C30199" w:rsidP="00FE57DA">
      <w:pPr>
        <w:pStyle w:val="TDC1"/>
      </w:pPr>
      <w:r>
        <w:fldChar w:fldCharType="end"/>
      </w:r>
    </w:p>
    <w:p w14:paraId="5B696984" w14:textId="77777777" w:rsidR="00891D73" w:rsidRPr="00E703B6" w:rsidRDefault="00891D73" w:rsidP="00E703B6"/>
    <w:p w14:paraId="7601D447" w14:textId="77777777"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14:paraId="3F399424" w14:textId="77777777" w:rsidR="00C30199" w:rsidRPr="00540160" w:rsidRDefault="00C30199" w:rsidP="00C30199">
      <w:pPr>
        <w:pStyle w:val="atitulo1"/>
      </w:pPr>
      <w:bookmarkStart w:id="0" w:name="_Toc109716807"/>
      <w:bookmarkStart w:id="1" w:name="_Toc112755062"/>
      <w:bookmarkStart w:id="2" w:name="_Toc114230602"/>
      <w:bookmarkStart w:id="3" w:name="_Toc126321312"/>
      <w:bookmarkStart w:id="4" w:name="_Toc3461799"/>
      <w:r w:rsidRPr="00540160">
        <w:lastRenderedPageBreak/>
        <w:t>Abreviaturas</w:t>
      </w:r>
      <w:bookmarkEnd w:id="0"/>
      <w:bookmarkEnd w:id="1"/>
      <w:bookmarkEnd w:id="2"/>
      <w:bookmarkEnd w:id="3"/>
      <w:r w:rsidR="00AA1470">
        <w:t xml:space="preserve"> </w:t>
      </w:r>
    </w:p>
    <w:p w14:paraId="1EF4F5BB"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ACFN </w:t>
      </w:r>
      <w:r w:rsidR="001F0CB0">
        <w:rPr>
          <w:b/>
          <w:spacing w:val="6"/>
          <w:sz w:val="26"/>
          <w:szCs w:val="24"/>
        </w:rPr>
        <w:tab/>
      </w:r>
      <w:r>
        <w:rPr>
          <w:spacing w:val="6"/>
          <w:sz w:val="26"/>
          <w:szCs w:val="24"/>
        </w:rPr>
        <w:t>Administración de la Comunidad Foral de Navarra</w:t>
      </w:r>
    </w:p>
    <w:p w14:paraId="3683D9CE" w14:textId="77777777" w:rsidR="00700B14" w:rsidRPr="001C4CF1" w:rsidRDefault="00700B14" w:rsidP="00700B14">
      <w:pPr>
        <w:tabs>
          <w:tab w:val="center" w:pos="2835"/>
          <w:tab w:val="center" w:pos="3969"/>
          <w:tab w:val="center" w:pos="5103"/>
          <w:tab w:val="center" w:pos="6237"/>
          <w:tab w:val="center" w:pos="7371"/>
        </w:tabs>
        <w:spacing w:after="80"/>
        <w:ind w:left="284" w:firstLine="0"/>
        <w:rPr>
          <w:spacing w:val="6"/>
          <w:sz w:val="26"/>
          <w:szCs w:val="24"/>
        </w:rPr>
      </w:pPr>
      <w:r w:rsidRPr="001C4CF1">
        <w:rPr>
          <w:b/>
          <w:spacing w:val="6"/>
          <w:sz w:val="26"/>
          <w:szCs w:val="24"/>
        </w:rPr>
        <w:t xml:space="preserve">AGBAR </w:t>
      </w:r>
      <w:r w:rsidRPr="001C4CF1">
        <w:rPr>
          <w:spacing w:val="6"/>
          <w:sz w:val="26"/>
          <w:szCs w:val="24"/>
        </w:rPr>
        <w:t>Sociedad General de Aguas de Barcelona S.A.</w:t>
      </w:r>
    </w:p>
    <w:p w14:paraId="7B4789A0" w14:textId="77777777" w:rsidR="00D93C12" w:rsidRPr="001C4CF1" w:rsidRDefault="00D93C12" w:rsidP="00700B14">
      <w:pPr>
        <w:tabs>
          <w:tab w:val="center" w:pos="2835"/>
          <w:tab w:val="center" w:pos="3969"/>
          <w:tab w:val="center" w:pos="5103"/>
          <w:tab w:val="center" w:pos="6237"/>
          <w:tab w:val="center" w:pos="7371"/>
        </w:tabs>
        <w:spacing w:after="80"/>
        <w:ind w:left="284" w:firstLine="0"/>
        <w:rPr>
          <w:spacing w:val="6"/>
          <w:sz w:val="26"/>
          <w:szCs w:val="24"/>
        </w:rPr>
      </w:pPr>
      <w:r w:rsidRPr="001C4CF1">
        <w:rPr>
          <w:b/>
          <w:spacing w:val="6"/>
          <w:sz w:val="26"/>
          <w:szCs w:val="24"/>
        </w:rPr>
        <w:t xml:space="preserve">AGUACANAL </w:t>
      </w:r>
      <w:r w:rsidR="003516E2" w:rsidRPr="001C4CF1">
        <w:rPr>
          <w:spacing w:val="6"/>
          <w:sz w:val="26"/>
          <w:szCs w:val="24"/>
        </w:rPr>
        <w:t>Sociedad Concesionaria de la zona regable del Canal de Navarra S.A.</w:t>
      </w:r>
    </w:p>
    <w:p w14:paraId="0277BE82"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CD </w:t>
      </w:r>
      <w:r w:rsidRPr="003D431D">
        <w:rPr>
          <w:spacing w:val="6"/>
          <w:sz w:val="26"/>
          <w:szCs w:val="24"/>
        </w:rPr>
        <w:t>Canon de demanda</w:t>
      </w:r>
    </w:p>
    <w:p w14:paraId="46D42C9C"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CED </w:t>
      </w:r>
      <w:r w:rsidRPr="00E8228E">
        <w:rPr>
          <w:spacing w:val="6"/>
          <w:sz w:val="26"/>
          <w:szCs w:val="24"/>
        </w:rPr>
        <w:t>Cuenta Especial de Depósito</w:t>
      </w:r>
    </w:p>
    <w:p w14:paraId="54C03D08"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CEICS </w:t>
      </w:r>
      <w:r>
        <w:rPr>
          <w:spacing w:val="6"/>
          <w:sz w:val="26"/>
          <w:szCs w:val="24"/>
        </w:rPr>
        <w:t>Canon de la Infraestructura y de Calidad de Servicio</w:t>
      </w:r>
    </w:p>
    <w:p w14:paraId="6DF23D03"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CCGI </w:t>
      </w:r>
      <w:r w:rsidRPr="003D431D">
        <w:rPr>
          <w:spacing w:val="6"/>
          <w:sz w:val="26"/>
          <w:szCs w:val="24"/>
        </w:rPr>
        <w:t>Canon de Calidad y Gestión de la Infraestructura</w:t>
      </w:r>
    </w:p>
    <w:p w14:paraId="011B8585" w14:textId="77777777" w:rsidR="00C30199" w:rsidRDefault="00C30199" w:rsidP="00C30199">
      <w:pPr>
        <w:tabs>
          <w:tab w:val="center" w:pos="2835"/>
          <w:tab w:val="center" w:pos="3969"/>
          <w:tab w:val="center" w:pos="5103"/>
          <w:tab w:val="center" w:pos="6237"/>
          <w:tab w:val="center" w:pos="7371"/>
        </w:tabs>
        <w:spacing w:after="80"/>
        <w:ind w:left="284" w:firstLine="0"/>
        <w:rPr>
          <w:b/>
          <w:spacing w:val="6"/>
          <w:sz w:val="26"/>
          <w:szCs w:val="24"/>
        </w:rPr>
      </w:pPr>
      <w:r>
        <w:rPr>
          <w:b/>
          <w:spacing w:val="6"/>
          <w:sz w:val="26"/>
          <w:szCs w:val="24"/>
        </w:rPr>
        <w:t>CCRR</w:t>
      </w:r>
      <w:r w:rsidRPr="008B4B6B">
        <w:rPr>
          <w:spacing w:val="6"/>
          <w:sz w:val="26"/>
          <w:szCs w:val="24"/>
        </w:rPr>
        <w:t xml:space="preserve"> Comunidades de Regantes de cada sector de riego</w:t>
      </w:r>
    </w:p>
    <w:p w14:paraId="17DDE250" w14:textId="77777777" w:rsidR="00C30199" w:rsidRDefault="00C30199" w:rsidP="00C30199">
      <w:pPr>
        <w:tabs>
          <w:tab w:val="center" w:pos="2835"/>
          <w:tab w:val="center" w:pos="3969"/>
          <w:tab w:val="center" w:pos="5103"/>
          <w:tab w:val="center" w:pos="6237"/>
          <w:tab w:val="center" w:pos="7371"/>
        </w:tabs>
        <w:spacing w:after="80"/>
        <w:ind w:left="284" w:firstLine="0"/>
        <w:rPr>
          <w:b/>
          <w:spacing w:val="6"/>
          <w:sz w:val="26"/>
          <w:szCs w:val="24"/>
        </w:rPr>
      </w:pPr>
      <w:r>
        <w:rPr>
          <w:b/>
          <w:spacing w:val="6"/>
          <w:sz w:val="26"/>
          <w:szCs w:val="24"/>
        </w:rPr>
        <w:t xml:space="preserve">CVA </w:t>
      </w:r>
      <w:r w:rsidRPr="003D431D">
        <w:rPr>
          <w:spacing w:val="6"/>
          <w:sz w:val="26"/>
          <w:szCs w:val="24"/>
        </w:rPr>
        <w:t>Canon de Demanda de Volumen de Agua</w:t>
      </w:r>
    </w:p>
    <w:p w14:paraId="363FC3DF"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CE </w:t>
      </w:r>
      <w:r w:rsidRPr="003D431D">
        <w:rPr>
          <w:spacing w:val="6"/>
          <w:sz w:val="26"/>
          <w:szCs w:val="24"/>
        </w:rPr>
        <w:t>Canon de Explotación</w:t>
      </w:r>
    </w:p>
    <w:p w14:paraId="474A18D1" w14:textId="77777777" w:rsidR="00C30199" w:rsidRPr="003D431D" w:rsidRDefault="00C30199" w:rsidP="00C30199">
      <w:pPr>
        <w:tabs>
          <w:tab w:val="center" w:pos="2835"/>
          <w:tab w:val="center" w:pos="3969"/>
          <w:tab w:val="center" w:pos="5103"/>
          <w:tab w:val="center" w:pos="6237"/>
          <w:tab w:val="center" w:pos="7371"/>
        </w:tabs>
        <w:spacing w:after="80"/>
        <w:ind w:left="284" w:firstLine="0"/>
        <w:rPr>
          <w:spacing w:val="6"/>
          <w:sz w:val="26"/>
          <w:szCs w:val="24"/>
        </w:rPr>
      </w:pPr>
      <w:proofErr w:type="spellStart"/>
      <w:r>
        <w:rPr>
          <w:b/>
          <w:spacing w:val="6"/>
          <w:sz w:val="26"/>
          <w:szCs w:val="24"/>
        </w:rPr>
        <w:t>DDRyMA</w:t>
      </w:r>
      <w:proofErr w:type="spellEnd"/>
      <w:r>
        <w:rPr>
          <w:b/>
          <w:spacing w:val="6"/>
          <w:sz w:val="26"/>
          <w:szCs w:val="24"/>
        </w:rPr>
        <w:t xml:space="preserve"> </w:t>
      </w:r>
      <w:r>
        <w:rPr>
          <w:spacing w:val="6"/>
          <w:sz w:val="26"/>
          <w:szCs w:val="24"/>
        </w:rPr>
        <w:t>Departamento de Desarrollo Rural y Medio Ambiente</w:t>
      </w:r>
    </w:p>
    <w:p w14:paraId="00A6E126"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EUROSTAT </w:t>
      </w:r>
      <w:r>
        <w:rPr>
          <w:spacing w:val="6"/>
          <w:sz w:val="26"/>
          <w:szCs w:val="24"/>
        </w:rPr>
        <w:t>Oficina Estadística de la Unión Europea.</w:t>
      </w:r>
    </w:p>
    <w:p w14:paraId="1D180C67"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IPC </w:t>
      </w:r>
      <w:r w:rsidRPr="003D431D">
        <w:rPr>
          <w:spacing w:val="6"/>
          <w:sz w:val="26"/>
          <w:szCs w:val="24"/>
        </w:rPr>
        <w:t>Índice de Precios al Consumo</w:t>
      </w:r>
    </w:p>
    <w:p w14:paraId="3EA09B98" w14:textId="77777777" w:rsidR="00C30199" w:rsidRPr="003D431D"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INTIA </w:t>
      </w:r>
      <w:r>
        <w:rPr>
          <w:spacing w:val="6"/>
          <w:sz w:val="26"/>
          <w:szCs w:val="24"/>
        </w:rPr>
        <w:t>Instituto Navarro de Tecnologías e Infraestructuras Agroalimentarias</w:t>
      </w:r>
    </w:p>
    <w:p w14:paraId="327DE2D6"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PEF </w:t>
      </w:r>
      <w:r w:rsidRPr="003D431D">
        <w:rPr>
          <w:spacing w:val="6"/>
          <w:sz w:val="26"/>
          <w:szCs w:val="24"/>
        </w:rPr>
        <w:t>Plan Económico Financiero</w:t>
      </w:r>
    </w:p>
    <w:p w14:paraId="2273E7FD" w14:textId="77777777" w:rsidR="00C30199" w:rsidRPr="00CA7840"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PFROI </w:t>
      </w:r>
      <w:r>
        <w:rPr>
          <w:spacing w:val="6"/>
          <w:sz w:val="26"/>
          <w:szCs w:val="24"/>
        </w:rPr>
        <w:t>Precio Final Reconocido de las Obras e Instalaciones</w:t>
      </w:r>
    </w:p>
    <w:p w14:paraId="539789E2" w14:textId="77777777" w:rsidR="00C30199" w:rsidRPr="00A6499D"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PFCOR </w:t>
      </w:r>
      <w:r>
        <w:rPr>
          <w:spacing w:val="6"/>
          <w:sz w:val="26"/>
          <w:szCs w:val="24"/>
        </w:rPr>
        <w:t>Precio Final Reconocido del C</w:t>
      </w:r>
      <w:r w:rsidRPr="00A6499D">
        <w:rPr>
          <w:spacing w:val="6"/>
          <w:sz w:val="26"/>
          <w:szCs w:val="24"/>
        </w:rPr>
        <w:t>onjunto de las Obras</w:t>
      </w:r>
    </w:p>
    <w:p w14:paraId="77918D0C"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SEC </w:t>
      </w:r>
      <w:r w:rsidRPr="003D431D">
        <w:rPr>
          <w:spacing w:val="6"/>
          <w:sz w:val="26"/>
          <w:szCs w:val="24"/>
        </w:rPr>
        <w:t>Sistema de Cuentas Europeo</w:t>
      </w:r>
    </w:p>
    <w:p w14:paraId="25DCFF6B"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TS </w:t>
      </w:r>
      <w:r>
        <w:rPr>
          <w:spacing w:val="6"/>
          <w:sz w:val="26"/>
          <w:szCs w:val="24"/>
        </w:rPr>
        <w:t>Tribunal Supremo</w:t>
      </w:r>
    </w:p>
    <w:p w14:paraId="2A3F81AA" w14:textId="77777777" w:rsidR="00C30199" w:rsidRPr="001B5151"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TSJN </w:t>
      </w:r>
      <w:r>
        <w:rPr>
          <w:spacing w:val="6"/>
          <w:sz w:val="26"/>
          <w:szCs w:val="24"/>
        </w:rPr>
        <w:t>Tribunal Superior de Justicia de Navarra</w:t>
      </w:r>
    </w:p>
    <w:p w14:paraId="615E2FC5" w14:textId="77777777" w:rsidR="00C30199" w:rsidRDefault="00C30199" w:rsidP="00C30199">
      <w:pPr>
        <w:tabs>
          <w:tab w:val="center" w:pos="2835"/>
          <w:tab w:val="center" w:pos="3969"/>
          <w:tab w:val="center" w:pos="5103"/>
          <w:tab w:val="center" w:pos="6237"/>
          <w:tab w:val="center" w:pos="7371"/>
        </w:tabs>
        <w:spacing w:after="80"/>
        <w:ind w:left="284" w:firstLine="0"/>
        <w:rPr>
          <w:spacing w:val="6"/>
          <w:sz w:val="26"/>
          <w:szCs w:val="24"/>
        </w:rPr>
      </w:pPr>
      <w:r>
        <w:rPr>
          <w:b/>
          <w:spacing w:val="6"/>
          <w:sz w:val="26"/>
          <w:szCs w:val="24"/>
        </w:rPr>
        <w:t xml:space="preserve">RUT </w:t>
      </w:r>
      <w:r w:rsidRPr="003D431D">
        <w:rPr>
          <w:spacing w:val="6"/>
          <w:sz w:val="26"/>
          <w:szCs w:val="24"/>
        </w:rPr>
        <w:t>Retribución Única Total</w:t>
      </w:r>
    </w:p>
    <w:p w14:paraId="755B90AC" w14:textId="77777777" w:rsidR="00C30199" w:rsidRDefault="00C30199" w:rsidP="00C30199">
      <w:pPr>
        <w:spacing w:after="0"/>
        <w:ind w:firstLine="0"/>
        <w:jc w:val="left"/>
        <w:rPr>
          <w:rFonts w:ascii="Arial" w:hAnsi="Arial"/>
          <w:b/>
          <w:color w:val="000000"/>
          <w:kern w:val="28"/>
          <w:sz w:val="25"/>
          <w:szCs w:val="26"/>
        </w:rPr>
      </w:pPr>
      <w:r>
        <w:br w:type="page"/>
      </w:r>
    </w:p>
    <w:p w14:paraId="54CA1D34" w14:textId="77777777" w:rsidR="00C30199" w:rsidRPr="003A493B" w:rsidRDefault="00C30199" w:rsidP="00C30199">
      <w:pPr>
        <w:pStyle w:val="atitulo1"/>
        <w:spacing w:before="240"/>
      </w:pPr>
      <w:bookmarkStart w:id="5" w:name="_Toc126321313"/>
      <w:r w:rsidRPr="003A493B">
        <w:lastRenderedPageBreak/>
        <w:t>I. Introducción</w:t>
      </w:r>
      <w:bookmarkEnd w:id="4"/>
      <w:bookmarkEnd w:id="5"/>
    </w:p>
    <w:p w14:paraId="68CF4481" w14:textId="77777777" w:rsidR="00C30199" w:rsidRDefault="00C70EB8" w:rsidP="00FF1DBC">
      <w:pPr>
        <w:pStyle w:val="texto"/>
        <w:tabs>
          <w:tab w:val="clear" w:pos="2835"/>
          <w:tab w:val="clear" w:pos="3969"/>
          <w:tab w:val="clear" w:pos="5103"/>
          <w:tab w:val="clear" w:pos="6237"/>
          <w:tab w:val="clear" w:pos="7371"/>
        </w:tabs>
        <w:rPr>
          <w:i/>
          <w:szCs w:val="26"/>
        </w:rPr>
      </w:pPr>
      <w:r>
        <w:rPr>
          <w:szCs w:val="26"/>
        </w:rPr>
        <w:t>L</w:t>
      </w:r>
      <w:r w:rsidR="00C30199" w:rsidRPr="003A6595">
        <w:rPr>
          <w:szCs w:val="26"/>
        </w:rPr>
        <w:t xml:space="preserve">a Junta de Portavoces del Parlamento de Navarra </w:t>
      </w:r>
      <w:r w:rsidR="00431AE3">
        <w:rPr>
          <w:szCs w:val="26"/>
        </w:rPr>
        <w:t xml:space="preserve">a instancias del grupo </w:t>
      </w:r>
      <w:r w:rsidR="00A130F2">
        <w:rPr>
          <w:szCs w:val="26"/>
        </w:rPr>
        <w:t>parlamentario</w:t>
      </w:r>
      <w:r w:rsidR="00431AE3">
        <w:rPr>
          <w:szCs w:val="26"/>
        </w:rPr>
        <w:t xml:space="preserve"> Geroa Bai, </w:t>
      </w:r>
      <w:r w:rsidR="00C30199">
        <w:rPr>
          <w:szCs w:val="26"/>
        </w:rPr>
        <w:t xml:space="preserve">acordó solicitar a la Cámara </w:t>
      </w:r>
      <w:r w:rsidR="0049076D" w:rsidRPr="00D93C12">
        <w:rPr>
          <w:szCs w:val="26"/>
        </w:rPr>
        <w:t xml:space="preserve">de Comptos </w:t>
      </w:r>
      <w:r w:rsidR="00C30199">
        <w:rPr>
          <w:szCs w:val="26"/>
        </w:rPr>
        <w:t xml:space="preserve">un informe de fiscalización </w:t>
      </w:r>
      <w:r w:rsidR="00C30199" w:rsidRPr="003A6595">
        <w:rPr>
          <w:szCs w:val="26"/>
        </w:rPr>
        <w:t>sobre “</w:t>
      </w:r>
      <w:r w:rsidR="00C30199">
        <w:rPr>
          <w:i/>
          <w:szCs w:val="26"/>
        </w:rPr>
        <w:t>la situación de las concesiones realizadas mediante peaje en la sombra</w:t>
      </w:r>
      <w:r w:rsidR="00C30199">
        <w:rPr>
          <w:szCs w:val="26"/>
        </w:rPr>
        <w:t xml:space="preserve"> </w:t>
      </w:r>
      <w:r w:rsidR="00922E74">
        <w:rPr>
          <w:i/>
          <w:szCs w:val="26"/>
        </w:rPr>
        <w:t>correspondientes a la Autovía del Camino, Autovía del Pirineo y Zonas R</w:t>
      </w:r>
      <w:r w:rsidR="00C30199" w:rsidRPr="00FE6F19">
        <w:rPr>
          <w:i/>
          <w:szCs w:val="26"/>
        </w:rPr>
        <w:t>egables del Canal de Navarra</w:t>
      </w:r>
      <w:r w:rsidR="00C30199">
        <w:rPr>
          <w:i/>
          <w:szCs w:val="26"/>
        </w:rPr>
        <w:t>”.</w:t>
      </w:r>
      <w:r w:rsidR="00C30199" w:rsidRPr="00160A73">
        <w:rPr>
          <w:szCs w:val="26"/>
        </w:rPr>
        <w:t xml:space="preserve"> </w:t>
      </w:r>
      <w:r w:rsidR="00C30199">
        <w:rPr>
          <w:szCs w:val="26"/>
        </w:rPr>
        <w:t>La Cámara de Comptos, de conformidad con su Ley Foral reguladora incorporó este trabajo a su programa de fiscalización.</w:t>
      </w:r>
    </w:p>
    <w:p w14:paraId="7284094A" w14:textId="77777777" w:rsidR="00C30199" w:rsidRDefault="00C30199" w:rsidP="00FF1DBC">
      <w:pPr>
        <w:pStyle w:val="texto"/>
        <w:tabs>
          <w:tab w:val="clear" w:pos="2835"/>
          <w:tab w:val="clear" w:pos="3969"/>
          <w:tab w:val="clear" w:pos="5103"/>
          <w:tab w:val="clear" w:pos="6237"/>
          <w:tab w:val="clear" w:pos="7371"/>
        </w:tabs>
        <w:rPr>
          <w:szCs w:val="26"/>
        </w:rPr>
      </w:pPr>
      <w:r>
        <w:rPr>
          <w:szCs w:val="26"/>
        </w:rPr>
        <w:t xml:space="preserve">El trabajo de campo </w:t>
      </w:r>
      <w:r w:rsidR="006B4DC3">
        <w:rPr>
          <w:szCs w:val="26"/>
        </w:rPr>
        <w:t>lo realizó</w:t>
      </w:r>
      <w:r>
        <w:rPr>
          <w:szCs w:val="26"/>
        </w:rPr>
        <w:t xml:space="preserve"> en </w:t>
      </w:r>
      <w:r w:rsidR="00866B70">
        <w:rPr>
          <w:szCs w:val="26"/>
        </w:rPr>
        <w:t xml:space="preserve">2022 </w:t>
      </w:r>
      <w:r>
        <w:rPr>
          <w:szCs w:val="26"/>
        </w:rPr>
        <w:t xml:space="preserve">un equipo integrado por dos técnicas de auditoría y una auditora, con la </w:t>
      </w:r>
      <w:r w:rsidRPr="00902A4B">
        <w:rPr>
          <w:szCs w:val="26"/>
        </w:rPr>
        <w:t>colaboración de los servicios jurídicos, informáticos y administrativos de la Cámara</w:t>
      </w:r>
      <w:r>
        <w:rPr>
          <w:szCs w:val="26"/>
        </w:rPr>
        <w:t xml:space="preserve">. </w:t>
      </w:r>
    </w:p>
    <w:p w14:paraId="4E654276" w14:textId="77777777" w:rsidR="00C30199" w:rsidRDefault="00C30199" w:rsidP="00FF1DBC">
      <w:pPr>
        <w:pStyle w:val="texto"/>
        <w:tabs>
          <w:tab w:val="clear" w:pos="2835"/>
          <w:tab w:val="clear" w:pos="3969"/>
          <w:tab w:val="clear" w:pos="5103"/>
          <w:tab w:val="clear" w:pos="6237"/>
          <w:tab w:val="clear" w:pos="7371"/>
        </w:tabs>
        <w:rPr>
          <w:szCs w:val="26"/>
        </w:rPr>
      </w:pPr>
      <w:r w:rsidRPr="00902A4B">
        <w:rPr>
          <w:szCs w:val="26"/>
        </w:rPr>
        <w:t xml:space="preserve">Agradecemos al personal </w:t>
      </w:r>
      <w:r w:rsidR="0049076D">
        <w:rPr>
          <w:szCs w:val="26"/>
        </w:rPr>
        <w:t xml:space="preserve">de los </w:t>
      </w:r>
      <w:r w:rsidR="0049076D" w:rsidRPr="00D93C12">
        <w:rPr>
          <w:szCs w:val="26"/>
        </w:rPr>
        <w:t>D</w:t>
      </w:r>
      <w:r>
        <w:rPr>
          <w:szCs w:val="26"/>
        </w:rPr>
        <w:t xml:space="preserve">epartamentos de Cohesión Territorial, de Economía y Hacienda y de Desarrollo Rural y Medio Ambiente (en adelante </w:t>
      </w:r>
      <w:proofErr w:type="spellStart"/>
      <w:r>
        <w:rPr>
          <w:szCs w:val="26"/>
        </w:rPr>
        <w:t>DDRyMA</w:t>
      </w:r>
      <w:proofErr w:type="spellEnd"/>
      <w:r>
        <w:rPr>
          <w:szCs w:val="26"/>
        </w:rPr>
        <w:t xml:space="preserve">) y de la </w:t>
      </w:r>
      <w:r w:rsidRPr="00F97119">
        <w:rPr>
          <w:rFonts w:eastAsia="Calibri"/>
          <w:szCs w:val="26"/>
          <w:lang w:eastAsia="es-ES"/>
        </w:rPr>
        <w:t xml:space="preserve">sociedad pública “Instituto Navarro de Tecnologías e Infraestructuras Agroalimentarias, S.A.” </w:t>
      </w:r>
      <w:r w:rsidRPr="00D93C12">
        <w:rPr>
          <w:rFonts w:eastAsia="Calibri"/>
          <w:szCs w:val="26"/>
          <w:lang w:eastAsia="es-ES"/>
        </w:rPr>
        <w:t>(</w:t>
      </w:r>
      <w:r w:rsidR="00B94DCD">
        <w:rPr>
          <w:rFonts w:eastAsia="Calibri"/>
          <w:szCs w:val="26"/>
          <w:lang w:eastAsia="es-ES"/>
        </w:rPr>
        <w:t xml:space="preserve">en adelante </w:t>
      </w:r>
      <w:r w:rsidRPr="00D93C12">
        <w:rPr>
          <w:rFonts w:eastAsia="Calibri"/>
          <w:szCs w:val="26"/>
          <w:lang w:eastAsia="es-ES"/>
        </w:rPr>
        <w:t>INTIA),</w:t>
      </w:r>
      <w:r w:rsidRPr="00D93C12">
        <w:rPr>
          <w:szCs w:val="26"/>
        </w:rPr>
        <w:t xml:space="preserve"> </w:t>
      </w:r>
      <w:r w:rsidRPr="00902A4B">
        <w:rPr>
          <w:szCs w:val="26"/>
        </w:rPr>
        <w:t>la colaboración prestada en la realización del presente trabajo.</w:t>
      </w:r>
    </w:p>
    <w:p w14:paraId="1DB375F9" w14:textId="77777777" w:rsidR="00FF1DBC" w:rsidRPr="00B63B3D" w:rsidRDefault="00FF1DBC" w:rsidP="00FF1DBC">
      <w:pPr>
        <w:pStyle w:val="texto"/>
        <w:rPr>
          <w:lang w:val="es-ES"/>
        </w:rPr>
      </w:pPr>
      <w:r w:rsidRPr="00CC3F51">
        <w:rPr>
          <w:lang w:val="es-ES"/>
        </w:rPr>
        <w:t>Los resultados de esta actuación se pusieron de manifiesto a</w:t>
      </w:r>
      <w:r>
        <w:rPr>
          <w:lang w:val="es-ES"/>
        </w:rPr>
        <w:t xml:space="preserve"> los consejeros y consejeras de los departamentos de Economía y Hacienda, Cohesión Territorial, Desarrollo Rural y Medio Ambiente </w:t>
      </w:r>
      <w:r w:rsidRPr="00CC3F51">
        <w:rPr>
          <w:lang w:val="es-ES"/>
        </w:rPr>
        <w:t>del Gobierno de Navarra</w:t>
      </w:r>
      <w:r>
        <w:rPr>
          <w:lang w:val="es-ES"/>
        </w:rPr>
        <w:t xml:space="preserve"> y a la Directora Gerente de INTIA</w:t>
      </w:r>
      <w:r w:rsidRPr="00CC3F51">
        <w:rPr>
          <w:lang w:val="es-ES"/>
        </w:rPr>
        <w:t xml:space="preserve"> para que formulase</w:t>
      </w:r>
      <w:r>
        <w:rPr>
          <w:lang w:val="es-ES"/>
        </w:rPr>
        <w:t>n</w:t>
      </w:r>
      <w:r w:rsidRPr="00CC3F51">
        <w:rPr>
          <w:lang w:val="es-ES"/>
        </w:rPr>
        <w:t>, en su caso, las alegaciones que estimase</w:t>
      </w:r>
      <w:r>
        <w:rPr>
          <w:lang w:val="es-ES"/>
        </w:rPr>
        <w:t>n</w:t>
      </w:r>
      <w:r w:rsidRPr="00CC3F51">
        <w:rPr>
          <w:lang w:val="es-ES"/>
        </w:rPr>
        <w:t xml:space="preserve"> oportunas, de conformidad con lo previsto en el art. 11.2 de la Ley Foral 19/1984, reguladora de la Cámara de Comptos de Navarra</w:t>
      </w:r>
      <w:r w:rsidRPr="00B63B3D">
        <w:rPr>
          <w:lang w:val="es-ES"/>
        </w:rPr>
        <w:t>. Transcurrido el plazo fijado no se han presentado alegaciones.</w:t>
      </w:r>
    </w:p>
    <w:p w14:paraId="08C1816A" w14:textId="77777777" w:rsidR="00C30199" w:rsidRPr="007C0BCB" w:rsidRDefault="00C30199" w:rsidP="00FF1DBC">
      <w:pPr>
        <w:pStyle w:val="texto"/>
        <w:tabs>
          <w:tab w:val="clear" w:pos="2835"/>
          <w:tab w:val="clear" w:pos="3969"/>
          <w:tab w:val="clear" w:pos="5103"/>
          <w:tab w:val="clear" w:pos="6237"/>
          <w:tab w:val="clear" w:pos="7371"/>
        </w:tabs>
        <w:rPr>
          <w:szCs w:val="26"/>
        </w:rPr>
      </w:pPr>
      <w:r w:rsidRPr="007C0BCB">
        <w:rPr>
          <w:szCs w:val="26"/>
        </w:rPr>
        <w:t>Como consecuencia de las últimas modificaciones en la normativa reguladora de la auditoría de los órganos de control externo, el presente informe difiere en ciertos aspectos de su estructura de informes anteriores.</w:t>
      </w:r>
    </w:p>
    <w:p w14:paraId="028E7C94" w14:textId="77777777" w:rsidR="00C30199" w:rsidRPr="00110BE9" w:rsidRDefault="00C30199" w:rsidP="00FF1DBC">
      <w:pPr>
        <w:pStyle w:val="texto"/>
        <w:tabs>
          <w:tab w:val="clear" w:pos="2835"/>
          <w:tab w:val="clear" w:pos="3969"/>
          <w:tab w:val="clear" w:pos="5103"/>
          <w:tab w:val="clear" w:pos="6237"/>
          <w:tab w:val="clear" w:pos="7371"/>
        </w:tabs>
        <w:rPr>
          <w:szCs w:val="26"/>
        </w:rPr>
      </w:pPr>
      <w:r>
        <w:rPr>
          <w:szCs w:val="26"/>
        </w:rPr>
        <w:t xml:space="preserve">Todos los datos económicos del informe vienen expresados en euros, redondeándose para no mostrar céntimos. </w:t>
      </w:r>
      <w:r w:rsidRPr="00110BE9">
        <w:rPr>
          <w:szCs w:val="26"/>
        </w:rPr>
        <w:t xml:space="preserve">Los datos aportados y porcentajes representan siempre el redondeo de cada valor exacto y no la suma de datos redondeados. </w:t>
      </w:r>
    </w:p>
    <w:p w14:paraId="2F4DEEAB" w14:textId="77777777" w:rsidR="00110BE9" w:rsidRDefault="00110BE9">
      <w:pPr>
        <w:spacing w:after="0"/>
        <w:ind w:firstLine="0"/>
        <w:jc w:val="left"/>
        <w:rPr>
          <w:spacing w:val="6"/>
          <w:sz w:val="26"/>
          <w:szCs w:val="26"/>
        </w:rPr>
      </w:pPr>
      <w:r>
        <w:rPr>
          <w:szCs w:val="26"/>
        </w:rPr>
        <w:br w:type="page"/>
      </w:r>
    </w:p>
    <w:p w14:paraId="5BC9D2BD" w14:textId="77777777" w:rsidR="00C30199" w:rsidRDefault="00C30199" w:rsidP="00C30199">
      <w:pPr>
        <w:pStyle w:val="atitulo1"/>
        <w:spacing w:after="160"/>
      </w:pPr>
      <w:bookmarkStart w:id="6" w:name="_Toc64533915"/>
      <w:bookmarkStart w:id="7" w:name="_Toc126321314"/>
      <w:bookmarkStart w:id="8" w:name="_Toc398207038"/>
      <w:bookmarkStart w:id="9" w:name="_Toc432757087"/>
      <w:bookmarkStart w:id="10" w:name="_Toc447195021"/>
      <w:bookmarkStart w:id="11" w:name="_Toc477171874"/>
      <w:bookmarkStart w:id="12" w:name="_Toc432757082"/>
      <w:bookmarkStart w:id="13" w:name="_Toc447195015"/>
      <w:r>
        <w:lastRenderedPageBreak/>
        <w:t>I</w:t>
      </w:r>
      <w:r w:rsidRPr="00134DF4">
        <w:t xml:space="preserve">I. </w:t>
      </w:r>
      <w:bookmarkStart w:id="14" w:name="_Toc41485557"/>
      <w:bookmarkEnd w:id="6"/>
      <w:r w:rsidRPr="00134DF4">
        <w:t>Objetivo</w:t>
      </w:r>
      <w:r>
        <w:t xml:space="preserve">s, </w:t>
      </w:r>
      <w:r w:rsidRPr="00134DF4">
        <w:t>alcance</w:t>
      </w:r>
      <w:r>
        <w:t xml:space="preserve"> y limitaciones</w:t>
      </w:r>
      <w:bookmarkEnd w:id="7"/>
    </w:p>
    <w:p w14:paraId="68A68B7A" w14:textId="77777777" w:rsidR="00C30199" w:rsidRPr="00AA3CCC" w:rsidRDefault="00C30199" w:rsidP="00BF1472">
      <w:pPr>
        <w:pStyle w:val="texto"/>
        <w:rPr>
          <w:rFonts w:eastAsia="Calibri"/>
          <w:lang w:eastAsia="es-ES"/>
        </w:rPr>
      </w:pPr>
      <w:r w:rsidRPr="00AA3CCC">
        <w:rPr>
          <w:rFonts w:eastAsia="Calibri"/>
          <w:lang w:eastAsia="es-ES"/>
        </w:rPr>
        <w:t xml:space="preserve">Teniendo en cuenta la petición parlamentaria recibida, los objetivos de este trabajo </w:t>
      </w:r>
      <w:r>
        <w:rPr>
          <w:rFonts w:eastAsia="Calibri"/>
          <w:lang w:eastAsia="es-ES"/>
        </w:rPr>
        <w:t>han sido</w:t>
      </w:r>
      <w:r w:rsidRPr="00AA3CCC">
        <w:rPr>
          <w:rFonts w:eastAsia="Calibri"/>
          <w:lang w:eastAsia="es-ES"/>
        </w:rPr>
        <w:t>:</w:t>
      </w:r>
    </w:p>
    <w:p w14:paraId="5841B9F6" w14:textId="77777777" w:rsidR="00C30199" w:rsidRPr="00AA3CCC"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BF1472">
        <w:rPr>
          <w:rFonts w:eastAsia="Calibri"/>
          <w:szCs w:val="26"/>
          <w:lang w:eastAsia="es-ES"/>
        </w:rPr>
        <w:t>Analizar la situación de las concesiones de obra pública en régimen de peaje en</w:t>
      </w:r>
      <w:r w:rsidRPr="00AA3CCC">
        <w:rPr>
          <w:rFonts w:eastAsia="Calibri"/>
          <w:szCs w:val="26"/>
          <w:lang w:eastAsia="es-ES"/>
        </w:rPr>
        <w:t xml:space="preserve"> sombra realizadas por la </w:t>
      </w:r>
      <w:r w:rsidR="00576DA8">
        <w:rPr>
          <w:rFonts w:eastAsia="Calibri"/>
          <w:szCs w:val="26"/>
          <w:lang w:eastAsia="es-ES"/>
        </w:rPr>
        <w:t xml:space="preserve">Administración de la Comunidad Foral de Navarra (en adelante </w:t>
      </w:r>
      <w:r w:rsidRPr="00AA3CCC">
        <w:rPr>
          <w:rFonts w:eastAsia="Calibri"/>
          <w:szCs w:val="26"/>
          <w:lang w:eastAsia="es-ES"/>
        </w:rPr>
        <w:t>ACFN</w:t>
      </w:r>
      <w:r w:rsidR="00576DA8">
        <w:rPr>
          <w:rFonts w:eastAsia="Calibri"/>
          <w:szCs w:val="26"/>
          <w:lang w:eastAsia="es-ES"/>
        </w:rPr>
        <w:t>)</w:t>
      </w:r>
      <w:r w:rsidRPr="00AA3CCC">
        <w:rPr>
          <w:rFonts w:eastAsia="Calibri"/>
          <w:szCs w:val="26"/>
          <w:lang w:eastAsia="es-ES"/>
        </w:rPr>
        <w:t xml:space="preserve">. </w:t>
      </w:r>
    </w:p>
    <w:p w14:paraId="6C87E8C2" w14:textId="77777777" w:rsidR="00C30199" w:rsidRPr="00AA3CCC"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AA3CCC">
        <w:rPr>
          <w:rFonts w:eastAsia="Calibri"/>
          <w:szCs w:val="26"/>
          <w:lang w:eastAsia="es-ES"/>
        </w:rPr>
        <w:t xml:space="preserve">Verificar el control de las concesiones realizado por la </w:t>
      </w:r>
      <w:r w:rsidR="00356537" w:rsidRPr="000457C4">
        <w:rPr>
          <w:rFonts w:eastAsia="Calibri"/>
          <w:szCs w:val="26"/>
          <w:lang w:eastAsia="es-ES"/>
        </w:rPr>
        <w:t>ACFN</w:t>
      </w:r>
      <w:r w:rsidRPr="000457C4">
        <w:rPr>
          <w:rFonts w:eastAsia="Calibri"/>
          <w:szCs w:val="26"/>
          <w:lang w:eastAsia="es-ES"/>
        </w:rPr>
        <w:t>.</w:t>
      </w:r>
    </w:p>
    <w:p w14:paraId="34F944E0" w14:textId="77777777" w:rsidR="00C30199"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AA3CCC">
        <w:rPr>
          <w:rFonts w:eastAsia="Calibri"/>
          <w:szCs w:val="26"/>
          <w:lang w:eastAsia="es-ES"/>
        </w:rPr>
        <w:t>Revisar el reflejo de estas concesiones</w:t>
      </w:r>
      <w:r w:rsidR="00B111E1">
        <w:rPr>
          <w:rFonts w:eastAsia="Calibri"/>
          <w:szCs w:val="26"/>
          <w:lang w:eastAsia="es-ES"/>
        </w:rPr>
        <w:t xml:space="preserve"> </w:t>
      </w:r>
      <w:r w:rsidR="00B111E1" w:rsidRPr="000457C4">
        <w:rPr>
          <w:rFonts w:eastAsia="Calibri"/>
          <w:szCs w:val="26"/>
          <w:lang w:eastAsia="es-ES"/>
        </w:rPr>
        <w:t>en las Cuentas Generales de Navarra</w:t>
      </w:r>
      <w:r w:rsidRPr="000457C4">
        <w:rPr>
          <w:rFonts w:eastAsia="Calibri"/>
          <w:szCs w:val="26"/>
          <w:lang w:eastAsia="es-ES"/>
        </w:rPr>
        <w:t xml:space="preserve">, </w:t>
      </w:r>
      <w:r w:rsidRPr="00AA3CCC">
        <w:rPr>
          <w:rFonts w:eastAsia="Calibri"/>
          <w:szCs w:val="26"/>
          <w:lang w:eastAsia="es-ES"/>
        </w:rPr>
        <w:t xml:space="preserve">así como el efecto de </w:t>
      </w:r>
      <w:proofErr w:type="gramStart"/>
      <w:r w:rsidRPr="00AA3CCC">
        <w:rPr>
          <w:rFonts w:eastAsia="Calibri"/>
          <w:szCs w:val="26"/>
          <w:lang w:eastAsia="es-ES"/>
        </w:rPr>
        <w:t>las mismas</w:t>
      </w:r>
      <w:proofErr w:type="gramEnd"/>
      <w:r w:rsidRPr="00AA3CCC">
        <w:rPr>
          <w:rFonts w:eastAsia="Calibri"/>
          <w:szCs w:val="26"/>
          <w:lang w:eastAsia="es-ES"/>
        </w:rPr>
        <w:t xml:space="preserve"> en el </w:t>
      </w:r>
      <w:r w:rsidR="00076111" w:rsidRPr="000457C4">
        <w:rPr>
          <w:rFonts w:eastAsia="Calibri"/>
          <w:szCs w:val="26"/>
          <w:lang w:eastAsia="es-ES"/>
        </w:rPr>
        <w:t>endeudamiento</w:t>
      </w:r>
      <w:r w:rsidR="00076111">
        <w:rPr>
          <w:rFonts w:eastAsia="Calibri"/>
          <w:szCs w:val="26"/>
          <w:lang w:eastAsia="es-ES"/>
        </w:rPr>
        <w:t xml:space="preserve"> </w:t>
      </w:r>
      <w:r w:rsidRPr="00AA3CCC">
        <w:rPr>
          <w:rFonts w:eastAsia="Calibri"/>
          <w:szCs w:val="26"/>
          <w:lang w:eastAsia="es-ES"/>
        </w:rPr>
        <w:t xml:space="preserve">y en los presupuestos futuros. </w:t>
      </w:r>
    </w:p>
    <w:p w14:paraId="59D41C84" w14:textId="77777777" w:rsidR="00B00BE9" w:rsidRPr="00B00BE9" w:rsidRDefault="00B00BE9" w:rsidP="00B00BE9">
      <w:pPr>
        <w:pStyle w:val="texto"/>
        <w:tabs>
          <w:tab w:val="clear" w:pos="2835"/>
          <w:tab w:val="clear" w:pos="3969"/>
          <w:tab w:val="clear" w:pos="5103"/>
          <w:tab w:val="clear" w:pos="6237"/>
          <w:tab w:val="clear" w:pos="7371"/>
        </w:tabs>
        <w:rPr>
          <w:szCs w:val="26"/>
        </w:rPr>
      </w:pPr>
      <w:r>
        <w:rPr>
          <w:szCs w:val="26"/>
        </w:rPr>
        <w:t xml:space="preserve">En diciembre de 2014 </w:t>
      </w:r>
      <w:r w:rsidR="00022B9A">
        <w:rPr>
          <w:szCs w:val="26"/>
        </w:rPr>
        <w:t>esta Cámara</w:t>
      </w:r>
      <w:r>
        <w:rPr>
          <w:szCs w:val="26"/>
        </w:rPr>
        <w:t xml:space="preserve"> </w:t>
      </w:r>
      <w:r w:rsidR="006F123D">
        <w:rPr>
          <w:szCs w:val="26"/>
        </w:rPr>
        <w:t>publicó</w:t>
      </w:r>
      <w:r>
        <w:rPr>
          <w:szCs w:val="26"/>
        </w:rPr>
        <w:t xml:space="preserve"> el informe “Peaje en la sombra” en el que se analizó la situación de las concesiones mediante peaje en sombra desde el inicio de su actividad hasta</w:t>
      </w:r>
      <w:r w:rsidR="00626399">
        <w:rPr>
          <w:szCs w:val="26"/>
        </w:rPr>
        <w:t xml:space="preserve"> el</w:t>
      </w:r>
      <w:r>
        <w:rPr>
          <w:szCs w:val="26"/>
        </w:rPr>
        <w:t xml:space="preserve"> </w:t>
      </w:r>
      <w:r w:rsidRPr="000457C4">
        <w:rPr>
          <w:szCs w:val="26"/>
        </w:rPr>
        <w:t>fin</w:t>
      </w:r>
      <w:r>
        <w:rPr>
          <w:szCs w:val="26"/>
        </w:rPr>
        <w:t xml:space="preserve"> del año 2013.</w:t>
      </w:r>
    </w:p>
    <w:p w14:paraId="3956D74F" w14:textId="77777777" w:rsidR="00C30199" w:rsidRPr="009405AB" w:rsidRDefault="00C30199" w:rsidP="00BF1472">
      <w:pPr>
        <w:pStyle w:val="texto"/>
        <w:rPr>
          <w:rFonts w:eastAsia="Calibri"/>
          <w:lang w:eastAsia="es-ES"/>
        </w:rPr>
      </w:pPr>
      <w:r w:rsidRPr="00AA3CCC">
        <w:rPr>
          <w:rFonts w:eastAsia="Calibri"/>
          <w:lang w:eastAsia="es-ES"/>
        </w:rPr>
        <w:t>El alcance temporal de nuestro trabajo se centra en el periodo 2014-2021</w:t>
      </w:r>
      <w:r>
        <w:rPr>
          <w:rFonts w:eastAsia="Calibri"/>
          <w:lang w:eastAsia="es-ES"/>
        </w:rPr>
        <w:t xml:space="preserve">. </w:t>
      </w:r>
      <w:r w:rsidRPr="009405AB">
        <w:rPr>
          <w:rFonts w:eastAsia="Calibri"/>
          <w:lang w:eastAsia="es-ES"/>
        </w:rPr>
        <w:t xml:space="preserve">Para ofrecer una visión completa del gasto, se informa del total de obligaciones reconocidas desde el inicio de la concesión. </w:t>
      </w:r>
    </w:p>
    <w:p w14:paraId="538EC5FE" w14:textId="77777777" w:rsidR="00C30199" w:rsidRPr="00AA3CCC" w:rsidRDefault="00C30199" w:rsidP="00BF1472">
      <w:pPr>
        <w:pStyle w:val="texto"/>
        <w:rPr>
          <w:rFonts w:eastAsia="Calibri"/>
          <w:lang w:eastAsia="es-ES"/>
        </w:rPr>
      </w:pPr>
      <w:r>
        <w:rPr>
          <w:rFonts w:eastAsia="Calibri"/>
          <w:lang w:eastAsia="es-ES"/>
        </w:rPr>
        <w:t>Hemos analizado</w:t>
      </w:r>
      <w:r w:rsidRPr="00AA3CCC">
        <w:rPr>
          <w:rFonts w:eastAsia="Calibri"/>
          <w:lang w:eastAsia="es-ES"/>
        </w:rPr>
        <w:t xml:space="preserve"> la siguiente información: </w:t>
      </w:r>
    </w:p>
    <w:p w14:paraId="274E8860" w14:textId="77777777" w:rsidR="00C30199" w:rsidRPr="00AA3CCC"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AA3CCC">
        <w:rPr>
          <w:rFonts w:eastAsia="Calibri"/>
          <w:szCs w:val="26"/>
          <w:lang w:eastAsia="es-ES"/>
        </w:rPr>
        <w:t>Contratos de concesión y posteriores modificaciones.</w:t>
      </w:r>
    </w:p>
    <w:p w14:paraId="0AD2A252" w14:textId="77777777" w:rsidR="00C30199" w:rsidRPr="00AA3CCC" w:rsidRDefault="000457C4"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0457C4">
        <w:rPr>
          <w:rFonts w:eastAsia="Calibri"/>
          <w:szCs w:val="26"/>
          <w:lang w:eastAsia="es-ES"/>
        </w:rPr>
        <w:t>E</w:t>
      </w:r>
      <w:r w:rsidR="00C30199" w:rsidRPr="00AA3CCC">
        <w:rPr>
          <w:rFonts w:eastAsia="Calibri"/>
          <w:szCs w:val="26"/>
          <w:lang w:eastAsia="es-ES"/>
        </w:rPr>
        <w:t>xpedientes de pagos del canon y reequilibrios económicos.</w:t>
      </w:r>
    </w:p>
    <w:p w14:paraId="4DA9D64A" w14:textId="77777777" w:rsidR="00C30199" w:rsidRPr="00AA3CCC"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AA3CCC">
        <w:rPr>
          <w:rFonts w:eastAsia="Calibri"/>
          <w:szCs w:val="26"/>
          <w:lang w:eastAsia="es-ES"/>
        </w:rPr>
        <w:t xml:space="preserve">La ejecución presupuestaria relativa a los conceptos relacionados con el peaje en la sombra.   </w:t>
      </w:r>
    </w:p>
    <w:p w14:paraId="078EBF0F" w14:textId="77777777" w:rsidR="00C30199"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0457C4">
        <w:rPr>
          <w:rFonts w:eastAsia="Calibri"/>
          <w:szCs w:val="26"/>
          <w:lang w:eastAsia="es-ES"/>
        </w:rPr>
        <w:t>Plan</w:t>
      </w:r>
      <w:r w:rsidR="00B111E1" w:rsidRPr="000457C4">
        <w:rPr>
          <w:rFonts w:eastAsia="Calibri"/>
          <w:szCs w:val="26"/>
          <w:lang w:eastAsia="es-ES"/>
        </w:rPr>
        <w:t>es</w:t>
      </w:r>
      <w:r w:rsidRPr="000457C4">
        <w:rPr>
          <w:rFonts w:eastAsia="Calibri"/>
          <w:szCs w:val="26"/>
          <w:lang w:eastAsia="es-ES"/>
        </w:rPr>
        <w:t xml:space="preserve"> </w:t>
      </w:r>
      <w:proofErr w:type="gramStart"/>
      <w:r w:rsidRPr="000457C4">
        <w:rPr>
          <w:rFonts w:eastAsia="Calibri"/>
          <w:szCs w:val="26"/>
          <w:lang w:eastAsia="es-ES"/>
        </w:rPr>
        <w:t>Económico Financiero</w:t>
      </w:r>
      <w:r w:rsidR="00B111E1" w:rsidRPr="000457C4">
        <w:rPr>
          <w:rFonts w:eastAsia="Calibri"/>
          <w:szCs w:val="26"/>
          <w:lang w:eastAsia="es-ES"/>
        </w:rPr>
        <w:t>s</w:t>
      </w:r>
      <w:proofErr w:type="gramEnd"/>
      <w:r w:rsidRPr="000457C4">
        <w:rPr>
          <w:rFonts w:eastAsia="Calibri"/>
          <w:szCs w:val="26"/>
          <w:lang w:eastAsia="es-ES"/>
        </w:rPr>
        <w:t xml:space="preserve"> </w:t>
      </w:r>
      <w:r w:rsidRPr="00AA3CCC">
        <w:rPr>
          <w:rFonts w:eastAsia="Calibri"/>
          <w:szCs w:val="26"/>
          <w:lang w:eastAsia="es-ES"/>
        </w:rPr>
        <w:t xml:space="preserve">de las concesiones. </w:t>
      </w:r>
    </w:p>
    <w:p w14:paraId="0A4464B0" w14:textId="77777777" w:rsidR="00B111E1" w:rsidRPr="00B111E1" w:rsidRDefault="00B111E1" w:rsidP="00B111E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935283">
        <w:rPr>
          <w:rFonts w:eastAsia="Calibri"/>
          <w:szCs w:val="26"/>
          <w:lang w:eastAsia="es-ES"/>
        </w:rPr>
        <w:t>Datos relativos al control del tráfico y al volumen de agua consumida</w:t>
      </w:r>
      <w:r>
        <w:rPr>
          <w:rFonts w:eastAsia="Calibri"/>
          <w:szCs w:val="26"/>
          <w:lang w:eastAsia="es-ES"/>
        </w:rPr>
        <w:t>.</w:t>
      </w:r>
    </w:p>
    <w:p w14:paraId="7CD77D4A" w14:textId="77777777" w:rsidR="00C30199" w:rsidRPr="00BF1472"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AA3CCC">
        <w:rPr>
          <w:rFonts w:eastAsia="Calibri"/>
          <w:szCs w:val="26"/>
          <w:lang w:eastAsia="es-ES"/>
        </w:rPr>
        <w:t>Informes de auditoría financiera de las sociedades concesionarias de las autovías hasta el úl</w:t>
      </w:r>
      <w:r>
        <w:rPr>
          <w:rFonts w:eastAsia="Calibri"/>
          <w:szCs w:val="26"/>
          <w:lang w:eastAsia="es-ES"/>
        </w:rPr>
        <w:t>timo ejercicio aprobado, el 2021</w:t>
      </w:r>
      <w:r w:rsidRPr="00AA3CCC">
        <w:rPr>
          <w:rFonts w:eastAsia="Calibri"/>
          <w:szCs w:val="26"/>
          <w:lang w:eastAsia="es-ES"/>
        </w:rPr>
        <w:t>.</w:t>
      </w:r>
    </w:p>
    <w:p w14:paraId="71EE796A" w14:textId="77777777" w:rsidR="00C30199" w:rsidRPr="00BF1472" w:rsidRDefault="00C30199"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BF1472">
        <w:rPr>
          <w:rFonts w:eastAsia="Calibri"/>
          <w:szCs w:val="26"/>
          <w:lang w:eastAsia="es-ES"/>
        </w:rPr>
        <w:t>Informes de auditoría financieras y operativas de las sociedades concesionarias del Canal de Navarra hasta el último ejercicio aprobado, el 2021.</w:t>
      </w:r>
    </w:p>
    <w:p w14:paraId="64B4C952" w14:textId="77777777" w:rsidR="00C30199" w:rsidRDefault="00C30199" w:rsidP="00BF1472">
      <w:pPr>
        <w:pStyle w:val="texto"/>
      </w:pPr>
      <w:r w:rsidRPr="009405AB">
        <w:t xml:space="preserve">En la realización </w:t>
      </w:r>
      <w:r w:rsidRPr="00BF1472">
        <w:t>de</w:t>
      </w:r>
      <w:r w:rsidRPr="009405AB">
        <w:t xml:space="preserve"> nuestro trabajo nos hemos encontrado con las siguientes limitaciones: </w:t>
      </w:r>
    </w:p>
    <w:p w14:paraId="069C4BB3" w14:textId="77777777" w:rsidR="00C30199" w:rsidRDefault="00596BC3" w:rsidP="00BF1472">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Pr>
          <w:rFonts w:eastAsia="Calibri"/>
          <w:szCs w:val="26"/>
          <w:lang w:eastAsia="es-ES"/>
        </w:rPr>
        <w:t>La Ampliación de la Primera Fase del C</w:t>
      </w:r>
      <w:r w:rsidR="00C30199" w:rsidRPr="00C07ACF">
        <w:rPr>
          <w:rFonts w:eastAsia="Calibri"/>
          <w:szCs w:val="26"/>
          <w:lang w:eastAsia="es-ES"/>
        </w:rPr>
        <w:t>anal</w:t>
      </w:r>
      <w:r>
        <w:rPr>
          <w:rFonts w:eastAsia="Calibri"/>
          <w:szCs w:val="26"/>
          <w:lang w:eastAsia="es-ES"/>
        </w:rPr>
        <w:t xml:space="preserve"> de Navarra</w:t>
      </w:r>
      <w:r w:rsidR="00C30199" w:rsidRPr="00C07ACF">
        <w:rPr>
          <w:rFonts w:eastAsia="Calibri"/>
          <w:szCs w:val="26"/>
          <w:lang w:eastAsia="es-ES"/>
        </w:rPr>
        <w:t xml:space="preserve"> se encuentra en su </w:t>
      </w:r>
      <w:r w:rsidR="00C30199">
        <w:rPr>
          <w:rFonts w:eastAsia="Calibri"/>
          <w:szCs w:val="26"/>
          <w:lang w:eastAsia="es-ES"/>
        </w:rPr>
        <w:t>cuarto</w:t>
      </w:r>
      <w:r w:rsidR="00C30199" w:rsidRPr="00C07ACF">
        <w:rPr>
          <w:rFonts w:eastAsia="Calibri"/>
          <w:szCs w:val="26"/>
          <w:lang w:eastAsia="es-ES"/>
        </w:rPr>
        <w:t xml:space="preserve"> año de </w:t>
      </w:r>
      <w:r w:rsidR="00320B29">
        <w:rPr>
          <w:rFonts w:eastAsia="Calibri"/>
          <w:szCs w:val="26"/>
          <w:lang w:eastAsia="es-ES"/>
        </w:rPr>
        <w:t xml:space="preserve">explotación parcial y </w:t>
      </w:r>
      <w:r w:rsidR="00C30199" w:rsidRPr="00A03C5E">
        <w:rPr>
          <w:rFonts w:eastAsia="Calibri"/>
          <w:szCs w:val="26"/>
          <w:lang w:eastAsia="es-ES"/>
        </w:rPr>
        <w:t xml:space="preserve">todavía hay sectores o áreas de riego pendientes de ejecutar </w:t>
      </w:r>
      <w:r w:rsidR="00C30199" w:rsidRPr="00C07ACF">
        <w:rPr>
          <w:rFonts w:eastAsia="Calibri"/>
          <w:szCs w:val="26"/>
          <w:lang w:eastAsia="es-ES"/>
        </w:rPr>
        <w:t xml:space="preserve">por lo que no se conocen los importes del coste de la </w:t>
      </w:r>
      <w:r w:rsidR="00C30199" w:rsidRPr="003C592C">
        <w:rPr>
          <w:rFonts w:eastAsia="Calibri"/>
          <w:szCs w:val="26"/>
          <w:lang w:eastAsia="es-ES"/>
        </w:rPr>
        <w:t>obra</w:t>
      </w:r>
      <w:r w:rsidR="00320B29" w:rsidRPr="003C592C">
        <w:rPr>
          <w:rFonts w:eastAsia="Calibri"/>
          <w:szCs w:val="26"/>
          <w:lang w:eastAsia="es-ES"/>
        </w:rPr>
        <w:t xml:space="preserve"> final</w:t>
      </w:r>
      <w:r w:rsidR="00C30199" w:rsidRPr="003C592C">
        <w:rPr>
          <w:rFonts w:eastAsia="Calibri"/>
          <w:szCs w:val="26"/>
          <w:lang w:eastAsia="es-ES"/>
        </w:rPr>
        <w:t xml:space="preserve">.  </w:t>
      </w:r>
    </w:p>
    <w:p w14:paraId="3510BDA3" w14:textId="77777777" w:rsidR="000457C4" w:rsidRDefault="000457C4" w:rsidP="000457C4">
      <w:pPr>
        <w:pStyle w:val="texto"/>
        <w:tabs>
          <w:tab w:val="clear" w:pos="2835"/>
          <w:tab w:val="clear" w:pos="3969"/>
          <w:tab w:val="clear" w:pos="5103"/>
          <w:tab w:val="clear" w:pos="6237"/>
          <w:tab w:val="clear" w:pos="7371"/>
          <w:tab w:val="left" w:pos="480"/>
          <w:tab w:val="num" w:pos="644"/>
          <w:tab w:val="num" w:pos="720"/>
          <w:tab w:val="num" w:pos="1320"/>
          <w:tab w:val="num" w:pos="5606"/>
        </w:tabs>
        <w:ind w:left="289" w:firstLine="0"/>
        <w:rPr>
          <w:rFonts w:eastAsia="Calibri"/>
          <w:szCs w:val="26"/>
          <w:lang w:eastAsia="es-ES"/>
        </w:rPr>
      </w:pPr>
    </w:p>
    <w:p w14:paraId="5E47E51D" w14:textId="77777777" w:rsidR="000457C4" w:rsidRDefault="000457C4" w:rsidP="000457C4">
      <w:pPr>
        <w:pStyle w:val="texto"/>
        <w:tabs>
          <w:tab w:val="clear" w:pos="2835"/>
          <w:tab w:val="clear" w:pos="3969"/>
          <w:tab w:val="clear" w:pos="5103"/>
          <w:tab w:val="clear" w:pos="6237"/>
          <w:tab w:val="clear" w:pos="7371"/>
          <w:tab w:val="left" w:pos="480"/>
          <w:tab w:val="num" w:pos="644"/>
          <w:tab w:val="num" w:pos="720"/>
          <w:tab w:val="num" w:pos="1320"/>
          <w:tab w:val="num" w:pos="5606"/>
        </w:tabs>
        <w:ind w:left="289" w:firstLine="0"/>
        <w:rPr>
          <w:rFonts w:eastAsia="Calibri"/>
          <w:szCs w:val="26"/>
          <w:lang w:eastAsia="es-ES"/>
        </w:rPr>
      </w:pPr>
    </w:p>
    <w:p w14:paraId="072D6DA5" w14:textId="77777777" w:rsidR="000457C4" w:rsidRPr="009405AB" w:rsidRDefault="000457C4" w:rsidP="000457C4">
      <w:pPr>
        <w:pStyle w:val="texto"/>
      </w:pPr>
      <w:r w:rsidRPr="009405AB">
        <w:lastRenderedPageBreak/>
        <w:t xml:space="preserve">Si bien no ha constituido una limitación al alcance de nuestro trabajo, queremos señalar que </w:t>
      </w:r>
      <w:r w:rsidRPr="00BF1472">
        <w:t>las</w:t>
      </w:r>
      <w:r w:rsidRPr="009405AB">
        <w:t xml:space="preserve"> conclusiones sobre el cumplimiento de algunas cláusulas</w:t>
      </w:r>
      <w:r>
        <w:t xml:space="preserve"> están basadas </w:t>
      </w:r>
      <w:proofErr w:type="gramStart"/>
      <w:r w:rsidRPr="009405AB">
        <w:t>de acuerdo a</w:t>
      </w:r>
      <w:proofErr w:type="gramEnd"/>
      <w:r w:rsidRPr="009405AB">
        <w:t xml:space="preserve"> la documentación </w:t>
      </w:r>
      <w:r>
        <w:t>técnica que nos han facilitado.</w:t>
      </w:r>
    </w:p>
    <w:p w14:paraId="74D3F9D4" w14:textId="77777777" w:rsidR="00B241AB" w:rsidRPr="00D64BD9" w:rsidRDefault="00B241AB" w:rsidP="00626399">
      <w:pPr>
        <w:pStyle w:val="texto"/>
        <w:tabs>
          <w:tab w:val="clear" w:pos="2835"/>
          <w:tab w:val="clear" w:pos="3969"/>
          <w:tab w:val="clear" w:pos="5103"/>
          <w:tab w:val="clear" w:pos="6237"/>
          <w:tab w:val="clear" w:pos="7371"/>
          <w:tab w:val="left" w:pos="480"/>
          <w:tab w:val="num" w:pos="644"/>
          <w:tab w:val="num" w:pos="720"/>
          <w:tab w:val="num" w:pos="1320"/>
          <w:tab w:val="num" w:pos="5606"/>
        </w:tabs>
        <w:rPr>
          <w:rFonts w:eastAsia="Calibri"/>
          <w:szCs w:val="26"/>
          <w:lang w:eastAsia="es-ES"/>
        </w:rPr>
      </w:pPr>
      <w:r w:rsidRPr="00D64BD9">
        <w:rPr>
          <w:rFonts w:eastAsia="Calibri"/>
          <w:szCs w:val="26"/>
          <w:lang w:eastAsia="es-ES"/>
        </w:rPr>
        <w:t xml:space="preserve">Por otra parte, las estimaciones realizadas </w:t>
      </w:r>
      <w:r w:rsidR="00716D48" w:rsidRPr="00D64BD9">
        <w:rPr>
          <w:rFonts w:eastAsia="Calibri"/>
          <w:szCs w:val="26"/>
          <w:lang w:eastAsia="es-ES"/>
        </w:rPr>
        <w:t>sobre el impacto en ejercicios futuros se basan en hipótesis sobre la evolución de determinadas variables como el IPC, los tipos de interés de los préstamos, tráfico de la autovía, volumen de agua para el riego</w:t>
      </w:r>
      <w:r w:rsidR="003743BE" w:rsidRPr="00D64BD9">
        <w:rPr>
          <w:rFonts w:eastAsia="Calibri"/>
          <w:szCs w:val="26"/>
          <w:lang w:eastAsia="es-ES"/>
        </w:rPr>
        <w:t>. Por ello no se puede establecer un valor válido exacto.</w:t>
      </w:r>
    </w:p>
    <w:p w14:paraId="03241E46" w14:textId="77777777" w:rsidR="00C30199" w:rsidRPr="003743BE" w:rsidRDefault="00C30199" w:rsidP="00BF1472">
      <w:pPr>
        <w:pStyle w:val="texto"/>
        <w:rPr>
          <w:szCs w:val="26"/>
        </w:rPr>
      </w:pPr>
      <w:r w:rsidRPr="003743BE">
        <w:t xml:space="preserve">Consideramos que la evidencia de auditoría que hemos obtenido proporciona una base suficiente y adecuada para poder alcanzar una conclusión sobre la </w:t>
      </w:r>
      <w:r w:rsidR="007502D1" w:rsidRPr="003743BE">
        <w:t xml:space="preserve">situación </w:t>
      </w:r>
      <w:r w:rsidRPr="003743BE">
        <w:t>de las concesiones realizadas mediante peaje en sombra</w:t>
      </w:r>
      <w:r w:rsidR="004C5180" w:rsidRPr="003743BE">
        <w:rPr>
          <w:szCs w:val="26"/>
        </w:rPr>
        <w:t xml:space="preserve"> en el periodo analizado.</w:t>
      </w:r>
    </w:p>
    <w:p w14:paraId="1BAA1868" w14:textId="77777777" w:rsidR="00C30199" w:rsidRPr="00C07ACF" w:rsidRDefault="00C30199" w:rsidP="00C30199">
      <w:pPr>
        <w:spacing w:after="0"/>
        <w:ind w:firstLine="0"/>
        <w:jc w:val="left"/>
        <w:rPr>
          <w:rFonts w:eastAsia="Calibri"/>
          <w:sz w:val="26"/>
          <w:szCs w:val="26"/>
          <w:lang w:eastAsia="es-ES"/>
        </w:rPr>
      </w:pPr>
      <w:r>
        <w:rPr>
          <w:rFonts w:eastAsia="Calibri"/>
          <w:sz w:val="26"/>
          <w:szCs w:val="26"/>
          <w:lang w:eastAsia="es-ES"/>
        </w:rPr>
        <w:br w:type="page"/>
      </w:r>
    </w:p>
    <w:p w14:paraId="6777115E" w14:textId="77777777" w:rsidR="00C30199" w:rsidRDefault="00C30199" w:rsidP="00C30199">
      <w:pPr>
        <w:pStyle w:val="atitulo1"/>
      </w:pPr>
      <w:bookmarkStart w:id="15" w:name="_Toc126321315"/>
      <w:r>
        <w:t>I</w:t>
      </w:r>
      <w:r w:rsidR="009D772D">
        <w:t>II</w:t>
      </w:r>
      <w:r w:rsidRPr="00BB1925">
        <w:t>. Conclusione</w:t>
      </w:r>
      <w:r w:rsidRPr="0095428C">
        <w:t>s y recomendaciones</w:t>
      </w:r>
      <w:bookmarkEnd w:id="14"/>
      <w:bookmarkEnd w:id="15"/>
    </w:p>
    <w:p w14:paraId="5DE22DD8" w14:textId="77777777" w:rsidR="00C30199" w:rsidRPr="000A3BC3" w:rsidRDefault="00C30199" w:rsidP="00BF1472">
      <w:pPr>
        <w:pStyle w:val="texto"/>
        <w:rPr>
          <w:lang w:val="es-ES"/>
        </w:rPr>
      </w:pPr>
      <w:r w:rsidRPr="00892E32">
        <w:t xml:space="preserve">La ACFN ha </w:t>
      </w:r>
      <w:r w:rsidR="00611817">
        <w:t>empleado la figura contractual del contrato de concesión pública</w:t>
      </w:r>
      <w:r w:rsidR="00083CBC">
        <w:t>, mediante</w:t>
      </w:r>
      <w:r w:rsidRPr="00892E32">
        <w:t xml:space="preserve"> </w:t>
      </w:r>
      <w:r w:rsidRPr="00083CBC">
        <w:t>peaje</w:t>
      </w:r>
      <w:r w:rsidR="006938E3" w:rsidRPr="00083CBC">
        <w:t xml:space="preserve"> en sombra</w:t>
      </w:r>
      <w:r w:rsidR="00083CBC" w:rsidRPr="00083CBC">
        <w:t>,</w:t>
      </w:r>
      <w:r w:rsidR="006938E3">
        <w:t xml:space="preserve"> para la construcción,</w:t>
      </w:r>
      <w:r w:rsidRPr="00892E32">
        <w:t xml:space="preserve"> </w:t>
      </w:r>
      <w:r w:rsidR="00320B29" w:rsidRPr="003C592C">
        <w:t xml:space="preserve">conservación y explotación </w:t>
      </w:r>
      <w:r w:rsidRPr="00892E32">
        <w:t xml:space="preserve">de </w:t>
      </w:r>
      <w:r w:rsidR="00576DA8">
        <w:t>la Autovía del Camino y la A</w:t>
      </w:r>
      <w:r>
        <w:t>utovía del P</w:t>
      </w:r>
      <w:r w:rsidR="006938E3">
        <w:t>irineo, así como de la zona regable</w:t>
      </w:r>
      <w:r w:rsidRPr="00892E32">
        <w:t xml:space="preserve"> del Canal de </w:t>
      </w:r>
      <w:r w:rsidRPr="00BF1472">
        <w:t>Navarra</w:t>
      </w:r>
      <w:r w:rsidR="00FB1A20">
        <w:t xml:space="preserve"> </w:t>
      </w:r>
      <w:r w:rsidR="00FE6584">
        <w:t>(Primera Fase y Ampliación de la Primera F</w:t>
      </w:r>
      <w:r w:rsidR="00FB1A20" w:rsidRPr="00083CBC">
        <w:t>ase)</w:t>
      </w:r>
      <w:r w:rsidRPr="00083CBC">
        <w:t xml:space="preserve">. </w:t>
      </w:r>
      <w:r w:rsidRPr="00BF1472">
        <w:t>De estas infraestructuras, la ampliación de la primera fase del Canal es la única que continua en fase de construcción.</w:t>
      </w:r>
    </w:p>
    <w:p w14:paraId="4905AA7C" w14:textId="77777777" w:rsidR="000A3BC3" w:rsidRDefault="000A3BC3" w:rsidP="000A3BC3">
      <w:pPr>
        <w:pStyle w:val="texto"/>
      </w:pPr>
      <w:r w:rsidRPr="000A3BC3">
        <w:t>De acuerdo con la información revisada</w:t>
      </w:r>
      <w:r w:rsidR="00C2700C">
        <w:t>,</w:t>
      </w:r>
      <w:r w:rsidRPr="000A3BC3">
        <w:t xml:space="preserve"> el importe total de</w:t>
      </w:r>
      <w:r w:rsidR="00C2700C">
        <w:t>l precio final de obra aprobado o el</w:t>
      </w:r>
      <w:r w:rsidRPr="000A3BC3">
        <w:t xml:space="preserve"> presupuesto total estimado</w:t>
      </w:r>
      <w:r w:rsidR="00C2700C">
        <w:t>, en su caso,</w:t>
      </w:r>
      <w:r w:rsidRPr="000A3BC3">
        <w:t xml:space="preserve"> </w:t>
      </w:r>
      <w:r w:rsidR="00C2700C">
        <w:t xml:space="preserve">para cada de las infraestructuras </w:t>
      </w:r>
      <w:r w:rsidRPr="000A3BC3">
        <w:t>se refleja en el cuadro siguiente:</w:t>
      </w:r>
    </w:p>
    <w:p w14:paraId="796A29EA" w14:textId="77777777" w:rsidR="000A3BC3" w:rsidRPr="000A3BC3" w:rsidRDefault="00C204CA" w:rsidP="00C204CA">
      <w:pPr>
        <w:spacing w:after="0"/>
        <w:ind w:right="1" w:firstLine="18"/>
        <w:jc w:val="right"/>
        <w:rPr>
          <w:rFonts w:ascii="Arial Narrow" w:hAnsi="Arial Narrow" w:cs="Calibri"/>
          <w:color w:val="000000"/>
          <w:lang w:val="es-ES" w:eastAsia="es-ES"/>
        </w:rPr>
      </w:pPr>
      <w:r>
        <w:rPr>
          <w:rFonts w:ascii="Arial Narrow" w:hAnsi="Arial Narrow" w:cs="Calibri"/>
          <w:color w:val="000000"/>
          <w:lang w:val="es-ES" w:eastAsia="es-ES"/>
        </w:rPr>
        <w:t>(</w:t>
      </w:r>
      <w:r w:rsidR="000A3BC3" w:rsidRPr="000A3BC3">
        <w:rPr>
          <w:rFonts w:ascii="Arial Narrow" w:hAnsi="Arial Narrow" w:cs="Calibri"/>
          <w:color w:val="000000"/>
          <w:lang w:val="es-ES" w:eastAsia="es-ES"/>
        </w:rPr>
        <w:t>Miles</w:t>
      </w:r>
      <w:r>
        <w:rPr>
          <w:rFonts w:ascii="Arial Narrow" w:hAnsi="Arial Narrow" w:cs="Calibri"/>
          <w:color w:val="000000"/>
          <w:lang w:val="es-ES" w:eastAsia="es-ES"/>
        </w:rPr>
        <w:t>)</w:t>
      </w:r>
    </w:p>
    <w:tbl>
      <w:tblPr>
        <w:tblW w:w="9072" w:type="dxa"/>
        <w:tblBorders>
          <w:top w:val="single" w:sz="4" w:space="0" w:color="auto"/>
          <w:bottom w:val="single" w:sz="4" w:space="0" w:color="auto"/>
          <w:insideH w:val="single" w:sz="2" w:space="0" w:color="auto"/>
        </w:tblBorders>
        <w:tblCellMar>
          <w:left w:w="0" w:type="dxa"/>
          <w:right w:w="0" w:type="dxa"/>
        </w:tblCellMar>
        <w:tblLook w:val="04A0" w:firstRow="1" w:lastRow="0" w:firstColumn="1" w:lastColumn="0" w:noHBand="0" w:noVBand="1"/>
      </w:tblPr>
      <w:tblGrid>
        <w:gridCol w:w="4536"/>
        <w:gridCol w:w="4536"/>
      </w:tblGrid>
      <w:tr w:rsidR="000A3BC3" w:rsidRPr="00C204CA" w14:paraId="556C9977" w14:textId="77777777" w:rsidTr="00E428A6">
        <w:trPr>
          <w:trHeight w:val="227"/>
        </w:trPr>
        <w:tc>
          <w:tcPr>
            <w:tcW w:w="4536" w:type="dxa"/>
            <w:tcBorders>
              <w:top w:val="single" w:sz="4" w:space="0" w:color="auto"/>
              <w:bottom w:val="single" w:sz="4" w:space="0" w:color="auto"/>
            </w:tcBorders>
            <w:shd w:val="clear" w:color="auto" w:fill="B8CCE4" w:themeFill="accent1" w:themeFillTint="66"/>
            <w:noWrap/>
            <w:tcMar>
              <w:top w:w="0" w:type="dxa"/>
              <w:left w:w="70" w:type="dxa"/>
              <w:bottom w:w="0" w:type="dxa"/>
              <w:right w:w="70" w:type="dxa"/>
            </w:tcMar>
            <w:vAlign w:val="center"/>
            <w:hideMark/>
          </w:tcPr>
          <w:p w14:paraId="78D6F229" w14:textId="77777777" w:rsidR="000A3BC3" w:rsidRPr="00C204CA" w:rsidRDefault="000A3BC3" w:rsidP="00C204CA">
            <w:pPr>
              <w:pStyle w:val="cuadroCabe"/>
              <w:spacing w:line="240" w:lineRule="auto"/>
              <w:rPr>
                <w:rFonts w:eastAsia="Calibri"/>
                <w:szCs w:val="18"/>
                <w:lang w:val="es-ES" w:eastAsia="es-ES"/>
              </w:rPr>
            </w:pPr>
            <w:r w:rsidRPr="00C204CA">
              <w:rPr>
                <w:rFonts w:eastAsia="Calibri"/>
                <w:szCs w:val="18"/>
                <w:lang w:val="es-ES" w:eastAsia="es-ES"/>
              </w:rPr>
              <w:t>Concepto</w:t>
            </w:r>
          </w:p>
        </w:tc>
        <w:tc>
          <w:tcPr>
            <w:tcW w:w="4536" w:type="dxa"/>
            <w:tcBorders>
              <w:top w:val="single" w:sz="4" w:space="0" w:color="auto"/>
              <w:bottom w:val="single" w:sz="4" w:space="0" w:color="auto"/>
            </w:tcBorders>
            <w:shd w:val="clear" w:color="auto" w:fill="B8CCE4" w:themeFill="accent1" w:themeFillTint="66"/>
            <w:tcMar>
              <w:top w:w="0" w:type="dxa"/>
              <w:left w:w="70" w:type="dxa"/>
              <w:bottom w:w="0" w:type="dxa"/>
              <w:right w:w="70" w:type="dxa"/>
            </w:tcMar>
            <w:vAlign w:val="center"/>
            <w:hideMark/>
          </w:tcPr>
          <w:p w14:paraId="69150E58" w14:textId="77777777" w:rsidR="00C204CA" w:rsidRPr="00C204CA" w:rsidRDefault="000A3BC3" w:rsidP="00C204CA">
            <w:pPr>
              <w:pStyle w:val="cuadroCabe"/>
              <w:spacing w:line="240" w:lineRule="auto"/>
              <w:jc w:val="right"/>
              <w:rPr>
                <w:rFonts w:eastAsia="Calibri"/>
                <w:szCs w:val="18"/>
                <w:lang w:val="es-ES" w:eastAsia="es-ES"/>
              </w:rPr>
            </w:pPr>
            <w:r w:rsidRPr="00C204CA">
              <w:rPr>
                <w:rFonts w:eastAsia="Calibri"/>
                <w:szCs w:val="18"/>
                <w:lang w:val="es-ES" w:eastAsia="es-ES"/>
              </w:rPr>
              <w:t>Precio final de obra aprobado/presupuesto</w:t>
            </w:r>
          </w:p>
          <w:p w14:paraId="67D4451F" w14:textId="77777777" w:rsidR="000A3BC3" w:rsidRPr="00C204CA" w:rsidRDefault="000A3BC3" w:rsidP="00C204CA">
            <w:pPr>
              <w:pStyle w:val="cuadroCabe"/>
              <w:spacing w:line="240" w:lineRule="auto"/>
              <w:jc w:val="right"/>
              <w:rPr>
                <w:rFonts w:eastAsia="Calibri"/>
                <w:szCs w:val="18"/>
                <w:lang w:val="es-ES" w:eastAsia="es-ES"/>
              </w:rPr>
            </w:pPr>
            <w:r w:rsidRPr="00C204CA">
              <w:rPr>
                <w:rFonts w:eastAsia="Calibri"/>
                <w:szCs w:val="18"/>
                <w:lang w:val="es-ES" w:eastAsia="es-ES"/>
              </w:rPr>
              <w:t xml:space="preserve"> estimado de obra </w:t>
            </w:r>
            <w:r w:rsidRPr="00585A5D">
              <w:rPr>
                <w:rFonts w:eastAsia="Calibri"/>
                <w:szCs w:val="18"/>
                <w:vertAlign w:val="superscript"/>
                <w:lang w:val="es-ES" w:eastAsia="es-ES"/>
              </w:rPr>
              <w:t>(*)</w:t>
            </w:r>
          </w:p>
        </w:tc>
      </w:tr>
      <w:tr w:rsidR="000A3BC3" w:rsidRPr="000A3BC3" w14:paraId="6B918574" w14:textId="77777777" w:rsidTr="00E428A6">
        <w:trPr>
          <w:trHeight w:val="227"/>
        </w:trPr>
        <w:tc>
          <w:tcPr>
            <w:tcW w:w="4536" w:type="dxa"/>
            <w:tcBorders>
              <w:top w:val="single" w:sz="4" w:space="0" w:color="auto"/>
              <w:bottom w:val="single" w:sz="2" w:space="0" w:color="auto"/>
            </w:tcBorders>
            <w:noWrap/>
            <w:tcMar>
              <w:top w:w="0" w:type="dxa"/>
              <w:left w:w="70" w:type="dxa"/>
              <w:bottom w:w="0" w:type="dxa"/>
              <w:right w:w="70" w:type="dxa"/>
            </w:tcMar>
            <w:vAlign w:val="center"/>
            <w:hideMark/>
          </w:tcPr>
          <w:p w14:paraId="424856F4" w14:textId="77777777" w:rsidR="000A3BC3" w:rsidRPr="000A3BC3" w:rsidRDefault="000A3BC3" w:rsidP="00C204CA">
            <w:pPr>
              <w:pStyle w:val="cuatexto"/>
              <w:spacing w:line="240" w:lineRule="auto"/>
              <w:rPr>
                <w:rFonts w:eastAsia="Calibri"/>
                <w:lang w:val="es-ES" w:eastAsia="es-ES"/>
              </w:rPr>
            </w:pPr>
            <w:r w:rsidRPr="000A3BC3">
              <w:rPr>
                <w:rFonts w:eastAsia="Calibri"/>
                <w:lang w:val="es-ES" w:eastAsia="es-ES"/>
              </w:rPr>
              <w:t>Autovía del Camino</w:t>
            </w:r>
          </w:p>
        </w:tc>
        <w:tc>
          <w:tcPr>
            <w:tcW w:w="4536" w:type="dxa"/>
            <w:tcBorders>
              <w:top w:val="single" w:sz="4" w:space="0" w:color="auto"/>
              <w:bottom w:val="single" w:sz="2" w:space="0" w:color="auto"/>
            </w:tcBorders>
            <w:noWrap/>
            <w:tcMar>
              <w:top w:w="0" w:type="dxa"/>
              <w:left w:w="70" w:type="dxa"/>
              <w:bottom w:w="0" w:type="dxa"/>
              <w:right w:w="70" w:type="dxa"/>
            </w:tcMar>
            <w:vAlign w:val="center"/>
            <w:hideMark/>
          </w:tcPr>
          <w:p w14:paraId="6C3C979E" w14:textId="77777777" w:rsidR="000A3BC3" w:rsidRPr="000A3BC3" w:rsidRDefault="000A3BC3" w:rsidP="00C204CA">
            <w:pPr>
              <w:pStyle w:val="cuatexto"/>
              <w:spacing w:line="240" w:lineRule="auto"/>
              <w:jc w:val="right"/>
              <w:rPr>
                <w:rFonts w:eastAsia="Calibri"/>
                <w:lang w:val="es-ES" w:eastAsia="es-ES"/>
              </w:rPr>
            </w:pPr>
            <w:r w:rsidRPr="000A3BC3">
              <w:rPr>
                <w:rFonts w:eastAsia="Calibri"/>
                <w:lang w:val="es-ES" w:eastAsia="es-ES"/>
              </w:rPr>
              <w:t>389.850</w:t>
            </w:r>
          </w:p>
        </w:tc>
      </w:tr>
      <w:tr w:rsidR="000A3BC3" w:rsidRPr="000A3BC3" w14:paraId="556F57DA" w14:textId="77777777" w:rsidTr="00585A5D">
        <w:trPr>
          <w:trHeight w:val="227"/>
        </w:trPr>
        <w:tc>
          <w:tcPr>
            <w:tcW w:w="4536" w:type="dxa"/>
            <w:tcBorders>
              <w:top w:val="single" w:sz="2" w:space="0" w:color="auto"/>
              <w:bottom w:val="single" w:sz="2" w:space="0" w:color="auto"/>
            </w:tcBorders>
            <w:noWrap/>
            <w:tcMar>
              <w:top w:w="0" w:type="dxa"/>
              <w:left w:w="70" w:type="dxa"/>
              <w:bottom w:w="0" w:type="dxa"/>
              <w:right w:w="70" w:type="dxa"/>
            </w:tcMar>
            <w:vAlign w:val="center"/>
            <w:hideMark/>
          </w:tcPr>
          <w:p w14:paraId="48B99320" w14:textId="77777777" w:rsidR="000A3BC3" w:rsidRPr="000A3BC3" w:rsidRDefault="000A3BC3" w:rsidP="00C204CA">
            <w:pPr>
              <w:pStyle w:val="cuatexto"/>
              <w:spacing w:line="240" w:lineRule="auto"/>
              <w:rPr>
                <w:rFonts w:eastAsia="Calibri"/>
                <w:lang w:val="es-ES" w:eastAsia="es-ES"/>
              </w:rPr>
            </w:pPr>
            <w:r w:rsidRPr="000A3BC3">
              <w:rPr>
                <w:rFonts w:eastAsia="Calibri"/>
                <w:lang w:val="es-ES" w:eastAsia="es-ES"/>
              </w:rPr>
              <w:t xml:space="preserve">Autovía del Pirineo </w:t>
            </w:r>
            <w:r w:rsidRPr="00585A5D">
              <w:rPr>
                <w:rFonts w:eastAsia="Calibri"/>
                <w:vertAlign w:val="superscript"/>
                <w:lang w:val="es-ES" w:eastAsia="es-ES"/>
              </w:rPr>
              <w:t>(*)</w:t>
            </w:r>
          </w:p>
        </w:tc>
        <w:tc>
          <w:tcPr>
            <w:tcW w:w="4536" w:type="dxa"/>
            <w:tcBorders>
              <w:top w:val="single" w:sz="2" w:space="0" w:color="auto"/>
              <w:bottom w:val="single" w:sz="2" w:space="0" w:color="auto"/>
            </w:tcBorders>
            <w:noWrap/>
            <w:tcMar>
              <w:top w:w="0" w:type="dxa"/>
              <w:left w:w="70" w:type="dxa"/>
              <w:bottom w:w="0" w:type="dxa"/>
              <w:right w:w="70" w:type="dxa"/>
            </w:tcMar>
            <w:vAlign w:val="center"/>
            <w:hideMark/>
          </w:tcPr>
          <w:p w14:paraId="124E0054" w14:textId="77777777" w:rsidR="000A3BC3" w:rsidRPr="000A3BC3" w:rsidRDefault="000A3BC3" w:rsidP="00C204CA">
            <w:pPr>
              <w:pStyle w:val="cuatexto"/>
              <w:spacing w:line="240" w:lineRule="auto"/>
              <w:jc w:val="right"/>
              <w:rPr>
                <w:rFonts w:eastAsia="Calibri"/>
                <w:lang w:val="es-ES" w:eastAsia="es-ES"/>
              </w:rPr>
            </w:pPr>
            <w:r w:rsidRPr="000A3BC3">
              <w:rPr>
                <w:rFonts w:eastAsia="Calibri"/>
                <w:lang w:val="es-ES" w:eastAsia="es-ES"/>
              </w:rPr>
              <w:t>271.385</w:t>
            </w:r>
          </w:p>
        </w:tc>
      </w:tr>
      <w:tr w:rsidR="000A3BC3" w:rsidRPr="000A3BC3" w14:paraId="39A81313" w14:textId="77777777" w:rsidTr="00585A5D">
        <w:trPr>
          <w:trHeight w:val="227"/>
        </w:trPr>
        <w:tc>
          <w:tcPr>
            <w:tcW w:w="4536" w:type="dxa"/>
            <w:tcBorders>
              <w:top w:val="single" w:sz="2" w:space="0" w:color="auto"/>
              <w:bottom w:val="single" w:sz="2" w:space="0" w:color="auto"/>
            </w:tcBorders>
            <w:noWrap/>
            <w:tcMar>
              <w:top w:w="0" w:type="dxa"/>
              <w:left w:w="70" w:type="dxa"/>
              <w:bottom w:w="0" w:type="dxa"/>
              <w:right w:w="70" w:type="dxa"/>
            </w:tcMar>
            <w:vAlign w:val="center"/>
            <w:hideMark/>
          </w:tcPr>
          <w:p w14:paraId="2B8A2F06" w14:textId="77777777" w:rsidR="000A3BC3" w:rsidRPr="000A3BC3" w:rsidRDefault="000A3BC3" w:rsidP="00C204CA">
            <w:pPr>
              <w:pStyle w:val="cuatexto"/>
              <w:spacing w:line="240" w:lineRule="auto"/>
              <w:rPr>
                <w:rFonts w:eastAsia="Calibri"/>
                <w:lang w:val="es-ES" w:eastAsia="es-ES"/>
              </w:rPr>
            </w:pPr>
            <w:r w:rsidRPr="000A3BC3">
              <w:rPr>
                <w:rFonts w:eastAsia="Calibri"/>
                <w:lang w:val="es-ES" w:eastAsia="es-ES"/>
              </w:rPr>
              <w:t>Zonas regables del Canal de Navarra (1ª fase)</w:t>
            </w:r>
          </w:p>
        </w:tc>
        <w:tc>
          <w:tcPr>
            <w:tcW w:w="4536" w:type="dxa"/>
            <w:tcBorders>
              <w:top w:val="single" w:sz="2" w:space="0" w:color="auto"/>
              <w:bottom w:val="single" w:sz="2" w:space="0" w:color="auto"/>
            </w:tcBorders>
            <w:noWrap/>
            <w:tcMar>
              <w:top w:w="0" w:type="dxa"/>
              <w:left w:w="70" w:type="dxa"/>
              <w:bottom w:w="0" w:type="dxa"/>
              <w:right w:w="70" w:type="dxa"/>
            </w:tcMar>
            <w:vAlign w:val="center"/>
            <w:hideMark/>
          </w:tcPr>
          <w:p w14:paraId="6F3AB113" w14:textId="77777777" w:rsidR="000A3BC3" w:rsidRPr="000A3BC3" w:rsidRDefault="000A3BC3" w:rsidP="00C204CA">
            <w:pPr>
              <w:pStyle w:val="cuatexto"/>
              <w:spacing w:line="240" w:lineRule="auto"/>
              <w:jc w:val="right"/>
              <w:rPr>
                <w:rFonts w:eastAsia="Calibri"/>
                <w:lang w:val="es-ES" w:eastAsia="es-ES"/>
              </w:rPr>
            </w:pPr>
            <w:r w:rsidRPr="000A3BC3">
              <w:rPr>
                <w:rFonts w:eastAsia="Calibri"/>
                <w:lang w:val="es-ES" w:eastAsia="es-ES"/>
              </w:rPr>
              <w:t>169.877</w:t>
            </w:r>
          </w:p>
        </w:tc>
      </w:tr>
      <w:tr w:rsidR="000A3BC3" w:rsidRPr="000A3BC3" w14:paraId="290AE884" w14:textId="77777777" w:rsidTr="00585A5D">
        <w:trPr>
          <w:trHeight w:val="227"/>
        </w:trPr>
        <w:tc>
          <w:tcPr>
            <w:tcW w:w="4536" w:type="dxa"/>
            <w:tcBorders>
              <w:top w:val="single" w:sz="2" w:space="0" w:color="auto"/>
            </w:tcBorders>
            <w:noWrap/>
            <w:tcMar>
              <w:top w:w="0" w:type="dxa"/>
              <w:left w:w="70" w:type="dxa"/>
              <w:bottom w:w="0" w:type="dxa"/>
              <w:right w:w="70" w:type="dxa"/>
            </w:tcMar>
            <w:vAlign w:val="center"/>
            <w:hideMark/>
          </w:tcPr>
          <w:p w14:paraId="7FF08C67" w14:textId="77777777" w:rsidR="000A3BC3" w:rsidRPr="000A3BC3" w:rsidRDefault="000A3BC3" w:rsidP="00E508C0">
            <w:pPr>
              <w:pStyle w:val="cuatexto"/>
              <w:spacing w:line="240" w:lineRule="auto"/>
              <w:rPr>
                <w:rFonts w:eastAsia="Calibri"/>
                <w:lang w:val="es-ES" w:eastAsia="es-ES"/>
              </w:rPr>
            </w:pPr>
            <w:r w:rsidRPr="000A3BC3">
              <w:rPr>
                <w:rFonts w:eastAsia="Calibri"/>
                <w:lang w:val="es-ES" w:eastAsia="es-ES"/>
              </w:rPr>
              <w:t>Zonas regables Canal de Navarra. Ampliación 1ª Fase</w:t>
            </w:r>
            <w:r w:rsidR="00585A5D">
              <w:rPr>
                <w:rFonts w:eastAsia="Calibri"/>
                <w:lang w:val="es-ES" w:eastAsia="es-ES"/>
              </w:rPr>
              <w:t xml:space="preserve"> </w:t>
            </w:r>
            <w:r w:rsidRPr="00585A5D">
              <w:rPr>
                <w:rFonts w:eastAsia="Calibri"/>
                <w:vertAlign w:val="superscript"/>
                <w:lang w:val="es-ES" w:eastAsia="es-ES"/>
              </w:rPr>
              <w:t>(*)</w:t>
            </w:r>
            <w:r w:rsidRPr="000A3BC3">
              <w:rPr>
                <w:rFonts w:eastAsia="Calibri"/>
                <w:lang w:val="es-ES" w:eastAsia="es-ES"/>
              </w:rPr>
              <w:t xml:space="preserve"> (en construcción)</w:t>
            </w:r>
          </w:p>
        </w:tc>
        <w:tc>
          <w:tcPr>
            <w:tcW w:w="4536" w:type="dxa"/>
            <w:tcBorders>
              <w:top w:val="single" w:sz="2" w:space="0" w:color="auto"/>
            </w:tcBorders>
            <w:noWrap/>
            <w:tcMar>
              <w:top w:w="0" w:type="dxa"/>
              <w:left w:w="70" w:type="dxa"/>
              <w:bottom w:w="0" w:type="dxa"/>
              <w:right w:w="70" w:type="dxa"/>
            </w:tcMar>
            <w:vAlign w:val="center"/>
            <w:hideMark/>
          </w:tcPr>
          <w:p w14:paraId="4A4736B7" w14:textId="77777777" w:rsidR="000A3BC3" w:rsidRPr="000A3BC3" w:rsidRDefault="000A3BC3" w:rsidP="00C204CA">
            <w:pPr>
              <w:pStyle w:val="cuatexto"/>
              <w:spacing w:line="240" w:lineRule="auto"/>
              <w:jc w:val="right"/>
              <w:rPr>
                <w:rFonts w:eastAsia="Calibri"/>
                <w:lang w:val="es-ES" w:eastAsia="es-ES"/>
              </w:rPr>
            </w:pPr>
            <w:r w:rsidRPr="000A3BC3">
              <w:rPr>
                <w:rFonts w:eastAsia="Calibri"/>
                <w:lang w:val="es-ES" w:eastAsia="es-ES"/>
              </w:rPr>
              <w:t>157.781</w:t>
            </w:r>
          </w:p>
        </w:tc>
      </w:tr>
    </w:tbl>
    <w:p w14:paraId="2286E839" w14:textId="77777777" w:rsidR="00487375" w:rsidRPr="00E508C0" w:rsidRDefault="00E508C0" w:rsidP="00E508C0">
      <w:pPr>
        <w:pStyle w:val="texto"/>
        <w:spacing w:before="60"/>
        <w:ind w:firstLine="0"/>
        <w:rPr>
          <w:rFonts w:ascii="Arial" w:hAnsi="Arial" w:cs="Arial"/>
          <w:sz w:val="14"/>
          <w:szCs w:val="14"/>
        </w:rPr>
      </w:pPr>
      <w:r>
        <w:rPr>
          <w:rFonts w:ascii="Arial" w:hAnsi="Arial" w:cs="Arial"/>
          <w:sz w:val="14"/>
          <w:szCs w:val="14"/>
        </w:rPr>
        <w:t>(*) Presupuesto estimado de obra</w:t>
      </w:r>
      <w:r w:rsidR="00E428A6">
        <w:rPr>
          <w:rFonts w:ascii="Arial" w:hAnsi="Arial" w:cs="Arial"/>
          <w:sz w:val="14"/>
          <w:szCs w:val="14"/>
        </w:rPr>
        <w:t>.</w:t>
      </w:r>
    </w:p>
    <w:p w14:paraId="2C878523" w14:textId="77777777" w:rsidR="00C2700C" w:rsidRDefault="00C2700C" w:rsidP="00C2700C">
      <w:pPr>
        <w:pStyle w:val="texto"/>
      </w:pPr>
      <w:r w:rsidRPr="00BF1472">
        <w:t xml:space="preserve">La totalidad del gasto </w:t>
      </w:r>
      <w:r>
        <w:t xml:space="preserve">relacionado con el peaje en sombra </w:t>
      </w:r>
      <w:r w:rsidRPr="00BF1472">
        <w:t>incluye</w:t>
      </w:r>
      <w:r w:rsidR="006B4DC3">
        <w:t>,</w:t>
      </w:r>
      <w:r w:rsidRPr="00BF1472">
        <w:t xml:space="preserve"> además de la construcción de la infraestructura, los gastos financieros y gastos de conservación y mantenimiento de </w:t>
      </w:r>
      <w:proofErr w:type="gramStart"/>
      <w:r w:rsidRPr="00BF1472">
        <w:t>la misma</w:t>
      </w:r>
      <w:proofErr w:type="gramEnd"/>
      <w:r w:rsidRPr="00BF1472">
        <w:t>.</w:t>
      </w:r>
    </w:p>
    <w:p w14:paraId="660B4C8E" w14:textId="77777777" w:rsidR="000A3BC3" w:rsidRDefault="000A3BC3" w:rsidP="00585A5D">
      <w:pPr>
        <w:pStyle w:val="texto"/>
        <w:spacing w:after="0"/>
      </w:pPr>
      <w:r w:rsidRPr="000A3BC3">
        <w:t>El gasto reconocido en los presupuestos generales de Navarra en relación con los contratos concesionales</w:t>
      </w:r>
      <w:r w:rsidR="006B4DC3">
        <w:t>,</w:t>
      </w:r>
      <w:r w:rsidRPr="000A3BC3">
        <w:t xml:space="preserve"> desde el inicio de las concesiones hasta 31 de diciembre de 2021</w:t>
      </w:r>
      <w:r w:rsidR="006B4DC3">
        <w:t>,</w:t>
      </w:r>
      <w:r w:rsidRPr="000A3BC3">
        <w:t xml:space="preserve"> se eleva a 969 millones, con el siguiente desglose: </w:t>
      </w:r>
    </w:p>
    <w:p w14:paraId="5A84D04E" w14:textId="77777777" w:rsidR="00E508C0" w:rsidRPr="00E508C0" w:rsidRDefault="00E508C0" w:rsidP="00E508C0">
      <w:pPr>
        <w:spacing w:after="0"/>
        <w:ind w:right="1" w:firstLine="18"/>
        <w:jc w:val="right"/>
        <w:rPr>
          <w:rFonts w:ascii="Arial Narrow" w:hAnsi="Arial Narrow" w:cs="Calibri"/>
          <w:color w:val="000000"/>
          <w:lang w:val="es-ES" w:eastAsia="es-ES"/>
        </w:rPr>
      </w:pPr>
      <w:r w:rsidRPr="00E508C0">
        <w:rPr>
          <w:rFonts w:ascii="Arial Narrow" w:hAnsi="Arial Narrow" w:cs="Calibri"/>
          <w:color w:val="000000"/>
          <w:lang w:val="es-ES" w:eastAsia="es-ES"/>
        </w:rPr>
        <w:t>(Miles)</w:t>
      </w:r>
    </w:p>
    <w:tbl>
      <w:tblPr>
        <w:tblW w:w="9072" w:type="dxa"/>
        <w:tblBorders>
          <w:top w:val="single" w:sz="4" w:space="0" w:color="auto"/>
          <w:bottom w:val="single" w:sz="4" w:space="0" w:color="auto"/>
          <w:insideH w:val="single" w:sz="2" w:space="0" w:color="auto"/>
        </w:tblBorders>
        <w:tblCellMar>
          <w:left w:w="0" w:type="dxa"/>
          <w:right w:w="0" w:type="dxa"/>
        </w:tblCellMar>
        <w:tblLook w:val="04A0" w:firstRow="1" w:lastRow="0" w:firstColumn="1" w:lastColumn="0" w:noHBand="0" w:noVBand="1"/>
      </w:tblPr>
      <w:tblGrid>
        <w:gridCol w:w="4962"/>
        <w:gridCol w:w="283"/>
        <w:gridCol w:w="3827"/>
      </w:tblGrid>
      <w:tr w:rsidR="000A3BC3" w:rsidRPr="000A3BC3" w14:paraId="115DD0AD" w14:textId="77777777" w:rsidTr="00E428A6">
        <w:trPr>
          <w:trHeight w:val="227"/>
        </w:trPr>
        <w:tc>
          <w:tcPr>
            <w:tcW w:w="4962" w:type="dxa"/>
            <w:tcBorders>
              <w:top w:val="single" w:sz="4" w:space="0" w:color="auto"/>
              <w:bottom w:val="single" w:sz="4" w:space="0" w:color="auto"/>
            </w:tcBorders>
            <w:shd w:val="clear" w:color="auto" w:fill="B8CCE4" w:themeFill="accent1" w:themeFillTint="66"/>
            <w:noWrap/>
            <w:tcMar>
              <w:top w:w="0" w:type="dxa"/>
              <w:left w:w="70" w:type="dxa"/>
              <w:bottom w:w="0" w:type="dxa"/>
              <w:right w:w="70" w:type="dxa"/>
            </w:tcMar>
            <w:vAlign w:val="center"/>
            <w:hideMark/>
          </w:tcPr>
          <w:p w14:paraId="34382FAE" w14:textId="77777777" w:rsidR="000A3BC3" w:rsidRPr="000A3BC3" w:rsidRDefault="000A3BC3" w:rsidP="00E508C0">
            <w:pPr>
              <w:pStyle w:val="cuadroCabe"/>
              <w:spacing w:line="240" w:lineRule="auto"/>
              <w:rPr>
                <w:rFonts w:eastAsia="Calibri"/>
                <w:lang w:val="es-ES" w:eastAsia="es-ES"/>
              </w:rPr>
            </w:pPr>
            <w:r w:rsidRPr="000A3BC3">
              <w:rPr>
                <w:rFonts w:eastAsia="Calibri"/>
                <w:lang w:val="es-ES" w:eastAsia="es-ES"/>
              </w:rPr>
              <w:t>Concepto</w:t>
            </w:r>
          </w:p>
        </w:tc>
        <w:tc>
          <w:tcPr>
            <w:tcW w:w="283" w:type="dxa"/>
            <w:tcBorders>
              <w:top w:val="single" w:sz="4" w:space="0" w:color="auto"/>
              <w:bottom w:val="single" w:sz="4" w:space="0" w:color="auto"/>
            </w:tcBorders>
            <w:shd w:val="clear" w:color="auto" w:fill="B8CCE4" w:themeFill="accent1" w:themeFillTint="66"/>
            <w:tcMar>
              <w:top w:w="0" w:type="dxa"/>
              <w:left w:w="70" w:type="dxa"/>
              <w:bottom w:w="0" w:type="dxa"/>
              <w:right w:w="70" w:type="dxa"/>
            </w:tcMar>
            <w:vAlign w:val="center"/>
          </w:tcPr>
          <w:p w14:paraId="6A89FCE7" w14:textId="77777777" w:rsidR="000A3BC3" w:rsidRPr="000A3BC3" w:rsidRDefault="000A3BC3" w:rsidP="00E508C0">
            <w:pPr>
              <w:pStyle w:val="cuadroCabe"/>
              <w:spacing w:line="240" w:lineRule="auto"/>
              <w:rPr>
                <w:rFonts w:eastAsia="Calibri"/>
                <w:lang w:val="es-ES" w:eastAsia="es-ES"/>
              </w:rPr>
            </w:pPr>
          </w:p>
        </w:tc>
        <w:tc>
          <w:tcPr>
            <w:tcW w:w="3827" w:type="dxa"/>
            <w:tcBorders>
              <w:top w:val="single" w:sz="4" w:space="0" w:color="auto"/>
              <w:bottom w:val="single" w:sz="4" w:space="0" w:color="auto"/>
            </w:tcBorders>
            <w:shd w:val="clear" w:color="auto" w:fill="B8CCE4" w:themeFill="accent1" w:themeFillTint="66"/>
            <w:tcMar>
              <w:top w:w="0" w:type="dxa"/>
              <w:left w:w="70" w:type="dxa"/>
              <w:bottom w:w="0" w:type="dxa"/>
              <w:right w:w="70" w:type="dxa"/>
            </w:tcMar>
            <w:vAlign w:val="center"/>
            <w:hideMark/>
          </w:tcPr>
          <w:p w14:paraId="4AB809D3" w14:textId="77777777" w:rsidR="000A3BC3" w:rsidRPr="000A3BC3" w:rsidRDefault="000A3BC3" w:rsidP="00E508C0">
            <w:pPr>
              <w:pStyle w:val="cuadroCabe"/>
              <w:spacing w:line="240" w:lineRule="auto"/>
              <w:jc w:val="right"/>
              <w:rPr>
                <w:rFonts w:eastAsia="Calibri"/>
                <w:lang w:val="es-ES" w:eastAsia="es-ES"/>
              </w:rPr>
            </w:pPr>
            <w:proofErr w:type="gramStart"/>
            <w:r w:rsidRPr="000A3BC3">
              <w:rPr>
                <w:rFonts w:eastAsia="Calibri"/>
                <w:lang w:val="es-ES" w:eastAsia="es-ES"/>
              </w:rPr>
              <w:t>Total</w:t>
            </w:r>
            <w:proofErr w:type="gramEnd"/>
            <w:r w:rsidRPr="000A3BC3">
              <w:rPr>
                <w:rFonts w:eastAsia="Calibri"/>
                <w:lang w:val="es-ES" w:eastAsia="es-ES"/>
              </w:rPr>
              <w:t xml:space="preserve"> gasto en presupuesto GN</w:t>
            </w:r>
          </w:p>
        </w:tc>
      </w:tr>
      <w:tr w:rsidR="000A3BC3" w:rsidRPr="00E508C0" w14:paraId="64B11307" w14:textId="77777777" w:rsidTr="00E428A6">
        <w:trPr>
          <w:trHeight w:val="227"/>
        </w:trPr>
        <w:tc>
          <w:tcPr>
            <w:tcW w:w="4962" w:type="dxa"/>
            <w:tcBorders>
              <w:top w:val="single" w:sz="4" w:space="0" w:color="auto"/>
              <w:bottom w:val="single" w:sz="2" w:space="0" w:color="auto"/>
            </w:tcBorders>
            <w:noWrap/>
            <w:tcMar>
              <w:top w:w="0" w:type="dxa"/>
              <w:left w:w="70" w:type="dxa"/>
              <w:bottom w:w="0" w:type="dxa"/>
              <w:right w:w="70" w:type="dxa"/>
            </w:tcMar>
            <w:vAlign w:val="center"/>
            <w:hideMark/>
          </w:tcPr>
          <w:p w14:paraId="571B3B56" w14:textId="77777777" w:rsidR="000A3BC3" w:rsidRPr="00E508C0" w:rsidRDefault="000A3BC3" w:rsidP="00E508C0">
            <w:pPr>
              <w:pStyle w:val="cuatexto"/>
              <w:spacing w:line="240" w:lineRule="auto"/>
              <w:rPr>
                <w:rFonts w:eastAsia="Calibri"/>
              </w:rPr>
            </w:pPr>
            <w:r w:rsidRPr="00E508C0">
              <w:rPr>
                <w:rFonts w:eastAsia="Calibri"/>
              </w:rPr>
              <w:t>Autovía del Camino</w:t>
            </w:r>
          </w:p>
        </w:tc>
        <w:tc>
          <w:tcPr>
            <w:tcW w:w="283" w:type="dxa"/>
            <w:tcBorders>
              <w:top w:val="single" w:sz="4" w:space="0" w:color="auto"/>
              <w:bottom w:val="single" w:sz="2" w:space="0" w:color="auto"/>
            </w:tcBorders>
            <w:noWrap/>
            <w:tcMar>
              <w:top w:w="0" w:type="dxa"/>
              <w:left w:w="70" w:type="dxa"/>
              <w:bottom w:w="0" w:type="dxa"/>
              <w:right w:w="70" w:type="dxa"/>
            </w:tcMar>
            <w:vAlign w:val="center"/>
          </w:tcPr>
          <w:p w14:paraId="4AC03ED0" w14:textId="77777777" w:rsidR="000A3BC3" w:rsidRPr="00E508C0" w:rsidRDefault="000A3BC3" w:rsidP="00E508C0">
            <w:pPr>
              <w:pStyle w:val="cuatexto"/>
              <w:spacing w:line="240" w:lineRule="auto"/>
              <w:rPr>
                <w:rFonts w:eastAsia="Calibri"/>
              </w:rPr>
            </w:pPr>
          </w:p>
        </w:tc>
        <w:tc>
          <w:tcPr>
            <w:tcW w:w="3827" w:type="dxa"/>
            <w:tcBorders>
              <w:top w:val="single" w:sz="4" w:space="0" w:color="auto"/>
              <w:bottom w:val="single" w:sz="2" w:space="0" w:color="auto"/>
            </w:tcBorders>
            <w:noWrap/>
            <w:tcMar>
              <w:top w:w="0" w:type="dxa"/>
              <w:left w:w="70" w:type="dxa"/>
              <w:bottom w:w="0" w:type="dxa"/>
              <w:right w:w="70" w:type="dxa"/>
            </w:tcMar>
            <w:vAlign w:val="center"/>
            <w:hideMark/>
          </w:tcPr>
          <w:p w14:paraId="4C3692F8" w14:textId="77777777" w:rsidR="000A3BC3" w:rsidRPr="00E508C0" w:rsidRDefault="000A3BC3" w:rsidP="00E508C0">
            <w:pPr>
              <w:pStyle w:val="cuatexto"/>
              <w:spacing w:line="240" w:lineRule="auto"/>
              <w:jc w:val="right"/>
              <w:rPr>
                <w:rFonts w:eastAsia="Calibri"/>
              </w:rPr>
            </w:pPr>
            <w:r w:rsidRPr="00E508C0">
              <w:rPr>
                <w:rFonts w:eastAsia="Calibri"/>
              </w:rPr>
              <w:t>603.653</w:t>
            </w:r>
          </w:p>
        </w:tc>
      </w:tr>
      <w:tr w:rsidR="000A3BC3" w:rsidRPr="00E508C0" w14:paraId="7197ECDB" w14:textId="77777777" w:rsidTr="00585A5D">
        <w:trPr>
          <w:trHeight w:val="227"/>
        </w:trPr>
        <w:tc>
          <w:tcPr>
            <w:tcW w:w="4962" w:type="dxa"/>
            <w:tcBorders>
              <w:top w:val="single" w:sz="2" w:space="0" w:color="auto"/>
              <w:bottom w:val="single" w:sz="2" w:space="0" w:color="auto"/>
            </w:tcBorders>
            <w:noWrap/>
            <w:tcMar>
              <w:top w:w="0" w:type="dxa"/>
              <w:left w:w="70" w:type="dxa"/>
              <w:bottom w:w="0" w:type="dxa"/>
              <w:right w:w="70" w:type="dxa"/>
            </w:tcMar>
            <w:vAlign w:val="center"/>
            <w:hideMark/>
          </w:tcPr>
          <w:p w14:paraId="7833D2B3" w14:textId="77777777" w:rsidR="000A3BC3" w:rsidRPr="00E508C0" w:rsidRDefault="000A3BC3" w:rsidP="00E508C0">
            <w:pPr>
              <w:pStyle w:val="cuatexto"/>
              <w:spacing w:line="240" w:lineRule="auto"/>
              <w:rPr>
                <w:rFonts w:eastAsia="Calibri"/>
              </w:rPr>
            </w:pPr>
            <w:r w:rsidRPr="00E508C0">
              <w:rPr>
                <w:rFonts w:eastAsia="Calibri"/>
              </w:rPr>
              <w:t>Autovía del Pirineo</w:t>
            </w:r>
          </w:p>
        </w:tc>
        <w:tc>
          <w:tcPr>
            <w:tcW w:w="283" w:type="dxa"/>
            <w:tcBorders>
              <w:top w:val="single" w:sz="2" w:space="0" w:color="auto"/>
              <w:bottom w:val="single" w:sz="2" w:space="0" w:color="auto"/>
            </w:tcBorders>
            <w:noWrap/>
            <w:tcMar>
              <w:top w:w="0" w:type="dxa"/>
              <w:left w:w="70" w:type="dxa"/>
              <w:bottom w:w="0" w:type="dxa"/>
              <w:right w:w="70" w:type="dxa"/>
            </w:tcMar>
            <w:vAlign w:val="center"/>
          </w:tcPr>
          <w:p w14:paraId="77271117" w14:textId="77777777" w:rsidR="000A3BC3" w:rsidRPr="00E508C0" w:rsidRDefault="000A3BC3" w:rsidP="00E508C0">
            <w:pPr>
              <w:pStyle w:val="cuatexto"/>
              <w:spacing w:line="240" w:lineRule="auto"/>
              <w:rPr>
                <w:rFonts w:eastAsia="Calibri"/>
              </w:rPr>
            </w:pPr>
          </w:p>
        </w:tc>
        <w:tc>
          <w:tcPr>
            <w:tcW w:w="3827" w:type="dxa"/>
            <w:tcBorders>
              <w:top w:val="single" w:sz="2" w:space="0" w:color="auto"/>
              <w:bottom w:val="single" w:sz="2" w:space="0" w:color="auto"/>
            </w:tcBorders>
            <w:noWrap/>
            <w:tcMar>
              <w:top w:w="0" w:type="dxa"/>
              <w:left w:w="70" w:type="dxa"/>
              <w:bottom w:w="0" w:type="dxa"/>
              <w:right w:w="70" w:type="dxa"/>
            </w:tcMar>
            <w:vAlign w:val="center"/>
            <w:hideMark/>
          </w:tcPr>
          <w:p w14:paraId="30C78722" w14:textId="77777777" w:rsidR="000A3BC3" w:rsidRPr="00E508C0" w:rsidRDefault="000A3BC3" w:rsidP="00E508C0">
            <w:pPr>
              <w:pStyle w:val="cuatexto"/>
              <w:spacing w:line="240" w:lineRule="auto"/>
              <w:jc w:val="right"/>
              <w:rPr>
                <w:rFonts w:eastAsia="Calibri"/>
              </w:rPr>
            </w:pPr>
            <w:r w:rsidRPr="00E508C0">
              <w:rPr>
                <w:rFonts w:eastAsia="Calibri"/>
              </w:rPr>
              <w:t>160.100</w:t>
            </w:r>
          </w:p>
        </w:tc>
      </w:tr>
      <w:tr w:rsidR="000A3BC3" w:rsidRPr="00E508C0" w14:paraId="35F43422" w14:textId="77777777" w:rsidTr="00585A5D">
        <w:trPr>
          <w:trHeight w:val="227"/>
        </w:trPr>
        <w:tc>
          <w:tcPr>
            <w:tcW w:w="4962" w:type="dxa"/>
            <w:tcBorders>
              <w:top w:val="single" w:sz="2" w:space="0" w:color="auto"/>
              <w:bottom w:val="single" w:sz="2" w:space="0" w:color="auto"/>
            </w:tcBorders>
            <w:noWrap/>
            <w:tcMar>
              <w:top w:w="0" w:type="dxa"/>
              <w:left w:w="70" w:type="dxa"/>
              <w:bottom w:w="0" w:type="dxa"/>
              <w:right w:w="70" w:type="dxa"/>
            </w:tcMar>
            <w:vAlign w:val="center"/>
            <w:hideMark/>
          </w:tcPr>
          <w:p w14:paraId="6C666EAA" w14:textId="77777777" w:rsidR="000A3BC3" w:rsidRPr="00E508C0" w:rsidRDefault="000A3BC3" w:rsidP="00E508C0">
            <w:pPr>
              <w:pStyle w:val="cuatexto"/>
              <w:spacing w:line="240" w:lineRule="auto"/>
              <w:rPr>
                <w:rFonts w:eastAsia="Calibri"/>
              </w:rPr>
            </w:pPr>
            <w:r w:rsidRPr="00E508C0">
              <w:rPr>
                <w:rFonts w:eastAsia="Calibri"/>
              </w:rPr>
              <w:t>Zonas regables del Canal de Navarra (1ª fase)</w:t>
            </w:r>
          </w:p>
        </w:tc>
        <w:tc>
          <w:tcPr>
            <w:tcW w:w="283" w:type="dxa"/>
            <w:tcBorders>
              <w:top w:val="single" w:sz="2" w:space="0" w:color="auto"/>
              <w:bottom w:val="single" w:sz="2" w:space="0" w:color="auto"/>
            </w:tcBorders>
            <w:noWrap/>
            <w:tcMar>
              <w:top w:w="0" w:type="dxa"/>
              <w:left w:w="70" w:type="dxa"/>
              <w:bottom w:w="0" w:type="dxa"/>
              <w:right w:w="70" w:type="dxa"/>
            </w:tcMar>
            <w:vAlign w:val="center"/>
          </w:tcPr>
          <w:p w14:paraId="30B0592F" w14:textId="77777777" w:rsidR="000A3BC3" w:rsidRPr="00E508C0" w:rsidRDefault="000A3BC3" w:rsidP="00E508C0">
            <w:pPr>
              <w:pStyle w:val="cuatexto"/>
              <w:spacing w:line="240" w:lineRule="auto"/>
              <w:rPr>
                <w:rFonts w:eastAsia="Calibri"/>
              </w:rPr>
            </w:pPr>
          </w:p>
        </w:tc>
        <w:tc>
          <w:tcPr>
            <w:tcW w:w="3827" w:type="dxa"/>
            <w:tcBorders>
              <w:top w:val="single" w:sz="2" w:space="0" w:color="auto"/>
              <w:bottom w:val="single" w:sz="2" w:space="0" w:color="auto"/>
            </w:tcBorders>
            <w:noWrap/>
            <w:tcMar>
              <w:top w:w="0" w:type="dxa"/>
              <w:left w:w="70" w:type="dxa"/>
              <w:bottom w:w="0" w:type="dxa"/>
              <w:right w:w="70" w:type="dxa"/>
            </w:tcMar>
            <w:vAlign w:val="center"/>
            <w:hideMark/>
          </w:tcPr>
          <w:p w14:paraId="785A296D" w14:textId="77777777" w:rsidR="000A3BC3" w:rsidRPr="00E508C0" w:rsidRDefault="000A3BC3" w:rsidP="00E508C0">
            <w:pPr>
              <w:pStyle w:val="cuatexto"/>
              <w:spacing w:line="240" w:lineRule="auto"/>
              <w:jc w:val="right"/>
              <w:rPr>
                <w:rFonts w:eastAsia="Calibri"/>
              </w:rPr>
            </w:pPr>
            <w:r w:rsidRPr="00E508C0">
              <w:rPr>
                <w:rFonts w:eastAsia="Calibri"/>
              </w:rPr>
              <w:t>169.721</w:t>
            </w:r>
          </w:p>
        </w:tc>
      </w:tr>
      <w:tr w:rsidR="000A3BC3" w:rsidRPr="00E508C0" w14:paraId="21344B5F" w14:textId="77777777" w:rsidTr="00E428A6">
        <w:trPr>
          <w:trHeight w:val="227"/>
        </w:trPr>
        <w:tc>
          <w:tcPr>
            <w:tcW w:w="4962" w:type="dxa"/>
            <w:tcBorders>
              <w:top w:val="single" w:sz="2" w:space="0" w:color="auto"/>
              <w:bottom w:val="single" w:sz="4" w:space="0" w:color="auto"/>
            </w:tcBorders>
            <w:noWrap/>
            <w:tcMar>
              <w:top w:w="0" w:type="dxa"/>
              <w:left w:w="70" w:type="dxa"/>
              <w:bottom w:w="0" w:type="dxa"/>
              <w:right w:w="70" w:type="dxa"/>
            </w:tcMar>
            <w:vAlign w:val="center"/>
            <w:hideMark/>
          </w:tcPr>
          <w:p w14:paraId="7480C7CD" w14:textId="77777777" w:rsidR="000A3BC3" w:rsidRPr="00E508C0" w:rsidRDefault="000A3BC3" w:rsidP="00E508C0">
            <w:pPr>
              <w:pStyle w:val="cuatexto"/>
              <w:spacing w:line="240" w:lineRule="auto"/>
              <w:rPr>
                <w:rFonts w:eastAsia="Calibri"/>
              </w:rPr>
            </w:pPr>
            <w:r w:rsidRPr="00E508C0">
              <w:rPr>
                <w:rFonts w:eastAsia="Calibri"/>
              </w:rPr>
              <w:t>Zonas regables Canal de Navarra. Ampliación 1ª Fase</w:t>
            </w:r>
          </w:p>
        </w:tc>
        <w:tc>
          <w:tcPr>
            <w:tcW w:w="283" w:type="dxa"/>
            <w:tcBorders>
              <w:top w:val="single" w:sz="2" w:space="0" w:color="auto"/>
              <w:bottom w:val="single" w:sz="4" w:space="0" w:color="auto"/>
            </w:tcBorders>
            <w:noWrap/>
            <w:tcMar>
              <w:top w:w="0" w:type="dxa"/>
              <w:left w:w="70" w:type="dxa"/>
              <w:bottom w:w="0" w:type="dxa"/>
              <w:right w:w="70" w:type="dxa"/>
            </w:tcMar>
            <w:vAlign w:val="center"/>
          </w:tcPr>
          <w:p w14:paraId="0B7E004F" w14:textId="77777777" w:rsidR="000A3BC3" w:rsidRPr="00E508C0" w:rsidRDefault="000A3BC3" w:rsidP="00E508C0">
            <w:pPr>
              <w:pStyle w:val="cuatexto"/>
              <w:spacing w:line="240" w:lineRule="auto"/>
              <w:rPr>
                <w:rFonts w:eastAsia="Calibri"/>
              </w:rPr>
            </w:pPr>
          </w:p>
        </w:tc>
        <w:tc>
          <w:tcPr>
            <w:tcW w:w="3827" w:type="dxa"/>
            <w:tcBorders>
              <w:top w:val="single" w:sz="2" w:space="0" w:color="auto"/>
              <w:bottom w:val="single" w:sz="4" w:space="0" w:color="auto"/>
            </w:tcBorders>
            <w:noWrap/>
            <w:tcMar>
              <w:top w:w="0" w:type="dxa"/>
              <w:left w:w="70" w:type="dxa"/>
              <w:bottom w:w="0" w:type="dxa"/>
              <w:right w:w="70" w:type="dxa"/>
            </w:tcMar>
            <w:vAlign w:val="center"/>
            <w:hideMark/>
          </w:tcPr>
          <w:p w14:paraId="7BDE7B7C" w14:textId="77777777" w:rsidR="000A3BC3" w:rsidRPr="00E508C0" w:rsidRDefault="000A3BC3" w:rsidP="00E508C0">
            <w:pPr>
              <w:pStyle w:val="cuatexto"/>
              <w:spacing w:line="240" w:lineRule="auto"/>
              <w:jc w:val="right"/>
              <w:rPr>
                <w:rFonts w:eastAsia="Calibri"/>
              </w:rPr>
            </w:pPr>
            <w:r w:rsidRPr="00E508C0">
              <w:rPr>
                <w:rFonts w:eastAsia="Calibri"/>
              </w:rPr>
              <w:t>35.394</w:t>
            </w:r>
          </w:p>
        </w:tc>
      </w:tr>
      <w:tr w:rsidR="000A3BC3" w:rsidRPr="00E508C0" w14:paraId="67C41326" w14:textId="77777777" w:rsidTr="00E428A6">
        <w:trPr>
          <w:trHeight w:val="227"/>
        </w:trPr>
        <w:tc>
          <w:tcPr>
            <w:tcW w:w="4962" w:type="dxa"/>
            <w:tcBorders>
              <w:top w:val="single" w:sz="4" w:space="0" w:color="auto"/>
              <w:bottom w:val="single" w:sz="4" w:space="0" w:color="auto"/>
            </w:tcBorders>
            <w:shd w:val="clear" w:color="auto" w:fill="B8CCE4" w:themeFill="accent1" w:themeFillTint="66"/>
            <w:noWrap/>
            <w:tcMar>
              <w:top w:w="0" w:type="dxa"/>
              <w:left w:w="70" w:type="dxa"/>
              <w:bottom w:w="0" w:type="dxa"/>
              <w:right w:w="70" w:type="dxa"/>
            </w:tcMar>
            <w:vAlign w:val="center"/>
            <w:hideMark/>
          </w:tcPr>
          <w:p w14:paraId="6E3C30C9" w14:textId="77777777" w:rsidR="000A3BC3" w:rsidRPr="00E508C0" w:rsidRDefault="000A3BC3" w:rsidP="00E508C0">
            <w:pPr>
              <w:pStyle w:val="cuadroCabe"/>
              <w:spacing w:line="240" w:lineRule="auto"/>
              <w:rPr>
                <w:rFonts w:eastAsia="Calibri"/>
                <w:lang w:val="es-ES" w:eastAsia="es-ES"/>
              </w:rPr>
            </w:pPr>
            <w:r w:rsidRPr="00E508C0">
              <w:rPr>
                <w:rFonts w:eastAsia="Calibri"/>
                <w:lang w:val="es-ES" w:eastAsia="es-ES"/>
              </w:rPr>
              <w:t>Total</w:t>
            </w:r>
          </w:p>
        </w:tc>
        <w:tc>
          <w:tcPr>
            <w:tcW w:w="283" w:type="dxa"/>
            <w:tcBorders>
              <w:top w:val="single" w:sz="4" w:space="0" w:color="auto"/>
              <w:bottom w:val="single" w:sz="4" w:space="0" w:color="auto"/>
            </w:tcBorders>
            <w:shd w:val="clear" w:color="auto" w:fill="B8CCE4" w:themeFill="accent1" w:themeFillTint="66"/>
            <w:noWrap/>
            <w:tcMar>
              <w:top w:w="0" w:type="dxa"/>
              <w:left w:w="70" w:type="dxa"/>
              <w:bottom w:w="0" w:type="dxa"/>
              <w:right w:w="70" w:type="dxa"/>
            </w:tcMar>
            <w:vAlign w:val="center"/>
            <w:hideMark/>
          </w:tcPr>
          <w:p w14:paraId="16286E7B" w14:textId="77777777" w:rsidR="000A3BC3" w:rsidRPr="00E508C0" w:rsidRDefault="000A3BC3" w:rsidP="00E508C0">
            <w:pPr>
              <w:pStyle w:val="cuadroCabe"/>
              <w:spacing w:line="240" w:lineRule="auto"/>
              <w:rPr>
                <w:rFonts w:eastAsia="Calibri"/>
                <w:lang w:val="es-ES" w:eastAsia="es-ES"/>
              </w:rPr>
            </w:pPr>
            <w:r w:rsidRPr="00E508C0">
              <w:rPr>
                <w:rFonts w:eastAsia="Calibri"/>
                <w:lang w:val="es-ES" w:eastAsia="es-ES"/>
              </w:rPr>
              <w:t> </w:t>
            </w:r>
          </w:p>
        </w:tc>
        <w:tc>
          <w:tcPr>
            <w:tcW w:w="3827" w:type="dxa"/>
            <w:tcBorders>
              <w:top w:val="single" w:sz="4" w:space="0" w:color="auto"/>
              <w:bottom w:val="single" w:sz="4" w:space="0" w:color="auto"/>
            </w:tcBorders>
            <w:shd w:val="clear" w:color="auto" w:fill="B8CCE4" w:themeFill="accent1" w:themeFillTint="66"/>
            <w:noWrap/>
            <w:tcMar>
              <w:top w:w="0" w:type="dxa"/>
              <w:left w:w="70" w:type="dxa"/>
              <w:bottom w:w="0" w:type="dxa"/>
              <w:right w:w="70" w:type="dxa"/>
            </w:tcMar>
            <w:vAlign w:val="center"/>
            <w:hideMark/>
          </w:tcPr>
          <w:p w14:paraId="2823280C" w14:textId="77777777" w:rsidR="000A3BC3" w:rsidRPr="00E508C0" w:rsidRDefault="000A3BC3" w:rsidP="00E508C0">
            <w:pPr>
              <w:pStyle w:val="cuadroCabe"/>
              <w:spacing w:line="240" w:lineRule="auto"/>
              <w:jc w:val="right"/>
              <w:rPr>
                <w:rFonts w:eastAsia="Calibri"/>
                <w:lang w:val="es-ES" w:eastAsia="es-ES"/>
              </w:rPr>
            </w:pPr>
            <w:r w:rsidRPr="00E508C0">
              <w:rPr>
                <w:rFonts w:eastAsia="Calibri"/>
                <w:lang w:val="es-ES" w:eastAsia="es-ES"/>
              </w:rPr>
              <w:t>968.868</w:t>
            </w:r>
          </w:p>
        </w:tc>
      </w:tr>
    </w:tbl>
    <w:p w14:paraId="681F7AE2" w14:textId="77777777" w:rsidR="000A3BC3" w:rsidRDefault="000A3BC3" w:rsidP="00E508C0">
      <w:pPr>
        <w:pStyle w:val="texto"/>
        <w:spacing w:after="0"/>
      </w:pPr>
    </w:p>
    <w:p w14:paraId="1ABA2764" w14:textId="77777777" w:rsidR="006F35E4" w:rsidRDefault="006F35E4" w:rsidP="00BF1472">
      <w:pPr>
        <w:pStyle w:val="texto"/>
      </w:pPr>
      <w:r>
        <w:t xml:space="preserve">Del análisis realizado sobre la gestión de las concesiones </w:t>
      </w:r>
      <w:r w:rsidR="002078DC">
        <w:t>objeto de fiscalización, hemos</w:t>
      </w:r>
      <w:r>
        <w:t xml:space="preserve"> alcanzado las siguientes conclusiones:</w:t>
      </w:r>
    </w:p>
    <w:p w14:paraId="7285E165" w14:textId="77777777" w:rsidR="006F35E4" w:rsidRPr="003142D1" w:rsidRDefault="00454E4A" w:rsidP="00BF1472">
      <w:pPr>
        <w:pStyle w:val="texto"/>
        <w:rPr>
          <w:b/>
          <w:i/>
        </w:rPr>
      </w:pPr>
      <w:r w:rsidRPr="00454E4A">
        <w:rPr>
          <w:rFonts w:ascii="Arial" w:hAnsi="Arial" w:cs="Arial"/>
          <w:i/>
          <w:sz w:val="25"/>
          <w:szCs w:val="25"/>
        </w:rPr>
        <w:t>A</w:t>
      </w:r>
      <w:r w:rsidR="006F35E4" w:rsidRPr="00454E4A">
        <w:rPr>
          <w:rFonts w:ascii="Arial" w:hAnsi="Arial" w:cs="Arial"/>
          <w:i/>
          <w:sz w:val="25"/>
          <w:szCs w:val="25"/>
        </w:rPr>
        <w:t>utovías</w:t>
      </w:r>
    </w:p>
    <w:p w14:paraId="1524D721" w14:textId="77777777" w:rsidR="006F35E4" w:rsidRPr="00BF1472" w:rsidRDefault="00A7112A" w:rsidP="00BF1472">
      <w:pPr>
        <w:pStyle w:val="texto"/>
      </w:pPr>
      <w:r w:rsidRPr="005C57BD">
        <w:t>Desde 2014, l</w:t>
      </w:r>
      <w:r w:rsidR="006F35E4" w:rsidRPr="005C57BD">
        <w:t xml:space="preserve">a ACFN no ha nombrado </w:t>
      </w:r>
      <w:r w:rsidRPr="005C57BD">
        <w:t>a ninguna persona para el desempeño del puesto de</w:t>
      </w:r>
      <w:r w:rsidR="006F35E4" w:rsidRPr="005C57BD">
        <w:t xml:space="preserve"> </w:t>
      </w:r>
      <w:r w:rsidR="006F35E4" w:rsidRPr="00BF1472">
        <w:t>Delegado de</w:t>
      </w:r>
      <w:r w:rsidR="007715CA">
        <w:t>l</w:t>
      </w:r>
      <w:r w:rsidR="006F35E4" w:rsidRPr="00BF1472">
        <w:t xml:space="preserve"> Gobierno en ninguna de las dos sociedades concesionarias de las autovías, figura que se contempla en los contratos de concesión para el control de los aspectos financieros de la concesión</w:t>
      </w:r>
      <w:r w:rsidR="006F35E4">
        <w:t>.</w:t>
      </w:r>
    </w:p>
    <w:p w14:paraId="415DD525" w14:textId="77777777" w:rsidR="00C30199" w:rsidRPr="00BF1472" w:rsidRDefault="00B4286D" w:rsidP="00BF1472">
      <w:pPr>
        <w:pStyle w:val="texto"/>
      </w:pPr>
      <w:r>
        <w:t xml:space="preserve">Las transmisiones de acciones representativas del capital social de las sociedades concesionarias se han comunicado, o autorizado en el caso </w:t>
      </w:r>
      <w:r w:rsidR="00922E74">
        <w:t>de la a</w:t>
      </w:r>
      <w:r>
        <w:t>utovía del Pirineo, conforme al contrato de concesión. A 31 de diciembre de 2021</w:t>
      </w:r>
      <w:r w:rsidR="006B4DC3">
        <w:t>,</w:t>
      </w:r>
      <w:r>
        <w:t xml:space="preserve"> l</w:t>
      </w:r>
      <w:r w:rsidR="00C30199" w:rsidRPr="00BF1472">
        <w:t>as dos sociedades concesionarias tienen carácter unipersonal</w:t>
      </w:r>
      <w:r w:rsidR="009C67D5">
        <w:t>.</w:t>
      </w:r>
    </w:p>
    <w:p w14:paraId="47C6C335" w14:textId="77777777" w:rsidR="004C77BE" w:rsidRPr="00D366BE" w:rsidRDefault="006F35E4" w:rsidP="006F35E4">
      <w:pPr>
        <w:pStyle w:val="texto"/>
      </w:pPr>
      <w:r>
        <w:t xml:space="preserve">La ACFN establece en </w:t>
      </w:r>
      <w:r w:rsidR="00361C47">
        <w:t>los contratos concesionales</w:t>
      </w:r>
      <w:r w:rsidR="00C30199" w:rsidRPr="00BF1472">
        <w:t xml:space="preserve"> un máximo a pagar si el tráfico supera determinados niveles de </w:t>
      </w:r>
      <w:r w:rsidR="00C30199" w:rsidRPr="00D366BE">
        <w:t xml:space="preserve">servicio. </w:t>
      </w:r>
      <w:r w:rsidR="00DD3432" w:rsidRPr="00D366BE">
        <w:t xml:space="preserve">No se han superado dichos niveles, por lo que no </w:t>
      </w:r>
      <w:r w:rsidR="00C30199" w:rsidRPr="00D366BE">
        <w:t xml:space="preserve">se ha aplicado </w:t>
      </w:r>
      <w:r w:rsidR="00DD3432" w:rsidRPr="00D366BE">
        <w:t>dicho</w:t>
      </w:r>
      <w:r w:rsidR="00C30199" w:rsidRPr="00D366BE">
        <w:t xml:space="preserve"> límite. </w:t>
      </w:r>
    </w:p>
    <w:p w14:paraId="2F3BAF22" w14:textId="77777777" w:rsidR="00C30199" w:rsidRPr="00FD0D1A" w:rsidRDefault="0001644C" w:rsidP="006F35E4">
      <w:pPr>
        <w:pStyle w:val="texto"/>
      </w:pPr>
      <w:r w:rsidRPr="00D366BE">
        <w:t>El tráfico real fue inferior a las estimaciones de tráfico incluidas en los modelos financieros</w:t>
      </w:r>
      <w:r w:rsidR="000D2F9B" w:rsidRPr="00D366BE">
        <w:t>.</w:t>
      </w:r>
      <w:r w:rsidR="004C77BE" w:rsidRPr="00D366BE">
        <w:t xml:space="preserve"> Las principales diferencias entre </w:t>
      </w:r>
      <w:r w:rsidR="004C77BE" w:rsidRPr="00FD0D1A">
        <w:t xml:space="preserve">el canon anual devengado y las previsiones son consecuencia de </w:t>
      </w:r>
      <w:r w:rsidR="006F39BF" w:rsidRPr="00FD0D1A">
        <w:t xml:space="preserve">unos </w:t>
      </w:r>
      <w:r w:rsidR="004C77BE" w:rsidRPr="00FD0D1A">
        <w:t>menores niveles de tráfico</w:t>
      </w:r>
      <w:r w:rsidR="00697FE1" w:rsidRPr="00FD0D1A">
        <w:t>.</w:t>
      </w:r>
      <w:r w:rsidRPr="00FD0D1A">
        <w:t xml:space="preserve"> En la Autovía del Camino</w:t>
      </w:r>
      <w:r w:rsidR="005D0A13" w:rsidRPr="00FD0D1A">
        <w:t>,</w:t>
      </w:r>
      <w:r w:rsidRPr="00FD0D1A">
        <w:t xml:space="preserve"> el canon devengado ha sido un 20 p</w:t>
      </w:r>
      <w:r w:rsidR="005D0A13" w:rsidRPr="00FD0D1A">
        <w:t>or ciento inferior al previsto; en la Autovía del Pirineo</w:t>
      </w:r>
      <w:r w:rsidR="006F39BF" w:rsidRPr="00FD0D1A">
        <w:t>,</w:t>
      </w:r>
      <w:r w:rsidR="005D0A13" w:rsidRPr="00FD0D1A">
        <w:t xml:space="preserve"> el canon devengado ha sido un 42 </w:t>
      </w:r>
      <w:r w:rsidR="006B4DC3">
        <w:t>por ciento inferior al previsto. E</w:t>
      </w:r>
      <w:r w:rsidR="005D0A13" w:rsidRPr="00FD0D1A">
        <w:t xml:space="preserve">n esta última </w:t>
      </w:r>
      <w:r w:rsidR="006F39BF" w:rsidRPr="00FD0D1A">
        <w:t xml:space="preserve">autovía </w:t>
      </w:r>
      <w:r w:rsidR="005D0A13" w:rsidRPr="00FD0D1A">
        <w:t xml:space="preserve">la diferencia es más significativa debido al retraso en la apertura del corredor pirenaico. </w:t>
      </w:r>
    </w:p>
    <w:p w14:paraId="1FBA6DE4" w14:textId="77777777" w:rsidR="000D2F9B" w:rsidRPr="00BF1472" w:rsidRDefault="000D2F9B" w:rsidP="004F3EFF">
      <w:pPr>
        <w:pStyle w:val="texto"/>
      </w:pPr>
      <w:r>
        <w:t xml:space="preserve">No </w:t>
      </w:r>
      <w:r w:rsidR="0001644C">
        <w:t xml:space="preserve">ha habido incumplimientos significativos de los umbrales de calidad estándares previstos, </w:t>
      </w:r>
      <w:r w:rsidR="0001644C" w:rsidRPr="00776FF4">
        <w:t>por lo que las</w:t>
      </w:r>
      <w:r w:rsidRPr="00776FF4">
        <w:t xml:space="preserve"> penalizaciones económicas</w:t>
      </w:r>
      <w:r w:rsidR="00776FF4" w:rsidRPr="00776FF4">
        <w:t xml:space="preserve"> en los contratos de concesión de las </w:t>
      </w:r>
      <w:r w:rsidR="00776FF4" w:rsidRPr="00FD0D1A">
        <w:t>autovías</w:t>
      </w:r>
      <w:r w:rsidRPr="00FD0D1A">
        <w:t xml:space="preserve"> </w:t>
      </w:r>
      <w:r w:rsidR="006F39BF" w:rsidRPr="00FD0D1A">
        <w:t xml:space="preserve">por valor de </w:t>
      </w:r>
      <w:r w:rsidR="006B4DC3">
        <w:t>300.000 euros</w:t>
      </w:r>
      <w:r w:rsidR="006F39BF" w:rsidRPr="00FD0D1A">
        <w:t xml:space="preserve"> </w:t>
      </w:r>
      <w:r w:rsidR="005D0A13">
        <w:t xml:space="preserve">no han sido </w:t>
      </w:r>
      <w:r w:rsidR="006F39BF">
        <w:t>significativas sobre el canon total.</w:t>
      </w:r>
    </w:p>
    <w:p w14:paraId="4E1682B1" w14:textId="77777777" w:rsidR="00C30199" w:rsidRPr="005869E0" w:rsidRDefault="00C30199" w:rsidP="00AE550C">
      <w:pPr>
        <w:pStyle w:val="texto"/>
        <w:spacing w:after="240"/>
      </w:pPr>
      <w:r w:rsidRPr="00BF1472">
        <w:t>Las sociedades concesionarias de las autovías han presentado</w:t>
      </w:r>
      <w:r w:rsidRPr="00AD7BFB">
        <w:t xml:space="preserve"> </w:t>
      </w:r>
      <w:r w:rsidR="004E0755" w:rsidRPr="00AD7BFB">
        <w:t xml:space="preserve">sendas </w:t>
      </w:r>
      <w:r w:rsidRPr="00AD7BFB">
        <w:t>solicitud</w:t>
      </w:r>
      <w:r w:rsidR="004E0755" w:rsidRPr="00AD7BFB">
        <w:t>es</w:t>
      </w:r>
      <w:r w:rsidRPr="00AD7BFB">
        <w:t xml:space="preserve"> </w:t>
      </w:r>
      <w:r w:rsidRPr="00BF1472">
        <w:t>de reequilibrio concesional por los perjuicios causados por la crisis sanitaria motivada por la pandemia de</w:t>
      </w:r>
      <w:r>
        <w:t xml:space="preserve"> COVID-19, debido al impacto directo en el tráfico de las restriccio</w:t>
      </w:r>
      <w:r w:rsidR="00D64DB4">
        <w:t>nes de movilidad durante 2020</w:t>
      </w:r>
      <w:r>
        <w:t>.</w:t>
      </w:r>
      <w:r w:rsidR="003142D1">
        <w:t xml:space="preserve"> </w:t>
      </w:r>
      <w:r w:rsidR="003142D1" w:rsidRPr="00AD7BFB">
        <w:t xml:space="preserve">Ambas peticiones fueron desestimadas por la </w:t>
      </w:r>
      <w:r w:rsidR="00E439BF" w:rsidRPr="00AD7BFB">
        <w:t xml:space="preserve">ACFN y las concesionarias </w:t>
      </w:r>
      <w:r w:rsidR="00AD7BFB" w:rsidRPr="00AD7BFB">
        <w:t>interpusieron</w:t>
      </w:r>
      <w:r w:rsidR="00E439BF" w:rsidRPr="00AD7BFB">
        <w:t xml:space="preserve"> recurso contencioso administrativo ante el </w:t>
      </w:r>
      <w:r w:rsidR="00576DA8">
        <w:t xml:space="preserve">Tribunal Superior de Justicia de Navarra (en adelante </w:t>
      </w:r>
      <w:r w:rsidR="00E439BF" w:rsidRPr="00AD7BFB">
        <w:t>TSJN</w:t>
      </w:r>
      <w:r w:rsidR="00576DA8">
        <w:t>)</w:t>
      </w:r>
      <w:r w:rsidR="00E439BF" w:rsidRPr="00AD7BFB">
        <w:t>.</w:t>
      </w:r>
      <w:r w:rsidRPr="00AD7BFB">
        <w:t xml:space="preserve"> </w:t>
      </w:r>
      <w:r>
        <w:t xml:space="preserve">El </w:t>
      </w:r>
      <w:r w:rsidRPr="00636605">
        <w:t>recurso de la Autovía del Pirineo S.A.U.</w:t>
      </w:r>
      <w:r w:rsidR="003142D1">
        <w:t xml:space="preserve"> </w:t>
      </w:r>
      <w:r>
        <w:t xml:space="preserve">ha sido desestimado por el TSJN por considerar que no queda acreditado que se haya producido la ruptura </w:t>
      </w:r>
      <w:r w:rsidR="00C15FE1" w:rsidRPr="005869E0">
        <w:t xml:space="preserve">del equilibrio </w:t>
      </w:r>
      <w:r w:rsidRPr="005869E0">
        <w:t xml:space="preserve">del </w:t>
      </w:r>
      <w:r>
        <w:t>contrato de concesión q</w:t>
      </w:r>
      <w:r w:rsidR="00FD0D1A">
        <w:t xml:space="preserve">ue tiene una duración de 30 años; </w:t>
      </w:r>
      <w:r w:rsidR="00FD0D1A" w:rsidRPr="001215BC">
        <w:t xml:space="preserve">la sociedad </w:t>
      </w:r>
      <w:r w:rsidR="00FD0D1A" w:rsidRPr="001215BC">
        <w:rPr>
          <w:rFonts w:eastAsia="Calibri"/>
          <w:lang w:eastAsia="es-ES"/>
        </w:rPr>
        <w:t xml:space="preserve">concesionaria </w:t>
      </w:r>
      <w:r w:rsidR="0084760B" w:rsidRPr="001215BC">
        <w:rPr>
          <w:rFonts w:eastAsia="Calibri"/>
          <w:lang w:eastAsia="es-ES"/>
        </w:rPr>
        <w:t>no ha interpuesto recurso de casación, por lo que se declara firme la sentencia</w:t>
      </w:r>
      <w:r w:rsidR="0084760B" w:rsidRPr="00CA33E3">
        <w:rPr>
          <w:rFonts w:eastAsia="Calibri"/>
          <w:lang w:eastAsia="es-ES"/>
        </w:rPr>
        <w:t>.</w:t>
      </w:r>
      <w:r w:rsidR="0084760B" w:rsidRPr="00CA33E3">
        <w:t xml:space="preserve"> </w:t>
      </w:r>
      <w:r w:rsidR="00040CF3">
        <w:t>El</w:t>
      </w:r>
      <w:r w:rsidR="00E439BF" w:rsidRPr="00CA33E3">
        <w:t xml:space="preserve"> recurso de la </w:t>
      </w:r>
      <w:r w:rsidRPr="00CA33E3">
        <w:t>Autovía del Camino S.A.U.</w:t>
      </w:r>
      <w:r w:rsidR="00040CF3">
        <w:t>, de fecha 20 de mayo de 2022,</w:t>
      </w:r>
      <w:r w:rsidRPr="00CA33E3">
        <w:t xml:space="preserve"> </w:t>
      </w:r>
      <w:r w:rsidR="00984939" w:rsidRPr="00CA33E3">
        <w:t>está pendiente</w:t>
      </w:r>
      <w:r w:rsidR="00290E2E" w:rsidRPr="00CA33E3">
        <w:t xml:space="preserve"> de sentencia</w:t>
      </w:r>
      <w:r w:rsidRPr="005869E0">
        <w:t>.</w:t>
      </w:r>
      <w:r w:rsidR="00DD3432">
        <w:t xml:space="preserve"> </w:t>
      </w:r>
    </w:p>
    <w:p w14:paraId="50A0A959" w14:textId="77777777" w:rsidR="006F35E4" w:rsidRPr="00454E4A" w:rsidRDefault="005B73AD" w:rsidP="00454E4A">
      <w:pPr>
        <w:pStyle w:val="texto"/>
        <w:rPr>
          <w:rFonts w:ascii="Arial" w:hAnsi="Arial" w:cs="Arial"/>
          <w:i/>
          <w:sz w:val="25"/>
          <w:szCs w:val="25"/>
        </w:rPr>
      </w:pPr>
      <w:r w:rsidRPr="00454E4A">
        <w:rPr>
          <w:rFonts w:ascii="Arial" w:hAnsi="Arial" w:cs="Arial"/>
          <w:i/>
          <w:sz w:val="25"/>
          <w:szCs w:val="25"/>
        </w:rPr>
        <w:t>Zona Regable del</w:t>
      </w:r>
      <w:r w:rsidR="008705A5" w:rsidRPr="00454E4A">
        <w:rPr>
          <w:rFonts w:ascii="Arial" w:hAnsi="Arial" w:cs="Arial"/>
          <w:i/>
          <w:sz w:val="25"/>
          <w:szCs w:val="25"/>
        </w:rPr>
        <w:t xml:space="preserve"> C</w:t>
      </w:r>
      <w:r w:rsidR="006F35E4" w:rsidRPr="00454E4A">
        <w:rPr>
          <w:rFonts w:ascii="Arial" w:hAnsi="Arial" w:cs="Arial"/>
          <w:i/>
          <w:sz w:val="25"/>
          <w:szCs w:val="25"/>
        </w:rPr>
        <w:t xml:space="preserve">anal </w:t>
      </w:r>
      <w:r w:rsidR="008705A5" w:rsidRPr="00454E4A">
        <w:rPr>
          <w:rFonts w:ascii="Arial" w:hAnsi="Arial" w:cs="Arial"/>
          <w:i/>
          <w:sz w:val="25"/>
          <w:szCs w:val="25"/>
        </w:rPr>
        <w:t>de Navarra</w:t>
      </w:r>
    </w:p>
    <w:p w14:paraId="3E8DAE7F" w14:textId="77777777" w:rsidR="00C84ED0" w:rsidRDefault="00C84ED0" w:rsidP="00BF1472">
      <w:pPr>
        <w:pStyle w:val="texto"/>
        <w:rPr>
          <w:szCs w:val="26"/>
        </w:rPr>
      </w:pPr>
      <w:r w:rsidRPr="000E54E2">
        <w:rPr>
          <w:szCs w:val="26"/>
        </w:rPr>
        <w:t xml:space="preserve">INTIA </w:t>
      </w:r>
      <w:r>
        <w:rPr>
          <w:szCs w:val="26"/>
        </w:rPr>
        <w:t>ejerce las funciones de inspección, vigilancia y control del cumplimiento de las obligaciones de las so</w:t>
      </w:r>
      <w:r w:rsidR="00A6498C">
        <w:rPr>
          <w:szCs w:val="26"/>
        </w:rPr>
        <w:t>ciedades concesionarias de las Zonas R</w:t>
      </w:r>
      <w:r>
        <w:rPr>
          <w:szCs w:val="26"/>
        </w:rPr>
        <w:t>egables del Canal, tanto en fase de construcción como en fase de explotación.</w:t>
      </w:r>
    </w:p>
    <w:p w14:paraId="5C6C1EF1" w14:textId="77777777" w:rsidR="004D3C6F" w:rsidRPr="00FF1DBC" w:rsidRDefault="006F6E9D" w:rsidP="00AE550C">
      <w:pPr>
        <w:pStyle w:val="texto"/>
        <w:rPr>
          <w:spacing w:val="2"/>
        </w:rPr>
      </w:pPr>
      <w:r w:rsidRPr="00FF1DBC">
        <w:rPr>
          <w:spacing w:val="2"/>
        </w:rPr>
        <w:t>El Delegado</w:t>
      </w:r>
      <w:r w:rsidR="00CA33E3" w:rsidRPr="00FF1DBC">
        <w:rPr>
          <w:spacing w:val="2"/>
        </w:rPr>
        <w:t xml:space="preserve"> del G</w:t>
      </w:r>
      <w:r w:rsidR="004D3C6F" w:rsidRPr="00FF1DBC">
        <w:rPr>
          <w:spacing w:val="2"/>
        </w:rPr>
        <w:t xml:space="preserve">obierno </w:t>
      </w:r>
      <w:r w:rsidR="00542959" w:rsidRPr="00FF1DBC">
        <w:rPr>
          <w:spacing w:val="2"/>
        </w:rPr>
        <w:t xml:space="preserve">de Navarra </w:t>
      </w:r>
      <w:r w:rsidR="004D3C6F" w:rsidRPr="00FF1DBC">
        <w:rPr>
          <w:spacing w:val="2"/>
        </w:rPr>
        <w:t xml:space="preserve">en las sociedades concesionarias asiste a los consejos de administración </w:t>
      </w:r>
      <w:r w:rsidR="00FA6129" w:rsidRPr="00FF1DBC">
        <w:rPr>
          <w:spacing w:val="2"/>
        </w:rPr>
        <w:t xml:space="preserve">y a </w:t>
      </w:r>
      <w:r w:rsidR="004D3C6F" w:rsidRPr="00FF1DBC">
        <w:rPr>
          <w:spacing w:val="2"/>
        </w:rPr>
        <w:t>la comisión mixta de seguimiento de la concesión.</w:t>
      </w:r>
    </w:p>
    <w:p w14:paraId="3AEBF777" w14:textId="77777777" w:rsidR="00C84ED0" w:rsidRDefault="00C84ED0" w:rsidP="00AE550C">
      <w:pPr>
        <w:pStyle w:val="texto"/>
        <w:rPr>
          <w:rFonts w:eastAsia="Calibri"/>
        </w:rPr>
      </w:pPr>
      <w:r w:rsidRPr="00AE550C">
        <w:rPr>
          <w:rFonts w:eastAsia="Calibri"/>
        </w:rPr>
        <w:t>Las compraventas de acciones de las sociedades concesionarias cuentan con la comunicación o autorización previa, en su caso, de la comisión ejecutiva de INTIA</w:t>
      </w:r>
      <w:r w:rsidR="005B73AD" w:rsidRPr="00AE550C">
        <w:rPr>
          <w:rFonts w:eastAsia="Calibri"/>
        </w:rPr>
        <w:t>, de acuerdo con lo previsto en el contrato</w:t>
      </w:r>
      <w:r w:rsidR="009F65A5" w:rsidRPr="00AE550C">
        <w:rPr>
          <w:rFonts w:eastAsia="Calibri"/>
        </w:rPr>
        <w:t>.</w:t>
      </w:r>
      <w:r w:rsidRPr="00AE550C">
        <w:rPr>
          <w:rFonts w:eastAsia="Calibri"/>
        </w:rPr>
        <w:t xml:space="preserve"> </w:t>
      </w:r>
    </w:p>
    <w:p w14:paraId="09816A00" w14:textId="77777777" w:rsidR="006F39BF" w:rsidRPr="001215BC" w:rsidRDefault="006F39BF" w:rsidP="006F39BF">
      <w:pPr>
        <w:pStyle w:val="texto"/>
      </w:pPr>
      <w:r w:rsidRPr="001215BC">
        <w:t>El volumen de agua consumido real fue inferior a las estimaciones de consumo incluidas en los modelos financieros. Las principales diferencias entre el canon anual devengado y las previsiones son consecuencia de un menor volumen de agua consumido. En la Primera Fase del Canal de Navarra, el canon conjunto devengado ha sido un 18 por ciento inferior al previsto; en la Ampliación de la Primera Fase el canon devengado ha sido un 68 por ciento inferior al previsto</w:t>
      </w:r>
      <w:r w:rsidR="006B4DC3">
        <w:t>. E</w:t>
      </w:r>
      <w:r w:rsidRPr="001215BC">
        <w:t xml:space="preserve">n esta última infraestructura, la diferencia es más significativa debido al retraso </w:t>
      </w:r>
      <w:r w:rsidR="009501F2">
        <w:t>del final de obra</w:t>
      </w:r>
      <w:r w:rsidRPr="001215BC">
        <w:t xml:space="preserve">. </w:t>
      </w:r>
    </w:p>
    <w:p w14:paraId="44CC2657" w14:textId="77777777" w:rsidR="006F39BF" w:rsidRPr="00B63B3D" w:rsidRDefault="006F39BF" w:rsidP="006F39BF">
      <w:pPr>
        <w:pStyle w:val="texto"/>
      </w:pPr>
      <w:r w:rsidRPr="00AE550C">
        <w:t xml:space="preserve">Al igual que en las concesiones de las autovías, </w:t>
      </w:r>
      <w:r>
        <w:t xml:space="preserve">no ha habido incumplimientos significativos de los umbrales de calidad, </w:t>
      </w:r>
      <w:r w:rsidRPr="00776FF4">
        <w:t xml:space="preserve">por lo que las </w:t>
      </w:r>
      <w:r>
        <w:t xml:space="preserve">deducciones </w:t>
      </w:r>
      <w:r w:rsidRPr="00B63B3D">
        <w:t xml:space="preserve">por incumplimiento por valor de </w:t>
      </w:r>
      <w:r w:rsidR="006B4DC3" w:rsidRPr="00B63B3D">
        <w:t>13.000 euros</w:t>
      </w:r>
      <w:r w:rsidRPr="00B63B3D">
        <w:t xml:space="preserve"> no son significativas sobre el canon total. </w:t>
      </w:r>
    </w:p>
    <w:p w14:paraId="66E7B51D" w14:textId="77777777" w:rsidR="004F3EFF" w:rsidRPr="00B63B3D" w:rsidRDefault="004F3EFF" w:rsidP="00AE550C">
      <w:pPr>
        <w:pStyle w:val="texto"/>
      </w:pPr>
      <w:r w:rsidRPr="00B63B3D">
        <w:t xml:space="preserve">En 2021 la superficie regable </w:t>
      </w:r>
      <w:r w:rsidR="006F39BF" w:rsidRPr="00B63B3D">
        <w:t>neta de la Primera F</w:t>
      </w:r>
      <w:r w:rsidR="005D07EA" w:rsidRPr="00B63B3D">
        <w:t xml:space="preserve">ase del Canal </w:t>
      </w:r>
      <w:r w:rsidRPr="00B63B3D">
        <w:t xml:space="preserve">asciende a 22.398 hectáreas, de las cuales cuentan con riego instalado un 91 por ciento. </w:t>
      </w:r>
    </w:p>
    <w:p w14:paraId="621C0DBF" w14:textId="77777777" w:rsidR="002E6958" w:rsidRPr="00AE550C" w:rsidRDefault="006F39BF" w:rsidP="002E6958">
      <w:pPr>
        <w:pStyle w:val="texto"/>
      </w:pPr>
      <w:r>
        <w:t>La Ampliación de la Primera F</w:t>
      </w:r>
      <w:r w:rsidR="002E6958" w:rsidRPr="00AE550C">
        <w:t>ase del Canal de Navarra no ha finalizado</w:t>
      </w:r>
      <w:r>
        <w:t>,</w:t>
      </w:r>
      <w:r w:rsidR="002E6958" w:rsidRPr="00427234">
        <w:t xml:space="preserve"> estando prevista su </w:t>
      </w:r>
      <w:r w:rsidR="002E6958" w:rsidRPr="00AE550C">
        <w:t>finalización</w:t>
      </w:r>
      <w:r w:rsidR="00AD7BFB" w:rsidRPr="00AD7BFB">
        <w:t xml:space="preserve"> </w:t>
      </w:r>
      <w:r w:rsidR="002E6958" w:rsidRPr="00AD7BFB">
        <w:t>a</w:t>
      </w:r>
      <w:r w:rsidR="002E6958" w:rsidRPr="00AE550C">
        <w:t xml:space="preserve"> finales de 2023. Los retrasos en la obra tienen como consecuencia un</w:t>
      </w:r>
      <w:r w:rsidR="002E6958">
        <w:t xml:space="preserve"> menor periodo de explotación. </w:t>
      </w:r>
    </w:p>
    <w:p w14:paraId="69484E06" w14:textId="77777777" w:rsidR="003E20C2" w:rsidRDefault="001B5D98" w:rsidP="00022B9A">
      <w:pPr>
        <w:pStyle w:val="texto"/>
        <w:rPr>
          <w:szCs w:val="26"/>
        </w:rPr>
      </w:pPr>
      <w:r w:rsidRPr="005C57BD">
        <w:rPr>
          <w:rFonts w:eastAsia="Calibri"/>
          <w:szCs w:val="26"/>
          <w:lang w:eastAsia="es-ES"/>
        </w:rPr>
        <w:t xml:space="preserve">Con efectos en </w:t>
      </w:r>
      <w:r w:rsidR="005B73AD" w:rsidRPr="001567D0">
        <w:rPr>
          <w:rFonts w:eastAsia="Calibri"/>
          <w:szCs w:val="26"/>
          <w:lang w:eastAsia="es-ES"/>
        </w:rPr>
        <w:t>el periodo objeto de fiscalización</w:t>
      </w:r>
      <w:r w:rsidR="005B73AD">
        <w:rPr>
          <w:rFonts w:eastAsia="Calibri"/>
          <w:szCs w:val="26"/>
          <w:lang w:eastAsia="es-ES"/>
        </w:rPr>
        <w:t>, s</w:t>
      </w:r>
      <w:r w:rsidR="00022B9A" w:rsidRPr="00F97119">
        <w:rPr>
          <w:rFonts w:eastAsia="Calibri"/>
          <w:szCs w:val="26"/>
          <w:lang w:eastAsia="es-ES"/>
        </w:rPr>
        <w:t>e han aprobado cinco reequilibrios del contrato de concesión</w:t>
      </w:r>
      <w:r w:rsidR="006F39BF">
        <w:rPr>
          <w:rFonts w:eastAsia="Calibri"/>
          <w:szCs w:val="26"/>
          <w:lang w:eastAsia="es-ES"/>
        </w:rPr>
        <w:t xml:space="preserve"> de la Ampliación de la Primera F</w:t>
      </w:r>
      <w:r w:rsidR="00022B9A">
        <w:rPr>
          <w:rFonts w:eastAsia="Calibri"/>
          <w:szCs w:val="26"/>
          <w:lang w:eastAsia="es-ES"/>
        </w:rPr>
        <w:t>ase</w:t>
      </w:r>
      <w:r w:rsidR="00FD0D1A">
        <w:rPr>
          <w:rFonts w:eastAsia="Calibri"/>
          <w:szCs w:val="26"/>
          <w:lang w:eastAsia="es-ES"/>
        </w:rPr>
        <w:t xml:space="preserve">. </w:t>
      </w:r>
      <w:r w:rsidR="00022B9A" w:rsidRPr="00F97119">
        <w:rPr>
          <w:rFonts w:eastAsia="Calibri"/>
          <w:szCs w:val="26"/>
          <w:lang w:eastAsia="es-ES"/>
        </w:rPr>
        <w:t>Los restablecimientos del equilibrio económico financiero del contrato dan</w:t>
      </w:r>
      <w:r w:rsidR="00022B9A">
        <w:rPr>
          <w:rFonts w:eastAsia="Calibri"/>
          <w:szCs w:val="26"/>
          <w:lang w:eastAsia="es-ES"/>
        </w:rPr>
        <w:t xml:space="preserve"> </w:t>
      </w:r>
      <w:r w:rsidR="00022B9A" w:rsidRPr="00F97119">
        <w:rPr>
          <w:rFonts w:eastAsia="Calibri"/>
          <w:szCs w:val="26"/>
          <w:lang w:eastAsia="es-ES"/>
        </w:rPr>
        <w:t xml:space="preserve">lugar a la revisión y actualización del </w:t>
      </w:r>
      <w:r w:rsidR="007715CA">
        <w:rPr>
          <w:rFonts w:eastAsia="Calibri"/>
          <w:szCs w:val="26"/>
          <w:lang w:eastAsia="es-ES"/>
        </w:rPr>
        <w:t xml:space="preserve">Plan Económico Financiero (en adelante </w:t>
      </w:r>
      <w:r w:rsidR="00022B9A" w:rsidRPr="00F97119">
        <w:rPr>
          <w:rFonts w:eastAsia="Calibri"/>
          <w:szCs w:val="26"/>
          <w:lang w:eastAsia="es-ES"/>
        </w:rPr>
        <w:t>PEF</w:t>
      </w:r>
      <w:r w:rsidR="007715CA">
        <w:rPr>
          <w:rFonts w:eastAsia="Calibri"/>
          <w:szCs w:val="26"/>
          <w:lang w:eastAsia="es-ES"/>
        </w:rPr>
        <w:t>)</w:t>
      </w:r>
      <w:r w:rsidR="00022B9A" w:rsidRPr="00F97119">
        <w:rPr>
          <w:rFonts w:eastAsia="Calibri"/>
          <w:szCs w:val="26"/>
          <w:lang w:eastAsia="es-ES"/>
        </w:rPr>
        <w:t xml:space="preserve"> al objeto de acomodarlo a las nuevas circunstancias. </w:t>
      </w:r>
      <w:r w:rsidR="003E20C2" w:rsidRPr="00C112D0">
        <w:rPr>
          <w:szCs w:val="26"/>
        </w:rPr>
        <w:t xml:space="preserve">El efecto neto de estos </w:t>
      </w:r>
      <w:r w:rsidR="003E20C2" w:rsidRPr="00DF4557">
        <w:rPr>
          <w:szCs w:val="26"/>
        </w:rPr>
        <w:t xml:space="preserve">reequilibrios supone un incremento del 49,41 por ciento sobre </w:t>
      </w:r>
      <w:r w:rsidR="00DF4557" w:rsidRPr="00DF4557">
        <w:rPr>
          <w:szCs w:val="26"/>
        </w:rPr>
        <w:t>las t</w:t>
      </w:r>
      <w:r w:rsidR="004442FD" w:rsidRPr="00DF4557">
        <w:rPr>
          <w:szCs w:val="26"/>
        </w:rPr>
        <w:t xml:space="preserve">arifas </w:t>
      </w:r>
      <w:r w:rsidR="005B73AD" w:rsidRPr="00DF4557">
        <w:rPr>
          <w:szCs w:val="26"/>
        </w:rPr>
        <w:t>ofertada</w:t>
      </w:r>
      <w:r w:rsidR="004442FD" w:rsidRPr="00DF4557">
        <w:rPr>
          <w:szCs w:val="26"/>
        </w:rPr>
        <w:t>s</w:t>
      </w:r>
      <w:r w:rsidR="00DF4557" w:rsidRPr="00DF4557">
        <w:rPr>
          <w:szCs w:val="26"/>
        </w:rPr>
        <w:t>.</w:t>
      </w:r>
    </w:p>
    <w:p w14:paraId="15E61CC4" w14:textId="77777777" w:rsidR="006F39BF" w:rsidRDefault="006F39BF" w:rsidP="006F39BF">
      <w:pPr>
        <w:pStyle w:val="texto"/>
      </w:pPr>
      <w:r w:rsidRPr="00AD7BFB">
        <w:t>La superfici</w:t>
      </w:r>
      <w:r>
        <w:t>e total en explotación para la Ampliación de la P</w:t>
      </w:r>
      <w:r w:rsidRPr="00AD7BFB">
        <w:t>rimera</w:t>
      </w:r>
      <w:r>
        <w:t xml:space="preserve"> F</w:t>
      </w:r>
      <w:r w:rsidRPr="00AD7BFB">
        <w:t>ase a 31 de diciembre de 2021 asciende a 8.097 hectáreas, un 53 por ciento del total de las 15.275 h</w:t>
      </w:r>
      <w:r w:rsidR="006B4DC3">
        <w:t>ectáreas previstas inicialmente. T</w:t>
      </w:r>
      <w:r w:rsidRPr="00AD7BFB">
        <w:t>ras los reequilibrios, se reducen a 12.989 hectáreas previstas.</w:t>
      </w:r>
    </w:p>
    <w:p w14:paraId="37EA43DA" w14:textId="77777777" w:rsidR="007C584D" w:rsidRPr="00B63B3D" w:rsidRDefault="00333F7F" w:rsidP="00AE550C">
      <w:pPr>
        <w:pStyle w:val="texto"/>
        <w:spacing w:after="240"/>
      </w:pPr>
      <w:r w:rsidRPr="0040587D">
        <w:t xml:space="preserve">La complejidad técnica de estos contratos hace necesaria una especial preparación y licitación de </w:t>
      </w:r>
      <w:proofErr w:type="gramStart"/>
      <w:r w:rsidR="003142D1" w:rsidRPr="00FF4ACB">
        <w:t>los mismos</w:t>
      </w:r>
      <w:proofErr w:type="gramEnd"/>
      <w:r w:rsidR="003142D1" w:rsidRPr="00FF4ACB">
        <w:t xml:space="preserve"> </w:t>
      </w:r>
      <w:r w:rsidRPr="0040587D">
        <w:t>y su pos</w:t>
      </w:r>
      <w:r w:rsidR="006F39BF">
        <w:t>terior control por parte de la A</w:t>
      </w:r>
      <w:r w:rsidRPr="0040587D">
        <w:t xml:space="preserve">dministración. El modelo </w:t>
      </w:r>
      <w:r w:rsidRPr="00B63B3D">
        <w:t>financiero, que forma parte del contrato concesional y que sirve de base para la actualización del PEF</w:t>
      </w:r>
      <w:r w:rsidR="004D3C6F" w:rsidRPr="00B63B3D">
        <w:t xml:space="preserve"> con los reequilibrios</w:t>
      </w:r>
      <w:r w:rsidR="006B4DC3" w:rsidRPr="00B63B3D">
        <w:t>,</w:t>
      </w:r>
      <w:r w:rsidRPr="00B63B3D">
        <w:t xml:space="preserve"> es muy complejo y </w:t>
      </w:r>
      <w:r w:rsidR="00214305" w:rsidRPr="00B63B3D">
        <w:t>ha sido necesario</w:t>
      </w:r>
      <w:r w:rsidR="006B4DC3" w:rsidRPr="00B63B3D">
        <w:t xml:space="preserve"> formalizar</w:t>
      </w:r>
      <w:r w:rsidR="00214305" w:rsidRPr="00B63B3D">
        <w:t xml:space="preserve"> contratos de asistencia técnica para el asesoramiento en el área </w:t>
      </w:r>
      <w:proofErr w:type="gramStart"/>
      <w:r w:rsidR="00214305" w:rsidRPr="00B63B3D">
        <w:t>económico financiera</w:t>
      </w:r>
      <w:proofErr w:type="gramEnd"/>
      <w:r w:rsidRPr="00B63B3D">
        <w:t>.</w:t>
      </w:r>
      <w:r w:rsidR="009800AA" w:rsidRPr="00B63B3D">
        <w:t xml:space="preserve"> </w:t>
      </w:r>
    </w:p>
    <w:p w14:paraId="3139C1F6" w14:textId="77777777" w:rsidR="006F35E4" w:rsidRPr="00454E4A" w:rsidRDefault="00454E4A" w:rsidP="00454E4A">
      <w:pPr>
        <w:pStyle w:val="texto"/>
        <w:rPr>
          <w:rFonts w:ascii="Arial" w:hAnsi="Arial" w:cs="Arial"/>
          <w:i/>
          <w:sz w:val="25"/>
          <w:szCs w:val="25"/>
        </w:rPr>
      </w:pPr>
      <w:r w:rsidRPr="00B63B3D">
        <w:rPr>
          <w:rFonts w:ascii="Arial" w:hAnsi="Arial" w:cs="Arial"/>
          <w:i/>
          <w:sz w:val="25"/>
          <w:szCs w:val="25"/>
        </w:rPr>
        <w:t>R</w:t>
      </w:r>
      <w:r w:rsidR="00A143A4" w:rsidRPr="00B63B3D">
        <w:rPr>
          <w:rFonts w:ascii="Arial" w:hAnsi="Arial" w:cs="Arial"/>
          <w:i/>
          <w:sz w:val="25"/>
          <w:szCs w:val="25"/>
        </w:rPr>
        <w:t xml:space="preserve">eflejo en las Cuentas </w:t>
      </w:r>
      <w:r w:rsidR="00A143A4">
        <w:rPr>
          <w:rFonts w:ascii="Arial" w:hAnsi="Arial" w:cs="Arial"/>
          <w:i/>
          <w:sz w:val="25"/>
          <w:szCs w:val="25"/>
        </w:rPr>
        <w:t>G</w:t>
      </w:r>
      <w:r w:rsidR="006B29C6" w:rsidRPr="00454E4A">
        <w:rPr>
          <w:rFonts w:ascii="Arial" w:hAnsi="Arial" w:cs="Arial"/>
          <w:i/>
          <w:sz w:val="25"/>
          <w:szCs w:val="25"/>
        </w:rPr>
        <w:t>enerales de Navarra</w:t>
      </w:r>
      <w:r>
        <w:rPr>
          <w:rFonts w:ascii="Arial" w:hAnsi="Arial" w:cs="Arial"/>
          <w:i/>
          <w:sz w:val="25"/>
          <w:szCs w:val="25"/>
        </w:rPr>
        <w:t xml:space="preserve"> del peaje en sombra</w:t>
      </w:r>
    </w:p>
    <w:p w14:paraId="0FD2C3F3" w14:textId="77777777" w:rsidR="00B306CC" w:rsidRPr="00D96B04" w:rsidRDefault="00B306CC" w:rsidP="00B306CC">
      <w:pPr>
        <w:pStyle w:val="texto"/>
        <w:tabs>
          <w:tab w:val="clear" w:pos="2835"/>
          <w:tab w:val="clear" w:pos="3969"/>
          <w:tab w:val="clear" w:pos="5103"/>
          <w:tab w:val="clear" w:pos="6237"/>
          <w:tab w:val="clear" w:pos="7371"/>
        </w:tabs>
        <w:rPr>
          <w:strike/>
          <w:szCs w:val="26"/>
        </w:rPr>
      </w:pPr>
      <w:r w:rsidRPr="00D96B04">
        <w:rPr>
          <w:szCs w:val="26"/>
        </w:rPr>
        <w:t xml:space="preserve">La memoria que se incluye dentro de </w:t>
      </w:r>
      <w:r w:rsidR="005E6EC7" w:rsidRPr="00D96B04">
        <w:rPr>
          <w:szCs w:val="26"/>
        </w:rPr>
        <w:t xml:space="preserve">las </w:t>
      </w:r>
      <w:r w:rsidRPr="00D96B04">
        <w:rPr>
          <w:szCs w:val="26"/>
        </w:rPr>
        <w:t>Cuentas Generales</w:t>
      </w:r>
      <w:r w:rsidR="00D4288A" w:rsidRPr="00D96B04">
        <w:rPr>
          <w:szCs w:val="26"/>
        </w:rPr>
        <w:t xml:space="preserve"> </w:t>
      </w:r>
      <w:r w:rsidR="002E25AF" w:rsidRPr="00D96B04">
        <w:rPr>
          <w:szCs w:val="26"/>
        </w:rPr>
        <w:t xml:space="preserve">de Navarra </w:t>
      </w:r>
      <w:r w:rsidRPr="00D96B04">
        <w:rPr>
          <w:szCs w:val="26"/>
        </w:rPr>
        <w:t xml:space="preserve">especifica los flujos de pago previsibles en un epígrafe denominado “Peaje en sombra”. </w:t>
      </w:r>
      <w:r w:rsidRPr="00FD0D1A">
        <w:rPr>
          <w:szCs w:val="26"/>
        </w:rPr>
        <w:t xml:space="preserve">Estas previsiones de gasto futuro tienen consideración </w:t>
      </w:r>
      <w:r w:rsidR="00DB5906" w:rsidRPr="00FD0D1A">
        <w:rPr>
          <w:szCs w:val="26"/>
        </w:rPr>
        <w:t xml:space="preserve">contable </w:t>
      </w:r>
      <w:r w:rsidRPr="00FD0D1A">
        <w:rPr>
          <w:szCs w:val="26"/>
        </w:rPr>
        <w:t xml:space="preserve">de pasivo contingente, </w:t>
      </w:r>
      <w:r w:rsidR="00771A1C" w:rsidRPr="00FD0D1A">
        <w:rPr>
          <w:szCs w:val="26"/>
        </w:rPr>
        <w:t>con obligación de informar en la memoria de las cuentas</w:t>
      </w:r>
      <w:r w:rsidR="00D96B04" w:rsidRPr="00FD0D1A">
        <w:rPr>
          <w:szCs w:val="26"/>
        </w:rPr>
        <w:t>.</w:t>
      </w:r>
    </w:p>
    <w:p w14:paraId="23B402FE" w14:textId="77777777" w:rsidR="00B306CC" w:rsidRDefault="00D96B04" w:rsidP="00B306CC">
      <w:pPr>
        <w:pStyle w:val="texto"/>
        <w:tabs>
          <w:tab w:val="clear" w:pos="2835"/>
          <w:tab w:val="clear" w:pos="3969"/>
          <w:tab w:val="clear" w:pos="5103"/>
          <w:tab w:val="clear" w:pos="6237"/>
          <w:tab w:val="clear" w:pos="7371"/>
        </w:tabs>
        <w:rPr>
          <w:szCs w:val="26"/>
        </w:rPr>
      </w:pPr>
      <w:r w:rsidRPr="00D96B04">
        <w:rPr>
          <w:szCs w:val="26"/>
        </w:rPr>
        <w:t>L</w:t>
      </w:r>
      <w:r w:rsidR="00B306CC" w:rsidRPr="00D96B04">
        <w:rPr>
          <w:szCs w:val="26"/>
        </w:rPr>
        <w:t xml:space="preserve">a inclusión de información en la memoria de las cuentas sobre estos </w:t>
      </w:r>
      <w:r w:rsidR="00934417" w:rsidRPr="00D96B04">
        <w:rPr>
          <w:szCs w:val="26"/>
        </w:rPr>
        <w:t>contrato</w:t>
      </w:r>
      <w:r w:rsidRPr="00D96B04">
        <w:rPr>
          <w:szCs w:val="26"/>
        </w:rPr>
        <w:t>s</w:t>
      </w:r>
      <w:r w:rsidR="00934417" w:rsidRPr="00D96B04">
        <w:rPr>
          <w:szCs w:val="26"/>
        </w:rPr>
        <w:t xml:space="preserve"> de concesión </w:t>
      </w:r>
      <w:r w:rsidR="00B306CC">
        <w:rPr>
          <w:szCs w:val="26"/>
        </w:rPr>
        <w:t>es fundamental</w:t>
      </w:r>
      <w:r w:rsidR="00B306CC" w:rsidRPr="0066710B">
        <w:rPr>
          <w:szCs w:val="26"/>
        </w:rPr>
        <w:t>,</w:t>
      </w:r>
      <w:r w:rsidR="00B306CC">
        <w:rPr>
          <w:szCs w:val="26"/>
        </w:rPr>
        <w:t xml:space="preserve"> y </w:t>
      </w:r>
      <w:r w:rsidR="00B306CC" w:rsidRPr="00027613">
        <w:rPr>
          <w:szCs w:val="26"/>
        </w:rPr>
        <w:t xml:space="preserve">especialmente </w:t>
      </w:r>
      <w:r w:rsidR="00B306CC">
        <w:rPr>
          <w:szCs w:val="26"/>
        </w:rPr>
        <w:t xml:space="preserve">de manera individualizada para cada </w:t>
      </w:r>
      <w:r>
        <w:rPr>
          <w:szCs w:val="26"/>
        </w:rPr>
        <w:t>concesión</w:t>
      </w:r>
      <w:r w:rsidR="00B306CC" w:rsidRPr="0066710B">
        <w:rPr>
          <w:szCs w:val="26"/>
        </w:rPr>
        <w:t>: descripción de</w:t>
      </w:r>
      <w:r>
        <w:rPr>
          <w:szCs w:val="26"/>
        </w:rPr>
        <w:t xml:space="preserve"> la concesión</w:t>
      </w:r>
      <w:r w:rsidR="00B306CC" w:rsidRPr="0066710B">
        <w:rPr>
          <w:szCs w:val="26"/>
        </w:rPr>
        <w:t xml:space="preserve">, términos relevantes </w:t>
      </w:r>
      <w:r w:rsidR="00B306CC">
        <w:rPr>
          <w:szCs w:val="26"/>
        </w:rPr>
        <w:t>de</w:t>
      </w:r>
      <w:r>
        <w:rPr>
          <w:szCs w:val="26"/>
        </w:rPr>
        <w:t xml:space="preserve"> </w:t>
      </w:r>
      <w:r w:rsidR="00B306CC">
        <w:rPr>
          <w:szCs w:val="26"/>
        </w:rPr>
        <w:t>l</w:t>
      </w:r>
      <w:r>
        <w:rPr>
          <w:szCs w:val="26"/>
        </w:rPr>
        <w:t>a misma</w:t>
      </w:r>
      <w:r w:rsidR="00B306CC" w:rsidRPr="0066710B">
        <w:rPr>
          <w:szCs w:val="26"/>
        </w:rPr>
        <w:t xml:space="preserve"> (importes, plazos…), pagos realizados en concepto de canon, gastos futuros previstos, expedientes de restablecimiento</w:t>
      </w:r>
      <w:r w:rsidR="00B306CC" w:rsidRPr="00D96B04">
        <w:rPr>
          <w:szCs w:val="26"/>
        </w:rPr>
        <w:t xml:space="preserve"> de</w:t>
      </w:r>
      <w:r w:rsidR="005F5524" w:rsidRPr="00D96B04">
        <w:rPr>
          <w:szCs w:val="26"/>
        </w:rPr>
        <w:t>l</w:t>
      </w:r>
      <w:r w:rsidR="00B306CC" w:rsidRPr="00D96B04">
        <w:rPr>
          <w:szCs w:val="26"/>
        </w:rPr>
        <w:t xml:space="preserve"> </w:t>
      </w:r>
      <w:r w:rsidR="00B306CC" w:rsidRPr="0066710B">
        <w:rPr>
          <w:szCs w:val="26"/>
        </w:rPr>
        <w:t>equilibrio económico-patrimonial etc.</w:t>
      </w:r>
    </w:p>
    <w:p w14:paraId="4BE38936" w14:textId="77777777" w:rsidR="00B306CC" w:rsidRPr="00DF2CF2" w:rsidRDefault="006B4DC3" w:rsidP="00585A5D">
      <w:pPr>
        <w:pStyle w:val="texto"/>
        <w:tabs>
          <w:tab w:val="clear" w:pos="2835"/>
          <w:tab w:val="clear" w:pos="3969"/>
          <w:tab w:val="clear" w:pos="5103"/>
          <w:tab w:val="clear" w:pos="6237"/>
          <w:tab w:val="clear" w:pos="7371"/>
        </w:tabs>
        <w:spacing w:after="120"/>
        <w:rPr>
          <w:szCs w:val="26"/>
        </w:rPr>
      </w:pPr>
      <w:r>
        <w:rPr>
          <w:szCs w:val="26"/>
        </w:rPr>
        <w:t>La prolongada</w:t>
      </w:r>
      <w:r w:rsidR="00B306CC">
        <w:rPr>
          <w:szCs w:val="26"/>
        </w:rPr>
        <w:t xml:space="preserve"> duración de los contratos de concesión obliga a realizar </w:t>
      </w:r>
      <w:r w:rsidR="00B306CC" w:rsidRPr="00DF2CF2">
        <w:rPr>
          <w:szCs w:val="26"/>
        </w:rPr>
        <w:t xml:space="preserve">predicciones </w:t>
      </w:r>
      <w:r w:rsidR="00B306CC">
        <w:rPr>
          <w:szCs w:val="26"/>
        </w:rPr>
        <w:t xml:space="preserve">a largo plazo, con el riesgo de que pueda producirse un cambio de hipótesis, hechos y circunstancias contenidos en los PEF. </w:t>
      </w:r>
      <w:r w:rsidR="006938E3" w:rsidRPr="001215BC">
        <w:rPr>
          <w:szCs w:val="26"/>
        </w:rPr>
        <w:t>Las previsiones de impacto plurianual</w:t>
      </w:r>
      <w:r w:rsidR="00425AC1" w:rsidRPr="001215BC">
        <w:rPr>
          <w:szCs w:val="26"/>
        </w:rPr>
        <w:t xml:space="preserve"> </w:t>
      </w:r>
      <w:r w:rsidR="00240539" w:rsidRPr="001215BC">
        <w:rPr>
          <w:szCs w:val="26"/>
        </w:rPr>
        <w:t xml:space="preserve">reflejadas </w:t>
      </w:r>
      <w:r w:rsidR="006938E3" w:rsidRPr="001215BC">
        <w:rPr>
          <w:szCs w:val="26"/>
        </w:rPr>
        <w:t xml:space="preserve">en la memoria de </w:t>
      </w:r>
      <w:r w:rsidR="00240539" w:rsidRPr="001215BC">
        <w:rPr>
          <w:szCs w:val="26"/>
        </w:rPr>
        <w:t xml:space="preserve">las </w:t>
      </w:r>
      <w:r w:rsidR="006938E3" w:rsidRPr="001215BC">
        <w:rPr>
          <w:szCs w:val="26"/>
        </w:rPr>
        <w:t>Cuentas Generales</w:t>
      </w:r>
      <w:r w:rsidR="00365883" w:rsidRPr="001215BC">
        <w:rPr>
          <w:szCs w:val="26"/>
        </w:rPr>
        <w:t xml:space="preserve"> de Navarra</w:t>
      </w:r>
      <w:r w:rsidR="00240539" w:rsidRPr="001215BC">
        <w:rPr>
          <w:szCs w:val="26"/>
        </w:rPr>
        <w:t xml:space="preserve"> a 31 de diciembre de </w:t>
      </w:r>
      <w:r w:rsidR="00240539" w:rsidRPr="00A13F3E">
        <w:rPr>
          <w:szCs w:val="26"/>
        </w:rPr>
        <w:t>2021 ascienden a 1.643 millones</w:t>
      </w:r>
      <w:r w:rsidR="00FD0D1A" w:rsidRPr="00A13F3E">
        <w:rPr>
          <w:szCs w:val="26"/>
        </w:rPr>
        <w:t xml:space="preserve"> de euros corrientes; si bien </w:t>
      </w:r>
      <w:r w:rsidR="00F0766F" w:rsidRPr="00A13F3E">
        <w:rPr>
          <w:szCs w:val="26"/>
        </w:rPr>
        <w:t xml:space="preserve">estas estimaciones no </w:t>
      </w:r>
      <w:r w:rsidR="00A13F3E" w:rsidRPr="00A13F3E">
        <w:rPr>
          <w:szCs w:val="26"/>
        </w:rPr>
        <w:t xml:space="preserve">se han elaborado </w:t>
      </w:r>
      <w:proofErr w:type="gramStart"/>
      <w:r w:rsidR="00A13F3E" w:rsidRPr="00A13F3E">
        <w:rPr>
          <w:szCs w:val="26"/>
        </w:rPr>
        <w:t>de acuerdo a</w:t>
      </w:r>
      <w:proofErr w:type="gramEnd"/>
      <w:r w:rsidR="00A13F3E" w:rsidRPr="00A13F3E">
        <w:rPr>
          <w:szCs w:val="26"/>
        </w:rPr>
        <w:t xml:space="preserve"> un cálculo actualizado.</w:t>
      </w:r>
    </w:p>
    <w:p w14:paraId="7313CCA2" w14:textId="77777777" w:rsidR="00B306CC" w:rsidRPr="00DF2CF2" w:rsidRDefault="00B306CC" w:rsidP="00585A5D">
      <w:pPr>
        <w:pStyle w:val="texto"/>
        <w:tabs>
          <w:tab w:val="clear" w:pos="2835"/>
          <w:tab w:val="clear" w:pos="3969"/>
          <w:tab w:val="clear" w:pos="5103"/>
          <w:tab w:val="clear" w:pos="6237"/>
          <w:tab w:val="clear" w:pos="7371"/>
        </w:tabs>
        <w:spacing w:after="120"/>
        <w:rPr>
          <w:szCs w:val="26"/>
        </w:rPr>
      </w:pPr>
      <w:r w:rsidRPr="00DF2CF2">
        <w:rPr>
          <w:szCs w:val="26"/>
        </w:rPr>
        <w:t xml:space="preserve"> </w:t>
      </w:r>
      <w:r w:rsidRPr="00DF2CF2">
        <w:t>La adecuada contabilización y suministro de información financiera</w:t>
      </w:r>
      <w:r w:rsidR="0013540C" w:rsidRPr="00DF2CF2">
        <w:t xml:space="preserve"> de estas operaciones permitiría </w:t>
      </w:r>
      <w:r w:rsidRPr="00DF2CF2">
        <w:t>establecer previsiones de actuaciones futuras con datos económico-financieros derivados de la información contable.</w:t>
      </w:r>
    </w:p>
    <w:p w14:paraId="599E51E5" w14:textId="77777777" w:rsidR="00EA07F2" w:rsidRPr="00585A5D" w:rsidRDefault="009A330B" w:rsidP="00585A5D">
      <w:pPr>
        <w:pStyle w:val="texto"/>
        <w:spacing w:after="120"/>
        <w:rPr>
          <w:spacing w:val="0"/>
          <w:szCs w:val="26"/>
        </w:rPr>
      </w:pPr>
      <w:r w:rsidRPr="00585A5D">
        <w:rPr>
          <w:spacing w:val="0"/>
          <w:szCs w:val="26"/>
        </w:rPr>
        <w:t>De forma independiente al tratamiento en</w:t>
      </w:r>
      <w:r w:rsidR="008C0887" w:rsidRPr="00585A5D">
        <w:rPr>
          <w:spacing w:val="0"/>
          <w:szCs w:val="26"/>
        </w:rPr>
        <w:t xml:space="preserve"> </w:t>
      </w:r>
      <w:r w:rsidR="005D0A13" w:rsidRPr="00585A5D">
        <w:rPr>
          <w:spacing w:val="0"/>
          <w:szCs w:val="26"/>
        </w:rPr>
        <w:t>contabilidad mencionado</w:t>
      </w:r>
      <w:r w:rsidR="00D31EEB" w:rsidRPr="00585A5D">
        <w:rPr>
          <w:spacing w:val="0"/>
          <w:szCs w:val="26"/>
        </w:rPr>
        <w:t xml:space="preserve"> </w:t>
      </w:r>
      <w:r w:rsidR="005D0A13" w:rsidRPr="00585A5D">
        <w:rPr>
          <w:spacing w:val="0"/>
          <w:szCs w:val="26"/>
        </w:rPr>
        <w:t>anteriormente</w:t>
      </w:r>
      <w:r w:rsidR="00557337">
        <w:rPr>
          <w:spacing w:val="0"/>
          <w:szCs w:val="26"/>
        </w:rPr>
        <w:t>,</w:t>
      </w:r>
      <w:r w:rsidR="005D0A13" w:rsidRPr="00585A5D">
        <w:rPr>
          <w:spacing w:val="0"/>
          <w:szCs w:val="26"/>
        </w:rPr>
        <w:t xml:space="preserve"> en</w:t>
      </w:r>
      <w:r w:rsidR="00D31EEB" w:rsidRPr="00585A5D">
        <w:rPr>
          <w:spacing w:val="0"/>
          <w:szCs w:val="26"/>
        </w:rPr>
        <w:t xml:space="preserve"> contabilidad nacional</w:t>
      </w:r>
      <w:r w:rsidR="00557337">
        <w:rPr>
          <w:spacing w:val="0"/>
          <w:szCs w:val="26"/>
        </w:rPr>
        <w:t xml:space="preserve"> los principios o criterios</w:t>
      </w:r>
      <w:r w:rsidR="00FD0D1A" w:rsidRPr="00585A5D">
        <w:rPr>
          <w:spacing w:val="0"/>
          <w:szCs w:val="26"/>
        </w:rPr>
        <w:t xml:space="preserve"> para el cálculo del</w:t>
      </w:r>
      <w:r w:rsidR="00D31EEB" w:rsidRPr="00585A5D">
        <w:rPr>
          <w:spacing w:val="0"/>
          <w:szCs w:val="26"/>
        </w:rPr>
        <w:t xml:space="preserve"> déficit y la deuda a efectos de estabilidad presupuestaria</w:t>
      </w:r>
      <w:r w:rsidR="008C0887" w:rsidRPr="00585A5D">
        <w:rPr>
          <w:spacing w:val="0"/>
          <w:szCs w:val="26"/>
        </w:rPr>
        <w:t xml:space="preserve"> y sostenibilidad financiera son diferentes.</w:t>
      </w:r>
    </w:p>
    <w:p w14:paraId="29B89F86" w14:textId="77777777" w:rsidR="00B306CC" w:rsidRPr="00B306CC" w:rsidRDefault="00FD0D1A" w:rsidP="00585A5D">
      <w:pPr>
        <w:pStyle w:val="texto"/>
        <w:spacing w:after="120"/>
        <w:rPr>
          <w:szCs w:val="26"/>
        </w:rPr>
      </w:pPr>
      <w:r>
        <w:rPr>
          <w:szCs w:val="26"/>
        </w:rPr>
        <w:t>Así, e</w:t>
      </w:r>
      <w:r w:rsidR="00D02D7A">
        <w:rPr>
          <w:szCs w:val="26"/>
        </w:rPr>
        <w:t xml:space="preserve">l tratamiento de estas operaciones en el ámbito de la contabilidad nacional ha sido </w:t>
      </w:r>
      <w:r w:rsidR="0040587D">
        <w:rPr>
          <w:szCs w:val="26"/>
        </w:rPr>
        <w:t>uno de los objetivos</w:t>
      </w:r>
      <w:r w:rsidR="00D02D7A">
        <w:rPr>
          <w:szCs w:val="26"/>
        </w:rPr>
        <w:t xml:space="preserve"> que ha provocado el uso de esta fórmula.</w:t>
      </w:r>
      <w:r w:rsidR="00D02D7A" w:rsidRPr="00D02D7A">
        <w:t xml:space="preserve"> </w:t>
      </w:r>
      <w:r w:rsidR="001B1E09" w:rsidRPr="00DF2CF2">
        <w:t xml:space="preserve">Sin embargo, </w:t>
      </w:r>
      <w:r w:rsidR="001B1E09">
        <w:rPr>
          <w:szCs w:val="26"/>
        </w:rPr>
        <w:t>l</w:t>
      </w:r>
      <w:r w:rsidR="00373E42">
        <w:rPr>
          <w:szCs w:val="26"/>
        </w:rPr>
        <w:t xml:space="preserve">as concesiones analizadas no han tenido el mismo tratamiento en </w:t>
      </w:r>
      <w:r>
        <w:rPr>
          <w:szCs w:val="26"/>
        </w:rPr>
        <w:t>ese ámbito</w:t>
      </w:r>
      <w:r w:rsidR="00B306CC">
        <w:rPr>
          <w:szCs w:val="26"/>
        </w:rPr>
        <w:t>.</w:t>
      </w:r>
      <w:r w:rsidR="0040587D" w:rsidRPr="0040587D">
        <w:rPr>
          <w:szCs w:val="26"/>
        </w:rPr>
        <w:t xml:space="preserve"> </w:t>
      </w:r>
      <w:r w:rsidR="00B306CC" w:rsidRPr="006861B6">
        <w:rPr>
          <w:szCs w:val="26"/>
        </w:rPr>
        <w:t xml:space="preserve">No </w:t>
      </w:r>
      <w:r w:rsidR="0072517A" w:rsidRPr="00DF2CF2">
        <w:rPr>
          <w:szCs w:val="26"/>
        </w:rPr>
        <w:t>consta</w:t>
      </w:r>
      <w:r w:rsidR="00B306CC" w:rsidRPr="006861B6">
        <w:rPr>
          <w:szCs w:val="26"/>
        </w:rPr>
        <w:t xml:space="preserve"> un análisis sobre la interpretación del criterio de transferencia de riesgos seguido por </w:t>
      </w:r>
      <w:r w:rsidR="0080251A">
        <w:rPr>
          <w:szCs w:val="26"/>
        </w:rPr>
        <w:t>la</w:t>
      </w:r>
      <w:r w:rsidR="00B306CC" w:rsidRPr="006861B6">
        <w:rPr>
          <w:szCs w:val="26"/>
        </w:rPr>
        <w:t xml:space="preserve"> </w:t>
      </w:r>
      <w:r w:rsidR="0080251A" w:rsidRPr="00611817">
        <w:rPr>
          <w:rFonts w:eastAsia="Calibri"/>
          <w:szCs w:val="26"/>
          <w:lang w:eastAsia="es-ES"/>
        </w:rPr>
        <w:t>autoridad estatal competente</w:t>
      </w:r>
      <w:r w:rsidR="00464D7F">
        <w:rPr>
          <w:rStyle w:val="Refdenotaalpie"/>
          <w:rFonts w:eastAsia="Calibri"/>
          <w:szCs w:val="26"/>
          <w:lang w:eastAsia="es-ES"/>
        </w:rPr>
        <w:footnoteReference w:id="1"/>
      </w:r>
      <w:r w:rsidR="0080251A" w:rsidRPr="00DF2CF2">
        <w:rPr>
          <w:szCs w:val="26"/>
        </w:rPr>
        <w:t xml:space="preserve"> </w:t>
      </w:r>
      <w:r w:rsidR="00AE43D5" w:rsidRPr="00DF2CF2">
        <w:rPr>
          <w:szCs w:val="26"/>
        </w:rPr>
        <w:t>para la calificación de los contratos a efectos de contabilidad nacional</w:t>
      </w:r>
      <w:r w:rsidR="00B306CC" w:rsidRPr="006861B6">
        <w:rPr>
          <w:szCs w:val="26"/>
        </w:rPr>
        <w:t xml:space="preserve">, </w:t>
      </w:r>
      <w:r>
        <w:rPr>
          <w:szCs w:val="26"/>
        </w:rPr>
        <w:t xml:space="preserve">ni </w:t>
      </w:r>
      <w:r w:rsidR="00B306CC" w:rsidRPr="006861B6">
        <w:rPr>
          <w:szCs w:val="26"/>
        </w:rPr>
        <w:t xml:space="preserve">tampoco consta documento de dicho órgano que justifique el diferente tratamiento en las cuentas nacionales.  </w:t>
      </w:r>
    </w:p>
    <w:p w14:paraId="2ACCAFA6" w14:textId="77777777" w:rsidR="00C30199" w:rsidRDefault="00C30199" w:rsidP="00585A5D">
      <w:pPr>
        <w:pStyle w:val="texto"/>
        <w:spacing w:after="120"/>
      </w:pPr>
      <w:r w:rsidRPr="000F5EA2">
        <w:t xml:space="preserve">Teniendo </w:t>
      </w:r>
      <w:r>
        <w:t xml:space="preserve">en cuenta las conclusiones alcanzadas </w:t>
      </w:r>
      <w:r w:rsidRPr="00E428A6">
        <w:rPr>
          <w:i/>
        </w:rPr>
        <w:t>recomendamos:</w:t>
      </w:r>
      <w:r>
        <w:t xml:space="preserve"> </w:t>
      </w:r>
    </w:p>
    <w:p w14:paraId="097B303A" w14:textId="77777777" w:rsidR="004C6760" w:rsidRPr="002E6CDF" w:rsidRDefault="004C6760" w:rsidP="00585A5D">
      <w:pPr>
        <w:pStyle w:val="texto"/>
        <w:numPr>
          <w:ilvl w:val="0"/>
          <w:numId w:val="24"/>
        </w:numPr>
        <w:tabs>
          <w:tab w:val="clear" w:pos="2835"/>
          <w:tab w:val="clear" w:pos="3969"/>
          <w:tab w:val="clear" w:pos="5103"/>
          <w:tab w:val="clear" w:pos="6237"/>
          <w:tab w:val="clear" w:pos="7371"/>
        </w:tabs>
        <w:spacing w:after="100"/>
        <w:ind w:left="0" w:firstLine="425"/>
        <w:rPr>
          <w:i/>
          <w:szCs w:val="26"/>
        </w:rPr>
      </w:pPr>
      <w:r w:rsidRPr="002E6CDF">
        <w:rPr>
          <w:i/>
          <w:szCs w:val="26"/>
        </w:rPr>
        <w:t>Realizar</w:t>
      </w:r>
      <w:r>
        <w:rPr>
          <w:i/>
          <w:szCs w:val="26"/>
        </w:rPr>
        <w:t xml:space="preserve"> </w:t>
      </w:r>
      <w:r w:rsidRPr="00A70925">
        <w:rPr>
          <w:i/>
          <w:szCs w:val="26"/>
        </w:rPr>
        <w:t xml:space="preserve">de manera previa </w:t>
      </w:r>
      <w:r w:rsidRPr="002E6CDF">
        <w:rPr>
          <w:i/>
          <w:szCs w:val="26"/>
        </w:rPr>
        <w:t>estudios de viabilidad completos,</w:t>
      </w:r>
      <w:r w:rsidR="00EA309C" w:rsidRPr="001A0178">
        <w:rPr>
          <w:i/>
          <w:color w:val="FF0000"/>
          <w:szCs w:val="26"/>
        </w:rPr>
        <w:t xml:space="preserve"> </w:t>
      </w:r>
      <w:r w:rsidRPr="002E6CDF">
        <w:rPr>
          <w:i/>
          <w:szCs w:val="26"/>
        </w:rPr>
        <w:t>dejando constancia de las diferentes alternativas de financiación públicas y público-privadas</w:t>
      </w:r>
      <w:r>
        <w:rPr>
          <w:i/>
          <w:szCs w:val="26"/>
        </w:rPr>
        <w:t xml:space="preserve"> </w:t>
      </w:r>
      <w:r w:rsidRPr="00401418">
        <w:rPr>
          <w:i/>
          <w:szCs w:val="26"/>
        </w:rPr>
        <w:t>y justificando la propuesta realizada.</w:t>
      </w:r>
    </w:p>
    <w:p w14:paraId="55F5C808" w14:textId="77777777" w:rsidR="004C6760" w:rsidRPr="0040587D" w:rsidRDefault="004C6760" w:rsidP="00585A5D">
      <w:pPr>
        <w:pStyle w:val="texto"/>
        <w:numPr>
          <w:ilvl w:val="0"/>
          <w:numId w:val="24"/>
        </w:numPr>
        <w:tabs>
          <w:tab w:val="clear" w:pos="2835"/>
          <w:tab w:val="clear" w:pos="3969"/>
          <w:tab w:val="clear" w:pos="5103"/>
          <w:tab w:val="clear" w:pos="6237"/>
          <w:tab w:val="clear" w:pos="7371"/>
        </w:tabs>
        <w:spacing w:after="100"/>
        <w:ind w:left="0" w:firstLine="425"/>
        <w:rPr>
          <w:i/>
          <w:szCs w:val="26"/>
        </w:rPr>
      </w:pPr>
      <w:r w:rsidRPr="0040587D">
        <w:rPr>
          <w:i/>
          <w:szCs w:val="26"/>
        </w:rPr>
        <w:t>Planificar</w:t>
      </w:r>
      <w:r>
        <w:rPr>
          <w:i/>
          <w:szCs w:val="26"/>
        </w:rPr>
        <w:t>,</w:t>
      </w:r>
      <w:r w:rsidRPr="0040587D">
        <w:rPr>
          <w:i/>
          <w:szCs w:val="26"/>
        </w:rPr>
        <w:t xml:space="preserve"> a efectos de contratos futuros</w:t>
      </w:r>
      <w:r>
        <w:rPr>
          <w:i/>
          <w:szCs w:val="26"/>
        </w:rPr>
        <w:t>,</w:t>
      </w:r>
      <w:r w:rsidRPr="0040587D">
        <w:rPr>
          <w:i/>
          <w:szCs w:val="26"/>
        </w:rPr>
        <w:t xml:space="preserve"> la elaboración de planes </w:t>
      </w:r>
      <w:proofErr w:type="gramStart"/>
      <w:r w:rsidRPr="0040587D">
        <w:rPr>
          <w:i/>
          <w:szCs w:val="26"/>
        </w:rPr>
        <w:t>económico financieros</w:t>
      </w:r>
      <w:proofErr w:type="gramEnd"/>
      <w:r w:rsidRPr="0040587D">
        <w:rPr>
          <w:i/>
          <w:szCs w:val="26"/>
        </w:rPr>
        <w:t xml:space="preserve"> fácilmente verificables que eviten tener que externalizar la validación de los mismos.</w:t>
      </w:r>
      <w:r w:rsidRPr="0040587D">
        <w:t xml:space="preserve"> </w:t>
      </w:r>
    </w:p>
    <w:p w14:paraId="5107C621" w14:textId="77777777" w:rsidR="004C6760" w:rsidRPr="00401418" w:rsidRDefault="004C6760" w:rsidP="00585A5D">
      <w:pPr>
        <w:pStyle w:val="texto"/>
        <w:numPr>
          <w:ilvl w:val="0"/>
          <w:numId w:val="24"/>
        </w:numPr>
        <w:tabs>
          <w:tab w:val="clear" w:pos="2835"/>
          <w:tab w:val="clear" w:pos="3969"/>
          <w:tab w:val="clear" w:pos="5103"/>
          <w:tab w:val="clear" w:pos="6237"/>
          <w:tab w:val="clear" w:pos="7371"/>
        </w:tabs>
        <w:spacing w:after="100"/>
        <w:ind w:left="0" w:firstLine="425"/>
        <w:rPr>
          <w:i/>
          <w:szCs w:val="26"/>
        </w:rPr>
      </w:pPr>
      <w:r w:rsidRPr="00401418">
        <w:rPr>
          <w:i/>
        </w:rPr>
        <w:t>Solicitar del órgano competente, antes de cada adjudicación, el tratamiento que recibirá la infraestructura a efectos de déficit y deuda.</w:t>
      </w:r>
    </w:p>
    <w:p w14:paraId="3248B70E" w14:textId="77777777" w:rsidR="00361C47" w:rsidRPr="00361C47" w:rsidRDefault="00361C47" w:rsidP="00585A5D">
      <w:pPr>
        <w:pStyle w:val="texto"/>
        <w:numPr>
          <w:ilvl w:val="0"/>
          <w:numId w:val="24"/>
        </w:numPr>
        <w:tabs>
          <w:tab w:val="clear" w:pos="2835"/>
          <w:tab w:val="clear" w:pos="3969"/>
          <w:tab w:val="clear" w:pos="5103"/>
          <w:tab w:val="clear" w:pos="6237"/>
          <w:tab w:val="clear" w:pos="7371"/>
        </w:tabs>
        <w:spacing w:after="100"/>
        <w:ind w:left="0" w:firstLine="425"/>
        <w:rPr>
          <w:i/>
          <w:szCs w:val="26"/>
        </w:rPr>
      </w:pPr>
      <w:r w:rsidRPr="00361C47">
        <w:rPr>
          <w:i/>
          <w:szCs w:val="26"/>
        </w:rPr>
        <w:t xml:space="preserve">Nombrar al Delegado </w:t>
      </w:r>
      <w:r w:rsidRPr="00401418">
        <w:rPr>
          <w:i/>
          <w:szCs w:val="26"/>
        </w:rPr>
        <w:t>de</w:t>
      </w:r>
      <w:r w:rsidR="005F5524" w:rsidRPr="00401418">
        <w:rPr>
          <w:i/>
          <w:szCs w:val="26"/>
        </w:rPr>
        <w:t>l</w:t>
      </w:r>
      <w:r w:rsidRPr="00401418">
        <w:rPr>
          <w:i/>
          <w:szCs w:val="26"/>
        </w:rPr>
        <w:t xml:space="preserve"> gobierno</w:t>
      </w:r>
      <w:r w:rsidRPr="00361C47">
        <w:rPr>
          <w:i/>
          <w:szCs w:val="26"/>
        </w:rPr>
        <w:t xml:space="preserve"> </w:t>
      </w:r>
      <w:r>
        <w:rPr>
          <w:i/>
          <w:szCs w:val="26"/>
        </w:rPr>
        <w:t xml:space="preserve">en las sociedades concesionarias de las autovías </w:t>
      </w:r>
      <w:r w:rsidRPr="00361C47">
        <w:rPr>
          <w:i/>
          <w:szCs w:val="26"/>
        </w:rPr>
        <w:t xml:space="preserve">para </w:t>
      </w:r>
      <w:r>
        <w:rPr>
          <w:i/>
          <w:szCs w:val="26"/>
        </w:rPr>
        <w:t>un mayor control de los aspectos financieros de la concesión.</w:t>
      </w:r>
    </w:p>
    <w:p w14:paraId="2AA37079" w14:textId="77777777" w:rsidR="00C30199" w:rsidRDefault="00C30199" w:rsidP="00585A5D">
      <w:pPr>
        <w:pStyle w:val="texto"/>
        <w:numPr>
          <w:ilvl w:val="0"/>
          <w:numId w:val="24"/>
        </w:numPr>
        <w:tabs>
          <w:tab w:val="clear" w:pos="2835"/>
          <w:tab w:val="clear" w:pos="3969"/>
          <w:tab w:val="clear" w:pos="5103"/>
          <w:tab w:val="clear" w:pos="6237"/>
          <w:tab w:val="clear" w:pos="7371"/>
        </w:tabs>
        <w:spacing w:after="100"/>
        <w:ind w:left="0" w:firstLine="425"/>
        <w:rPr>
          <w:i/>
          <w:szCs w:val="26"/>
        </w:rPr>
      </w:pPr>
      <w:r>
        <w:rPr>
          <w:i/>
          <w:szCs w:val="26"/>
        </w:rPr>
        <w:t xml:space="preserve">Incluir información en la memoria de </w:t>
      </w:r>
      <w:r w:rsidR="00365883">
        <w:rPr>
          <w:i/>
          <w:szCs w:val="26"/>
        </w:rPr>
        <w:t xml:space="preserve">las </w:t>
      </w:r>
      <w:r w:rsidR="00974801">
        <w:rPr>
          <w:i/>
          <w:szCs w:val="26"/>
        </w:rPr>
        <w:t>Cuentas Generales</w:t>
      </w:r>
      <w:r w:rsidR="00365883">
        <w:rPr>
          <w:i/>
          <w:szCs w:val="26"/>
        </w:rPr>
        <w:t xml:space="preserve"> de Navarra</w:t>
      </w:r>
      <w:r>
        <w:rPr>
          <w:i/>
          <w:szCs w:val="26"/>
        </w:rPr>
        <w:t xml:space="preserve"> </w:t>
      </w:r>
      <w:r w:rsidR="001147C6">
        <w:rPr>
          <w:i/>
          <w:szCs w:val="26"/>
        </w:rPr>
        <w:t xml:space="preserve">de manera individualizada para cada </w:t>
      </w:r>
      <w:r w:rsidR="00DF2CF2" w:rsidRPr="00DF2CF2">
        <w:rPr>
          <w:i/>
          <w:szCs w:val="26"/>
        </w:rPr>
        <w:t>contrato</w:t>
      </w:r>
      <w:r w:rsidR="001147C6" w:rsidRPr="00DF2CF2">
        <w:rPr>
          <w:i/>
          <w:szCs w:val="26"/>
        </w:rPr>
        <w:t xml:space="preserve"> de concesión, </w:t>
      </w:r>
      <w:r w:rsidR="001147C6">
        <w:rPr>
          <w:i/>
          <w:szCs w:val="26"/>
        </w:rPr>
        <w:t>relativa a</w:t>
      </w:r>
      <w:r>
        <w:rPr>
          <w:i/>
          <w:szCs w:val="26"/>
        </w:rPr>
        <w:t xml:space="preserve"> pagos realizados, gastos futuros previstos, expedientes de restablecimiento del equilibrio económico patrimonial</w:t>
      </w:r>
      <w:r w:rsidR="00401418">
        <w:rPr>
          <w:i/>
          <w:szCs w:val="26"/>
        </w:rPr>
        <w:t>,</w:t>
      </w:r>
      <w:r>
        <w:rPr>
          <w:i/>
          <w:szCs w:val="26"/>
        </w:rPr>
        <w:t xml:space="preserve"> etc. </w:t>
      </w:r>
      <w:r w:rsidR="00486991" w:rsidRPr="00DF2CF2">
        <w:rPr>
          <w:i/>
          <w:szCs w:val="26"/>
        </w:rPr>
        <w:t xml:space="preserve">para conseguir una </w:t>
      </w:r>
      <w:r>
        <w:rPr>
          <w:i/>
          <w:szCs w:val="26"/>
        </w:rPr>
        <w:t>mayor transparencia en la información presupuestaria.</w:t>
      </w:r>
    </w:p>
    <w:p w14:paraId="5B1EAA5F" w14:textId="77777777" w:rsidR="00C30199" w:rsidRPr="00862B59" w:rsidRDefault="00C30199" w:rsidP="00585A5D">
      <w:pPr>
        <w:pStyle w:val="texto"/>
        <w:numPr>
          <w:ilvl w:val="0"/>
          <w:numId w:val="24"/>
        </w:numPr>
        <w:tabs>
          <w:tab w:val="clear" w:pos="2835"/>
          <w:tab w:val="clear" w:pos="3969"/>
          <w:tab w:val="clear" w:pos="5103"/>
          <w:tab w:val="clear" w:pos="6237"/>
          <w:tab w:val="clear" w:pos="7371"/>
        </w:tabs>
        <w:spacing w:after="120"/>
        <w:ind w:left="0" w:firstLine="425"/>
        <w:rPr>
          <w:i/>
          <w:strike/>
          <w:szCs w:val="26"/>
        </w:rPr>
      </w:pPr>
      <w:r w:rsidRPr="00DF2CF2">
        <w:rPr>
          <w:i/>
          <w:szCs w:val="26"/>
        </w:rPr>
        <w:t>Registrar adecuadamente y con un criterio homogéneo los compromisos de gasto futuros, por el valor actual, en términos constantes</w:t>
      </w:r>
      <w:r w:rsidR="00DF2CF2" w:rsidRPr="00401418">
        <w:rPr>
          <w:i/>
          <w:szCs w:val="26"/>
        </w:rPr>
        <w:t>.</w:t>
      </w:r>
    </w:p>
    <w:p w14:paraId="427AE53D" w14:textId="77777777" w:rsidR="00C30199" w:rsidRPr="00C03A14" w:rsidRDefault="009D772D" w:rsidP="00C30199">
      <w:pPr>
        <w:pStyle w:val="atitulo1"/>
        <w:rPr>
          <w:spacing w:val="-2"/>
        </w:rPr>
      </w:pPr>
      <w:bookmarkStart w:id="16" w:name="_Toc126321316"/>
      <w:r>
        <w:t>I</w:t>
      </w:r>
      <w:r w:rsidR="00C30199" w:rsidRPr="00BB1925">
        <w:t>V</w:t>
      </w:r>
      <w:r w:rsidR="00C03A14">
        <w:t>.</w:t>
      </w:r>
      <w:r w:rsidR="00C30199" w:rsidRPr="005543B7">
        <w:t xml:space="preserve"> </w:t>
      </w:r>
      <w:r w:rsidR="00C30199" w:rsidRPr="00C03A14">
        <w:rPr>
          <w:spacing w:val="-2"/>
        </w:rPr>
        <w:t>Responsabilidad de la Administración de la Comunidad Foral de Navarra</w:t>
      </w:r>
      <w:bookmarkEnd w:id="16"/>
      <w:r w:rsidR="00C30199" w:rsidRPr="00C03A14">
        <w:rPr>
          <w:spacing w:val="-2"/>
        </w:rPr>
        <w:t xml:space="preserve"> </w:t>
      </w:r>
    </w:p>
    <w:p w14:paraId="7FB9301F" w14:textId="77777777" w:rsidR="00C30199" w:rsidRDefault="00C30199" w:rsidP="00C30199">
      <w:pPr>
        <w:pStyle w:val="texto"/>
      </w:pPr>
      <w:r>
        <w:t xml:space="preserve">Los departamentos de Cohesión Territorial, Economía y Hacienda, </w:t>
      </w:r>
      <w:proofErr w:type="spellStart"/>
      <w:r>
        <w:t>DDRyMA</w:t>
      </w:r>
      <w:proofErr w:type="spellEnd"/>
      <w:r>
        <w:t xml:space="preserve"> y la sociedad pública INTIA son los responsables de la gestión de las concesiones realizadas mediante peaje en sombra.</w:t>
      </w:r>
    </w:p>
    <w:p w14:paraId="7E7802BA" w14:textId="77777777" w:rsidR="00C30199" w:rsidRDefault="00C30199" w:rsidP="00C30199">
      <w:pPr>
        <w:pStyle w:val="texto"/>
      </w:pPr>
      <w:r>
        <w:t>Estos departamentos y la sociedad pública deben garantizar que las actividades y operaciones de gestión realizadas resultan conformes con las normas aplicables y establecer los mecanismos necesarios a fin de lograr la eficacia en los objetivos propuestos y la eficiencia y la economía en el uso de los recursos públicos para la consecución de dichos objetivos, estableciendo los sistemas de control interno que consideren necesarios para esa finalidad.</w:t>
      </w:r>
    </w:p>
    <w:p w14:paraId="5D0DA84F" w14:textId="77777777" w:rsidR="00BF1472" w:rsidRDefault="00BF1472">
      <w:pPr>
        <w:spacing w:after="0"/>
        <w:ind w:firstLine="0"/>
        <w:jc w:val="left"/>
        <w:rPr>
          <w:rFonts w:ascii="Arial" w:hAnsi="Arial"/>
          <w:b/>
          <w:color w:val="000000"/>
          <w:kern w:val="28"/>
          <w:sz w:val="25"/>
          <w:szCs w:val="26"/>
        </w:rPr>
      </w:pPr>
      <w:r>
        <w:br w:type="page"/>
      </w:r>
    </w:p>
    <w:p w14:paraId="6FFEB996" w14:textId="77777777" w:rsidR="00C30199" w:rsidRPr="00F377C9" w:rsidRDefault="009D772D" w:rsidP="00BF1472">
      <w:pPr>
        <w:pStyle w:val="atitulo1"/>
      </w:pPr>
      <w:bookmarkStart w:id="17" w:name="_Toc126321317"/>
      <w:r>
        <w:t>V</w:t>
      </w:r>
      <w:r w:rsidR="00C03A14">
        <w:t>.</w:t>
      </w:r>
      <w:r w:rsidR="00C30199">
        <w:t xml:space="preserve"> </w:t>
      </w:r>
      <w:r w:rsidR="00C30199" w:rsidRPr="00BF1472">
        <w:t>Responsabilidad</w:t>
      </w:r>
      <w:r w:rsidR="00C30199">
        <w:t xml:space="preserve"> de la Cámara de </w:t>
      </w:r>
      <w:r w:rsidR="00C30199" w:rsidRPr="00F377C9">
        <w:t>Comptos de Navarra</w:t>
      </w:r>
      <w:bookmarkEnd w:id="17"/>
    </w:p>
    <w:p w14:paraId="1A2295FF" w14:textId="77777777" w:rsidR="00C30199" w:rsidRPr="00135F74" w:rsidRDefault="00C30199" w:rsidP="00BF1472">
      <w:pPr>
        <w:pStyle w:val="texto"/>
      </w:pPr>
      <w:r w:rsidRPr="00135F74">
        <w:t xml:space="preserve">Nuestra responsabilidad es </w:t>
      </w:r>
      <w:r>
        <w:t xml:space="preserve">expresar unas </w:t>
      </w:r>
      <w:r w:rsidRPr="00135F74">
        <w:t>conclusiones basadas en nuestra fiscaliza</w:t>
      </w:r>
      <w:r>
        <w:t>ción en relación con la gestión de las concesiones desde 2014 a 2021, con el cumplimiento de las cláusulas establecidas en los contratos de concesión y con la gestión actual de dichas concesiones.</w:t>
      </w:r>
    </w:p>
    <w:p w14:paraId="3BE11DB2" w14:textId="77777777" w:rsidR="00C30199" w:rsidRDefault="00C30199" w:rsidP="00BF1472">
      <w:pPr>
        <w:pStyle w:val="texto"/>
      </w:pPr>
      <w:r w:rsidRPr="00F377C9">
        <w:t>Para ello, hemos llevado a cabo la misma de conformidad con los principios fundamentales de fiscalización de las Instituciones Públicas de Control Externo</w:t>
      </w:r>
      <w:r>
        <w:t xml:space="preserve"> </w:t>
      </w:r>
      <w:r w:rsidR="00D52DA7">
        <w:t>y</w:t>
      </w:r>
      <w:r w:rsidR="00D52DA7" w:rsidRPr="00D52DA7">
        <w:t>, en</w:t>
      </w:r>
      <w:r w:rsidRPr="00D52DA7">
        <w:rPr>
          <w:highlight w:val="yellow"/>
        </w:rPr>
        <w:t xml:space="preserve"> </w:t>
      </w:r>
      <w:r w:rsidRPr="00D52DA7">
        <w:t>especial</w:t>
      </w:r>
      <w:r w:rsidR="00D52DA7" w:rsidRPr="00D52DA7">
        <w:t>,</w:t>
      </w:r>
      <w:r w:rsidRPr="00D52DA7">
        <w:t xml:space="preserve"> </w:t>
      </w:r>
      <w:r>
        <w:t>los establecidos en la ISSAI-ES 300</w:t>
      </w:r>
      <w:r>
        <w:rPr>
          <w:szCs w:val="26"/>
        </w:rPr>
        <w:t xml:space="preserve"> referida a las fiscalizaciones operativas</w:t>
      </w:r>
      <w:r w:rsidRPr="00F377C9">
        <w:t xml:space="preserve">. Dichos principios </w:t>
      </w:r>
      <w:r>
        <w:t xml:space="preserve">y directrices </w:t>
      </w:r>
      <w:r w:rsidRPr="00F377C9">
        <w:t xml:space="preserve">exigen que cumplamos los requerimientos de ética, así como que planifiquemos y ejecutemos la </w:t>
      </w:r>
      <w:r>
        <w:t>fiscalización de forma que obtengamos un conocimiento adecuado de los procedimientos empleados en la gestión de las concesiones y una seguridad razonable de que la información</w:t>
      </w:r>
      <w:r w:rsidRPr="00F377C9">
        <w:t xml:space="preserve"> est</w:t>
      </w:r>
      <w:r>
        <w:t>é</w:t>
      </w:r>
      <w:r w:rsidRPr="00F377C9">
        <w:t xml:space="preserve"> libre de incorrecciones materiales </w:t>
      </w:r>
      <w:r>
        <w:t>y conforme</w:t>
      </w:r>
      <w:r w:rsidRPr="00F377C9">
        <w:t xml:space="preserve">, en todos los aspectos significativos, con la normativa vigente. </w:t>
      </w:r>
    </w:p>
    <w:p w14:paraId="463D0922" w14:textId="77777777" w:rsidR="007610EF" w:rsidRDefault="00DE6975" w:rsidP="007610EF">
      <w:pPr>
        <w:pStyle w:val="texto"/>
        <w:spacing w:before="360" w:after="240"/>
      </w:pPr>
      <w:r>
        <w:t>Informe</w:t>
      </w:r>
      <w:r w:rsidR="007610EF" w:rsidRPr="007610EF">
        <w:t xml:space="preserve"> </w:t>
      </w:r>
      <w:r w:rsidR="007610EF" w:rsidRPr="00125C91">
        <w:t xml:space="preserve">que se emite a propuesta de la auditora </w:t>
      </w:r>
      <w:r w:rsidR="007610EF">
        <w:t>Begoña Herrera Isasi</w:t>
      </w:r>
      <w:r w:rsidR="007610EF" w:rsidRPr="00125C91">
        <w:t>, responsable de la realización de este trabajo, una vez cumplimentados los trámites previstos por la normativa vigente.</w:t>
      </w:r>
    </w:p>
    <w:p w14:paraId="2E944487" w14:textId="77777777" w:rsidR="007610EF" w:rsidRDefault="00B63B3D" w:rsidP="007610EF">
      <w:pPr>
        <w:pStyle w:val="texto"/>
        <w:spacing w:after="0"/>
        <w:jc w:val="center"/>
      </w:pPr>
      <w:r>
        <w:t>Pamplona, 13</w:t>
      </w:r>
      <w:r w:rsidR="00FF1DBC">
        <w:t xml:space="preserve"> de febrero de 2023</w:t>
      </w:r>
    </w:p>
    <w:p w14:paraId="0915CD75" w14:textId="77777777" w:rsidR="00FF1DBC" w:rsidRPr="00E32C64" w:rsidRDefault="00FF1DBC" w:rsidP="007610EF">
      <w:pPr>
        <w:pStyle w:val="texto"/>
        <w:spacing w:after="0"/>
        <w:jc w:val="center"/>
      </w:pPr>
    </w:p>
    <w:p w14:paraId="2477AFE3" w14:textId="77777777" w:rsidR="00B63B3D" w:rsidRDefault="00FF1DBC" w:rsidP="00FF1DBC">
      <w:pPr>
        <w:spacing w:after="0"/>
        <w:ind w:firstLine="0"/>
        <w:jc w:val="center"/>
        <w:rPr>
          <w:i/>
          <w:sz w:val="24"/>
          <w:szCs w:val="24"/>
        </w:rPr>
      </w:pPr>
      <w:r w:rsidRPr="00FF1DBC">
        <w:rPr>
          <w:i/>
          <w:sz w:val="24"/>
          <w:szCs w:val="24"/>
        </w:rPr>
        <w:t>(Firmad</w:t>
      </w:r>
      <w:r>
        <w:rPr>
          <w:i/>
          <w:sz w:val="24"/>
          <w:szCs w:val="24"/>
        </w:rPr>
        <w:t>o digitalmente por Ignacio Cabeza del Salvador,</w:t>
      </w:r>
    </w:p>
    <w:p w14:paraId="1EA35BA7" w14:textId="77777777" w:rsidR="00C30199" w:rsidRPr="00FF1DBC" w:rsidRDefault="00FF1DBC" w:rsidP="00FF1DBC">
      <w:pPr>
        <w:spacing w:after="0"/>
        <w:ind w:firstLine="0"/>
        <w:jc w:val="center"/>
        <w:rPr>
          <w:rFonts w:ascii="Arial" w:hAnsi="Arial"/>
          <w:b/>
          <w:color w:val="000000"/>
          <w:kern w:val="28"/>
          <w:sz w:val="25"/>
          <w:szCs w:val="26"/>
        </w:rPr>
      </w:pPr>
      <w:r>
        <w:rPr>
          <w:i/>
          <w:sz w:val="24"/>
          <w:szCs w:val="24"/>
        </w:rPr>
        <w:t>presidente de la Cámara de Comptos de Navarra)</w:t>
      </w:r>
      <w:r w:rsidRPr="00FF1DBC">
        <w:rPr>
          <w:rFonts w:ascii="Arial" w:hAnsi="Arial"/>
          <w:b/>
          <w:color w:val="000000"/>
          <w:kern w:val="28"/>
          <w:sz w:val="25"/>
          <w:szCs w:val="26"/>
        </w:rPr>
        <w:t xml:space="preserve"> </w:t>
      </w:r>
      <w:r w:rsidR="00C30199" w:rsidRPr="00FF1DBC">
        <w:rPr>
          <w:rFonts w:ascii="Arial" w:hAnsi="Arial"/>
          <w:b/>
          <w:color w:val="000000"/>
          <w:kern w:val="28"/>
          <w:sz w:val="25"/>
          <w:szCs w:val="26"/>
        </w:rPr>
        <w:br w:type="page"/>
      </w:r>
    </w:p>
    <w:p w14:paraId="7BFFD461" w14:textId="77777777" w:rsidR="00F97631" w:rsidRDefault="00F97631" w:rsidP="00F97631">
      <w:pPr>
        <w:pStyle w:val="atitulo1"/>
      </w:pPr>
      <w:bookmarkStart w:id="18" w:name="_Toc126321318"/>
      <w:bookmarkStart w:id="19" w:name="_Toc41485560"/>
      <w:r>
        <w:t>A</w:t>
      </w:r>
      <w:r w:rsidRPr="0040652A">
        <w:t xml:space="preserve">péndice 1: </w:t>
      </w:r>
      <w:r>
        <w:t>Infraestructuras de la Administración de la Comunidad Foral de Navarra financiadas mediante peaje en sombra</w:t>
      </w:r>
      <w:bookmarkEnd w:id="18"/>
    </w:p>
    <w:p w14:paraId="20838EB7" w14:textId="77777777" w:rsidR="00F97631" w:rsidRDefault="000457C4" w:rsidP="00F97631">
      <w:pPr>
        <w:pStyle w:val="atitulo2"/>
      </w:pPr>
      <w:bookmarkStart w:id="20" w:name="_Toc126321319"/>
      <w:r>
        <w:t>1</w:t>
      </w:r>
      <w:r w:rsidR="00F97631">
        <w:t>.1</w:t>
      </w:r>
      <w:r w:rsidR="00E428A6">
        <w:t>.</w:t>
      </w:r>
      <w:r w:rsidR="00F97631">
        <w:t xml:space="preserve"> Fórmula </w:t>
      </w:r>
      <w:r w:rsidR="00F97631" w:rsidRPr="000457C4">
        <w:rPr>
          <w:color w:val="auto"/>
        </w:rPr>
        <w:t>del</w:t>
      </w:r>
      <w:r w:rsidR="00F97631">
        <w:t xml:space="preserve"> peaje en sombra</w:t>
      </w:r>
      <w:bookmarkEnd w:id="20"/>
    </w:p>
    <w:p w14:paraId="7206D785" w14:textId="77777777" w:rsidR="00F97631" w:rsidRPr="00803DD0" w:rsidRDefault="00F97631" w:rsidP="00F97631">
      <w:pPr>
        <w:pStyle w:val="texto"/>
        <w:rPr>
          <w:rFonts w:eastAsia="Calibri"/>
          <w:lang w:eastAsia="es-ES"/>
        </w:rPr>
      </w:pPr>
      <w:r w:rsidRPr="00803DD0">
        <w:rPr>
          <w:rFonts w:eastAsia="Calibri"/>
          <w:lang w:eastAsia="es-ES"/>
        </w:rPr>
        <w:t xml:space="preserve">El denominado “peaje en sombra” es una fórmula de colaboración público-privada sobre la base de un contrato de concesión de obra pública a largo plazo entre el sector público y el sector privado, donde este último construye, financia y explota una infraestructura. El sector público abona una retribución ligada al número de usuarios de </w:t>
      </w:r>
      <w:proofErr w:type="gramStart"/>
      <w:r w:rsidRPr="00803DD0">
        <w:rPr>
          <w:rFonts w:eastAsia="Calibri"/>
          <w:lang w:eastAsia="es-ES"/>
        </w:rPr>
        <w:t>la misma</w:t>
      </w:r>
      <w:proofErr w:type="gramEnd"/>
      <w:r w:rsidRPr="00803DD0">
        <w:rPr>
          <w:rFonts w:eastAsia="Calibri"/>
          <w:lang w:eastAsia="es-ES"/>
        </w:rPr>
        <w:t xml:space="preserve"> y, con frecuencia, ajustada para incluir bonificaciones o penalizaciones por la calidad del mantenimiento. En definitiva, los pagos están vinculados al uso y a la calidad del servicio prestado</w:t>
      </w:r>
      <w:r w:rsidR="00D84F41">
        <w:rPr>
          <w:rFonts w:eastAsia="Calibri"/>
          <w:lang w:eastAsia="es-ES"/>
        </w:rPr>
        <w:t>. F</w:t>
      </w:r>
      <w:r w:rsidRPr="00803DD0">
        <w:rPr>
          <w:rFonts w:eastAsia="Calibri"/>
          <w:lang w:eastAsia="es-ES"/>
        </w:rPr>
        <w:t>inalizado el periodo concesional, la obra pública revierte a la Administración.</w:t>
      </w:r>
    </w:p>
    <w:p w14:paraId="0B870FBE" w14:textId="77777777" w:rsidR="00F97631" w:rsidRPr="001A367F" w:rsidRDefault="00F97631" w:rsidP="00F97631">
      <w:pPr>
        <w:pStyle w:val="texto"/>
        <w:rPr>
          <w:rFonts w:eastAsia="Calibri"/>
          <w:lang w:eastAsia="es-ES"/>
        </w:rPr>
      </w:pPr>
      <w:r w:rsidRPr="00C1637B">
        <w:rPr>
          <w:rFonts w:eastAsia="Calibri"/>
          <w:lang w:eastAsia="es-ES"/>
        </w:rPr>
        <w:t>Este sistema proporciona una fuente de financiación importante que permite acometer grandes proyectos de infraestructura y superar las restricciones presupuestarias</w:t>
      </w:r>
      <w:r w:rsidR="00D84F41">
        <w:rPr>
          <w:rFonts w:eastAsia="Calibri"/>
          <w:lang w:eastAsia="es-ES"/>
        </w:rPr>
        <w:t>,</w:t>
      </w:r>
      <w:r w:rsidRPr="00C1637B">
        <w:rPr>
          <w:rFonts w:eastAsia="Calibri"/>
          <w:lang w:eastAsia="es-ES"/>
        </w:rPr>
        <w:t xml:space="preserve"> difiriendo temporalmente el coste</w:t>
      </w:r>
      <w:r>
        <w:rPr>
          <w:rFonts w:eastAsia="Calibri"/>
          <w:lang w:eastAsia="es-ES"/>
        </w:rPr>
        <w:t xml:space="preserve">. Si bien </w:t>
      </w:r>
      <w:r w:rsidRPr="00885342">
        <w:rPr>
          <w:rFonts w:eastAsia="Calibri"/>
          <w:lang w:eastAsia="es-ES"/>
        </w:rPr>
        <w:t xml:space="preserve">el impacto sobre el déficit y sobre el endeudamiento </w:t>
      </w:r>
      <w:r w:rsidRPr="005C57BD">
        <w:rPr>
          <w:rFonts w:eastAsia="Calibri"/>
          <w:lang w:eastAsia="es-ES"/>
        </w:rPr>
        <w:t>a corto plazo es más moderado, se adquieren obligaciones que comprometen los presupuestos futuros.</w:t>
      </w:r>
    </w:p>
    <w:p w14:paraId="57739A67" w14:textId="77777777" w:rsidR="00F97631" w:rsidRPr="004944DE" w:rsidRDefault="00F97631" w:rsidP="00F97631">
      <w:pPr>
        <w:pStyle w:val="texto"/>
        <w:rPr>
          <w:rFonts w:eastAsia="Calibri"/>
          <w:lang w:eastAsia="es-ES"/>
        </w:rPr>
      </w:pPr>
      <w:r w:rsidRPr="00885342">
        <w:rPr>
          <w:rFonts w:eastAsia="Calibri"/>
          <w:lang w:eastAsia="es-ES"/>
        </w:rPr>
        <w:t xml:space="preserve">La transferencia de riesgos es un elemento esencial para </w:t>
      </w:r>
      <w:r>
        <w:rPr>
          <w:rFonts w:eastAsia="Calibri"/>
          <w:lang w:eastAsia="es-ES"/>
        </w:rPr>
        <w:t xml:space="preserve">que el coste del contrato </w:t>
      </w:r>
      <w:r w:rsidRPr="00885342">
        <w:rPr>
          <w:rFonts w:eastAsia="Calibri"/>
          <w:lang w:eastAsia="es-ES"/>
        </w:rPr>
        <w:t xml:space="preserve">resulte atractivo desde el punto de vista del cumplimiento </w:t>
      </w:r>
      <w:r w:rsidRPr="004944DE">
        <w:rPr>
          <w:rFonts w:eastAsia="Calibri"/>
          <w:lang w:eastAsia="es-ES"/>
        </w:rPr>
        <w:t>de los principios de estabilidad presupuestaria y sostenibilidad financiera.</w:t>
      </w:r>
    </w:p>
    <w:p w14:paraId="08F74BF8" w14:textId="77777777" w:rsidR="00F97631" w:rsidRPr="00885342" w:rsidRDefault="00F97631" w:rsidP="00F97631">
      <w:pPr>
        <w:pStyle w:val="texto"/>
        <w:rPr>
          <w:rFonts w:eastAsia="Calibri"/>
          <w:lang w:eastAsia="es-ES"/>
        </w:rPr>
      </w:pPr>
      <w:r>
        <w:rPr>
          <w:rFonts w:eastAsia="Calibri"/>
          <w:lang w:eastAsia="es-ES"/>
        </w:rPr>
        <w:t xml:space="preserve">En estas actuaciones, la </w:t>
      </w:r>
      <w:r w:rsidRPr="00885342">
        <w:rPr>
          <w:rFonts w:eastAsia="Calibri"/>
          <w:lang w:eastAsia="es-ES"/>
        </w:rPr>
        <w:t xml:space="preserve">Oficina </w:t>
      </w:r>
      <w:r>
        <w:rPr>
          <w:rFonts w:eastAsia="Calibri"/>
          <w:lang w:eastAsia="es-ES"/>
        </w:rPr>
        <w:t>Estadística de la Unión Europea</w:t>
      </w:r>
      <w:r w:rsidRPr="00EC1310">
        <w:rPr>
          <w:rFonts w:eastAsia="Calibri"/>
          <w:lang w:eastAsia="es-ES"/>
        </w:rPr>
        <w:t xml:space="preserve"> (en adelante Eurostat) </w:t>
      </w:r>
      <w:r w:rsidRPr="00885342">
        <w:rPr>
          <w:rFonts w:eastAsia="Calibri"/>
          <w:lang w:eastAsia="es-ES"/>
        </w:rPr>
        <w:t>ha</w:t>
      </w:r>
      <w:r>
        <w:rPr>
          <w:rFonts w:eastAsia="Calibri"/>
          <w:lang w:eastAsia="es-ES"/>
        </w:rPr>
        <w:t xml:space="preserve"> </w:t>
      </w:r>
      <w:r w:rsidRPr="00EC1310">
        <w:rPr>
          <w:rFonts w:eastAsia="Calibri"/>
          <w:lang w:eastAsia="es-ES"/>
        </w:rPr>
        <w:t>establecido</w:t>
      </w:r>
      <w:r w:rsidRPr="001C09B7">
        <w:rPr>
          <w:rFonts w:eastAsia="Calibri"/>
          <w:lang w:eastAsia="es-ES"/>
        </w:rPr>
        <w:t xml:space="preserve"> </w:t>
      </w:r>
      <w:r w:rsidRPr="00885342">
        <w:rPr>
          <w:rFonts w:eastAsia="Calibri"/>
          <w:lang w:eastAsia="es-ES"/>
        </w:rPr>
        <w:t>tres categorías principales de riesgos:</w:t>
      </w:r>
    </w:p>
    <w:p w14:paraId="122A27D0" w14:textId="77777777" w:rsidR="00F97631" w:rsidRPr="00885342" w:rsidRDefault="00F97631" w:rsidP="00F97631">
      <w:pPr>
        <w:pStyle w:val="texto"/>
        <w:numPr>
          <w:ilvl w:val="0"/>
          <w:numId w:val="13"/>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885342">
        <w:rPr>
          <w:rFonts w:eastAsia="Calibri"/>
          <w:szCs w:val="26"/>
          <w:lang w:eastAsia="es-ES"/>
        </w:rPr>
        <w:t>Riesgo de construcción, entre otros, los producidos por retrasos, sobrecostes, deficiencias técnicas, etc.</w:t>
      </w:r>
    </w:p>
    <w:p w14:paraId="76460B4F" w14:textId="77777777" w:rsidR="00F97631" w:rsidRPr="00885342" w:rsidRDefault="00F97631" w:rsidP="00F97631">
      <w:pPr>
        <w:pStyle w:val="texto"/>
        <w:numPr>
          <w:ilvl w:val="0"/>
          <w:numId w:val="13"/>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885342">
        <w:rPr>
          <w:rFonts w:eastAsia="Calibri"/>
          <w:szCs w:val="26"/>
          <w:lang w:eastAsia="es-ES"/>
        </w:rPr>
        <w:t>Riesgo de disponibilidad, como los derivados de la imposibilidad de suministrar el volumen solicitado o de que las infraestructuras mantengan unos niveles de calidad exigidos por normativa o por el propio contrato.</w:t>
      </w:r>
    </w:p>
    <w:p w14:paraId="782CD11A" w14:textId="77777777" w:rsidR="00F97631" w:rsidRDefault="00F97631" w:rsidP="00F97631">
      <w:pPr>
        <w:pStyle w:val="texto"/>
        <w:numPr>
          <w:ilvl w:val="0"/>
          <w:numId w:val="13"/>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1A367F">
        <w:rPr>
          <w:rFonts w:cs="Arial"/>
          <w:color w:val="000000" w:themeColor="text1"/>
        </w:rPr>
        <w:t>Riesgo</w:t>
      </w:r>
      <w:r w:rsidRPr="00885342">
        <w:rPr>
          <w:rFonts w:eastAsia="Calibri"/>
          <w:szCs w:val="26"/>
          <w:lang w:eastAsia="es-ES"/>
        </w:rPr>
        <w:t xml:space="preserve"> de demanda, como los que se producen en función de la utilización de la infraestructura, cuando esta variación no es imputable a la gestión de la entidad.</w:t>
      </w:r>
    </w:p>
    <w:p w14:paraId="6A5ED8F0" w14:textId="77777777" w:rsidR="00F97631" w:rsidRDefault="00F97631" w:rsidP="00F97631">
      <w:pPr>
        <w:pStyle w:val="texto"/>
        <w:rPr>
          <w:rFonts w:eastAsia="Calibri"/>
          <w:lang w:eastAsia="es-ES"/>
        </w:rPr>
      </w:pPr>
      <w:r w:rsidRPr="00885342">
        <w:rPr>
          <w:rFonts w:eastAsia="Calibri"/>
          <w:lang w:eastAsia="es-ES"/>
        </w:rPr>
        <w:t>A e</w:t>
      </w:r>
      <w:r>
        <w:rPr>
          <w:rFonts w:eastAsia="Calibri"/>
          <w:lang w:eastAsia="es-ES"/>
        </w:rPr>
        <w:t xml:space="preserve">fectos de </w:t>
      </w:r>
      <w:r w:rsidRPr="001A367F">
        <w:rPr>
          <w:rFonts w:eastAsia="Calibri"/>
        </w:rPr>
        <w:t>contabilidad</w:t>
      </w:r>
      <w:r>
        <w:rPr>
          <w:rFonts w:eastAsia="Calibri"/>
          <w:lang w:eastAsia="es-ES"/>
        </w:rPr>
        <w:t xml:space="preserve"> nacional y</w:t>
      </w:r>
      <w:r w:rsidRPr="00885342">
        <w:rPr>
          <w:rFonts w:eastAsia="Calibri"/>
          <w:lang w:eastAsia="es-ES"/>
        </w:rPr>
        <w:t xml:space="preserve"> </w:t>
      </w:r>
      <w:r>
        <w:rPr>
          <w:rFonts w:eastAsia="Calibri"/>
          <w:lang w:eastAsia="es-ES"/>
        </w:rPr>
        <w:t xml:space="preserve">de conformidad con </w:t>
      </w:r>
      <w:r w:rsidRPr="00885342">
        <w:rPr>
          <w:rFonts w:eastAsia="Calibri"/>
          <w:lang w:eastAsia="es-ES"/>
        </w:rPr>
        <w:t>los criterios</w:t>
      </w:r>
      <w:r>
        <w:rPr>
          <w:rFonts w:eastAsia="Calibri"/>
          <w:lang w:eastAsia="es-ES"/>
        </w:rPr>
        <w:t xml:space="preserve"> y normas</w:t>
      </w:r>
      <w:r w:rsidRPr="00885342">
        <w:rPr>
          <w:rFonts w:eastAsia="Calibri"/>
          <w:lang w:eastAsia="es-ES"/>
        </w:rPr>
        <w:t xml:space="preserve"> </w:t>
      </w:r>
      <w:r>
        <w:rPr>
          <w:rFonts w:eastAsia="Calibri"/>
          <w:lang w:eastAsia="es-ES"/>
        </w:rPr>
        <w:t>del Sistema Europeo de Cuentas (SEC2010) y de Eurostat</w:t>
      </w:r>
      <w:r w:rsidRPr="00EC1310">
        <w:rPr>
          <w:rFonts w:eastAsia="Calibri"/>
          <w:lang w:eastAsia="es-ES"/>
        </w:rPr>
        <w:t xml:space="preserve">, para que el valor </w:t>
      </w:r>
      <w:r>
        <w:rPr>
          <w:rFonts w:eastAsia="Calibri"/>
          <w:lang w:eastAsia="es-ES"/>
        </w:rPr>
        <w:t>total de la inversión de estas infraestructuras</w:t>
      </w:r>
      <w:r w:rsidRPr="00885342">
        <w:rPr>
          <w:rFonts w:eastAsia="Calibri"/>
          <w:lang w:eastAsia="es-ES"/>
        </w:rPr>
        <w:t xml:space="preserve"> </w:t>
      </w:r>
      <w:r>
        <w:rPr>
          <w:rFonts w:eastAsia="Calibri"/>
          <w:lang w:eastAsia="es-ES"/>
        </w:rPr>
        <w:t>no compute</w:t>
      </w:r>
      <w:r w:rsidRPr="00885342">
        <w:rPr>
          <w:rFonts w:eastAsia="Calibri"/>
          <w:lang w:eastAsia="es-ES"/>
        </w:rPr>
        <w:t xml:space="preserve"> a efectos de déficit </w:t>
      </w:r>
      <w:r>
        <w:rPr>
          <w:rFonts w:eastAsia="Calibri"/>
          <w:lang w:eastAsia="es-ES"/>
        </w:rPr>
        <w:t>y endeudamiento público</w:t>
      </w:r>
      <w:r w:rsidRPr="00885342">
        <w:rPr>
          <w:rFonts w:eastAsia="Calibri"/>
          <w:lang w:eastAsia="es-ES"/>
        </w:rPr>
        <w:t xml:space="preserve">, es requisito indispensable que se transfiera al concesionario el riesgo de construcción y al menos uno de los </w:t>
      </w:r>
      <w:r w:rsidRPr="00247E2E">
        <w:rPr>
          <w:rFonts w:eastAsia="Calibri"/>
        </w:rPr>
        <w:t>riesgos</w:t>
      </w:r>
      <w:r w:rsidRPr="00885342">
        <w:rPr>
          <w:rFonts w:eastAsia="Calibri"/>
          <w:lang w:eastAsia="es-ES"/>
        </w:rPr>
        <w:t xml:space="preserve"> de obtención de ingresos (disponibilidad o demanda). </w:t>
      </w:r>
    </w:p>
    <w:p w14:paraId="53B57130" w14:textId="77777777" w:rsidR="00F97631" w:rsidRPr="00885342" w:rsidRDefault="00F97631" w:rsidP="00F97631">
      <w:pPr>
        <w:pStyle w:val="texto"/>
        <w:rPr>
          <w:rFonts w:eastAsia="Calibri"/>
          <w:lang w:eastAsia="es-ES"/>
        </w:rPr>
      </w:pPr>
      <w:r>
        <w:rPr>
          <w:rFonts w:eastAsia="Calibri"/>
          <w:lang w:eastAsia="es-ES"/>
        </w:rPr>
        <w:t xml:space="preserve">Las instituciones con competencia en materia de Contabilidad Nacional son el Instituto Nacional de Estadística, la Intervención General del Estado y el Banco de España. </w:t>
      </w:r>
    </w:p>
    <w:p w14:paraId="72C41DE5" w14:textId="77777777" w:rsidR="00F97631" w:rsidRDefault="00F97631" w:rsidP="00F97631">
      <w:pPr>
        <w:pStyle w:val="texto"/>
        <w:rPr>
          <w:rFonts w:eastAsia="Calibri"/>
          <w:lang w:eastAsia="es-ES"/>
        </w:rPr>
      </w:pPr>
      <w:r>
        <w:rPr>
          <w:rFonts w:eastAsia="Calibri"/>
          <w:lang w:eastAsia="es-ES"/>
        </w:rPr>
        <w:t xml:space="preserve">Así mismo, la Disposición Adicional Primera de la </w:t>
      </w:r>
      <w:r w:rsidRPr="004944DE">
        <w:rPr>
          <w:rFonts w:eastAsia="Calibri"/>
          <w:lang w:eastAsia="es-ES"/>
        </w:rPr>
        <w:t xml:space="preserve">Ley Orgánica 6/2013, de 14 de noviembre, de creación de la Autoridad Independiente de Responsabilidad Fiscal, </w:t>
      </w:r>
      <w:r>
        <w:rPr>
          <w:rFonts w:eastAsia="Calibri"/>
          <w:lang w:eastAsia="es-ES"/>
        </w:rPr>
        <w:t xml:space="preserve">crea el Comité Técnico de Cuentas Nacionales, integrado por representantes de las tres instituciones </w:t>
      </w:r>
      <w:r w:rsidRPr="00EC1310">
        <w:rPr>
          <w:rFonts w:eastAsia="Calibri"/>
          <w:lang w:eastAsia="es-ES"/>
        </w:rPr>
        <w:t xml:space="preserve">anteriores, </w:t>
      </w:r>
      <w:r>
        <w:rPr>
          <w:rFonts w:eastAsia="Calibri"/>
          <w:lang w:eastAsia="es-ES"/>
        </w:rPr>
        <w:t xml:space="preserve">para la valoración e imputación de operaciones económicas efectuadas por las diferentes unidades del sector público </w:t>
      </w:r>
      <w:proofErr w:type="gramStart"/>
      <w:r>
        <w:rPr>
          <w:rFonts w:eastAsia="Calibri"/>
          <w:lang w:eastAsia="es-ES"/>
        </w:rPr>
        <w:t>de acuerdo a</w:t>
      </w:r>
      <w:proofErr w:type="gramEnd"/>
      <w:r>
        <w:rPr>
          <w:rFonts w:eastAsia="Calibri"/>
          <w:lang w:eastAsia="es-ES"/>
        </w:rPr>
        <w:t xml:space="preserve"> los criterios establecidos en el SEC 2010.</w:t>
      </w:r>
    </w:p>
    <w:p w14:paraId="68BBC3C3" w14:textId="77777777" w:rsidR="00F97631" w:rsidRPr="00EC1310" w:rsidRDefault="00F97631" w:rsidP="00F97631">
      <w:pPr>
        <w:spacing w:after="240"/>
        <w:ind w:firstLine="284"/>
        <w:rPr>
          <w:rFonts w:eastAsia="Calibri"/>
          <w:sz w:val="26"/>
          <w:szCs w:val="26"/>
          <w:lang w:eastAsia="es-ES"/>
        </w:rPr>
      </w:pPr>
      <w:r w:rsidRPr="00EC1310">
        <w:rPr>
          <w:rFonts w:eastAsia="Calibri"/>
          <w:sz w:val="26"/>
          <w:szCs w:val="26"/>
          <w:lang w:eastAsia="es-ES"/>
        </w:rPr>
        <w:t xml:space="preserve">Actualmente en Navarra existen tres infraestructuras construidas y explotadas mediante concesión en régimen de peaje en sombra. Un cuadro resumen de su situación a fecha del informe es el siguiente: </w:t>
      </w:r>
    </w:p>
    <w:tbl>
      <w:tblPr>
        <w:tblW w:w="9208" w:type="dxa"/>
        <w:tblCellMar>
          <w:left w:w="70" w:type="dxa"/>
          <w:right w:w="70" w:type="dxa"/>
        </w:tblCellMar>
        <w:tblLook w:val="04A0" w:firstRow="1" w:lastRow="0" w:firstColumn="1" w:lastColumn="0" w:noHBand="0" w:noVBand="1"/>
      </w:tblPr>
      <w:tblGrid>
        <w:gridCol w:w="2977"/>
        <w:gridCol w:w="1554"/>
        <w:gridCol w:w="1706"/>
        <w:gridCol w:w="1276"/>
        <w:gridCol w:w="1695"/>
      </w:tblGrid>
      <w:tr w:rsidR="00F97631" w:rsidRPr="00835D8B" w14:paraId="1461D801" w14:textId="77777777" w:rsidTr="00835D8B">
        <w:trPr>
          <w:trHeight w:val="227"/>
        </w:trPr>
        <w:tc>
          <w:tcPr>
            <w:tcW w:w="2977" w:type="dxa"/>
            <w:tcBorders>
              <w:top w:val="single" w:sz="4" w:space="0" w:color="auto"/>
              <w:bottom w:val="single" w:sz="4" w:space="0" w:color="auto"/>
            </w:tcBorders>
            <w:shd w:val="clear" w:color="auto" w:fill="B8CCE4" w:themeFill="accent1" w:themeFillTint="66"/>
            <w:vAlign w:val="center"/>
            <w:hideMark/>
          </w:tcPr>
          <w:p w14:paraId="06520D80" w14:textId="77777777" w:rsidR="00F97631" w:rsidRPr="00835D8B" w:rsidRDefault="00F97631" w:rsidP="00835D8B">
            <w:pPr>
              <w:pStyle w:val="cuadroCabe"/>
              <w:spacing w:line="240" w:lineRule="auto"/>
              <w:rPr>
                <w:szCs w:val="18"/>
                <w:lang w:val="es-ES" w:eastAsia="es-ES"/>
              </w:rPr>
            </w:pPr>
            <w:r w:rsidRPr="00835D8B">
              <w:rPr>
                <w:szCs w:val="18"/>
                <w:lang w:val="es-ES" w:eastAsia="es-ES"/>
              </w:rPr>
              <w:t>Infraestructura</w:t>
            </w:r>
          </w:p>
        </w:tc>
        <w:tc>
          <w:tcPr>
            <w:tcW w:w="1554" w:type="dxa"/>
            <w:tcBorders>
              <w:top w:val="single" w:sz="4" w:space="0" w:color="auto"/>
              <w:bottom w:val="single" w:sz="4" w:space="0" w:color="auto"/>
            </w:tcBorders>
            <w:shd w:val="clear" w:color="auto" w:fill="B8CCE4" w:themeFill="accent1" w:themeFillTint="66"/>
            <w:vAlign w:val="center"/>
            <w:hideMark/>
          </w:tcPr>
          <w:p w14:paraId="14DC8C11" w14:textId="77777777" w:rsidR="00F97631" w:rsidRPr="00835D8B" w:rsidRDefault="00F97631" w:rsidP="00835D8B">
            <w:pPr>
              <w:pStyle w:val="cuadroCabe"/>
              <w:spacing w:line="240" w:lineRule="auto"/>
              <w:jc w:val="right"/>
              <w:rPr>
                <w:szCs w:val="18"/>
                <w:lang w:val="es-ES" w:eastAsia="es-ES"/>
              </w:rPr>
            </w:pPr>
            <w:r w:rsidRPr="00835D8B">
              <w:rPr>
                <w:szCs w:val="18"/>
                <w:lang w:val="es-ES" w:eastAsia="es-ES"/>
              </w:rPr>
              <w:t xml:space="preserve">Fecha </w:t>
            </w:r>
          </w:p>
          <w:p w14:paraId="6BF6343A" w14:textId="77777777" w:rsidR="00F97631" w:rsidRPr="00835D8B" w:rsidRDefault="00F97631" w:rsidP="00835D8B">
            <w:pPr>
              <w:pStyle w:val="cuadroCabe"/>
              <w:spacing w:line="240" w:lineRule="auto"/>
              <w:jc w:val="right"/>
              <w:rPr>
                <w:szCs w:val="18"/>
                <w:lang w:val="es-ES" w:eastAsia="es-ES"/>
              </w:rPr>
            </w:pPr>
            <w:r w:rsidRPr="00835D8B">
              <w:rPr>
                <w:szCs w:val="18"/>
                <w:lang w:val="es-ES" w:eastAsia="es-ES"/>
              </w:rPr>
              <w:t>contrato</w:t>
            </w:r>
          </w:p>
        </w:tc>
        <w:tc>
          <w:tcPr>
            <w:tcW w:w="1706" w:type="dxa"/>
            <w:tcBorders>
              <w:top w:val="single" w:sz="4" w:space="0" w:color="auto"/>
              <w:bottom w:val="single" w:sz="4" w:space="0" w:color="auto"/>
            </w:tcBorders>
            <w:shd w:val="clear" w:color="auto" w:fill="B8CCE4" w:themeFill="accent1" w:themeFillTint="66"/>
            <w:vAlign w:val="center"/>
            <w:hideMark/>
          </w:tcPr>
          <w:p w14:paraId="5F3E7CEB" w14:textId="77777777" w:rsidR="00F97631" w:rsidRPr="00835D8B" w:rsidRDefault="00F97631" w:rsidP="00835D8B">
            <w:pPr>
              <w:pStyle w:val="cuadroCabe"/>
              <w:spacing w:line="240" w:lineRule="auto"/>
              <w:jc w:val="right"/>
              <w:rPr>
                <w:szCs w:val="18"/>
                <w:lang w:val="es-ES" w:eastAsia="es-ES"/>
              </w:rPr>
            </w:pPr>
            <w:r w:rsidRPr="00835D8B">
              <w:rPr>
                <w:szCs w:val="18"/>
                <w:lang w:val="es-ES" w:eastAsia="es-ES"/>
              </w:rPr>
              <w:t>Fecha inicio parcial explotación</w:t>
            </w:r>
          </w:p>
        </w:tc>
        <w:tc>
          <w:tcPr>
            <w:tcW w:w="1276" w:type="dxa"/>
            <w:tcBorders>
              <w:top w:val="single" w:sz="4" w:space="0" w:color="auto"/>
              <w:bottom w:val="single" w:sz="4" w:space="0" w:color="auto"/>
            </w:tcBorders>
            <w:shd w:val="clear" w:color="auto" w:fill="B8CCE4" w:themeFill="accent1" w:themeFillTint="66"/>
            <w:vAlign w:val="center"/>
            <w:hideMark/>
          </w:tcPr>
          <w:p w14:paraId="7B4B3A47" w14:textId="77777777" w:rsidR="00F97631" w:rsidRPr="00835D8B" w:rsidRDefault="00F97631" w:rsidP="00835D8B">
            <w:pPr>
              <w:pStyle w:val="cuadroCabe"/>
              <w:spacing w:line="240" w:lineRule="auto"/>
              <w:jc w:val="right"/>
              <w:rPr>
                <w:szCs w:val="18"/>
                <w:lang w:val="es-ES" w:eastAsia="es-ES"/>
              </w:rPr>
            </w:pPr>
            <w:r w:rsidRPr="00835D8B">
              <w:rPr>
                <w:szCs w:val="18"/>
                <w:lang w:val="es-ES" w:eastAsia="es-ES"/>
              </w:rPr>
              <w:t>Fecha final prevista</w:t>
            </w:r>
          </w:p>
        </w:tc>
        <w:tc>
          <w:tcPr>
            <w:tcW w:w="1695" w:type="dxa"/>
            <w:tcBorders>
              <w:top w:val="single" w:sz="4" w:space="0" w:color="auto"/>
              <w:bottom w:val="single" w:sz="4" w:space="0" w:color="auto"/>
            </w:tcBorders>
            <w:shd w:val="clear" w:color="auto" w:fill="B8CCE4" w:themeFill="accent1" w:themeFillTint="66"/>
            <w:vAlign w:val="center"/>
            <w:hideMark/>
          </w:tcPr>
          <w:p w14:paraId="1007C01D" w14:textId="77777777" w:rsidR="00F97631" w:rsidRPr="00835D8B" w:rsidRDefault="00F97631" w:rsidP="00835D8B">
            <w:pPr>
              <w:pStyle w:val="cuadroCabe"/>
              <w:spacing w:line="240" w:lineRule="auto"/>
              <w:jc w:val="right"/>
              <w:rPr>
                <w:szCs w:val="18"/>
                <w:lang w:val="es-ES" w:eastAsia="es-ES"/>
              </w:rPr>
            </w:pPr>
            <w:r w:rsidRPr="00835D8B">
              <w:rPr>
                <w:szCs w:val="18"/>
                <w:lang w:val="es-ES" w:eastAsia="es-ES"/>
              </w:rPr>
              <w:t>Años explotación transcurridos</w:t>
            </w:r>
          </w:p>
        </w:tc>
      </w:tr>
      <w:tr w:rsidR="00F97631" w:rsidRPr="00A46529" w14:paraId="6DAC5D1F" w14:textId="77777777" w:rsidTr="00835D8B">
        <w:trPr>
          <w:trHeight w:val="227"/>
        </w:trPr>
        <w:tc>
          <w:tcPr>
            <w:tcW w:w="2977" w:type="dxa"/>
            <w:tcBorders>
              <w:top w:val="single" w:sz="4" w:space="0" w:color="auto"/>
              <w:bottom w:val="single" w:sz="2" w:space="0" w:color="auto"/>
            </w:tcBorders>
            <w:shd w:val="clear" w:color="000000" w:fill="FFFFFF"/>
            <w:noWrap/>
            <w:vAlign w:val="center"/>
            <w:hideMark/>
          </w:tcPr>
          <w:p w14:paraId="08A84C13" w14:textId="77777777" w:rsidR="00F97631" w:rsidRPr="00300CD6" w:rsidRDefault="00F97631" w:rsidP="00835D8B">
            <w:pPr>
              <w:pStyle w:val="cuatexto"/>
              <w:spacing w:line="240" w:lineRule="auto"/>
              <w:rPr>
                <w:lang w:val="es-ES" w:eastAsia="es-ES"/>
              </w:rPr>
            </w:pPr>
            <w:r w:rsidRPr="00300CD6">
              <w:rPr>
                <w:rFonts w:eastAsia="Calibri"/>
                <w:lang w:eastAsia="es-ES"/>
              </w:rPr>
              <w:t>Autovía del Camino</w:t>
            </w:r>
          </w:p>
        </w:tc>
        <w:tc>
          <w:tcPr>
            <w:tcW w:w="1554" w:type="dxa"/>
            <w:tcBorders>
              <w:top w:val="single" w:sz="4" w:space="0" w:color="auto"/>
              <w:bottom w:val="single" w:sz="2" w:space="0" w:color="auto"/>
            </w:tcBorders>
            <w:shd w:val="clear" w:color="auto" w:fill="auto"/>
            <w:noWrap/>
            <w:vAlign w:val="center"/>
            <w:hideMark/>
          </w:tcPr>
          <w:p w14:paraId="3B7B20BC"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24/09/2002</w:t>
            </w:r>
          </w:p>
        </w:tc>
        <w:tc>
          <w:tcPr>
            <w:tcW w:w="1706" w:type="dxa"/>
            <w:tcBorders>
              <w:top w:val="single" w:sz="4" w:space="0" w:color="auto"/>
              <w:bottom w:val="single" w:sz="2" w:space="0" w:color="auto"/>
            </w:tcBorders>
            <w:shd w:val="clear" w:color="auto" w:fill="auto"/>
            <w:noWrap/>
            <w:vAlign w:val="center"/>
            <w:hideMark/>
          </w:tcPr>
          <w:p w14:paraId="7DA3B019"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01/01/2007</w:t>
            </w:r>
          </w:p>
        </w:tc>
        <w:tc>
          <w:tcPr>
            <w:tcW w:w="1276" w:type="dxa"/>
            <w:tcBorders>
              <w:top w:val="single" w:sz="4" w:space="0" w:color="auto"/>
              <w:bottom w:val="single" w:sz="2" w:space="0" w:color="auto"/>
            </w:tcBorders>
            <w:shd w:val="clear" w:color="auto" w:fill="auto"/>
            <w:noWrap/>
            <w:vAlign w:val="center"/>
            <w:hideMark/>
          </w:tcPr>
          <w:p w14:paraId="0BA7AD31"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2032*</w:t>
            </w:r>
          </w:p>
        </w:tc>
        <w:tc>
          <w:tcPr>
            <w:tcW w:w="1695" w:type="dxa"/>
            <w:tcBorders>
              <w:top w:val="single" w:sz="4" w:space="0" w:color="auto"/>
              <w:bottom w:val="single" w:sz="2" w:space="0" w:color="auto"/>
            </w:tcBorders>
            <w:shd w:val="clear" w:color="auto" w:fill="auto"/>
            <w:noWrap/>
            <w:vAlign w:val="center"/>
            <w:hideMark/>
          </w:tcPr>
          <w:p w14:paraId="3AABD8E3"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15</w:t>
            </w:r>
          </w:p>
        </w:tc>
      </w:tr>
      <w:tr w:rsidR="00F97631" w:rsidRPr="00A46529" w14:paraId="2D4DFB4A" w14:textId="77777777" w:rsidTr="00835D8B">
        <w:trPr>
          <w:trHeight w:val="227"/>
        </w:trPr>
        <w:tc>
          <w:tcPr>
            <w:tcW w:w="2977" w:type="dxa"/>
            <w:tcBorders>
              <w:top w:val="single" w:sz="2" w:space="0" w:color="auto"/>
              <w:bottom w:val="single" w:sz="2" w:space="0" w:color="auto"/>
            </w:tcBorders>
            <w:shd w:val="clear" w:color="000000" w:fill="FFFFFF"/>
            <w:noWrap/>
            <w:vAlign w:val="center"/>
            <w:hideMark/>
          </w:tcPr>
          <w:p w14:paraId="087D543E" w14:textId="77777777" w:rsidR="00F97631" w:rsidRPr="00300CD6" w:rsidRDefault="00F97631" w:rsidP="00835D8B">
            <w:pPr>
              <w:pStyle w:val="cuatexto"/>
              <w:spacing w:line="240" w:lineRule="auto"/>
              <w:rPr>
                <w:lang w:val="es-ES" w:eastAsia="es-ES"/>
              </w:rPr>
            </w:pPr>
            <w:r w:rsidRPr="00300CD6">
              <w:rPr>
                <w:rFonts w:eastAsia="Calibri"/>
                <w:lang w:eastAsia="es-ES"/>
              </w:rPr>
              <w:t>Autovía del Pirineo</w:t>
            </w:r>
          </w:p>
        </w:tc>
        <w:tc>
          <w:tcPr>
            <w:tcW w:w="1554" w:type="dxa"/>
            <w:tcBorders>
              <w:top w:val="single" w:sz="2" w:space="0" w:color="auto"/>
              <w:bottom w:val="single" w:sz="2" w:space="0" w:color="auto"/>
            </w:tcBorders>
            <w:shd w:val="clear" w:color="auto" w:fill="auto"/>
            <w:noWrap/>
            <w:vAlign w:val="center"/>
            <w:hideMark/>
          </w:tcPr>
          <w:p w14:paraId="4B158A3E"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31/07/2009</w:t>
            </w:r>
          </w:p>
        </w:tc>
        <w:tc>
          <w:tcPr>
            <w:tcW w:w="1706" w:type="dxa"/>
            <w:tcBorders>
              <w:top w:val="single" w:sz="2" w:space="0" w:color="auto"/>
              <w:bottom w:val="single" w:sz="2" w:space="0" w:color="auto"/>
            </w:tcBorders>
            <w:shd w:val="clear" w:color="auto" w:fill="auto"/>
            <w:noWrap/>
            <w:vAlign w:val="center"/>
            <w:hideMark/>
          </w:tcPr>
          <w:p w14:paraId="14653D73"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15/01/2012</w:t>
            </w:r>
          </w:p>
        </w:tc>
        <w:tc>
          <w:tcPr>
            <w:tcW w:w="1276" w:type="dxa"/>
            <w:tcBorders>
              <w:top w:val="single" w:sz="2" w:space="0" w:color="auto"/>
              <w:bottom w:val="single" w:sz="2" w:space="0" w:color="auto"/>
            </w:tcBorders>
            <w:shd w:val="clear" w:color="auto" w:fill="auto"/>
            <w:noWrap/>
            <w:vAlign w:val="center"/>
            <w:hideMark/>
          </w:tcPr>
          <w:p w14:paraId="0AF31EDA"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2039</w:t>
            </w:r>
          </w:p>
        </w:tc>
        <w:tc>
          <w:tcPr>
            <w:tcW w:w="1695" w:type="dxa"/>
            <w:tcBorders>
              <w:top w:val="single" w:sz="2" w:space="0" w:color="auto"/>
              <w:bottom w:val="single" w:sz="2" w:space="0" w:color="auto"/>
            </w:tcBorders>
            <w:shd w:val="clear" w:color="auto" w:fill="auto"/>
            <w:noWrap/>
            <w:vAlign w:val="center"/>
            <w:hideMark/>
          </w:tcPr>
          <w:p w14:paraId="2BF33BE8"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10</w:t>
            </w:r>
          </w:p>
        </w:tc>
      </w:tr>
      <w:tr w:rsidR="00F97631" w:rsidRPr="00A46529" w14:paraId="1AEBDB84" w14:textId="77777777" w:rsidTr="00835D8B">
        <w:trPr>
          <w:trHeight w:val="227"/>
        </w:trPr>
        <w:tc>
          <w:tcPr>
            <w:tcW w:w="2977" w:type="dxa"/>
            <w:tcBorders>
              <w:top w:val="single" w:sz="2" w:space="0" w:color="auto"/>
              <w:bottom w:val="single" w:sz="2" w:space="0" w:color="auto"/>
            </w:tcBorders>
            <w:shd w:val="clear" w:color="000000" w:fill="FFFFFF"/>
            <w:noWrap/>
            <w:vAlign w:val="center"/>
            <w:hideMark/>
          </w:tcPr>
          <w:p w14:paraId="23AE0EB7" w14:textId="77777777" w:rsidR="00F97631" w:rsidRPr="00300CD6" w:rsidRDefault="00F97631" w:rsidP="00835D8B">
            <w:pPr>
              <w:pStyle w:val="cuatexto"/>
              <w:spacing w:line="240" w:lineRule="auto"/>
              <w:rPr>
                <w:lang w:val="es-ES" w:eastAsia="es-ES"/>
              </w:rPr>
            </w:pPr>
            <w:r w:rsidRPr="00300CD6">
              <w:rPr>
                <w:rFonts w:eastAsia="Calibri"/>
                <w:lang w:eastAsia="es-ES"/>
              </w:rPr>
              <w:t>Zonas regables del Canal:</w:t>
            </w:r>
          </w:p>
        </w:tc>
        <w:tc>
          <w:tcPr>
            <w:tcW w:w="1554" w:type="dxa"/>
            <w:tcBorders>
              <w:top w:val="single" w:sz="2" w:space="0" w:color="auto"/>
              <w:bottom w:val="single" w:sz="2" w:space="0" w:color="auto"/>
            </w:tcBorders>
            <w:shd w:val="clear" w:color="auto" w:fill="auto"/>
            <w:noWrap/>
            <w:vAlign w:val="center"/>
            <w:hideMark/>
          </w:tcPr>
          <w:p w14:paraId="67774B3C"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 </w:t>
            </w:r>
          </w:p>
        </w:tc>
        <w:tc>
          <w:tcPr>
            <w:tcW w:w="1706" w:type="dxa"/>
            <w:tcBorders>
              <w:top w:val="single" w:sz="2" w:space="0" w:color="auto"/>
              <w:bottom w:val="single" w:sz="2" w:space="0" w:color="auto"/>
            </w:tcBorders>
            <w:shd w:val="clear" w:color="auto" w:fill="auto"/>
            <w:noWrap/>
            <w:vAlign w:val="center"/>
            <w:hideMark/>
          </w:tcPr>
          <w:p w14:paraId="668E24F2"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 </w:t>
            </w:r>
          </w:p>
        </w:tc>
        <w:tc>
          <w:tcPr>
            <w:tcW w:w="1276" w:type="dxa"/>
            <w:tcBorders>
              <w:top w:val="single" w:sz="2" w:space="0" w:color="auto"/>
              <w:bottom w:val="single" w:sz="2" w:space="0" w:color="auto"/>
            </w:tcBorders>
            <w:shd w:val="clear" w:color="auto" w:fill="auto"/>
            <w:noWrap/>
            <w:vAlign w:val="center"/>
            <w:hideMark/>
          </w:tcPr>
          <w:p w14:paraId="762C442F"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 </w:t>
            </w:r>
          </w:p>
        </w:tc>
        <w:tc>
          <w:tcPr>
            <w:tcW w:w="1695" w:type="dxa"/>
            <w:tcBorders>
              <w:top w:val="single" w:sz="2" w:space="0" w:color="auto"/>
              <w:bottom w:val="single" w:sz="2" w:space="0" w:color="auto"/>
            </w:tcBorders>
            <w:shd w:val="clear" w:color="auto" w:fill="auto"/>
            <w:noWrap/>
            <w:vAlign w:val="center"/>
            <w:hideMark/>
          </w:tcPr>
          <w:p w14:paraId="1B40AAF9"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 </w:t>
            </w:r>
          </w:p>
        </w:tc>
      </w:tr>
      <w:tr w:rsidR="00F97631" w:rsidRPr="00A46529" w14:paraId="1E2EB912" w14:textId="77777777" w:rsidTr="00835D8B">
        <w:trPr>
          <w:trHeight w:val="227"/>
        </w:trPr>
        <w:tc>
          <w:tcPr>
            <w:tcW w:w="2977" w:type="dxa"/>
            <w:tcBorders>
              <w:top w:val="single" w:sz="2" w:space="0" w:color="auto"/>
              <w:bottom w:val="single" w:sz="2" w:space="0" w:color="auto"/>
            </w:tcBorders>
            <w:shd w:val="clear" w:color="000000" w:fill="FFFFFF"/>
            <w:noWrap/>
            <w:vAlign w:val="center"/>
            <w:hideMark/>
          </w:tcPr>
          <w:p w14:paraId="65510E40" w14:textId="77777777" w:rsidR="00F97631" w:rsidRPr="00300CD6" w:rsidRDefault="00F97631" w:rsidP="00835D8B">
            <w:pPr>
              <w:pStyle w:val="cuatexto"/>
              <w:spacing w:line="240" w:lineRule="auto"/>
              <w:rPr>
                <w:lang w:val="es-ES" w:eastAsia="es-ES"/>
              </w:rPr>
            </w:pPr>
            <w:r w:rsidRPr="00300CD6">
              <w:rPr>
                <w:rFonts w:eastAsia="Calibri"/>
                <w:lang w:eastAsia="es-ES"/>
              </w:rPr>
              <w:t>1ª fase del Canal</w:t>
            </w:r>
          </w:p>
        </w:tc>
        <w:tc>
          <w:tcPr>
            <w:tcW w:w="1554" w:type="dxa"/>
            <w:tcBorders>
              <w:top w:val="single" w:sz="2" w:space="0" w:color="auto"/>
              <w:bottom w:val="single" w:sz="2" w:space="0" w:color="auto"/>
            </w:tcBorders>
            <w:shd w:val="clear" w:color="auto" w:fill="auto"/>
            <w:noWrap/>
            <w:vAlign w:val="center"/>
            <w:hideMark/>
          </w:tcPr>
          <w:p w14:paraId="719C8909"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26/09/2006</w:t>
            </w:r>
          </w:p>
        </w:tc>
        <w:tc>
          <w:tcPr>
            <w:tcW w:w="1706" w:type="dxa"/>
            <w:tcBorders>
              <w:top w:val="single" w:sz="2" w:space="0" w:color="auto"/>
              <w:bottom w:val="single" w:sz="2" w:space="0" w:color="auto"/>
            </w:tcBorders>
            <w:shd w:val="clear" w:color="auto" w:fill="auto"/>
            <w:noWrap/>
            <w:vAlign w:val="center"/>
            <w:hideMark/>
          </w:tcPr>
          <w:p w14:paraId="1D420BAB"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19/12/2006</w:t>
            </w:r>
          </w:p>
        </w:tc>
        <w:tc>
          <w:tcPr>
            <w:tcW w:w="1276" w:type="dxa"/>
            <w:tcBorders>
              <w:top w:val="single" w:sz="2" w:space="0" w:color="auto"/>
              <w:bottom w:val="single" w:sz="2" w:space="0" w:color="auto"/>
            </w:tcBorders>
            <w:shd w:val="clear" w:color="auto" w:fill="auto"/>
            <w:noWrap/>
            <w:vAlign w:val="center"/>
            <w:hideMark/>
          </w:tcPr>
          <w:p w14:paraId="09C65A18"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2036</w:t>
            </w:r>
          </w:p>
        </w:tc>
        <w:tc>
          <w:tcPr>
            <w:tcW w:w="1695" w:type="dxa"/>
            <w:tcBorders>
              <w:top w:val="single" w:sz="2" w:space="0" w:color="auto"/>
              <w:bottom w:val="single" w:sz="2" w:space="0" w:color="auto"/>
            </w:tcBorders>
            <w:shd w:val="clear" w:color="auto" w:fill="auto"/>
            <w:noWrap/>
            <w:vAlign w:val="center"/>
            <w:hideMark/>
          </w:tcPr>
          <w:p w14:paraId="197AFC53"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16</w:t>
            </w:r>
          </w:p>
        </w:tc>
      </w:tr>
      <w:tr w:rsidR="00F97631" w:rsidRPr="00A46529" w14:paraId="024C4599" w14:textId="77777777" w:rsidTr="00835D8B">
        <w:trPr>
          <w:trHeight w:val="227"/>
        </w:trPr>
        <w:tc>
          <w:tcPr>
            <w:tcW w:w="2977" w:type="dxa"/>
            <w:tcBorders>
              <w:top w:val="single" w:sz="2" w:space="0" w:color="auto"/>
              <w:bottom w:val="single" w:sz="4" w:space="0" w:color="auto"/>
            </w:tcBorders>
            <w:shd w:val="clear" w:color="000000" w:fill="FFFFFF"/>
            <w:noWrap/>
            <w:vAlign w:val="center"/>
            <w:hideMark/>
          </w:tcPr>
          <w:p w14:paraId="017EB4DF" w14:textId="77777777" w:rsidR="00F97631" w:rsidRPr="00300CD6" w:rsidRDefault="00F97631" w:rsidP="00835D8B">
            <w:pPr>
              <w:pStyle w:val="cuatexto"/>
              <w:spacing w:line="240" w:lineRule="auto"/>
              <w:rPr>
                <w:lang w:val="es-ES" w:eastAsia="es-ES"/>
              </w:rPr>
            </w:pPr>
            <w:r w:rsidRPr="00300CD6">
              <w:rPr>
                <w:rFonts w:eastAsia="Calibri"/>
                <w:lang w:eastAsia="es-ES"/>
              </w:rPr>
              <w:t xml:space="preserve">Ampliación de la 1ª fase </w:t>
            </w:r>
          </w:p>
        </w:tc>
        <w:tc>
          <w:tcPr>
            <w:tcW w:w="1554" w:type="dxa"/>
            <w:tcBorders>
              <w:top w:val="single" w:sz="2" w:space="0" w:color="auto"/>
              <w:bottom w:val="single" w:sz="4" w:space="0" w:color="auto"/>
            </w:tcBorders>
            <w:shd w:val="clear" w:color="auto" w:fill="auto"/>
            <w:noWrap/>
            <w:vAlign w:val="center"/>
            <w:hideMark/>
          </w:tcPr>
          <w:p w14:paraId="74ED6D81"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21/05/2014</w:t>
            </w:r>
          </w:p>
        </w:tc>
        <w:tc>
          <w:tcPr>
            <w:tcW w:w="1706" w:type="dxa"/>
            <w:tcBorders>
              <w:top w:val="single" w:sz="2" w:space="0" w:color="auto"/>
              <w:bottom w:val="single" w:sz="4" w:space="0" w:color="auto"/>
            </w:tcBorders>
            <w:shd w:val="clear" w:color="auto" w:fill="auto"/>
            <w:noWrap/>
            <w:vAlign w:val="center"/>
            <w:hideMark/>
          </w:tcPr>
          <w:p w14:paraId="538EEB4B" w14:textId="77777777" w:rsidR="00F97631" w:rsidRPr="00300CD6" w:rsidRDefault="00F97631" w:rsidP="00835D8B">
            <w:pPr>
              <w:pStyle w:val="cuatexto"/>
              <w:spacing w:line="240" w:lineRule="auto"/>
              <w:jc w:val="right"/>
              <w:rPr>
                <w:lang w:val="es-ES" w:eastAsia="es-ES"/>
              </w:rPr>
            </w:pPr>
            <w:r w:rsidRPr="00300CD6">
              <w:rPr>
                <w:lang w:val="es-ES" w:eastAsia="es-ES"/>
              </w:rPr>
              <w:t>22/03/2017</w:t>
            </w:r>
          </w:p>
        </w:tc>
        <w:tc>
          <w:tcPr>
            <w:tcW w:w="1276" w:type="dxa"/>
            <w:tcBorders>
              <w:top w:val="single" w:sz="2" w:space="0" w:color="auto"/>
              <w:bottom w:val="single" w:sz="4" w:space="0" w:color="auto"/>
            </w:tcBorders>
            <w:shd w:val="clear" w:color="auto" w:fill="auto"/>
            <w:noWrap/>
            <w:vAlign w:val="center"/>
            <w:hideMark/>
          </w:tcPr>
          <w:p w14:paraId="2CE5842C"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2044</w:t>
            </w:r>
          </w:p>
        </w:tc>
        <w:tc>
          <w:tcPr>
            <w:tcW w:w="1695" w:type="dxa"/>
            <w:tcBorders>
              <w:top w:val="single" w:sz="2" w:space="0" w:color="auto"/>
              <w:bottom w:val="single" w:sz="4" w:space="0" w:color="auto"/>
            </w:tcBorders>
            <w:shd w:val="clear" w:color="auto" w:fill="auto"/>
            <w:noWrap/>
            <w:vAlign w:val="center"/>
            <w:hideMark/>
          </w:tcPr>
          <w:p w14:paraId="7C0C6359" w14:textId="77777777" w:rsidR="00F97631" w:rsidRPr="00300CD6" w:rsidRDefault="00F97631" w:rsidP="00835D8B">
            <w:pPr>
              <w:pStyle w:val="cuatexto"/>
              <w:spacing w:line="240" w:lineRule="auto"/>
              <w:jc w:val="right"/>
              <w:rPr>
                <w:lang w:val="es-ES" w:eastAsia="es-ES"/>
              </w:rPr>
            </w:pPr>
            <w:r w:rsidRPr="00300CD6">
              <w:rPr>
                <w:rFonts w:eastAsia="Calibri"/>
                <w:lang w:eastAsia="es-ES"/>
              </w:rPr>
              <w:t>5</w:t>
            </w:r>
          </w:p>
        </w:tc>
      </w:tr>
    </w:tbl>
    <w:p w14:paraId="4316A03A" w14:textId="77777777" w:rsidR="00F97631" w:rsidRPr="00300CD6" w:rsidRDefault="00F97631" w:rsidP="00F97631">
      <w:pPr>
        <w:spacing w:before="60" w:after="240"/>
        <w:ind w:firstLine="0"/>
        <w:rPr>
          <w:rFonts w:ascii="Arial" w:eastAsia="Calibri" w:hAnsi="Arial" w:cs="Arial"/>
          <w:sz w:val="14"/>
          <w:szCs w:val="14"/>
          <w:lang w:eastAsia="es-ES"/>
        </w:rPr>
      </w:pPr>
      <w:r w:rsidRPr="001A367F">
        <w:rPr>
          <w:rFonts w:ascii="Arial" w:eastAsia="Calibri" w:hAnsi="Arial" w:cs="Arial"/>
          <w:i/>
          <w:sz w:val="14"/>
          <w:szCs w:val="14"/>
          <w:lang w:eastAsia="es-ES"/>
        </w:rPr>
        <w:t>*</w:t>
      </w:r>
      <w:r w:rsidRPr="00300CD6">
        <w:rPr>
          <w:rFonts w:ascii="Arial" w:eastAsia="Calibri" w:hAnsi="Arial" w:cs="Arial"/>
          <w:sz w:val="14"/>
          <w:szCs w:val="14"/>
          <w:lang w:eastAsia="es-ES"/>
        </w:rPr>
        <w:t>Plazo máximo, según la ejecución del Plan Financiero se puede reducir el plazo concesional.</w:t>
      </w:r>
    </w:p>
    <w:p w14:paraId="560D99E7" w14:textId="77777777" w:rsidR="00F97631" w:rsidRPr="00EC1310" w:rsidRDefault="00EC1310" w:rsidP="00F97631">
      <w:pPr>
        <w:pStyle w:val="texto"/>
        <w:rPr>
          <w:rFonts w:eastAsia="Calibri"/>
          <w:lang w:eastAsia="es-ES"/>
        </w:rPr>
      </w:pPr>
      <w:r w:rsidRPr="00EC1310">
        <w:rPr>
          <w:rFonts w:eastAsia="Calibri"/>
          <w:lang w:eastAsia="es-ES"/>
        </w:rPr>
        <w:t>La explotación está aún</w:t>
      </w:r>
      <w:r w:rsidR="00F97631" w:rsidRPr="00EC1310">
        <w:rPr>
          <w:rFonts w:eastAsia="Calibri"/>
          <w:lang w:eastAsia="es-ES"/>
        </w:rPr>
        <w:t xml:space="preserve"> por concluir, y el plazo para todas las concesiones se extiende a 30 años desde la fecha del contrato.</w:t>
      </w:r>
    </w:p>
    <w:p w14:paraId="62D612AD" w14:textId="77777777" w:rsidR="00F97631" w:rsidRDefault="00F97631" w:rsidP="00F97631">
      <w:pPr>
        <w:pStyle w:val="texto"/>
        <w:spacing w:after="240"/>
        <w:rPr>
          <w:rFonts w:eastAsia="Calibri"/>
          <w:lang w:eastAsia="es-ES"/>
        </w:rPr>
      </w:pPr>
      <w:r w:rsidRPr="00EC1310">
        <w:rPr>
          <w:rFonts w:eastAsia="Calibri"/>
          <w:lang w:eastAsia="es-ES"/>
        </w:rPr>
        <w:t>A continuación, presentamos datos e informaciones que permitan con</w:t>
      </w:r>
      <w:r w:rsidR="00EC1310" w:rsidRPr="00EC1310">
        <w:rPr>
          <w:rFonts w:eastAsia="Calibri"/>
          <w:lang w:eastAsia="es-ES"/>
        </w:rPr>
        <w:t>ocer la</w:t>
      </w:r>
      <w:r w:rsidRPr="00EC1310">
        <w:rPr>
          <w:rFonts w:eastAsia="Calibri"/>
          <w:lang w:eastAsia="es-ES"/>
        </w:rPr>
        <w:t>s principales cuestiones referidos a estas infraestructuras.</w:t>
      </w:r>
    </w:p>
    <w:p w14:paraId="499755EE" w14:textId="77777777" w:rsidR="001014D9" w:rsidRDefault="001014D9" w:rsidP="001014D9">
      <w:pPr>
        <w:pStyle w:val="atitulo2"/>
      </w:pPr>
      <w:bookmarkStart w:id="21" w:name="_Toc126321320"/>
      <w:r>
        <w:t>1.2</w:t>
      </w:r>
      <w:r w:rsidR="00E428A6">
        <w:t>.</w:t>
      </w:r>
      <w:r>
        <w:t xml:space="preserve"> </w:t>
      </w:r>
      <w:r w:rsidR="00B421B5">
        <w:t>Autovías</w:t>
      </w:r>
      <w:bookmarkEnd w:id="21"/>
    </w:p>
    <w:p w14:paraId="4DC8788E" w14:textId="77777777" w:rsidR="00F97631" w:rsidRPr="00F97119" w:rsidRDefault="00B421B5" w:rsidP="00E508C0">
      <w:pPr>
        <w:pStyle w:val="atitulo3"/>
      </w:pPr>
      <w:bookmarkStart w:id="22" w:name="_Toc97556871"/>
      <w:r>
        <w:t>1</w:t>
      </w:r>
      <w:r w:rsidR="00F97631" w:rsidRPr="00F97119">
        <w:t>.2.</w:t>
      </w:r>
      <w:r>
        <w:t>1</w:t>
      </w:r>
      <w:r w:rsidR="00E428A6">
        <w:t>.</w:t>
      </w:r>
      <w:r w:rsidR="00F97631" w:rsidRPr="00F97119">
        <w:t xml:space="preserve"> Autovía del Camino</w:t>
      </w:r>
      <w:bookmarkEnd w:id="22"/>
      <w:r w:rsidR="00F97631">
        <w:t xml:space="preserve"> </w:t>
      </w:r>
    </w:p>
    <w:p w14:paraId="1EC5CB69" w14:textId="77777777" w:rsidR="00F97631" w:rsidRPr="00CC5EA3" w:rsidRDefault="00F97631" w:rsidP="00F97631">
      <w:pPr>
        <w:pStyle w:val="texto"/>
        <w:rPr>
          <w:rFonts w:eastAsia="Calibri"/>
          <w:lang w:eastAsia="es-ES"/>
        </w:rPr>
      </w:pPr>
      <w:r w:rsidRPr="00F97119">
        <w:rPr>
          <w:rFonts w:eastAsia="Calibri"/>
          <w:lang w:eastAsia="es-ES"/>
        </w:rPr>
        <w:t>Con fecha 2</w:t>
      </w:r>
      <w:r w:rsidR="00E9386D">
        <w:rPr>
          <w:rFonts w:eastAsia="Calibri"/>
          <w:lang w:eastAsia="es-ES"/>
        </w:rPr>
        <w:t>4 de septiembre de 2002 se firmó</w:t>
      </w:r>
      <w:r w:rsidRPr="00F97119">
        <w:rPr>
          <w:rFonts w:eastAsia="Calibri"/>
          <w:lang w:eastAsia="es-ES"/>
        </w:rPr>
        <w:t xml:space="preserve"> </w:t>
      </w:r>
      <w:r>
        <w:rPr>
          <w:rFonts w:eastAsia="Calibri"/>
          <w:lang w:eastAsia="es-ES"/>
        </w:rPr>
        <w:t xml:space="preserve">el contrato de concesión entre </w:t>
      </w:r>
      <w:r w:rsidRPr="00922E74">
        <w:rPr>
          <w:rFonts w:eastAsia="Calibri"/>
          <w:lang w:eastAsia="es-ES"/>
        </w:rPr>
        <w:t>A</w:t>
      </w:r>
      <w:r w:rsidRPr="00F97119">
        <w:rPr>
          <w:rFonts w:eastAsia="Calibri"/>
          <w:lang w:eastAsia="es-ES"/>
        </w:rPr>
        <w:t xml:space="preserve">utovía del Camino S.A. y </w:t>
      </w:r>
      <w:r>
        <w:rPr>
          <w:rFonts w:eastAsia="Calibri"/>
          <w:lang w:eastAsia="es-ES"/>
        </w:rPr>
        <w:t>la ACFN</w:t>
      </w:r>
      <w:r w:rsidRPr="00F97119">
        <w:rPr>
          <w:rFonts w:eastAsia="Calibri"/>
          <w:lang w:eastAsia="es-ES"/>
        </w:rPr>
        <w:t xml:space="preserve">. Se contrata su construcción, explotación y </w:t>
      </w:r>
      <w:r w:rsidRPr="004944DE">
        <w:rPr>
          <w:rFonts w:eastAsia="Calibri"/>
          <w:lang w:eastAsia="es-ES"/>
        </w:rPr>
        <w:t>conservación</w:t>
      </w:r>
      <w:r w:rsidRPr="00BE4279">
        <w:rPr>
          <w:rFonts w:eastAsia="Calibri"/>
          <w:lang w:eastAsia="es-ES"/>
        </w:rPr>
        <w:t xml:space="preserve"> </w:t>
      </w:r>
      <w:r>
        <w:rPr>
          <w:rFonts w:eastAsia="Calibri"/>
          <w:lang w:eastAsia="es-ES"/>
        </w:rPr>
        <w:t xml:space="preserve">para un total de </w:t>
      </w:r>
      <w:r w:rsidRPr="00131397">
        <w:rPr>
          <w:rFonts w:eastAsia="Calibri"/>
          <w:lang w:eastAsia="es-ES"/>
        </w:rPr>
        <w:t>70</w:t>
      </w:r>
      <w:r w:rsidRPr="00F97119">
        <w:rPr>
          <w:rFonts w:eastAsia="Calibri"/>
          <w:lang w:eastAsia="es-ES"/>
        </w:rPr>
        <w:t xml:space="preserve"> kilómetros. El plazo de la concesión es de 30 años</w:t>
      </w:r>
      <w:r w:rsidR="00D84F41">
        <w:rPr>
          <w:rFonts w:eastAsia="Calibri"/>
          <w:lang w:eastAsia="es-ES"/>
        </w:rPr>
        <w:t>. N</w:t>
      </w:r>
      <w:r w:rsidRPr="00F97119">
        <w:rPr>
          <w:rFonts w:eastAsia="Calibri"/>
          <w:lang w:eastAsia="es-ES"/>
        </w:rPr>
        <w:t>o obstante, dicho plazo puede concluir de forma anticipada en función de la ejecució</w:t>
      </w:r>
      <w:r w:rsidR="007715CA">
        <w:rPr>
          <w:rFonts w:eastAsia="Calibri"/>
          <w:lang w:eastAsia="es-ES"/>
        </w:rPr>
        <w:t>n del PEF</w:t>
      </w:r>
      <w:r w:rsidRPr="00896AE2">
        <w:rPr>
          <w:rFonts w:eastAsia="Calibri"/>
          <w:lang w:eastAsia="es-ES"/>
        </w:rPr>
        <w:t xml:space="preserve">, </w:t>
      </w:r>
      <w:r w:rsidRPr="00CC5EA3">
        <w:rPr>
          <w:rFonts w:eastAsia="Calibri"/>
          <w:lang w:eastAsia="es-ES"/>
        </w:rPr>
        <w:t xml:space="preserve">con la amortización total de la financiación ajena y los gastos asociados a la misma. </w:t>
      </w:r>
    </w:p>
    <w:p w14:paraId="25193D3C" w14:textId="77777777" w:rsidR="00F97631" w:rsidRPr="000A11DA" w:rsidRDefault="00F97631" w:rsidP="00F97631">
      <w:pPr>
        <w:pStyle w:val="texto"/>
        <w:rPr>
          <w:rFonts w:eastAsia="Calibri"/>
          <w:lang w:eastAsia="es-ES"/>
        </w:rPr>
      </w:pPr>
      <w:r w:rsidRPr="000A11DA">
        <w:rPr>
          <w:rFonts w:eastAsia="Calibri"/>
          <w:lang w:eastAsia="es-ES"/>
        </w:rPr>
        <w:t>La utilización de la fórmula de la concesión se decidió por Ley Foral 21/2001, de 18 de octubre, de construcción, explotación y financiación de la vía de gran capacidad Pamplona-Logroño.</w:t>
      </w:r>
    </w:p>
    <w:p w14:paraId="544EE237" w14:textId="77777777" w:rsidR="00F97631" w:rsidRPr="00A13471" w:rsidRDefault="00F97631" w:rsidP="00F97631">
      <w:pPr>
        <w:pStyle w:val="texto"/>
        <w:rPr>
          <w:rFonts w:eastAsia="Calibri"/>
          <w:lang w:eastAsia="es-ES"/>
        </w:rPr>
      </w:pPr>
      <w:r w:rsidRPr="00F97119">
        <w:rPr>
          <w:rFonts w:eastAsia="Calibri"/>
          <w:lang w:eastAsia="es-ES"/>
        </w:rPr>
        <w:t>La sociedad concesionaria</w:t>
      </w:r>
      <w:r>
        <w:rPr>
          <w:rFonts w:eastAsia="Calibri"/>
          <w:lang w:eastAsia="es-ES"/>
        </w:rPr>
        <w:t xml:space="preserve"> </w:t>
      </w:r>
      <w:r w:rsidRPr="00F97119">
        <w:rPr>
          <w:rFonts w:eastAsia="Calibri"/>
          <w:lang w:eastAsia="es-ES"/>
        </w:rPr>
        <w:t>se consti</w:t>
      </w:r>
      <w:r w:rsidR="00E9386D">
        <w:rPr>
          <w:rFonts w:eastAsia="Calibri"/>
          <w:lang w:eastAsia="es-ES"/>
        </w:rPr>
        <w:t>tuyó</w:t>
      </w:r>
      <w:r>
        <w:rPr>
          <w:rFonts w:eastAsia="Calibri"/>
          <w:lang w:eastAsia="es-ES"/>
        </w:rPr>
        <w:t xml:space="preserve"> en septiembre de 2002. Esta</w:t>
      </w:r>
      <w:r w:rsidR="00E9386D">
        <w:rPr>
          <w:rFonts w:eastAsia="Calibri"/>
          <w:lang w:eastAsia="es-ES"/>
        </w:rPr>
        <w:t xml:space="preserve"> sociedad estaba</w:t>
      </w:r>
      <w:r w:rsidRPr="00F97119">
        <w:rPr>
          <w:rFonts w:eastAsia="Calibri"/>
          <w:lang w:eastAsia="es-ES"/>
        </w:rPr>
        <w:t xml:space="preserve"> integrada por las empresas Grupo Corporativo Empresarial de la Caja de Ahorros y Monte de Piedad Navarra</w:t>
      </w:r>
      <w:r>
        <w:rPr>
          <w:rFonts w:eastAsia="Calibri"/>
          <w:lang w:eastAsia="es-ES"/>
        </w:rPr>
        <w:t xml:space="preserve"> </w:t>
      </w:r>
      <w:r w:rsidRPr="004944DE">
        <w:rPr>
          <w:rFonts w:eastAsia="Calibri"/>
          <w:lang w:eastAsia="es-ES"/>
        </w:rPr>
        <w:t>S.A. Sociedad Unipersonal</w:t>
      </w:r>
      <w:r w:rsidRPr="00E9386D">
        <w:rPr>
          <w:rFonts w:eastAsia="Calibri"/>
          <w:lang w:eastAsia="es-ES"/>
        </w:rPr>
        <w:t>,</w:t>
      </w:r>
      <w:r>
        <w:rPr>
          <w:rFonts w:eastAsia="Calibri"/>
          <w:lang w:eastAsia="es-ES"/>
        </w:rPr>
        <w:t xml:space="preserve"> FCC Construcción S.A</w:t>
      </w:r>
      <w:r w:rsidRPr="00F97119">
        <w:rPr>
          <w:rFonts w:eastAsia="Calibri"/>
          <w:lang w:eastAsia="es-ES"/>
        </w:rPr>
        <w:t>. y NEC Navarra Empresas de Construcción S.A</w:t>
      </w:r>
    </w:p>
    <w:p w14:paraId="71493364" w14:textId="77777777" w:rsidR="00F97631" w:rsidRDefault="00F97631" w:rsidP="00F97631">
      <w:pPr>
        <w:pStyle w:val="texto"/>
        <w:rPr>
          <w:rFonts w:eastAsia="Calibri"/>
          <w:lang w:eastAsia="es-ES"/>
        </w:rPr>
      </w:pPr>
      <w:r w:rsidRPr="00A13471">
        <w:rPr>
          <w:rFonts w:eastAsia="Calibri"/>
          <w:lang w:eastAsia="es-ES"/>
        </w:rPr>
        <w:t xml:space="preserve">La autovía comenzó su fase de explotación el 1 de enero de 2007. </w:t>
      </w:r>
      <w:r w:rsidRPr="000A11DA">
        <w:rPr>
          <w:rFonts w:eastAsia="Calibri"/>
          <w:lang w:eastAsia="es-ES"/>
        </w:rPr>
        <w:t>La Orden Foral 7/2008, de 30 de enero, de la Consejera de Obras Públicas</w:t>
      </w:r>
      <w:r w:rsidRPr="0096760C">
        <w:rPr>
          <w:rFonts w:eastAsia="Calibri"/>
          <w:lang w:eastAsia="es-ES"/>
        </w:rPr>
        <w:t>,</w:t>
      </w:r>
      <w:r w:rsidRPr="008A5FC0">
        <w:rPr>
          <w:rFonts w:eastAsia="Calibri"/>
          <w:color w:val="FF0000"/>
          <w:lang w:eastAsia="es-ES"/>
        </w:rPr>
        <w:t xml:space="preserve"> </w:t>
      </w:r>
      <w:r w:rsidRPr="00A13471">
        <w:rPr>
          <w:rFonts w:eastAsia="Calibri"/>
          <w:lang w:eastAsia="es-ES"/>
        </w:rPr>
        <w:t>aprobó el precio final reconocido de las obras</w:t>
      </w:r>
      <w:r>
        <w:rPr>
          <w:rFonts w:eastAsia="Calibri"/>
          <w:lang w:eastAsia="es-ES"/>
        </w:rPr>
        <w:t xml:space="preserve"> e instalaciones </w:t>
      </w:r>
      <w:r w:rsidRPr="005040E4">
        <w:rPr>
          <w:rFonts w:eastAsia="Calibri"/>
          <w:lang w:eastAsia="es-ES"/>
        </w:rPr>
        <w:t xml:space="preserve">(en adelante PFROI) </w:t>
      </w:r>
      <w:r w:rsidRPr="00A13471">
        <w:rPr>
          <w:rFonts w:eastAsia="Calibri"/>
          <w:lang w:eastAsia="es-ES"/>
        </w:rPr>
        <w:t xml:space="preserve">con carácter definitivo </w:t>
      </w:r>
      <w:r>
        <w:rPr>
          <w:rFonts w:eastAsia="Calibri"/>
          <w:lang w:eastAsia="es-ES"/>
        </w:rPr>
        <w:t xml:space="preserve">en </w:t>
      </w:r>
      <w:r w:rsidRPr="0096760C">
        <w:rPr>
          <w:rFonts w:eastAsia="Calibri"/>
          <w:lang w:eastAsia="es-ES"/>
        </w:rPr>
        <w:t xml:space="preserve">389,85 millones y su correspondiente repercusión </w:t>
      </w:r>
      <w:r w:rsidRPr="00A13471">
        <w:rPr>
          <w:rFonts w:eastAsia="Calibri"/>
          <w:lang w:eastAsia="es-ES"/>
        </w:rPr>
        <w:t xml:space="preserve">en el importe de las tarifas. </w:t>
      </w:r>
    </w:p>
    <w:p w14:paraId="2045743F" w14:textId="77777777" w:rsidR="00F97631" w:rsidRDefault="00F97631" w:rsidP="00F97631">
      <w:pPr>
        <w:pStyle w:val="texto"/>
        <w:rPr>
          <w:rFonts w:eastAsia="Calibri"/>
          <w:lang w:eastAsia="es-ES"/>
        </w:rPr>
      </w:pPr>
      <w:r w:rsidRPr="00F97119">
        <w:rPr>
          <w:rFonts w:eastAsia="Calibri"/>
          <w:lang w:eastAsia="es-ES"/>
        </w:rPr>
        <w:t>La retribución al concesionario (en adelante canon) establecida en el contrato es la siguiente:</w:t>
      </w:r>
    </w:p>
    <w:p w14:paraId="2389648A" w14:textId="77777777" w:rsidR="00F97631" w:rsidRPr="00F97119" w:rsidRDefault="00F97631" w:rsidP="00F97631">
      <w:pPr>
        <w:pStyle w:val="texto"/>
        <w:numPr>
          <w:ilvl w:val="0"/>
          <w:numId w:val="13"/>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F97119">
        <w:rPr>
          <w:rFonts w:eastAsia="Calibri"/>
          <w:szCs w:val="26"/>
          <w:lang w:eastAsia="es-ES"/>
        </w:rPr>
        <w:t xml:space="preserve">Canon de demanda (CD). Las variables que determinan este canon son el </w:t>
      </w:r>
      <w:r w:rsidRPr="000F562B">
        <w:rPr>
          <w:rFonts w:eastAsia="Calibri"/>
          <w:szCs w:val="26"/>
          <w:lang w:eastAsia="es-ES"/>
        </w:rPr>
        <w:t xml:space="preserve">número de vehículos-kilómetros recorridos, </w:t>
      </w:r>
      <w:r w:rsidRPr="00F97119">
        <w:rPr>
          <w:rFonts w:eastAsia="Calibri"/>
          <w:szCs w:val="26"/>
          <w:lang w:eastAsia="es-ES"/>
        </w:rPr>
        <w:t xml:space="preserve">la categoría de </w:t>
      </w:r>
      <w:proofErr w:type="gramStart"/>
      <w:r w:rsidRPr="00F97119">
        <w:rPr>
          <w:rFonts w:eastAsia="Calibri"/>
          <w:szCs w:val="26"/>
          <w:lang w:eastAsia="es-ES"/>
        </w:rPr>
        <w:t>los mismos</w:t>
      </w:r>
      <w:proofErr w:type="gramEnd"/>
      <w:r w:rsidRPr="00F97119">
        <w:rPr>
          <w:rFonts w:eastAsia="Calibri"/>
          <w:szCs w:val="26"/>
          <w:lang w:eastAsia="es-ES"/>
        </w:rPr>
        <w:t xml:space="preserve"> (pesado o ligero) y las tarifas</w:t>
      </w:r>
      <w:r>
        <w:rPr>
          <w:rFonts w:eastAsia="Calibri"/>
          <w:szCs w:val="26"/>
          <w:lang w:eastAsia="es-ES"/>
        </w:rPr>
        <w:t xml:space="preserve"> </w:t>
      </w:r>
      <w:r w:rsidRPr="0096760C">
        <w:rPr>
          <w:rFonts w:eastAsia="Calibri"/>
          <w:szCs w:val="26"/>
          <w:lang w:eastAsia="es-ES"/>
        </w:rPr>
        <w:t xml:space="preserve">por kilómetro recorrido </w:t>
      </w:r>
      <w:r w:rsidRPr="00F97119">
        <w:rPr>
          <w:rFonts w:eastAsia="Calibri"/>
          <w:szCs w:val="26"/>
          <w:lang w:eastAsia="es-ES"/>
        </w:rPr>
        <w:t xml:space="preserve">aplicables a cada tipo de vehículo. </w:t>
      </w:r>
    </w:p>
    <w:p w14:paraId="68E2B8D4" w14:textId="77777777" w:rsidR="00F97631" w:rsidRDefault="00F97631" w:rsidP="00F97631">
      <w:pPr>
        <w:pStyle w:val="texto"/>
        <w:numPr>
          <w:ilvl w:val="0"/>
          <w:numId w:val="13"/>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F97119">
        <w:rPr>
          <w:rFonts w:eastAsia="Calibri"/>
          <w:szCs w:val="26"/>
          <w:lang w:eastAsia="es-ES"/>
        </w:rPr>
        <w:t xml:space="preserve">Canon de demanda por </w:t>
      </w:r>
      <w:proofErr w:type="gramStart"/>
      <w:r w:rsidRPr="00F97119">
        <w:rPr>
          <w:rFonts w:eastAsia="Calibri"/>
          <w:szCs w:val="26"/>
          <w:lang w:eastAsia="es-ES"/>
        </w:rPr>
        <w:t>extra conservación</w:t>
      </w:r>
      <w:proofErr w:type="gramEnd"/>
      <w:r w:rsidRPr="00F97119">
        <w:rPr>
          <w:rFonts w:eastAsia="Calibri"/>
          <w:szCs w:val="26"/>
          <w:lang w:eastAsia="es-ES"/>
        </w:rPr>
        <w:t xml:space="preserve">. Se calcula aplicando las tarifas (denominadas </w:t>
      </w:r>
      <w:proofErr w:type="gramStart"/>
      <w:r w:rsidRPr="00F97119">
        <w:rPr>
          <w:rFonts w:eastAsia="Calibri"/>
          <w:szCs w:val="26"/>
          <w:lang w:eastAsia="es-ES"/>
        </w:rPr>
        <w:t>extra conservación</w:t>
      </w:r>
      <w:proofErr w:type="gramEnd"/>
      <w:r w:rsidRPr="00F97119">
        <w:rPr>
          <w:rFonts w:eastAsia="Calibri"/>
          <w:szCs w:val="26"/>
          <w:lang w:eastAsia="es-ES"/>
        </w:rPr>
        <w:t xml:space="preserve">) a los vehículos por kilómetro año recorridos para cada tipo de vehículo, en concepto de las labores de conservación e incorporadas en una adenda al contrato en 2005. Inicialmente, estas labores de vialidad invernal, jardinería, protección ambiental e </w:t>
      </w:r>
      <w:proofErr w:type="gramStart"/>
      <w:r w:rsidRPr="00F97119">
        <w:rPr>
          <w:rFonts w:eastAsia="Calibri"/>
          <w:szCs w:val="26"/>
          <w:lang w:eastAsia="es-ES"/>
        </w:rPr>
        <w:t>i</w:t>
      </w:r>
      <w:r w:rsidR="00A6498C">
        <w:rPr>
          <w:rFonts w:eastAsia="Calibri"/>
          <w:szCs w:val="26"/>
          <w:lang w:eastAsia="es-ES"/>
        </w:rPr>
        <w:t>luminación,</w:t>
      </w:r>
      <w:proofErr w:type="gramEnd"/>
      <w:r w:rsidR="00A6498C">
        <w:rPr>
          <w:rFonts w:eastAsia="Calibri"/>
          <w:szCs w:val="26"/>
          <w:lang w:eastAsia="es-ES"/>
        </w:rPr>
        <w:t xml:space="preserve"> correspondían a la A</w:t>
      </w:r>
      <w:r w:rsidRPr="00F97119">
        <w:rPr>
          <w:rFonts w:eastAsia="Calibri"/>
          <w:szCs w:val="26"/>
          <w:lang w:eastAsia="es-ES"/>
        </w:rPr>
        <w:t>dministración.</w:t>
      </w:r>
    </w:p>
    <w:p w14:paraId="5CD98DC8" w14:textId="77777777" w:rsidR="00F97631" w:rsidRPr="00731373" w:rsidRDefault="00F97631" w:rsidP="00F97631">
      <w:pPr>
        <w:spacing w:after="100"/>
        <w:ind w:firstLine="284"/>
        <w:rPr>
          <w:rFonts w:eastAsia="Calibri"/>
          <w:spacing w:val="-4"/>
          <w:sz w:val="26"/>
          <w:szCs w:val="26"/>
          <w:lang w:eastAsia="es-ES"/>
        </w:rPr>
      </w:pPr>
      <w:r w:rsidRPr="00731373">
        <w:rPr>
          <w:rFonts w:eastAsia="Calibri"/>
          <w:spacing w:val="-4"/>
          <w:sz w:val="26"/>
          <w:szCs w:val="26"/>
          <w:lang w:eastAsia="es-ES"/>
        </w:rPr>
        <w:t>Al canon según el contrato, está previsto que se le aplique un índice corrector cuando el tráfico rebase los niveles de servicio establecidos</w:t>
      </w:r>
      <w:r w:rsidRPr="00731373">
        <w:rPr>
          <w:rFonts w:eastAsia="Calibri"/>
          <w:spacing w:val="-4"/>
          <w:sz w:val="26"/>
          <w:szCs w:val="26"/>
          <w:vertAlign w:val="superscript"/>
          <w:lang w:eastAsia="es-ES"/>
        </w:rPr>
        <w:footnoteReference w:id="2"/>
      </w:r>
      <w:r w:rsidRPr="00731373">
        <w:rPr>
          <w:rFonts w:eastAsia="Calibri"/>
          <w:spacing w:val="-4"/>
          <w:sz w:val="26"/>
          <w:szCs w:val="26"/>
          <w:lang w:eastAsia="es-ES"/>
        </w:rPr>
        <w:t xml:space="preserve">. En el periodo de explotación 2007-2021 no se ha aplicado ninguna corrección al no rebasarse dicho nivel. </w:t>
      </w:r>
    </w:p>
    <w:p w14:paraId="212119A9" w14:textId="77777777" w:rsidR="00F97631" w:rsidRDefault="00F97631" w:rsidP="00F97631">
      <w:pPr>
        <w:spacing w:after="240"/>
        <w:ind w:firstLine="284"/>
        <w:rPr>
          <w:rFonts w:eastAsia="Calibri"/>
          <w:sz w:val="26"/>
          <w:szCs w:val="26"/>
          <w:lang w:eastAsia="es-ES"/>
        </w:rPr>
      </w:pPr>
      <w:r w:rsidRPr="003A7701">
        <w:rPr>
          <w:rFonts w:eastAsia="Calibri"/>
          <w:sz w:val="26"/>
          <w:szCs w:val="26"/>
          <w:lang w:eastAsia="es-ES"/>
        </w:rPr>
        <w:t>Mediante Orden Foral 8/200</w:t>
      </w:r>
      <w:r>
        <w:rPr>
          <w:rFonts w:eastAsia="Calibri"/>
          <w:sz w:val="26"/>
          <w:szCs w:val="26"/>
          <w:lang w:eastAsia="es-ES"/>
        </w:rPr>
        <w:t xml:space="preserve">8 se establecieron las </w:t>
      </w:r>
      <w:r w:rsidR="00457F12" w:rsidRPr="00457F12">
        <w:rPr>
          <w:rFonts w:eastAsia="Calibri"/>
          <w:sz w:val="26"/>
          <w:szCs w:val="26"/>
          <w:lang w:eastAsia="es-ES"/>
        </w:rPr>
        <w:t>t</w:t>
      </w:r>
      <w:r w:rsidRPr="00457F12">
        <w:rPr>
          <w:rFonts w:eastAsia="Calibri"/>
          <w:sz w:val="26"/>
          <w:szCs w:val="26"/>
          <w:lang w:eastAsia="es-ES"/>
        </w:rPr>
        <w:t xml:space="preserve">arifas </w:t>
      </w:r>
      <w:r w:rsidR="00457F12" w:rsidRPr="00457F12">
        <w:rPr>
          <w:rFonts w:eastAsia="Calibri"/>
          <w:sz w:val="26"/>
          <w:szCs w:val="26"/>
          <w:lang w:eastAsia="es-ES"/>
        </w:rPr>
        <w:t>u</w:t>
      </w:r>
      <w:r w:rsidRPr="00457F12">
        <w:rPr>
          <w:rFonts w:eastAsia="Calibri"/>
          <w:sz w:val="26"/>
          <w:szCs w:val="26"/>
          <w:lang w:eastAsia="es-ES"/>
        </w:rPr>
        <w:t xml:space="preserve">nitarias </w:t>
      </w:r>
      <w:r w:rsidRPr="003A7701">
        <w:rPr>
          <w:rFonts w:eastAsia="Calibri"/>
          <w:sz w:val="26"/>
          <w:szCs w:val="26"/>
          <w:lang w:eastAsia="es-ES"/>
        </w:rPr>
        <w:t xml:space="preserve">definitivas y las Tarifas </w:t>
      </w:r>
      <w:proofErr w:type="gramStart"/>
      <w:r w:rsidRPr="003A7701">
        <w:rPr>
          <w:rFonts w:eastAsia="Calibri"/>
          <w:sz w:val="26"/>
          <w:szCs w:val="26"/>
          <w:lang w:eastAsia="es-ES"/>
        </w:rPr>
        <w:t>Extra Conservación</w:t>
      </w:r>
      <w:proofErr w:type="gramEnd"/>
      <w:r w:rsidRPr="003A7701">
        <w:rPr>
          <w:rFonts w:eastAsia="Calibri"/>
          <w:sz w:val="26"/>
          <w:szCs w:val="26"/>
          <w:lang w:eastAsia="es-ES"/>
        </w:rPr>
        <w:t xml:space="preserve"> correspondientes a 2007. Sucesivamente, para cada ejercicio se actualizan según </w:t>
      </w:r>
      <w:r w:rsidRPr="0096760C">
        <w:rPr>
          <w:rFonts w:eastAsia="Calibri"/>
          <w:sz w:val="26"/>
          <w:szCs w:val="26"/>
          <w:lang w:eastAsia="es-ES"/>
        </w:rPr>
        <w:t>el</w:t>
      </w:r>
      <w:r>
        <w:rPr>
          <w:rFonts w:eastAsia="Calibri"/>
          <w:sz w:val="26"/>
          <w:szCs w:val="26"/>
          <w:lang w:eastAsia="es-ES"/>
        </w:rPr>
        <w:t xml:space="preserve"> </w:t>
      </w:r>
      <w:r w:rsidRPr="003A7701">
        <w:rPr>
          <w:rFonts w:eastAsia="Calibri"/>
          <w:sz w:val="26"/>
          <w:szCs w:val="26"/>
          <w:lang w:eastAsia="es-ES"/>
        </w:rPr>
        <w:t>IPC nacional.</w:t>
      </w:r>
    </w:p>
    <w:p w14:paraId="0DE2205F" w14:textId="77777777" w:rsidR="00F21C65" w:rsidRPr="00F21C65" w:rsidRDefault="00F21C65" w:rsidP="00F21C65">
      <w:pPr>
        <w:spacing w:after="120"/>
        <w:ind w:firstLine="284"/>
        <w:jc w:val="center"/>
        <w:rPr>
          <w:rFonts w:ascii="Arial" w:eastAsia="Calibri" w:hAnsi="Arial" w:cs="Arial"/>
          <w:lang w:eastAsia="es-ES"/>
        </w:rPr>
      </w:pPr>
      <w:r w:rsidRPr="00F21C65">
        <w:rPr>
          <w:rFonts w:ascii="Arial" w:eastAsia="Calibri" w:hAnsi="Arial" w:cs="Arial"/>
          <w:lang w:eastAsia="es-ES"/>
        </w:rPr>
        <w:t>Tarifas del canon demanda a aplicar (valor 2007)</w:t>
      </w:r>
    </w:p>
    <w:tbl>
      <w:tblPr>
        <w:tblW w:w="9072"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969"/>
        <w:gridCol w:w="5103"/>
      </w:tblGrid>
      <w:tr w:rsidR="00F97631" w:rsidRPr="00937E81" w14:paraId="740DCB1E" w14:textId="77777777" w:rsidTr="00835D8B">
        <w:trPr>
          <w:trHeight w:val="255"/>
        </w:trPr>
        <w:tc>
          <w:tcPr>
            <w:tcW w:w="3969" w:type="dxa"/>
            <w:tcBorders>
              <w:top w:val="single" w:sz="4" w:space="0" w:color="auto"/>
              <w:bottom w:val="single" w:sz="4" w:space="0" w:color="auto"/>
            </w:tcBorders>
            <w:shd w:val="clear" w:color="auto" w:fill="B8CCE4" w:themeFill="accent1" w:themeFillTint="66"/>
            <w:noWrap/>
            <w:vAlign w:val="center"/>
            <w:hideMark/>
          </w:tcPr>
          <w:p w14:paraId="370083ED" w14:textId="77777777" w:rsidR="00F97631" w:rsidRPr="00457F12" w:rsidRDefault="00F97631" w:rsidP="00F21C65">
            <w:pPr>
              <w:pStyle w:val="cuadroCabe"/>
              <w:rPr>
                <w:lang w:val="es-ES" w:eastAsia="es-ES"/>
              </w:rPr>
            </w:pPr>
            <w:r w:rsidRPr="00457F12">
              <w:rPr>
                <w:lang w:val="es-ES" w:eastAsia="es-ES"/>
              </w:rPr>
              <w:t>Vehículos</w:t>
            </w:r>
          </w:p>
        </w:tc>
        <w:tc>
          <w:tcPr>
            <w:tcW w:w="5103" w:type="dxa"/>
            <w:tcBorders>
              <w:top w:val="single" w:sz="4" w:space="0" w:color="auto"/>
              <w:bottom w:val="single" w:sz="4" w:space="0" w:color="auto"/>
            </w:tcBorders>
            <w:shd w:val="clear" w:color="auto" w:fill="B8CCE4" w:themeFill="accent1" w:themeFillTint="66"/>
            <w:noWrap/>
            <w:vAlign w:val="center"/>
            <w:hideMark/>
          </w:tcPr>
          <w:p w14:paraId="29D1E368" w14:textId="77777777" w:rsidR="00F97631" w:rsidRPr="00457F12" w:rsidRDefault="00F21C65" w:rsidP="00F21C65">
            <w:pPr>
              <w:pStyle w:val="cuadroCabe"/>
              <w:jc w:val="right"/>
              <w:rPr>
                <w:lang w:val="es-ES" w:eastAsia="es-ES"/>
              </w:rPr>
            </w:pPr>
            <w:r>
              <w:rPr>
                <w:lang w:val="es-ES" w:eastAsia="es-ES"/>
              </w:rPr>
              <w:t>E</w:t>
            </w:r>
            <w:r w:rsidR="00F97631" w:rsidRPr="00457F12">
              <w:rPr>
                <w:lang w:val="es-ES" w:eastAsia="es-ES"/>
              </w:rPr>
              <w:t>uros</w:t>
            </w:r>
            <w:r>
              <w:rPr>
                <w:lang w:val="es-ES" w:eastAsia="es-ES"/>
              </w:rPr>
              <w:t xml:space="preserve">/km </w:t>
            </w:r>
            <w:r w:rsidR="00F97631" w:rsidRPr="00457F12">
              <w:rPr>
                <w:lang w:val="es-ES" w:eastAsia="es-ES"/>
              </w:rPr>
              <w:t>(IVA no incluido)</w:t>
            </w:r>
          </w:p>
        </w:tc>
      </w:tr>
      <w:tr w:rsidR="00F97631" w:rsidRPr="00937E81" w14:paraId="4547DA29" w14:textId="77777777" w:rsidTr="00835D8B">
        <w:trPr>
          <w:trHeight w:val="255"/>
        </w:trPr>
        <w:tc>
          <w:tcPr>
            <w:tcW w:w="3969" w:type="dxa"/>
            <w:tcBorders>
              <w:top w:val="single" w:sz="4" w:space="0" w:color="auto"/>
              <w:bottom w:val="single" w:sz="2" w:space="0" w:color="auto"/>
            </w:tcBorders>
            <w:shd w:val="clear" w:color="auto" w:fill="auto"/>
            <w:noWrap/>
            <w:vAlign w:val="center"/>
            <w:hideMark/>
          </w:tcPr>
          <w:p w14:paraId="503642E5" w14:textId="77777777" w:rsidR="00F97631" w:rsidRPr="00937E81" w:rsidRDefault="00F97631" w:rsidP="00F21C65">
            <w:pPr>
              <w:pStyle w:val="cuatexto"/>
              <w:rPr>
                <w:lang w:val="es-ES" w:eastAsia="es-ES"/>
              </w:rPr>
            </w:pPr>
            <w:r w:rsidRPr="00937E81">
              <w:rPr>
                <w:lang w:val="es-ES" w:eastAsia="es-ES"/>
              </w:rPr>
              <w:t>Ligeros</w:t>
            </w:r>
          </w:p>
        </w:tc>
        <w:tc>
          <w:tcPr>
            <w:tcW w:w="5103" w:type="dxa"/>
            <w:tcBorders>
              <w:top w:val="single" w:sz="4" w:space="0" w:color="auto"/>
              <w:bottom w:val="single" w:sz="2" w:space="0" w:color="auto"/>
            </w:tcBorders>
            <w:shd w:val="clear" w:color="auto" w:fill="auto"/>
            <w:noWrap/>
            <w:vAlign w:val="center"/>
            <w:hideMark/>
          </w:tcPr>
          <w:p w14:paraId="4CB134EA" w14:textId="77777777" w:rsidR="00F97631" w:rsidRPr="00937E81" w:rsidRDefault="00F97631" w:rsidP="00F21C65">
            <w:pPr>
              <w:pStyle w:val="cuatexto"/>
              <w:jc w:val="right"/>
              <w:rPr>
                <w:lang w:val="es-ES" w:eastAsia="es-ES"/>
              </w:rPr>
            </w:pPr>
            <w:r w:rsidRPr="00937E81">
              <w:rPr>
                <w:lang w:val="es-ES" w:eastAsia="es-ES"/>
              </w:rPr>
              <w:t>0,0792</w:t>
            </w:r>
          </w:p>
        </w:tc>
      </w:tr>
      <w:tr w:rsidR="00F97631" w:rsidRPr="00937E81" w14:paraId="650C1C74" w14:textId="77777777" w:rsidTr="00835D8B">
        <w:trPr>
          <w:trHeight w:val="255"/>
        </w:trPr>
        <w:tc>
          <w:tcPr>
            <w:tcW w:w="3969" w:type="dxa"/>
            <w:tcBorders>
              <w:top w:val="single" w:sz="2" w:space="0" w:color="auto"/>
            </w:tcBorders>
            <w:shd w:val="clear" w:color="auto" w:fill="auto"/>
            <w:noWrap/>
            <w:vAlign w:val="center"/>
            <w:hideMark/>
          </w:tcPr>
          <w:p w14:paraId="708938F9" w14:textId="77777777" w:rsidR="00F97631" w:rsidRPr="00937E81" w:rsidRDefault="00F97631" w:rsidP="00F21C65">
            <w:pPr>
              <w:pStyle w:val="cuatexto"/>
              <w:rPr>
                <w:lang w:val="es-ES" w:eastAsia="es-ES"/>
              </w:rPr>
            </w:pPr>
            <w:r w:rsidRPr="00937E81">
              <w:rPr>
                <w:lang w:val="es-ES" w:eastAsia="es-ES"/>
              </w:rPr>
              <w:t>Pesados</w:t>
            </w:r>
          </w:p>
        </w:tc>
        <w:tc>
          <w:tcPr>
            <w:tcW w:w="5103" w:type="dxa"/>
            <w:tcBorders>
              <w:top w:val="single" w:sz="2" w:space="0" w:color="auto"/>
            </w:tcBorders>
            <w:shd w:val="clear" w:color="auto" w:fill="auto"/>
            <w:noWrap/>
            <w:vAlign w:val="center"/>
            <w:hideMark/>
          </w:tcPr>
          <w:p w14:paraId="5B5B9FBE" w14:textId="77777777" w:rsidR="00F97631" w:rsidRPr="00937E81" w:rsidRDefault="00F97631" w:rsidP="00F21C65">
            <w:pPr>
              <w:pStyle w:val="cuatexto"/>
              <w:jc w:val="right"/>
              <w:rPr>
                <w:lang w:val="es-ES" w:eastAsia="es-ES"/>
              </w:rPr>
            </w:pPr>
            <w:r w:rsidRPr="00937E81">
              <w:rPr>
                <w:lang w:val="es-ES" w:eastAsia="es-ES"/>
              </w:rPr>
              <w:t>0,1069</w:t>
            </w:r>
          </w:p>
        </w:tc>
      </w:tr>
    </w:tbl>
    <w:p w14:paraId="1CAC8594" w14:textId="77777777" w:rsidR="00F97631" w:rsidRPr="00F21C65" w:rsidRDefault="00F21C65" w:rsidP="00F21C65">
      <w:pPr>
        <w:spacing w:before="240" w:after="120"/>
        <w:ind w:firstLine="284"/>
        <w:jc w:val="center"/>
        <w:rPr>
          <w:rFonts w:ascii="Arial" w:eastAsia="Calibri" w:hAnsi="Arial" w:cs="Arial"/>
          <w:lang w:eastAsia="es-ES"/>
        </w:rPr>
      </w:pPr>
      <w:r w:rsidRPr="00F21C65">
        <w:rPr>
          <w:rFonts w:ascii="Arial" w:eastAsia="Calibri" w:hAnsi="Arial" w:cs="Arial"/>
          <w:lang w:eastAsia="es-ES"/>
        </w:rPr>
        <w:t xml:space="preserve">Tarifas </w:t>
      </w:r>
      <w:proofErr w:type="gramStart"/>
      <w:r w:rsidRPr="00F21C65">
        <w:rPr>
          <w:rFonts w:ascii="Arial" w:eastAsia="Calibri" w:hAnsi="Arial" w:cs="Arial"/>
          <w:lang w:eastAsia="es-ES"/>
        </w:rPr>
        <w:t>extra conservación</w:t>
      </w:r>
      <w:proofErr w:type="gramEnd"/>
      <w:r w:rsidRPr="00F21C65">
        <w:rPr>
          <w:rFonts w:ascii="Arial" w:eastAsia="Calibri" w:hAnsi="Arial" w:cs="Arial"/>
          <w:lang w:eastAsia="es-ES"/>
        </w:rPr>
        <w:t xml:space="preserve"> a aplicar (valor 2007)</w:t>
      </w:r>
    </w:p>
    <w:tbl>
      <w:tblPr>
        <w:tblW w:w="9072"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969"/>
        <w:gridCol w:w="5103"/>
      </w:tblGrid>
      <w:tr w:rsidR="00F97631" w:rsidRPr="00937E81" w14:paraId="25681B99" w14:textId="77777777" w:rsidTr="00F21C65">
        <w:trPr>
          <w:trHeight w:val="255"/>
        </w:trPr>
        <w:tc>
          <w:tcPr>
            <w:tcW w:w="3969" w:type="dxa"/>
            <w:tcBorders>
              <w:bottom w:val="single" w:sz="2" w:space="0" w:color="auto"/>
            </w:tcBorders>
            <w:shd w:val="clear" w:color="auto" w:fill="B8CCE4" w:themeFill="accent1" w:themeFillTint="66"/>
            <w:noWrap/>
            <w:vAlign w:val="center"/>
            <w:hideMark/>
          </w:tcPr>
          <w:p w14:paraId="218D46C6" w14:textId="77777777" w:rsidR="00F97631" w:rsidRPr="00937E81" w:rsidRDefault="00F97631" w:rsidP="00F21C65">
            <w:pPr>
              <w:pStyle w:val="cuadroCabe"/>
              <w:rPr>
                <w:lang w:val="es-ES" w:eastAsia="es-ES"/>
              </w:rPr>
            </w:pPr>
            <w:r w:rsidRPr="00937E81">
              <w:rPr>
                <w:lang w:val="es-ES" w:eastAsia="es-ES"/>
              </w:rPr>
              <w:t>Vehículos</w:t>
            </w:r>
          </w:p>
        </w:tc>
        <w:tc>
          <w:tcPr>
            <w:tcW w:w="5103" w:type="dxa"/>
            <w:tcBorders>
              <w:bottom w:val="single" w:sz="2" w:space="0" w:color="auto"/>
            </w:tcBorders>
            <w:shd w:val="clear" w:color="auto" w:fill="B8CCE4" w:themeFill="accent1" w:themeFillTint="66"/>
            <w:noWrap/>
            <w:vAlign w:val="center"/>
            <w:hideMark/>
          </w:tcPr>
          <w:p w14:paraId="43E0E2C3" w14:textId="77777777" w:rsidR="00F97631" w:rsidRPr="00937E81" w:rsidRDefault="00F21C65" w:rsidP="00F21C65">
            <w:pPr>
              <w:pStyle w:val="cuadroCabe"/>
              <w:jc w:val="right"/>
              <w:rPr>
                <w:lang w:val="es-ES" w:eastAsia="es-ES"/>
              </w:rPr>
            </w:pPr>
            <w:r>
              <w:rPr>
                <w:lang w:val="es-ES" w:eastAsia="es-ES"/>
              </w:rPr>
              <w:t xml:space="preserve">Euros </w:t>
            </w:r>
            <w:r w:rsidR="00F97631" w:rsidRPr="004A6A11">
              <w:rPr>
                <w:lang w:val="es-ES" w:eastAsia="es-ES"/>
              </w:rPr>
              <w:t>(</w:t>
            </w:r>
            <w:r w:rsidR="00F97631">
              <w:rPr>
                <w:lang w:val="es-ES" w:eastAsia="es-ES"/>
              </w:rPr>
              <w:t>IVA no incluido)</w:t>
            </w:r>
          </w:p>
        </w:tc>
      </w:tr>
      <w:tr w:rsidR="00F97631" w:rsidRPr="00937E81" w14:paraId="7F909CC4" w14:textId="77777777" w:rsidTr="00E508C0">
        <w:trPr>
          <w:trHeight w:val="255"/>
        </w:trPr>
        <w:tc>
          <w:tcPr>
            <w:tcW w:w="3969" w:type="dxa"/>
            <w:tcBorders>
              <w:top w:val="single" w:sz="2" w:space="0" w:color="auto"/>
              <w:bottom w:val="single" w:sz="2" w:space="0" w:color="auto"/>
            </w:tcBorders>
            <w:shd w:val="clear" w:color="auto" w:fill="auto"/>
            <w:noWrap/>
            <w:vAlign w:val="center"/>
            <w:hideMark/>
          </w:tcPr>
          <w:p w14:paraId="25F77E5F" w14:textId="77777777" w:rsidR="00F97631" w:rsidRPr="00937E81" w:rsidRDefault="00F97631" w:rsidP="00F21C65">
            <w:pPr>
              <w:pStyle w:val="cuatexto"/>
              <w:rPr>
                <w:lang w:val="es-ES" w:eastAsia="es-ES"/>
              </w:rPr>
            </w:pPr>
            <w:r w:rsidRPr="00937E81">
              <w:rPr>
                <w:lang w:val="es-ES" w:eastAsia="es-ES"/>
              </w:rPr>
              <w:t>Ligeros</w:t>
            </w:r>
          </w:p>
        </w:tc>
        <w:tc>
          <w:tcPr>
            <w:tcW w:w="5103" w:type="dxa"/>
            <w:tcBorders>
              <w:top w:val="single" w:sz="2" w:space="0" w:color="auto"/>
              <w:bottom w:val="single" w:sz="2" w:space="0" w:color="auto"/>
            </w:tcBorders>
            <w:shd w:val="clear" w:color="auto" w:fill="auto"/>
            <w:noWrap/>
            <w:vAlign w:val="center"/>
          </w:tcPr>
          <w:p w14:paraId="22B7C86C" w14:textId="77777777" w:rsidR="00F97631" w:rsidRPr="00937E81" w:rsidRDefault="00F97631" w:rsidP="00F21C65">
            <w:pPr>
              <w:pStyle w:val="cuatexto"/>
              <w:jc w:val="right"/>
              <w:rPr>
                <w:lang w:val="es-ES" w:eastAsia="es-ES"/>
              </w:rPr>
            </w:pPr>
            <w:r>
              <w:rPr>
                <w:lang w:val="es-ES" w:eastAsia="es-ES"/>
              </w:rPr>
              <w:t>0,00486</w:t>
            </w:r>
          </w:p>
        </w:tc>
      </w:tr>
      <w:tr w:rsidR="00F97631" w:rsidRPr="00937E81" w14:paraId="373A81E5" w14:textId="77777777" w:rsidTr="00E508C0">
        <w:trPr>
          <w:trHeight w:val="255"/>
        </w:trPr>
        <w:tc>
          <w:tcPr>
            <w:tcW w:w="3969" w:type="dxa"/>
            <w:tcBorders>
              <w:top w:val="single" w:sz="2" w:space="0" w:color="auto"/>
            </w:tcBorders>
            <w:shd w:val="clear" w:color="auto" w:fill="auto"/>
            <w:noWrap/>
            <w:vAlign w:val="center"/>
            <w:hideMark/>
          </w:tcPr>
          <w:p w14:paraId="69DAFA9F" w14:textId="77777777" w:rsidR="00F97631" w:rsidRPr="00937E81" w:rsidRDefault="00F97631" w:rsidP="00F21C65">
            <w:pPr>
              <w:pStyle w:val="cuatexto"/>
              <w:rPr>
                <w:lang w:val="es-ES" w:eastAsia="es-ES"/>
              </w:rPr>
            </w:pPr>
            <w:r w:rsidRPr="00937E81">
              <w:rPr>
                <w:lang w:val="es-ES" w:eastAsia="es-ES"/>
              </w:rPr>
              <w:t>Pesados</w:t>
            </w:r>
          </w:p>
        </w:tc>
        <w:tc>
          <w:tcPr>
            <w:tcW w:w="5103" w:type="dxa"/>
            <w:tcBorders>
              <w:top w:val="single" w:sz="2" w:space="0" w:color="auto"/>
            </w:tcBorders>
            <w:shd w:val="clear" w:color="auto" w:fill="auto"/>
            <w:noWrap/>
            <w:vAlign w:val="center"/>
          </w:tcPr>
          <w:p w14:paraId="10CD8380" w14:textId="77777777" w:rsidR="00F97631" w:rsidRPr="00937E81" w:rsidRDefault="00F97631" w:rsidP="00F21C65">
            <w:pPr>
              <w:pStyle w:val="cuatexto"/>
              <w:jc w:val="right"/>
              <w:rPr>
                <w:lang w:val="es-ES" w:eastAsia="es-ES"/>
              </w:rPr>
            </w:pPr>
            <w:r>
              <w:rPr>
                <w:lang w:val="es-ES" w:eastAsia="es-ES"/>
              </w:rPr>
              <w:t>0,00656</w:t>
            </w:r>
          </w:p>
        </w:tc>
      </w:tr>
    </w:tbl>
    <w:p w14:paraId="5A95F11A" w14:textId="77777777" w:rsidR="00F97631" w:rsidRDefault="00F97631" w:rsidP="00F97631">
      <w:pPr>
        <w:spacing w:before="240"/>
        <w:ind w:firstLine="284"/>
        <w:rPr>
          <w:rFonts w:eastAsia="Calibri"/>
          <w:sz w:val="26"/>
          <w:szCs w:val="26"/>
          <w:lang w:eastAsia="es-ES"/>
        </w:rPr>
      </w:pPr>
      <w:r w:rsidRPr="004A6A11">
        <w:rPr>
          <w:rFonts w:eastAsia="Calibri"/>
          <w:sz w:val="26"/>
          <w:szCs w:val="26"/>
          <w:lang w:eastAsia="es-ES"/>
        </w:rPr>
        <w:t>Por Orden Foral 24/2009 se aprobó</w:t>
      </w:r>
      <w:r w:rsidR="007715CA" w:rsidRPr="004A6A11">
        <w:rPr>
          <w:rFonts w:eastAsia="Calibri"/>
          <w:sz w:val="26"/>
          <w:szCs w:val="26"/>
          <w:lang w:eastAsia="es-ES"/>
        </w:rPr>
        <w:t xml:space="preserve"> el PEF</w:t>
      </w:r>
      <w:r w:rsidRPr="004A6A11">
        <w:rPr>
          <w:rFonts w:eastAsia="Calibri"/>
          <w:sz w:val="26"/>
          <w:szCs w:val="26"/>
          <w:lang w:eastAsia="es-ES"/>
        </w:rPr>
        <w:t xml:space="preserve"> adecuado a la conclusión de las obras. Para el análisis de dicho plan, se contrató l</w:t>
      </w:r>
      <w:r>
        <w:rPr>
          <w:rFonts w:eastAsia="Calibri"/>
          <w:sz w:val="26"/>
          <w:szCs w:val="26"/>
          <w:lang w:eastAsia="es-ES"/>
        </w:rPr>
        <w:t>a asistencia técnica de una empresa experta en esta materia, que considera que el PEF es coherente con lo establecido en el contrato de concesión.</w:t>
      </w:r>
    </w:p>
    <w:p w14:paraId="454F5427" w14:textId="77777777" w:rsidR="00E508C0" w:rsidRDefault="00E508C0">
      <w:pPr>
        <w:spacing w:after="0"/>
        <w:ind w:firstLine="0"/>
        <w:jc w:val="left"/>
        <w:rPr>
          <w:rFonts w:eastAsia="Calibri"/>
          <w:sz w:val="26"/>
          <w:szCs w:val="26"/>
          <w:lang w:eastAsia="es-ES"/>
        </w:rPr>
      </w:pPr>
      <w:r>
        <w:rPr>
          <w:rFonts w:eastAsia="Calibri"/>
          <w:sz w:val="26"/>
          <w:szCs w:val="26"/>
          <w:lang w:eastAsia="es-ES"/>
        </w:rPr>
        <w:br w:type="page"/>
      </w:r>
    </w:p>
    <w:p w14:paraId="0F5C309E" w14:textId="77777777" w:rsidR="00EE1FD5" w:rsidRDefault="00F97631" w:rsidP="00F97631">
      <w:pPr>
        <w:spacing w:after="240"/>
        <w:ind w:firstLine="284"/>
        <w:rPr>
          <w:rFonts w:eastAsia="Calibri"/>
          <w:sz w:val="26"/>
          <w:szCs w:val="26"/>
          <w:lang w:eastAsia="es-ES"/>
        </w:rPr>
      </w:pPr>
      <w:r>
        <w:rPr>
          <w:rFonts w:eastAsia="Calibri"/>
          <w:sz w:val="26"/>
          <w:szCs w:val="26"/>
          <w:lang w:eastAsia="es-ES"/>
        </w:rPr>
        <w:t>La evolución</w:t>
      </w:r>
      <w:r w:rsidRPr="006D0FCD">
        <w:rPr>
          <w:rFonts w:eastAsia="Calibri"/>
          <w:sz w:val="26"/>
          <w:szCs w:val="26"/>
          <w:lang w:eastAsia="es-ES"/>
        </w:rPr>
        <w:t xml:space="preserve"> </w:t>
      </w:r>
      <w:r>
        <w:rPr>
          <w:rFonts w:eastAsia="Calibri"/>
          <w:sz w:val="26"/>
          <w:szCs w:val="26"/>
          <w:lang w:eastAsia="es-ES"/>
        </w:rPr>
        <w:t xml:space="preserve">de la estructura accionarial, en porcentaje sobre </w:t>
      </w:r>
      <w:r w:rsidR="00922E74">
        <w:rPr>
          <w:rFonts w:eastAsia="Calibri"/>
          <w:sz w:val="26"/>
          <w:szCs w:val="26"/>
          <w:lang w:eastAsia="es-ES"/>
        </w:rPr>
        <w:t>la cifra de capital social, de A</w:t>
      </w:r>
      <w:r>
        <w:rPr>
          <w:rFonts w:eastAsia="Calibri"/>
          <w:sz w:val="26"/>
          <w:szCs w:val="26"/>
          <w:lang w:eastAsia="es-ES"/>
        </w:rPr>
        <w:t xml:space="preserve">utovía del Camino S.A., </w:t>
      </w:r>
      <w:r w:rsidRPr="001B1193">
        <w:rPr>
          <w:rFonts w:eastAsia="Calibri"/>
          <w:sz w:val="26"/>
          <w:szCs w:val="26"/>
          <w:lang w:eastAsia="es-ES"/>
        </w:rPr>
        <w:t xml:space="preserve">en el periodo 2014-2021 </w:t>
      </w:r>
      <w:r>
        <w:rPr>
          <w:rFonts w:eastAsia="Calibri"/>
          <w:sz w:val="26"/>
          <w:szCs w:val="26"/>
          <w:lang w:eastAsia="es-ES"/>
        </w:rPr>
        <w:t xml:space="preserve">es la siguiente: </w:t>
      </w:r>
    </w:p>
    <w:tbl>
      <w:tblPr>
        <w:tblW w:w="9071"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686"/>
        <w:gridCol w:w="709"/>
        <w:gridCol w:w="709"/>
        <w:gridCol w:w="708"/>
        <w:gridCol w:w="709"/>
        <w:gridCol w:w="575"/>
        <w:gridCol w:w="701"/>
        <w:gridCol w:w="709"/>
        <w:gridCol w:w="565"/>
      </w:tblGrid>
      <w:tr w:rsidR="00F97631" w:rsidRPr="001B705B" w14:paraId="29784F37" w14:textId="77777777" w:rsidTr="00A24812">
        <w:trPr>
          <w:trHeight w:val="255"/>
        </w:trPr>
        <w:tc>
          <w:tcPr>
            <w:tcW w:w="3686" w:type="dxa"/>
            <w:shd w:val="clear" w:color="auto" w:fill="B8CCE4" w:themeFill="accent1" w:themeFillTint="66"/>
            <w:noWrap/>
            <w:vAlign w:val="center"/>
            <w:hideMark/>
          </w:tcPr>
          <w:p w14:paraId="5EC1C5B5" w14:textId="77777777" w:rsidR="00F97631" w:rsidRPr="001B705B" w:rsidRDefault="00F97631" w:rsidP="00E508C0">
            <w:pPr>
              <w:pStyle w:val="cuadroCabe"/>
              <w:spacing w:line="240" w:lineRule="auto"/>
              <w:rPr>
                <w:lang w:val="es-ES" w:eastAsia="es-ES"/>
              </w:rPr>
            </w:pPr>
            <w:r w:rsidRPr="001B705B">
              <w:rPr>
                <w:lang w:val="es-ES" w:eastAsia="es-ES"/>
              </w:rPr>
              <w:t>Estructura accionarial</w:t>
            </w:r>
          </w:p>
        </w:tc>
        <w:tc>
          <w:tcPr>
            <w:tcW w:w="709" w:type="dxa"/>
            <w:shd w:val="clear" w:color="auto" w:fill="B8CCE4" w:themeFill="accent1" w:themeFillTint="66"/>
            <w:noWrap/>
            <w:vAlign w:val="center"/>
            <w:hideMark/>
          </w:tcPr>
          <w:p w14:paraId="4ACAA651" w14:textId="77777777" w:rsidR="00F97631" w:rsidRPr="001B705B" w:rsidRDefault="00F97631" w:rsidP="00E508C0">
            <w:pPr>
              <w:pStyle w:val="cuadroCabe"/>
              <w:spacing w:line="240" w:lineRule="auto"/>
              <w:jc w:val="right"/>
              <w:rPr>
                <w:lang w:val="es-ES" w:eastAsia="es-ES"/>
              </w:rPr>
            </w:pPr>
            <w:r w:rsidRPr="001B705B">
              <w:rPr>
                <w:lang w:val="es-ES" w:eastAsia="es-ES"/>
              </w:rPr>
              <w:t>2014</w:t>
            </w:r>
          </w:p>
        </w:tc>
        <w:tc>
          <w:tcPr>
            <w:tcW w:w="709" w:type="dxa"/>
            <w:shd w:val="clear" w:color="auto" w:fill="B8CCE4" w:themeFill="accent1" w:themeFillTint="66"/>
            <w:noWrap/>
            <w:vAlign w:val="center"/>
            <w:hideMark/>
          </w:tcPr>
          <w:p w14:paraId="5B5B4B0A" w14:textId="77777777" w:rsidR="00F97631" w:rsidRPr="001B705B" w:rsidRDefault="00F97631" w:rsidP="00E508C0">
            <w:pPr>
              <w:pStyle w:val="cuadroCabe"/>
              <w:spacing w:line="240" w:lineRule="auto"/>
              <w:jc w:val="right"/>
              <w:rPr>
                <w:lang w:val="es-ES" w:eastAsia="es-ES"/>
              </w:rPr>
            </w:pPr>
            <w:r w:rsidRPr="001B705B">
              <w:rPr>
                <w:lang w:val="es-ES" w:eastAsia="es-ES"/>
              </w:rPr>
              <w:t>2015</w:t>
            </w:r>
          </w:p>
        </w:tc>
        <w:tc>
          <w:tcPr>
            <w:tcW w:w="708" w:type="dxa"/>
            <w:shd w:val="clear" w:color="auto" w:fill="B8CCE4" w:themeFill="accent1" w:themeFillTint="66"/>
            <w:noWrap/>
            <w:vAlign w:val="center"/>
            <w:hideMark/>
          </w:tcPr>
          <w:p w14:paraId="585AA1C3" w14:textId="77777777" w:rsidR="00F97631" w:rsidRPr="001B705B" w:rsidRDefault="00F97631" w:rsidP="00E508C0">
            <w:pPr>
              <w:pStyle w:val="cuadroCabe"/>
              <w:spacing w:line="240" w:lineRule="auto"/>
              <w:jc w:val="right"/>
              <w:rPr>
                <w:lang w:val="es-ES" w:eastAsia="es-ES"/>
              </w:rPr>
            </w:pPr>
            <w:r w:rsidRPr="001B705B">
              <w:rPr>
                <w:lang w:val="es-ES" w:eastAsia="es-ES"/>
              </w:rPr>
              <w:t>2016</w:t>
            </w:r>
          </w:p>
        </w:tc>
        <w:tc>
          <w:tcPr>
            <w:tcW w:w="709" w:type="dxa"/>
            <w:shd w:val="clear" w:color="auto" w:fill="B8CCE4" w:themeFill="accent1" w:themeFillTint="66"/>
            <w:noWrap/>
            <w:vAlign w:val="center"/>
            <w:hideMark/>
          </w:tcPr>
          <w:p w14:paraId="27FC9B98" w14:textId="77777777" w:rsidR="00F97631" w:rsidRPr="001B705B" w:rsidRDefault="00F97631" w:rsidP="00E508C0">
            <w:pPr>
              <w:pStyle w:val="cuadroCabe"/>
              <w:spacing w:line="240" w:lineRule="auto"/>
              <w:jc w:val="right"/>
              <w:rPr>
                <w:lang w:val="es-ES" w:eastAsia="es-ES"/>
              </w:rPr>
            </w:pPr>
            <w:r w:rsidRPr="001B705B">
              <w:rPr>
                <w:lang w:val="es-ES" w:eastAsia="es-ES"/>
              </w:rPr>
              <w:t>2017</w:t>
            </w:r>
          </w:p>
        </w:tc>
        <w:tc>
          <w:tcPr>
            <w:tcW w:w="575" w:type="dxa"/>
            <w:shd w:val="clear" w:color="auto" w:fill="B8CCE4" w:themeFill="accent1" w:themeFillTint="66"/>
            <w:noWrap/>
            <w:vAlign w:val="center"/>
            <w:hideMark/>
          </w:tcPr>
          <w:p w14:paraId="20E9E352" w14:textId="77777777" w:rsidR="00F97631" w:rsidRPr="001B705B" w:rsidRDefault="00F97631" w:rsidP="00E508C0">
            <w:pPr>
              <w:pStyle w:val="cuadroCabe"/>
              <w:spacing w:line="240" w:lineRule="auto"/>
              <w:jc w:val="right"/>
              <w:rPr>
                <w:lang w:val="es-ES" w:eastAsia="es-ES"/>
              </w:rPr>
            </w:pPr>
            <w:r w:rsidRPr="001B705B">
              <w:rPr>
                <w:lang w:val="es-ES" w:eastAsia="es-ES"/>
              </w:rPr>
              <w:t>2018</w:t>
            </w:r>
          </w:p>
        </w:tc>
        <w:tc>
          <w:tcPr>
            <w:tcW w:w="701" w:type="dxa"/>
            <w:shd w:val="clear" w:color="auto" w:fill="B8CCE4" w:themeFill="accent1" w:themeFillTint="66"/>
            <w:noWrap/>
            <w:vAlign w:val="center"/>
            <w:hideMark/>
          </w:tcPr>
          <w:p w14:paraId="47C2971B" w14:textId="77777777" w:rsidR="00F97631" w:rsidRPr="001B705B" w:rsidRDefault="00F97631" w:rsidP="00E508C0">
            <w:pPr>
              <w:pStyle w:val="cuadroCabe"/>
              <w:spacing w:line="240" w:lineRule="auto"/>
              <w:jc w:val="right"/>
              <w:rPr>
                <w:lang w:val="es-ES" w:eastAsia="es-ES"/>
              </w:rPr>
            </w:pPr>
            <w:r w:rsidRPr="001B705B">
              <w:rPr>
                <w:lang w:val="es-ES" w:eastAsia="es-ES"/>
              </w:rPr>
              <w:t>2019</w:t>
            </w:r>
          </w:p>
        </w:tc>
        <w:tc>
          <w:tcPr>
            <w:tcW w:w="709" w:type="dxa"/>
            <w:shd w:val="clear" w:color="auto" w:fill="B8CCE4" w:themeFill="accent1" w:themeFillTint="66"/>
            <w:noWrap/>
            <w:vAlign w:val="center"/>
            <w:hideMark/>
          </w:tcPr>
          <w:p w14:paraId="0F2BCA3E" w14:textId="77777777" w:rsidR="00F97631" w:rsidRPr="001B705B" w:rsidRDefault="00F97631" w:rsidP="00E508C0">
            <w:pPr>
              <w:pStyle w:val="cuadroCabe"/>
              <w:spacing w:line="240" w:lineRule="auto"/>
              <w:jc w:val="right"/>
              <w:rPr>
                <w:lang w:val="es-ES" w:eastAsia="es-ES"/>
              </w:rPr>
            </w:pPr>
            <w:r w:rsidRPr="001B705B">
              <w:rPr>
                <w:lang w:val="es-ES" w:eastAsia="es-ES"/>
              </w:rPr>
              <w:t>2020</w:t>
            </w:r>
          </w:p>
        </w:tc>
        <w:tc>
          <w:tcPr>
            <w:tcW w:w="565" w:type="dxa"/>
            <w:shd w:val="clear" w:color="auto" w:fill="B8CCE4" w:themeFill="accent1" w:themeFillTint="66"/>
            <w:vAlign w:val="center"/>
          </w:tcPr>
          <w:p w14:paraId="1DFA616D" w14:textId="77777777" w:rsidR="00F97631" w:rsidRPr="00A10CF3" w:rsidRDefault="00F97631" w:rsidP="00E508C0">
            <w:pPr>
              <w:pStyle w:val="cuadroCabe"/>
              <w:spacing w:line="240" w:lineRule="auto"/>
              <w:jc w:val="right"/>
              <w:rPr>
                <w:lang w:val="es-ES" w:eastAsia="es-ES"/>
              </w:rPr>
            </w:pPr>
            <w:r w:rsidRPr="00A10CF3">
              <w:rPr>
                <w:lang w:val="es-ES" w:eastAsia="es-ES"/>
              </w:rPr>
              <w:t>2021</w:t>
            </w:r>
          </w:p>
        </w:tc>
      </w:tr>
      <w:tr w:rsidR="00F97631" w:rsidRPr="00300CD6" w14:paraId="683C7C60" w14:textId="77777777" w:rsidTr="00A24812">
        <w:trPr>
          <w:trHeight w:val="255"/>
        </w:trPr>
        <w:tc>
          <w:tcPr>
            <w:tcW w:w="3686" w:type="dxa"/>
            <w:tcBorders>
              <w:bottom w:val="single" w:sz="2" w:space="0" w:color="auto"/>
            </w:tcBorders>
            <w:shd w:val="clear" w:color="auto" w:fill="auto"/>
            <w:vAlign w:val="center"/>
            <w:hideMark/>
          </w:tcPr>
          <w:p w14:paraId="0783C8CD" w14:textId="77777777" w:rsidR="00F97631" w:rsidRPr="00300CD6" w:rsidRDefault="00F97631" w:rsidP="00E508C0">
            <w:pPr>
              <w:pStyle w:val="cuatexto"/>
              <w:spacing w:line="240" w:lineRule="auto"/>
              <w:rPr>
                <w:szCs w:val="20"/>
                <w:lang w:val="es-ES" w:eastAsia="es-ES"/>
              </w:rPr>
            </w:pPr>
            <w:proofErr w:type="spellStart"/>
            <w:r w:rsidRPr="00300CD6">
              <w:rPr>
                <w:szCs w:val="20"/>
                <w:lang w:val="es-ES" w:eastAsia="es-ES"/>
              </w:rPr>
              <w:t>Infrastructure</w:t>
            </w:r>
            <w:proofErr w:type="spellEnd"/>
            <w:r w:rsidRPr="00300CD6">
              <w:rPr>
                <w:szCs w:val="20"/>
                <w:lang w:val="es-ES" w:eastAsia="es-ES"/>
              </w:rPr>
              <w:t xml:space="preserve"> </w:t>
            </w:r>
            <w:proofErr w:type="spellStart"/>
            <w:r w:rsidRPr="00300CD6">
              <w:rPr>
                <w:szCs w:val="20"/>
                <w:lang w:val="es-ES" w:eastAsia="es-ES"/>
              </w:rPr>
              <w:t>Panther</w:t>
            </w:r>
            <w:proofErr w:type="spellEnd"/>
            <w:r w:rsidRPr="00300CD6">
              <w:rPr>
                <w:szCs w:val="20"/>
                <w:lang w:val="es-ES" w:eastAsia="es-ES"/>
              </w:rPr>
              <w:t xml:space="preserve"> 1, B.V.,</w:t>
            </w:r>
          </w:p>
        </w:tc>
        <w:tc>
          <w:tcPr>
            <w:tcW w:w="709" w:type="dxa"/>
            <w:tcBorders>
              <w:bottom w:val="single" w:sz="2" w:space="0" w:color="auto"/>
            </w:tcBorders>
            <w:shd w:val="clear" w:color="auto" w:fill="auto"/>
            <w:noWrap/>
            <w:vAlign w:val="center"/>
            <w:hideMark/>
          </w:tcPr>
          <w:p w14:paraId="65BB0F73"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80</w:t>
            </w:r>
          </w:p>
        </w:tc>
        <w:tc>
          <w:tcPr>
            <w:tcW w:w="709" w:type="dxa"/>
            <w:tcBorders>
              <w:bottom w:val="single" w:sz="2" w:space="0" w:color="auto"/>
            </w:tcBorders>
            <w:shd w:val="clear" w:color="auto" w:fill="auto"/>
            <w:noWrap/>
            <w:vAlign w:val="center"/>
            <w:hideMark/>
          </w:tcPr>
          <w:p w14:paraId="544CAAB5"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80</w:t>
            </w:r>
          </w:p>
        </w:tc>
        <w:tc>
          <w:tcPr>
            <w:tcW w:w="708" w:type="dxa"/>
            <w:tcBorders>
              <w:bottom w:val="single" w:sz="2" w:space="0" w:color="auto"/>
            </w:tcBorders>
            <w:shd w:val="clear" w:color="auto" w:fill="auto"/>
            <w:noWrap/>
            <w:vAlign w:val="center"/>
            <w:hideMark/>
          </w:tcPr>
          <w:p w14:paraId="1C3DCC3B"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100</w:t>
            </w:r>
          </w:p>
        </w:tc>
        <w:tc>
          <w:tcPr>
            <w:tcW w:w="709" w:type="dxa"/>
            <w:tcBorders>
              <w:bottom w:val="single" w:sz="2" w:space="0" w:color="auto"/>
            </w:tcBorders>
            <w:shd w:val="clear" w:color="auto" w:fill="auto"/>
            <w:noWrap/>
            <w:vAlign w:val="center"/>
            <w:hideMark/>
          </w:tcPr>
          <w:p w14:paraId="09D0AB2F"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575" w:type="dxa"/>
            <w:tcBorders>
              <w:bottom w:val="single" w:sz="2" w:space="0" w:color="auto"/>
            </w:tcBorders>
            <w:shd w:val="clear" w:color="auto" w:fill="auto"/>
            <w:noWrap/>
            <w:vAlign w:val="center"/>
            <w:hideMark/>
          </w:tcPr>
          <w:p w14:paraId="2543E2F2"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701" w:type="dxa"/>
            <w:tcBorders>
              <w:bottom w:val="single" w:sz="2" w:space="0" w:color="auto"/>
            </w:tcBorders>
            <w:shd w:val="clear" w:color="auto" w:fill="auto"/>
            <w:noWrap/>
            <w:vAlign w:val="center"/>
            <w:hideMark/>
          </w:tcPr>
          <w:p w14:paraId="38663295"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709" w:type="dxa"/>
            <w:tcBorders>
              <w:bottom w:val="single" w:sz="2" w:space="0" w:color="auto"/>
            </w:tcBorders>
            <w:shd w:val="clear" w:color="auto" w:fill="auto"/>
            <w:noWrap/>
            <w:vAlign w:val="center"/>
            <w:hideMark/>
          </w:tcPr>
          <w:p w14:paraId="43AF61B5"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565" w:type="dxa"/>
            <w:tcBorders>
              <w:bottom w:val="single" w:sz="2" w:space="0" w:color="auto"/>
            </w:tcBorders>
            <w:vAlign w:val="center"/>
          </w:tcPr>
          <w:p w14:paraId="3A4445F4"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r>
      <w:tr w:rsidR="00F97631" w:rsidRPr="00300CD6" w14:paraId="546DF42C" w14:textId="77777777" w:rsidTr="00A24812">
        <w:trPr>
          <w:trHeight w:val="255"/>
        </w:trPr>
        <w:tc>
          <w:tcPr>
            <w:tcW w:w="3686" w:type="dxa"/>
            <w:tcBorders>
              <w:top w:val="single" w:sz="2" w:space="0" w:color="auto"/>
              <w:bottom w:val="single" w:sz="2" w:space="0" w:color="auto"/>
            </w:tcBorders>
            <w:shd w:val="clear" w:color="auto" w:fill="auto"/>
            <w:vAlign w:val="center"/>
            <w:hideMark/>
          </w:tcPr>
          <w:p w14:paraId="737C6DCD" w14:textId="77777777" w:rsidR="00F97631" w:rsidRPr="00300CD6" w:rsidRDefault="00F97631" w:rsidP="00E508C0">
            <w:pPr>
              <w:pStyle w:val="cuatexto"/>
              <w:spacing w:line="240" w:lineRule="auto"/>
              <w:rPr>
                <w:szCs w:val="20"/>
                <w:lang w:val="es-ES" w:eastAsia="es-ES"/>
              </w:rPr>
            </w:pPr>
            <w:proofErr w:type="spellStart"/>
            <w:r w:rsidRPr="00300CD6">
              <w:rPr>
                <w:szCs w:val="20"/>
                <w:lang w:val="es-ES" w:eastAsia="es-ES"/>
              </w:rPr>
              <w:t>Hiscan</w:t>
            </w:r>
            <w:proofErr w:type="spellEnd"/>
            <w:r w:rsidRPr="00300CD6">
              <w:rPr>
                <w:szCs w:val="20"/>
                <w:lang w:val="es-ES" w:eastAsia="es-ES"/>
              </w:rPr>
              <w:t xml:space="preserve"> Patrimonio SAU</w:t>
            </w:r>
            <w:r>
              <w:rPr>
                <w:szCs w:val="20"/>
                <w:lang w:val="es-ES" w:eastAsia="es-ES"/>
              </w:rPr>
              <w:t xml:space="preserve"> (</w:t>
            </w:r>
            <w:r w:rsidRPr="00300CD6">
              <w:rPr>
                <w:szCs w:val="20"/>
                <w:lang w:val="es-ES" w:eastAsia="es-ES"/>
              </w:rPr>
              <w:t xml:space="preserve">Grupo </w:t>
            </w:r>
            <w:proofErr w:type="spellStart"/>
            <w:r w:rsidRPr="00300CD6">
              <w:rPr>
                <w:szCs w:val="20"/>
                <w:lang w:val="es-ES" w:eastAsia="es-ES"/>
              </w:rPr>
              <w:t>Caixabank</w:t>
            </w:r>
            <w:proofErr w:type="spellEnd"/>
            <w:r w:rsidRPr="00300CD6">
              <w:rPr>
                <w:szCs w:val="20"/>
                <w:lang w:val="es-ES" w:eastAsia="es-ES"/>
              </w:rPr>
              <w:t>)</w:t>
            </w:r>
          </w:p>
        </w:tc>
        <w:tc>
          <w:tcPr>
            <w:tcW w:w="709" w:type="dxa"/>
            <w:tcBorders>
              <w:top w:val="single" w:sz="2" w:space="0" w:color="auto"/>
              <w:bottom w:val="single" w:sz="2" w:space="0" w:color="auto"/>
            </w:tcBorders>
            <w:shd w:val="clear" w:color="auto" w:fill="auto"/>
            <w:noWrap/>
            <w:vAlign w:val="center"/>
            <w:hideMark/>
          </w:tcPr>
          <w:p w14:paraId="078D4624"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11</w:t>
            </w:r>
          </w:p>
        </w:tc>
        <w:tc>
          <w:tcPr>
            <w:tcW w:w="709" w:type="dxa"/>
            <w:tcBorders>
              <w:top w:val="single" w:sz="2" w:space="0" w:color="auto"/>
              <w:bottom w:val="single" w:sz="2" w:space="0" w:color="auto"/>
            </w:tcBorders>
            <w:shd w:val="clear" w:color="auto" w:fill="auto"/>
            <w:noWrap/>
            <w:vAlign w:val="center"/>
            <w:hideMark/>
          </w:tcPr>
          <w:p w14:paraId="51C87F83"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11</w:t>
            </w:r>
          </w:p>
        </w:tc>
        <w:tc>
          <w:tcPr>
            <w:tcW w:w="708" w:type="dxa"/>
            <w:tcBorders>
              <w:top w:val="single" w:sz="2" w:space="0" w:color="auto"/>
              <w:bottom w:val="single" w:sz="2" w:space="0" w:color="auto"/>
            </w:tcBorders>
            <w:shd w:val="clear" w:color="auto" w:fill="auto"/>
            <w:noWrap/>
            <w:vAlign w:val="center"/>
            <w:hideMark/>
          </w:tcPr>
          <w:p w14:paraId="13D0936B"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709" w:type="dxa"/>
            <w:tcBorders>
              <w:top w:val="single" w:sz="2" w:space="0" w:color="auto"/>
              <w:bottom w:val="single" w:sz="2" w:space="0" w:color="auto"/>
            </w:tcBorders>
            <w:shd w:val="clear" w:color="auto" w:fill="auto"/>
            <w:noWrap/>
            <w:vAlign w:val="center"/>
            <w:hideMark/>
          </w:tcPr>
          <w:p w14:paraId="43B426A5"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575" w:type="dxa"/>
            <w:tcBorders>
              <w:top w:val="single" w:sz="2" w:space="0" w:color="auto"/>
              <w:bottom w:val="single" w:sz="2" w:space="0" w:color="auto"/>
            </w:tcBorders>
            <w:shd w:val="clear" w:color="auto" w:fill="auto"/>
            <w:noWrap/>
            <w:vAlign w:val="center"/>
            <w:hideMark/>
          </w:tcPr>
          <w:p w14:paraId="713B5950"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701" w:type="dxa"/>
            <w:tcBorders>
              <w:top w:val="single" w:sz="2" w:space="0" w:color="auto"/>
              <w:bottom w:val="single" w:sz="2" w:space="0" w:color="auto"/>
            </w:tcBorders>
            <w:shd w:val="clear" w:color="auto" w:fill="auto"/>
            <w:noWrap/>
            <w:vAlign w:val="center"/>
            <w:hideMark/>
          </w:tcPr>
          <w:p w14:paraId="0CDE35F2"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709" w:type="dxa"/>
            <w:tcBorders>
              <w:top w:val="single" w:sz="2" w:space="0" w:color="auto"/>
              <w:bottom w:val="single" w:sz="2" w:space="0" w:color="auto"/>
            </w:tcBorders>
            <w:shd w:val="clear" w:color="auto" w:fill="auto"/>
            <w:noWrap/>
            <w:vAlign w:val="center"/>
            <w:hideMark/>
          </w:tcPr>
          <w:p w14:paraId="43C83D56"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565" w:type="dxa"/>
            <w:tcBorders>
              <w:top w:val="single" w:sz="2" w:space="0" w:color="auto"/>
              <w:bottom w:val="single" w:sz="2" w:space="0" w:color="auto"/>
            </w:tcBorders>
            <w:vAlign w:val="center"/>
          </w:tcPr>
          <w:p w14:paraId="73E5DD76"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r>
      <w:tr w:rsidR="00F97631" w:rsidRPr="00300CD6" w14:paraId="3654D860" w14:textId="77777777" w:rsidTr="00A24812">
        <w:trPr>
          <w:trHeight w:val="255"/>
        </w:trPr>
        <w:tc>
          <w:tcPr>
            <w:tcW w:w="3686" w:type="dxa"/>
            <w:tcBorders>
              <w:top w:val="single" w:sz="2" w:space="0" w:color="auto"/>
              <w:bottom w:val="single" w:sz="2" w:space="0" w:color="auto"/>
            </w:tcBorders>
            <w:shd w:val="clear" w:color="auto" w:fill="auto"/>
            <w:vAlign w:val="center"/>
            <w:hideMark/>
          </w:tcPr>
          <w:p w14:paraId="193D2303" w14:textId="77777777" w:rsidR="00F97631" w:rsidRPr="00300CD6" w:rsidRDefault="00F97631" w:rsidP="00E508C0">
            <w:pPr>
              <w:pStyle w:val="cuatexto"/>
              <w:spacing w:line="240" w:lineRule="auto"/>
              <w:rPr>
                <w:szCs w:val="20"/>
                <w:lang w:val="es-ES" w:eastAsia="es-ES"/>
              </w:rPr>
            </w:pPr>
            <w:r w:rsidRPr="00300CD6">
              <w:rPr>
                <w:szCs w:val="20"/>
                <w:lang w:val="es-ES" w:eastAsia="es-ES"/>
              </w:rPr>
              <w:t>Global Vía Infraestructuras, S.A.,</w:t>
            </w:r>
          </w:p>
        </w:tc>
        <w:tc>
          <w:tcPr>
            <w:tcW w:w="709" w:type="dxa"/>
            <w:tcBorders>
              <w:top w:val="single" w:sz="2" w:space="0" w:color="auto"/>
              <w:bottom w:val="single" w:sz="2" w:space="0" w:color="auto"/>
            </w:tcBorders>
            <w:shd w:val="clear" w:color="auto" w:fill="auto"/>
            <w:noWrap/>
            <w:vAlign w:val="center"/>
            <w:hideMark/>
          </w:tcPr>
          <w:p w14:paraId="5974FA90"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9</w:t>
            </w:r>
          </w:p>
        </w:tc>
        <w:tc>
          <w:tcPr>
            <w:tcW w:w="709" w:type="dxa"/>
            <w:tcBorders>
              <w:top w:val="single" w:sz="2" w:space="0" w:color="auto"/>
              <w:bottom w:val="single" w:sz="2" w:space="0" w:color="auto"/>
            </w:tcBorders>
            <w:shd w:val="clear" w:color="auto" w:fill="auto"/>
            <w:noWrap/>
            <w:vAlign w:val="center"/>
            <w:hideMark/>
          </w:tcPr>
          <w:p w14:paraId="77BD434C"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9</w:t>
            </w:r>
          </w:p>
        </w:tc>
        <w:tc>
          <w:tcPr>
            <w:tcW w:w="708" w:type="dxa"/>
            <w:tcBorders>
              <w:top w:val="single" w:sz="2" w:space="0" w:color="auto"/>
              <w:bottom w:val="single" w:sz="2" w:space="0" w:color="auto"/>
            </w:tcBorders>
            <w:shd w:val="clear" w:color="auto" w:fill="auto"/>
            <w:noWrap/>
            <w:vAlign w:val="center"/>
            <w:hideMark/>
          </w:tcPr>
          <w:p w14:paraId="32CBA469"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709" w:type="dxa"/>
            <w:tcBorders>
              <w:top w:val="single" w:sz="2" w:space="0" w:color="auto"/>
              <w:bottom w:val="single" w:sz="2" w:space="0" w:color="auto"/>
            </w:tcBorders>
            <w:shd w:val="clear" w:color="auto" w:fill="auto"/>
            <w:noWrap/>
            <w:vAlign w:val="center"/>
            <w:hideMark/>
          </w:tcPr>
          <w:p w14:paraId="496F15E7"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575" w:type="dxa"/>
            <w:tcBorders>
              <w:top w:val="single" w:sz="2" w:space="0" w:color="auto"/>
              <w:bottom w:val="single" w:sz="2" w:space="0" w:color="auto"/>
            </w:tcBorders>
            <w:shd w:val="clear" w:color="auto" w:fill="auto"/>
            <w:noWrap/>
            <w:vAlign w:val="center"/>
            <w:hideMark/>
          </w:tcPr>
          <w:p w14:paraId="45A81CE1"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701" w:type="dxa"/>
            <w:tcBorders>
              <w:top w:val="single" w:sz="2" w:space="0" w:color="auto"/>
              <w:bottom w:val="single" w:sz="2" w:space="0" w:color="auto"/>
            </w:tcBorders>
            <w:shd w:val="clear" w:color="auto" w:fill="auto"/>
            <w:noWrap/>
            <w:vAlign w:val="center"/>
            <w:hideMark/>
          </w:tcPr>
          <w:p w14:paraId="5D68B509"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709" w:type="dxa"/>
            <w:tcBorders>
              <w:top w:val="single" w:sz="2" w:space="0" w:color="auto"/>
              <w:bottom w:val="single" w:sz="2" w:space="0" w:color="auto"/>
            </w:tcBorders>
            <w:shd w:val="clear" w:color="auto" w:fill="auto"/>
            <w:noWrap/>
            <w:vAlign w:val="center"/>
            <w:hideMark/>
          </w:tcPr>
          <w:p w14:paraId="14F5F72F"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c>
          <w:tcPr>
            <w:tcW w:w="565" w:type="dxa"/>
            <w:tcBorders>
              <w:top w:val="single" w:sz="2" w:space="0" w:color="auto"/>
              <w:bottom w:val="single" w:sz="2" w:space="0" w:color="auto"/>
            </w:tcBorders>
            <w:vAlign w:val="center"/>
          </w:tcPr>
          <w:p w14:paraId="3B18828B"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0</w:t>
            </w:r>
          </w:p>
        </w:tc>
      </w:tr>
      <w:tr w:rsidR="00F97631" w:rsidRPr="00300CD6" w14:paraId="086C00F7" w14:textId="77777777" w:rsidTr="00A24812">
        <w:trPr>
          <w:trHeight w:val="255"/>
        </w:trPr>
        <w:tc>
          <w:tcPr>
            <w:tcW w:w="3686" w:type="dxa"/>
            <w:tcBorders>
              <w:top w:val="single" w:sz="2" w:space="0" w:color="auto"/>
              <w:bottom w:val="single" w:sz="4" w:space="0" w:color="auto"/>
            </w:tcBorders>
            <w:shd w:val="clear" w:color="auto" w:fill="auto"/>
            <w:vAlign w:val="center"/>
            <w:hideMark/>
          </w:tcPr>
          <w:p w14:paraId="6FFDB875" w14:textId="77777777" w:rsidR="00F97631" w:rsidRPr="00300CD6" w:rsidRDefault="00F97631" w:rsidP="00E508C0">
            <w:pPr>
              <w:pStyle w:val="cuatexto"/>
              <w:spacing w:line="240" w:lineRule="auto"/>
              <w:rPr>
                <w:szCs w:val="20"/>
                <w:lang w:val="es-ES" w:eastAsia="es-ES"/>
              </w:rPr>
            </w:pPr>
            <w:proofErr w:type="spellStart"/>
            <w:r w:rsidRPr="00300CD6">
              <w:rPr>
                <w:szCs w:val="20"/>
                <w:lang w:val="es-ES" w:eastAsia="es-ES"/>
              </w:rPr>
              <w:t>Galvantula</w:t>
            </w:r>
            <w:proofErr w:type="spellEnd"/>
            <w:r w:rsidRPr="00300CD6">
              <w:rPr>
                <w:szCs w:val="20"/>
                <w:lang w:val="es-ES" w:eastAsia="es-ES"/>
              </w:rPr>
              <w:t xml:space="preserve"> S.L.U. </w:t>
            </w:r>
          </w:p>
        </w:tc>
        <w:tc>
          <w:tcPr>
            <w:tcW w:w="709" w:type="dxa"/>
            <w:tcBorders>
              <w:top w:val="single" w:sz="2" w:space="0" w:color="auto"/>
              <w:bottom w:val="single" w:sz="4" w:space="0" w:color="auto"/>
            </w:tcBorders>
            <w:shd w:val="clear" w:color="auto" w:fill="auto"/>
            <w:noWrap/>
            <w:vAlign w:val="center"/>
            <w:hideMark/>
          </w:tcPr>
          <w:p w14:paraId="739A5BAF" w14:textId="77777777" w:rsidR="00F97631" w:rsidRPr="002D59BD" w:rsidRDefault="00F97631" w:rsidP="00E508C0">
            <w:pPr>
              <w:pStyle w:val="cuatexto"/>
              <w:spacing w:line="240" w:lineRule="auto"/>
              <w:jc w:val="right"/>
              <w:rPr>
                <w:szCs w:val="20"/>
                <w:lang w:val="es-ES" w:eastAsia="es-ES"/>
              </w:rPr>
            </w:pPr>
            <w:r w:rsidRPr="002D59BD">
              <w:rPr>
                <w:szCs w:val="20"/>
                <w:lang w:val="es-ES" w:eastAsia="es-ES"/>
              </w:rPr>
              <w:t>0</w:t>
            </w:r>
          </w:p>
        </w:tc>
        <w:tc>
          <w:tcPr>
            <w:tcW w:w="709" w:type="dxa"/>
            <w:tcBorders>
              <w:top w:val="single" w:sz="2" w:space="0" w:color="auto"/>
              <w:bottom w:val="single" w:sz="4" w:space="0" w:color="auto"/>
            </w:tcBorders>
            <w:shd w:val="clear" w:color="auto" w:fill="auto"/>
            <w:noWrap/>
            <w:vAlign w:val="center"/>
            <w:hideMark/>
          </w:tcPr>
          <w:p w14:paraId="03BC3A18" w14:textId="77777777" w:rsidR="00F97631" w:rsidRPr="002D59BD" w:rsidRDefault="00F97631" w:rsidP="00E508C0">
            <w:pPr>
              <w:pStyle w:val="cuatexto"/>
              <w:spacing w:line="240" w:lineRule="auto"/>
              <w:jc w:val="right"/>
              <w:rPr>
                <w:szCs w:val="20"/>
                <w:lang w:val="es-ES" w:eastAsia="es-ES"/>
              </w:rPr>
            </w:pPr>
            <w:r w:rsidRPr="002D59BD">
              <w:rPr>
                <w:szCs w:val="20"/>
                <w:lang w:val="es-ES" w:eastAsia="es-ES"/>
              </w:rPr>
              <w:t> 0</w:t>
            </w:r>
          </w:p>
        </w:tc>
        <w:tc>
          <w:tcPr>
            <w:tcW w:w="708" w:type="dxa"/>
            <w:tcBorders>
              <w:top w:val="single" w:sz="2" w:space="0" w:color="auto"/>
              <w:bottom w:val="single" w:sz="4" w:space="0" w:color="auto"/>
            </w:tcBorders>
            <w:shd w:val="clear" w:color="auto" w:fill="auto"/>
            <w:noWrap/>
            <w:vAlign w:val="center"/>
            <w:hideMark/>
          </w:tcPr>
          <w:p w14:paraId="670D6563" w14:textId="77777777" w:rsidR="00F97631" w:rsidRPr="002D59BD" w:rsidRDefault="00F97631" w:rsidP="00E508C0">
            <w:pPr>
              <w:pStyle w:val="cuatexto"/>
              <w:spacing w:line="240" w:lineRule="auto"/>
              <w:jc w:val="right"/>
              <w:rPr>
                <w:szCs w:val="20"/>
                <w:lang w:val="es-ES" w:eastAsia="es-ES"/>
              </w:rPr>
            </w:pPr>
            <w:r w:rsidRPr="002D59BD">
              <w:rPr>
                <w:szCs w:val="20"/>
                <w:lang w:val="es-ES" w:eastAsia="es-ES"/>
              </w:rPr>
              <w:t> 0</w:t>
            </w:r>
          </w:p>
        </w:tc>
        <w:tc>
          <w:tcPr>
            <w:tcW w:w="709" w:type="dxa"/>
            <w:tcBorders>
              <w:top w:val="single" w:sz="2" w:space="0" w:color="auto"/>
              <w:bottom w:val="single" w:sz="4" w:space="0" w:color="auto"/>
            </w:tcBorders>
            <w:shd w:val="clear" w:color="auto" w:fill="auto"/>
            <w:noWrap/>
            <w:vAlign w:val="center"/>
            <w:hideMark/>
          </w:tcPr>
          <w:p w14:paraId="07F7696D" w14:textId="77777777" w:rsidR="00F97631" w:rsidRPr="002D59BD" w:rsidRDefault="00F97631" w:rsidP="00E508C0">
            <w:pPr>
              <w:pStyle w:val="cuatexto"/>
              <w:spacing w:line="240" w:lineRule="auto"/>
              <w:jc w:val="right"/>
              <w:rPr>
                <w:szCs w:val="20"/>
                <w:lang w:val="es-ES" w:eastAsia="es-ES"/>
              </w:rPr>
            </w:pPr>
            <w:r w:rsidRPr="002D59BD">
              <w:rPr>
                <w:szCs w:val="20"/>
                <w:lang w:val="es-ES" w:eastAsia="es-ES"/>
              </w:rPr>
              <w:t>100</w:t>
            </w:r>
          </w:p>
        </w:tc>
        <w:tc>
          <w:tcPr>
            <w:tcW w:w="575" w:type="dxa"/>
            <w:tcBorders>
              <w:top w:val="single" w:sz="2" w:space="0" w:color="auto"/>
              <w:bottom w:val="single" w:sz="4" w:space="0" w:color="auto"/>
            </w:tcBorders>
            <w:shd w:val="clear" w:color="auto" w:fill="auto"/>
            <w:noWrap/>
            <w:vAlign w:val="center"/>
            <w:hideMark/>
          </w:tcPr>
          <w:p w14:paraId="399421A3"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100</w:t>
            </w:r>
          </w:p>
        </w:tc>
        <w:tc>
          <w:tcPr>
            <w:tcW w:w="701" w:type="dxa"/>
            <w:tcBorders>
              <w:top w:val="single" w:sz="2" w:space="0" w:color="auto"/>
              <w:bottom w:val="single" w:sz="4" w:space="0" w:color="auto"/>
            </w:tcBorders>
            <w:shd w:val="clear" w:color="auto" w:fill="auto"/>
            <w:noWrap/>
            <w:vAlign w:val="center"/>
            <w:hideMark/>
          </w:tcPr>
          <w:p w14:paraId="02DB360C"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100</w:t>
            </w:r>
          </w:p>
        </w:tc>
        <w:tc>
          <w:tcPr>
            <w:tcW w:w="709" w:type="dxa"/>
            <w:tcBorders>
              <w:top w:val="single" w:sz="2" w:space="0" w:color="auto"/>
              <w:bottom w:val="single" w:sz="4" w:space="0" w:color="auto"/>
            </w:tcBorders>
            <w:shd w:val="clear" w:color="auto" w:fill="auto"/>
            <w:noWrap/>
            <w:vAlign w:val="center"/>
            <w:hideMark/>
          </w:tcPr>
          <w:p w14:paraId="2EB516F1"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100</w:t>
            </w:r>
          </w:p>
        </w:tc>
        <w:tc>
          <w:tcPr>
            <w:tcW w:w="565" w:type="dxa"/>
            <w:tcBorders>
              <w:top w:val="single" w:sz="2" w:space="0" w:color="auto"/>
              <w:bottom w:val="single" w:sz="4" w:space="0" w:color="auto"/>
            </w:tcBorders>
            <w:vAlign w:val="center"/>
          </w:tcPr>
          <w:p w14:paraId="743DF850" w14:textId="77777777" w:rsidR="00F97631" w:rsidRPr="00300CD6" w:rsidRDefault="00F97631" w:rsidP="00E508C0">
            <w:pPr>
              <w:pStyle w:val="cuatexto"/>
              <w:spacing w:line="240" w:lineRule="auto"/>
              <w:jc w:val="right"/>
              <w:rPr>
                <w:szCs w:val="20"/>
                <w:lang w:val="es-ES" w:eastAsia="es-ES"/>
              </w:rPr>
            </w:pPr>
            <w:r w:rsidRPr="00300CD6">
              <w:rPr>
                <w:szCs w:val="20"/>
                <w:lang w:val="es-ES" w:eastAsia="es-ES"/>
              </w:rPr>
              <w:t>100</w:t>
            </w:r>
          </w:p>
        </w:tc>
      </w:tr>
      <w:tr w:rsidR="00F97631" w:rsidRPr="001B705B" w14:paraId="262C5711" w14:textId="77777777" w:rsidTr="00A24812">
        <w:trPr>
          <w:trHeight w:val="255"/>
        </w:trPr>
        <w:tc>
          <w:tcPr>
            <w:tcW w:w="3686" w:type="dxa"/>
            <w:tcBorders>
              <w:top w:val="single" w:sz="4" w:space="0" w:color="auto"/>
              <w:bottom w:val="single" w:sz="4" w:space="0" w:color="auto"/>
            </w:tcBorders>
            <w:shd w:val="clear" w:color="auto" w:fill="B8CCE4" w:themeFill="accent1" w:themeFillTint="66"/>
            <w:vAlign w:val="center"/>
            <w:hideMark/>
          </w:tcPr>
          <w:p w14:paraId="326DA66C" w14:textId="77777777" w:rsidR="00F97631" w:rsidRPr="001B705B" w:rsidRDefault="00F97631" w:rsidP="00E508C0">
            <w:pPr>
              <w:pStyle w:val="cuadroCabe"/>
              <w:spacing w:line="240" w:lineRule="auto"/>
              <w:rPr>
                <w:lang w:val="es-ES" w:eastAsia="es-ES"/>
              </w:rPr>
            </w:pPr>
            <w:r w:rsidRPr="004B047F">
              <w:rPr>
                <w:lang w:val="es-ES" w:eastAsia="es-ES"/>
              </w:rPr>
              <w:t>Total</w:t>
            </w:r>
          </w:p>
        </w:tc>
        <w:tc>
          <w:tcPr>
            <w:tcW w:w="709" w:type="dxa"/>
            <w:tcBorders>
              <w:top w:val="single" w:sz="4" w:space="0" w:color="auto"/>
              <w:bottom w:val="single" w:sz="4" w:space="0" w:color="auto"/>
            </w:tcBorders>
            <w:shd w:val="clear" w:color="auto" w:fill="B8CCE4" w:themeFill="accent1" w:themeFillTint="66"/>
            <w:noWrap/>
            <w:vAlign w:val="center"/>
            <w:hideMark/>
          </w:tcPr>
          <w:p w14:paraId="33965AE5" w14:textId="77777777" w:rsidR="00F97631" w:rsidRPr="001B705B" w:rsidRDefault="00F97631" w:rsidP="00E508C0">
            <w:pPr>
              <w:pStyle w:val="cuadroCabe"/>
              <w:spacing w:line="240" w:lineRule="auto"/>
              <w:jc w:val="right"/>
              <w:rPr>
                <w:lang w:val="es-ES" w:eastAsia="es-ES"/>
              </w:rPr>
            </w:pPr>
            <w:r w:rsidRPr="001B705B">
              <w:rPr>
                <w:lang w:val="es-ES" w:eastAsia="es-ES"/>
              </w:rPr>
              <w:t>100</w:t>
            </w:r>
          </w:p>
        </w:tc>
        <w:tc>
          <w:tcPr>
            <w:tcW w:w="709" w:type="dxa"/>
            <w:tcBorders>
              <w:top w:val="single" w:sz="4" w:space="0" w:color="auto"/>
              <w:bottom w:val="single" w:sz="4" w:space="0" w:color="auto"/>
            </w:tcBorders>
            <w:shd w:val="clear" w:color="auto" w:fill="B8CCE4" w:themeFill="accent1" w:themeFillTint="66"/>
            <w:noWrap/>
            <w:vAlign w:val="center"/>
            <w:hideMark/>
          </w:tcPr>
          <w:p w14:paraId="2A29DEFB" w14:textId="77777777" w:rsidR="00F97631" w:rsidRPr="001B705B" w:rsidRDefault="00F97631" w:rsidP="00E508C0">
            <w:pPr>
              <w:pStyle w:val="cuadroCabe"/>
              <w:spacing w:line="240" w:lineRule="auto"/>
              <w:jc w:val="right"/>
              <w:rPr>
                <w:lang w:val="es-ES" w:eastAsia="es-ES"/>
              </w:rPr>
            </w:pPr>
            <w:r w:rsidRPr="001B705B">
              <w:rPr>
                <w:lang w:val="es-ES" w:eastAsia="es-ES"/>
              </w:rPr>
              <w:t>100</w:t>
            </w:r>
          </w:p>
        </w:tc>
        <w:tc>
          <w:tcPr>
            <w:tcW w:w="708" w:type="dxa"/>
            <w:tcBorders>
              <w:top w:val="single" w:sz="4" w:space="0" w:color="auto"/>
              <w:bottom w:val="single" w:sz="4" w:space="0" w:color="auto"/>
            </w:tcBorders>
            <w:shd w:val="clear" w:color="auto" w:fill="B8CCE4" w:themeFill="accent1" w:themeFillTint="66"/>
            <w:noWrap/>
            <w:vAlign w:val="center"/>
            <w:hideMark/>
          </w:tcPr>
          <w:p w14:paraId="235C0A38" w14:textId="77777777" w:rsidR="00F97631" w:rsidRPr="001B705B" w:rsidRDefault="00F97631" w:rsidP="00E508C0">
            <w:pPr>
              <w:pStyle w:val="cuadroCabe"/>
              <w:spacing w:line="240" w:lineRule="auto"/>
              <w:jc w:val="right"/>
              <w:rPr>
                <w:lang w:val="es-ES" w:eastAsia="es-ES"/>
              </w:rPr>
            </w:pPr>
            <w:r w:rsidRPr="001B705B">
              <w:rPr>
                <w:lang w:val="es-ES" w:eastAsia="es-ES"/>
              </w:rPr>
              <w:t>100</w:t>
            </w:r>
          </w:p>
        </w:tc>
        <w:tc>
          <w:tcPr>
            <w:tcW w:w="709" w:type="dxa"/>
            <w:tcBorders>
              <w:top w:val="single" w:sz="4" w:space="0" w:color="auto"/>
              <w:bottom w:val="single" w:sz="4" w:space="0" w:color="auto"/>
            </w:tcBorders>
            <w:shd w:val="clear" w:color="auto" w:fill="B8CCE4" w:themeFill="accent1" w:themeFillTint="66"/>
            <w:noWrap/>
            <w:vAlign w:val="center"/>
            <w:hideMark/>
          </w:tcPr>
          <w:p w14:paraId="1D00C151" w14:textId="77777777" w:rsidR="00F97631" w:rsidRPr="001B705B" w:rsidRDefault="00F97631" w:rsidP="00E508C0">
            <w:pPr>
              <w:pStyle w:val="cuadroCabe"/>
              <w:spacing w:line="240" w:lineRule="auto"/>
              <w:jc w:val="right"/>
              <w:rPr>
                <w:lang w:val="es-ES" w:eastAsia="es-ES"/>
              </w:rPr>
            </w:pPr>
            <w:r w:rsidRPr="001B705B">
              <w:rPr>
                <w:lang w:val="es-ES" w:eastAsia="es-ES"/>
              </w:rPr>
              <w:t>100</w:t>
            </w:r>
          </w:p>
        </w:tc>
        <w:tc>
          <w:tcPr>
            <w:tcW w:w="575" w:type="dxa"/>
            <w:tcBorders>
              <w:top w:val="single" w:sz="4" w:space="0" w:color="auto"/>
              <w:bottom w:val="single" w:sz="4" w:space="0" w:color="auto"/>
            </w:tcBorders>
            <w:shd w:val="clear" w:color="auto" w:fill="B8CCE4" w:themeFill="accent1" w:themeFillTint="66"/>
            <w:noWrap/>
            <w:vAlign w:val="center"/>
            <w:hideMark/>
          </w:tcPr>
          <w:p w14:paraId="4104F207" w14:textId="77777777" w:rsidR="00F97631" w:rsidRPr="001B705B" w:rsidRDefault="00F97631" w:rsidP="00E508C0">
            <w:pPr>
              <w:pStyle w:val="cuadroCabe"/>
              <w:spacing w:line="240" w:lineRule="auto"/>
              <w:jc w:val="right"/>
              <w:rPr>
                <w:lang w:val="es-ES" w:eastAsia="es-ES"/>
              </w:rPr>
            </w:pPr>
            <w:r w:rsidRPr="001B705B">
              <w:rPr>
                <w:lang w:val="es-ES" w:eastAsia="es-ES"/>
              </w:rPr>
              <w:t>100</w:t>
            </w:r>
          </w:p>
        </w:tc>
        <w:tc>
          <w:tcPr>
            <w:tcW w:w="701" w:type="dxa"/>
            <w:tcBorders>
              <w:top w:val="single" w:sz="4" w:space="0" w:color="auto"/>
              <w:bottom w:val="single" w:sz="4" w:space="0" w:color="auto"/>
            </w:tcBorders>
            <w:shd w:val="clear" w:color="auto" w:fill="B8CCE4" w:themeFill="accent1" w:themeFillTint="66"/>
            <w:noWrap/>
            <w:vAlign w:val="center"/>
            <w:hideMark/>
          </w:tcPr>
          <w:p w14:paraId="75C5D9D2" w14:textId="77777777" w:rsidR="00F97631" w:rsidRPr="001B705B" w:rsidRDefault="00F97631" w:rsidP="00E508C0">
            <w:pPr>
              <w:pStyle w:val="cuadroCabe"/>
              <w:spacing w:line="240" w:lineRule="auto"/>
              <w:jc w:val="right"/>
              <w:rPr>
                <w:lang w:val="es-ES" w:eastAsia="es-ES"/>
              </w:rPr>
            </w:pPr>
            <w:r w:rsidRPr="001B705B">
              <w:rPr>
                <w:lang w:val="es-ES" w:eastAsia="es-ES"/>
              </w:rPr>
              <w:t>100</w:t>
            </w:r>
          </w:p>
        </w:tc>
        <w:tc>
          <w:tcPr>
            <w:tcW w:w="709" w:type="dxa"/>
            <w:tcBorders>
              <w:top w:val="single" w:sz="4" w:space="0" w:color="auto"/>
              <w:bottom w:val="single" w:sz="4" w:space="0" w:color="auto"/>
            </w:tcBorders>
            <w:shd w:val="clear" w:color="auto" w:fill="B8CCE4" w:themeFill="accent1" w:themeFillTint="66"/>
            <w:noWrap/>
            <w:vAlign w:val="center"/>
            <w:hideMark/>
          </w:tcPr>
          <w:p w14:paraId="424240FB" w14:textId="77777777" w:rsidR="00F97631" w:rsidRPr="001B705B" w:rsidRDefault="00F97631" w:rsidP="00E508C0">
            <w:pPr>
              <w:pStyle w:val="cuadroCabe"/>
              <w:spacing w:line="240" w:lineRule="auto"/>
              <w:jc w:val="right"/>
              <w:rPr>
                <w:lang w:val="es-ES" w:eastAsia="es-ES"/>
              </w:rPr>
            </w:pPr>
            <w:r w:rsidRPr="001B705B">
              <w:rPr>
                <w:lang w:val="es-ES" w:eastAsia="es-ES"/>
              </w:rPr>
              <w:t>100</w:t>
            </w:r>
          </w:p>
        </w:tc>
        <w:tc>
          <w:tcPr>
            <w:tcW w:w="565" w:type="dxa"/>
            <w:tcBorders>
              <w:top w:val="single" w:sz="4" w:space="0" w:color="auto"/>
              <w:bottom w:val="single" w:sz="4" w:space="0" w:color="auto"/>
            </w:tcBorders>
            <w:shd w:val="clear" w:color="auto" w:fill="B8CCE4" w:themeFill="accent1" w:themeFillTint="66"/>
            <w:vAlign w:val="center"/>
          </w:tcPr>
          <w:p w14:paraId="02C3A20C" w14:textId="77777777" w:rsidR="00F97631" w:rsidRPr="00A10CF3" w:rsidRDefault="00F97631" w:rsidP="00E508C0">
            <w:pPr>
              <w:pStyle w:val="cuadroCabe"/>
              <w:spacing w:line="240" w:lineRule="auto"/>
              <w:jc w:val="right"/>
              <w:rPr>
                <w:lang w:val="es-ES" w:eastAsia="es-ES"/>
              </w:rPr>
            </w:pPr>
            <w:r w:rsidRPr="00A10CF3">
              <w:rPr>
                <w:lang w:val="es-ES" w:eastAsia="es-ES"/>
              </w:rPr>
              <w:t>100</w:t>
            </w:r>
          </w:p>
        </w:tc>
      </w:tr>
    </w:tbl>
    <w:p w14:paraId="0E14DD34" w14:textId="77777777" w:rsidR="00F97631" w:rsidRPr="00795CF7" w:rsidRDefault="00F97631" w:rsidP="00F97631">
      <w:pPr>
        <w:spacing w:before="60" w:after="100"/>
        <w:ind w:firstLine="0"/>
        <w:rPr>
          <w:rFonts w:ascii="Arial" w:eastAsia="Calibri" w:hAnsi="Arial" w:cs="Arial"/>
          <w:sz w:val="14"/>
          <w:szCs w:val="14"/>
          <w:lang w:eastAsia="es-ES"/>
        </w:rPr>
      </w:pPr>
      <w:r w:rsidRPr="00795CF7">
        <w:rPr>
          <w:rFonts w:ascii="Arial" w:eastAsia="Calibri" w:hAnsi="Arial" w:cs="Arial"/>
          <w:sz w:val="14"/>
          <w:szCs w:val="14"/>
          <w:lang w:eastAsia="es-ES"/>
        </w:rPr>
        <w:t>Fuente: Cuent</w:t>
      </w:r>
      <w:r>
        <w:rPr>
          <w:rFonts w:ascii="Arial" w:eastAsia="Calibri" w:hAnsi="Arial" w:cs="Arial"/>
          <w:sz w:val="14"/>
          <w:szCs w:val="14"/>
          <w:lang w:eastAsia="es-ES"/>
        </w:rPr>
        <w:t>as Anuales de la sociedad c</w:t>
      </w:r>
      <w:r w:rsidRPr="00795CF7">
        <w:rPr>
          <w:rFonts w:ascii="Arial" w:eastAsia="Calibri" w:hAnsi="Arial" w:cs="Arial"/>
          <w:sz w:val="14"/>
          <w:szCs w:val="14"/>
          <w:lang w:eastAsia="es-ES"/>
        </w:rPr>
        <w:t>oncesionaria</w:t>
      </w:r>
      <w:r w:rsidR="00E428A6">
        <w:rPr>
          <w:rFonts w:ascii="Arial" w:eastAsia="Calibri" w:hAnsi="Arial" w:cs="Arial"/>
          <w:sz w:val="14"/>
          <w:szCs w:val="14"/>
          <w:lang w:eastAsia="es-ES"/>
        </w:rPr>
        <w:t>.</w:t>
      </w:r>
    </w:p>
    <w:p w14:paraId="5176DCF2" w14:textId="77777777" w:rsidR="00F97631" w:rsidRDefault="00F97631" w:rsidP="00F97631">
      <w:pPr>
        <w:spacing w:before="240"/>
        <w:ind w:firstLine="284"/>
        <w:rPr>
          <w:rFonts w:eastAsia="Calibri"/>
          <w:sz w:val="26"/>
          <w:szCs w:val="26"/>
          <w:lang w:eastAsia="es-ES"/>
        </w:rPr>
      </w:pPr>
      <w:r w:rsidRPr="00F97119">
        <w:rPr>
          <w:rFonts w:eastAsia="Calibri"/>
          <w:sz w:val="26"/>
          <w:szCs w:val="26"/>
          <w:lang w:eastAsia="es-ES"/>
        </w:rPr>
        <w:t>En febrero de 2016, en virtud de un ac</w:t>
      </w:r>
      <w:r w:rsidR="00922E74">
        <w:rPr>
          <w:rFonts w:eastAsia="Calibri"/>
          <w:sz w:val="26"/>
          <w:szCs w:val="26"/>
          <w:lang w:eastAsia="es-ES"/>
        </w:rPr>
        <w:t>uerdo entre los accionistas de A</w:t>
      </w:r>
      <w:r w:rsidRPr="00F97119">
        <w:rPr>
          <w:rFonts w:eastAsia="Calibri"/>
          <w:sz w:val="26"/>
          <w:szCs w:val="26"/>
          <w:lang w:eastAsia="es-ES"/>
        </w:rPr>
        <w:t xml:space="preserve">utovía del Camino S.A., se transmiten al accionista mayoritario, </w:t>
      </w:r>
      <w:proofErr w:type="spellStart"/>
      <w:r w:rsidRPr="00F97119">
        <w:rPr>
          <w:rFonts w:eastAsia="Calibri"/>
          <w:sz w:val="26"/>
          <w:szCs w:val="26"/>
          <w:lang w:eastAsia="es-ES"/>
        </w:rPr>
        <w:t>Infraestructure</w:t>
      </w:r>
      <w:proofErr w:type="spellEnd"/>
      <w:r w:rsidRPr="00F97119">
        <w:rPr>
          <w:rFonts w:eastAsia="Calibri"/>
          <w:sz w:val="26"/>
          <w:szCs w:val="26"/>
          <w:lang w:eastAsia="es-ES"/>
        </w:rPr>
        <w:t xml:space="preserve"> </w:t>
      </w:r>
      <w:proofErr w:type="spellStart"/>
      <w:r w:rsidRPr="00F97119">
        <w:rPr>
          <w:rFonts w:eastAsia="Calibri"/>
          <w:sz w:val="26"/>
          <w:szCs w:val="26"/>
          <w:lang w:eastAsia="es-ES"/>
        </w:rPr>
        <w:t>Panther</w:t>
      </w:r>
      <w:proofErr w:type="spellEnd"/>
      <w:r w:rsidRPr="00F97119">
        <w:rPr>
          <w:rFonts w:eastAsia="Calibri"/>
          <w:sz w:val="26"/>
          <w:szCs w:val="26"/>
          <w:lang w:eastAsia="es-ES"/>
        </w:rPr>
        <w:t xml:space="preserve">, el resto de las acciones, por lo que la sociedad concesionaria adquiere la condición de unipersonal. En junio de 2017, en virtud de un contrato de compraventa de acciones, la sociedad </w:t>
      </w:r>
      <w:proofErr w:type="spellStart"/>
      <w:r w:rsidRPr="00F97119">
        <w:rPr>
          <w:rFonts w:eastAsia="Calibri"/>
          <w:sz w:val="26"/>
          <w:szCs w:val="26"/>
          <w:lang w:eastAsia="es-ES"/>
        </w:rPr>
        <w:t>Galvantula</w:t>
      </w:r>
      <w:proofErr w:type="spellEnd"/>
      <w:r>
        <w:rPr>
          <w:rFonts w:eastAsia="Calibri"/>
          <w:sz w:val="26"/>
          <w:szCs w:val="26"/>
          <w:lang w:eastAsia="es-ES"/>
        </w:rPr>
        <w:t xml:space="preserve"> S.L</w:t>
      </w:r>
      <w:r w:rsidRPr="00F97119">
        <w:rPr>
          <w:rFonts w:eastAsia="Calibri"/>
          <w:sz w:val="26"/>
          <w:szCs w:val="26"/>
          <w:lang w:eastAsia="es-ES"/>
        </w:rPr>
        <w:t xml:space="preserve">.U. </w:t>
      </w:r>
      <w:r>
        <w:rPr>
          <w:rFonts w:eastAsia="Calibri"/>
          <w:sz w:val="26"/>
          <w:szCs w:val="26"/>
          <w:lang w:eastAsia="es-ES"/>
        </w:rPr>
        <w:t xml:space="preserve">se convierte en accionista único de la </w:t>
      </w:r>
      <w:r w:rsidRPr="002D59BD">
        <w:rPr>
          <w:rFonts w:eastAsia="Calibri"/>
          <w:sz w:val="26"/>
          <w:szCs w:val="26"/>
          <w:lang w:eastAsia="es-ES"/>
        </w:rPr>
        <w:t>s</w:t>
      </w:r>
      <w:r>
        <w:rPr>
          <w:rFonts w:eastAsia="Calibri"/>
          <w:sz w:val="26"/>
          <w:szCs w:val="26"/>
          <w:lang w:eastAsia="es-ES"/>
        </w:rPr>
        <w:t>ociedad</w:t>
      </w:r>
      <w:r w:rsidRPr="009C67D5">
        <w:rPr>
          <w:rFonts w:eastAsia="Calibri"/>
          <w:sz w:val="26"/>
          <w:szCs w:val="26"/>
          <w:lang w:eastAsia="es-ES"/>
        </w:rPr>
        <w:t>.</w:t>
      </w:r>
      <w:r w:rsidRPr="00F97119">
        <w:rPr>
          <w:rFonts w:eastAsia="Calibri"/>
          <w:sz w:val="26"/>
          <w:szCs w:val="26"/>
          <w:lang w:eastAsia="es-ES"/>
        </w:rPr>
        <w:t xml:space="preserve"> </w:t>
      </w:r>
      <w:r>
        <w:rPr>
          <w:rFonts w:eastAsia="Calibri"/>
          <w:sz w:val="26"/>
          <w:szCs w:val="26"/>
          <w:lang w:eastAsia="es-ES"/>
        </w:rPr>
        <w:t xml:space="preserve"> La concesionaria </w:t>
      </w:r>
      <w:r w:rsidRPr="00803DD0">
        <w:rPr>
          <w:rFonts w:eastAsia="Calibri"/>
          <w:sz w:val="26"/>
          <w:szCs w:val="26"/>
          <w:lang w:eastAsia="es-ES"/>
        </w:rPr>
        <w:t xml:space="preserve">comunicó </w:t>
      </w:r>
      <w:r>
        <w:rPr>
          <w:rFonts w:eastAsia="Calibri"/>
          <w:sz w:val="26"/>
          <w:szCs w:val="26"/>
          <w:lang w:eastAsia="es-ES"/>
        </w:rPr>
        <w:t>en plazo a la ACFN la transmisión de las acciones según se establece en el contrato.</w:t>
      </w:r>
    </w:p>
    <w:p w14:paraId="58070D93" w14:textId="77777777" w:rsidR="00F97631" w:rsidRPr="00F97119" w:rsidRDefault="00F97631" w:rsidP="00F97631">
      <w:pPr>
        <w:ind w:firstLine="284"/>
        <w:rPr>
          <w:rFonts w:eastAsia="Calibri"/>
          <w:sz w:val="26"/>
          <w:szCs w:val="26"/>
          <w:lang w:eastAsia="es-ES"/>
        </w:rPr>
      </w:pPr>
      <w:r w:rsidRPr="00F97119">
        <w:rPr>
          <w:rFonts w:eastAsia="Calibri"/>
          <w:sz w:val="26"/>
          <w:szCs w:val="26"/>
          <w:lang w:eastAsia="es-ES"/>
        </w:rPr>
        <w:t>Los pagos realizados</w:t>
      </w:r>
      <w:r>
        <w:rPr>
          <w:rFonts w:eastAsia="Calibri"/>
          <w:sz w:val="26"/>
          <w:szCs w:val="26"/>
          <w:lang w:eastAsia="es-ES"/>
        </w:rPr>
        <w:t xml:space="preserve"> por la ACFN</w:t>
      </w:r>
      <w:r w:rsidR="00922E74">
        <w:rPr>
          <w:rFonts w:eastAsia="Calibri"/>
          <w:sz w:val="26"/>
          <w:szCs w:val="26"/>
          <w:lang w:eastAsia="es-ES"/>
        </w:rPr>
        <w:t xml:space="preserve"> en concepto de canon por la A</w:t>
      </w:r>
      <w:r w:rsidRPr="00F97119">
        <w:rPr>
          <w:rFonts w:eastAsia="Calibri"/>
          <w:sz w:val="26"/>
          <w:szCs w:val="26"/>
          <w:lang w:eastAsia="es-ES"/>
        </w:rPr>
        <w:t xml:space="preserve">utovía del Camino </w:t>
      </w:r>
      <w:r>
        <w:rPr>
          <w:rFonts w:eastAsia="Calibri"/>
          <w:sz w:val="26"/>
          <w:szCs w:val="26"/>
          <w:lang w:eastAsia="es-ES"/>
        </w:rPr>
        <w:t xml:space="preserve">desde el inicio de la explotación </w:t>
      </w:r>
      <w:r w:rsidRPr="003D233C">
        <w:rPr>
          <w:rFonts w:eastAsia="Calibri"/>
          <w:sz w:val="26"/>
          <w:szCs w:val="26"/>
          <w:lang w:eastAsia="es-ES"/>
        </w:rPr>
        <w:t xml:space="preserve">en 2007 hasta 2021 </w:t>
      </w:r>
      <w:r w:rsidRPr="00F97119">
        <w:rPr>
          <w:rFonts w:eastAsia="Calibri"/>
          <w:sz w:val="26"/>
          <w:szCs w:val="26"/>
          <w:lang w:eastAsia="es-ES"/>
        </w:rPr>
        <w:t xml:space="preserve">ascienden a </w:t>
      </w:r>
      <w:r>
        <w:rPr>
          <w:rFonts w:eastAsia="Calibri"/>
          <w:sz w:val="26"/>
          <w:szCs w:val="26"/>
          <w:lang w:eastAsia="es-ES"/>
        </w:rPr>
        <w:t xml:space="preserve">604 </w:t>
      </w:r>
      <w:r w:rsidRPr="00F97119">
        <w:rPr>
          <w:rFonts w:eastAsia="Calibri"/>
          <w:sz w:val="26"/>
          <w:szCs w:val="26"/>
          <w:lang w:eastAsia="es-ES"/>
        </w:rPr>
        <w:t>millones</w:t>
      </w:r>
      <w:r>
        <w:rPr>
          <w:rFonts w:eastAsia="Calibri"/>
          <w:sz w:val="26"/>
          <w:szCs w:val="26"/>
          <w:lang w:eastAsia="es-ES"/>
        </w:rPr>
        <w:t>.</w:t>
      </w:r>
    </w:p>
    <w:p w14:paraId="21A09C31" w14:textId="77777777" w:rsidR="00F97631" w:rsidRPr="00795CF7" w:rsidRDefault="00F97631" w:rsidP="00F97631">
      <w:pPr>
        <w:spacing w:after="0"/>
        <w:ind w:firstLine="284"/>
        <w:rPr>
          <w:rFonts w:eastAsia="Calibri"/>
          <w:sz w:val="26"/>
          <w:szCs w:val="26"/>
          <w:lang w:eastAsia="es-ES"/>
        </w:rPr>
      </w:pPr>
      <w:r w:rsidRPr="00F97119">
        <w:rPr>
          <w:rFonts w:eastAsia="Calibri"/>
          <w:sz w:val="26"/>
          <w:szCs w:val="26"/>
          <w:lang w:eastAsia="es-ES"/>
        </w:rPr>
        <w:t xml:space="preserve">Esta </w:t>
      </w:r>
      <w:r>
        <w:rPr>
          <w:rFonts w:eastAsia="Calibri"/>
          <w:sz w:val="26"/>
          <w:szCs w:val="26"/>
          <w:lang w:eastAsia="es-ES"/>
        </w:rPr>
        <w:t xml:space="preserve">infraestructura, </w:t>
      </w:r>
      <w:r w:rsidR="00611817" w:rsidRPr="00611817">
        <w:rPr>
          <w:rFonts w:eastAsia="Calibri"/>
          <w:sz w:val="26"/>
          <w:szCs w:val="26"/>
          <w:lang w:eastAsia="es-ES"/>
        </w:rPr>
        <w:t xml:space="preserve">según la </w:t>
      </w:r>
      <w:r w:rsidR="00464D7F">
        <w:rPr>
          <w:rFonts w:eastAsia="Calibri"/>
          <w:sz w:val="26"/>
          <w:szCs w:val="26"/>
          <w:lang w:eastAsia="es-ES"/>
        </w:rPr>
        <w:t xml:space="preserve">valoración de la </w:t>
      </w:r>
      <w:r w:rsidR="00611817" w:rsidRPr="00611817">
        <w:rPr>
          <w:rFonts w:eastAsia="Calibri"/>
          <w:sz w:val="26"/>
          <w:szCs w:val="26"/>
          <w:lang w:eastAsia="es-ES"/>
        </w:rPr>
        <w:t>autoridad estatal competente</w:t>
      </w:r>
      <w:r w:rsidR="00611817" w:rsidRPr="00611817">
        <w:rPr>
          <w:rStyle w:val="Refdenotaalpie"/>
          <w:rFonts w:eastAsia="Calibri"/>
          <w:sz w:val="26"/>
          <w:szCs w:val="26"/>
          <w:lang w:eastAsia="es-ES"/>
        </w:rPr>
        <w:footnoteReference w:id="3"/>
      </w:r>
      <w:r w:rsidRPr="00611817">
        <w:rPr>
          <w:rFonts w:eastAsia="Calibri"/>
          <w:sz w:val="26"/>
          <w:szCs w:val="26"/>
          <w:lang w:eastAsia="es-ES"/>
        </w:rPr>
        <w:t xml:space="preserve">, </w:t>
      </w:r>
      <w:r w:rsidRPr="00F97119">
        <w:rPr>
          <w:rFonts w:eastAsia="Calibri"/>
          <w:sz w:val="26"/>
          <w:szCs w:val="26"/>
          <w:lang w:eastAsia="es-ES"/>
        </w:rPr>
        <w:t xml:space="preserve">cumple con los requisitos señalados por </w:t>
      </w:r>
      <w:r w:rsidR="00611817" w:rsidRPr="00611817">
        <w:rPr>
          <w:rFonts w:eastAsia="Calibri"/>
          <w:sz w:val="26"/>
          <w:szCs w:val="26"/>
          <w:lang w:eastAsia="es-ES"/>
        </w:rPr>
        <w:t>Eurostat</w:t>
      </w:r>
      <w:r w:rsidRPr="00F97119">
        <w:rPr>
          <w:rFonts w:eastAsia="Calibri"/>
          <w:sz w:val="26"/>
          <w:szCs w:val="26"/>
          <w:lang w:eastAsia="es-ES"/>
        </w:rPr>
        <w:t xml:space="preserve"> para no computar como deuda a efectos de lo señalado en el SEC 95, actualmente sustituido por el SEC 2010.</w:t>
      </w:r>
    </w:p>
    <w:p w14:paraId="2994CAD6" w14:textId="77777777" w:rsidR="00F97631" w:rsidRPr="00F97119" w:rsidRDefault="00F97631" w:rsidP="00F97631">
      <w:pPr>
        <w:spacing w:after="0"/>
        <w:ind w:firstLine="284"/>
        <w:rPr>
          <w:rFonts w:eastAsia="Calibri"/>
          <w:sz w:val="26"/>
          <w:szCs w:val="26"/>
          <w:lang w:eastAsia="es-ES"/>
        </w:rPr>
      </w:pPr>
    </w:p>
    <w:p w14:paraId="4C362EB6" w14:textId="77777777" w:rsidR="00F97631" w:rsidRPr="00F97119" w:rsidRDefault="003D233C" w:rsidP="00E508C0">
      <w:pPr>
        <w:pStyle w:val="atitulo3"/>
      </w:pPr>
      <w:bookmarkStart w:id="23" w:name="_Toc97556872"/>
      <w:r>
        <w:t>1.2.2</w:t>
      </w:r>
      <w:r w:rsidR="00F97631" w:rsidRPr="00F97119">
        <w:t>. Autovía del Pirineo</w:t>
      </w:r>
      <w:bookmarkEnd w:id="23"/>
      <w:r w:rsidR="00F97631">
        <w:t xml:space="preserve"> </w:t>
      </w:r>
    </w:p>
    <w:p w14:paraId="55AAD415" w14:textId="77777777" w:rsidR="00F97631" w:rsidRPr="00795CF7" w:rsidRDefault="00F97631" w:rsidP="00F97631">
      <w:pPr>
        <w:pStyle w:val="texto"/>
        <w:rPr>
          <w:rFonts w:eastAsia="Calibri"/>
          <w:lang w:eastAsia="es-ES"/>
        </w:rPr>
      </w:pPr>
      <w:r w:rsidRPr="00803DD0">
        <w:rPr>
          <w:rFonts w:eastAsia="Calibri"/>
          <w:lang w:eastAsia="es-ES"/>
        </w:rPr>
        <w:t>Con fe</w:t>
      </w:r>
      <w:r w:rsidR="00A0183A">
        <w:rPr>
          <w:rFonts w:eastAsia="Calibri"/>
          <w:lang w:eastAsia="es-ES"/>
        </w:rPr>
        <w:t>cha 31 de julio de 2009 se firmó</w:t>
      </w:r>
      <w:r w:rsidRPr="00803DD0">
        <w:rPr>
          <w:rFonts w:eastAsia="Calibri"/>
          <w:lang w:eastAsia="es-ES"/>
        </w:rPr>
        <w:t xml:space="preserve"> el contrato de concesión entre la </w:t>
      </w:r>
      <w:r w:rsidR="00A0183A">
        <w:rPr>
          <w:rFonts w:eastAsia="Calibri"/>
          <w:lang w:eastAsia="es-ES"/>
        </w:rPr>
        <w:t>sociedad</w:t>
      </w:r>
      <w:r w:rsidRPr="00803DD0">
        <w:rPr>
          <w:rFonts w:eastAsia="Calibri"/>
          <w:lang w:eastAsia="es-ES"/>
        </w:rPr>
        <w:t xml:space="preserve"> concesionaria, Autovía del Pirineo S.A., </w:t>
      </w:r>
      <w:r w:rsidRPr="00F97119">
        <w:rPr>
          <w:rFonts w:eastAsia="Calibri"/>
          <w:lang w:eastAsia="es-ES"/>
        </w:rPr>
        <w:t xml:space="preserve">y la ACFN, que tiene por objeto la construcción de </w:t>
      </w:r>
      <w:r w:rsidRPr="00DC50AB">
        <w:rPr>
          <w:rFonts w:eastAsia="Calibri"/>
          <w:lang w:eastAsia="es-ES"/>
        </w:rPr>
        <w:t xml:space="preserve">dos nuevos tramos </w:t>
      </w:r>
      <w:r w:rsidRPr="00F97119">
        <w:rPr>
          <w:rFonts w:eastAsia="Calibri"/>
          <w:lang w:eastAsia="es-ES"/>
        </w:rPr>
        <w:t>para un total de 16 kilómetros y la conservación</w:t>
      </w:r>
      <w:r>
        <w:rPr>
          <w:rFonts w:eastAsia="Calibri"/>
          <w:lang w:eastAsia="es-ES"/>
        </w:rPr>
        <w:t xml:space="preserve"> </w:t>
      </w:r>
      <w:r w:rsidRPr="00B61CA9">
        <w:rPr>
          <w:rFonts w:eastAsia="Calibri"/>
          <w:lang w:eastAsia="es-ES"/>
        </w:rPr>
        <w:t xml:space="preserve">y la explotación </w:t>
      </w:r>
      <w:r w:rsidRPr="00F97119">
        <w:rPr>
          <w:rFonts w:eastAsia="Calibri"/>
          <w:lang w:eastAsia="es-ES"/>
        </w:rPr>
        <w:t>de tramos y</w:t>
      </w:r>
      <w:r>
        <w:rPr>
          <w:rFonts w:eastAsia="Calibri"/>
          <w:lang w:eastAsia="es-ES"/>
        </w:rPr>
        <w:t xml:space="preserve">a desdoblados con anterioridad </w:t>
      </w:r>
      <w:r w:rsidRPr="00F97119">
        <w:rPr>
          <w:rFonts w:eastAsia="Calibri"/>
          <w:lang w:eastAsia="es-ES"/>
        </w:rPr>
        <w:t>para un total de 45 kilómetros. El plazo de concesión es de 30 años.</w:t>
      </w:r>
    </w:p>
    <w:p w14:paraId="15970CE9" w14:textId="77777777" w:rsidR="00F97631" w:rsidRDefault="00F97631" w:rsidP="00F97631">
      <w:pPr>
        <w:pStyle w:val="texto"/>
        <w:rPr>
          <w:rFonts w:eastAsia="Calibri"/>
          <w:lang w:eastAsia="es-ES"/>
        </w:rPr>
      </w:pPr>
      <w:r w:rsidRPr="00F97119">
        <w:rPr>
          <w:rFonts w:eastAsia="Calibri"/>
          <w:lang w:eastAsia="es-ES"/>
        </w:rPr>
        <w:t>La sociedad concesionaria</w:t>
      </w:r>
      <w:r>
        <w:rPr>
          <w:rFonts w:eastAsia="Calibri"/>
          <w:lang w:eastAsia="es-ES"/>
        </w:rPr>
        <w:t xml:space="preserve"> </w:t>
      </w:r>
      <w:r w:rsidR="00EF08B7">
        <w:rPr>
          <w:rFonts w:eastAsia="Calibri"/>
          <w:lang w:eastAsia="es-ES"/>
        </w:rPr>
        <w:t>se constituyó</w:t>
      </w:r>
      <w:r w:rsidRPr="00F97119">
        <w:rPr>
          <w:rFonts w:eastAsia="Calibri"/>
          <w:lang w:eastAsia="es-ES"/>
        </w:rPr>
        <w:t xml:space="preserve"> como sociedad anónima en j</w:t>
      </w:r>
      <w:r w:rsidR="00712A0A">
        <w:rPr>
          <w:rFonts w:eastAsia="Calibri"/>
          <w:lang w:eastAsia="es-ES"/>
        </w:rPr>
        <w:t>ulio de 2009. Esta</w:t>
      </w:r>
      <w:r w:rsidR="00EF08B7">
        <w:rPr>
          <w:rFonts w:eastAsia="Calibri"/>
          <w:lang w:eastAsia="es-ES"/>
        </w:rPr>
        <w:t xml:space="preserve"> sociedad estaba</w:t>
      </w:r>
      <w:r w:rsidRPr="00F97119">
        <w:rPr>
          <w:rFonts w:eastAsia="Calibri"/>
          <w:lang w:eastAsia="es-ES"/>
        </w:rPr>
        <w:t xml:space="preserve"> integrada por las empresas </w:t>
      </w:r>
      <w:proofErr w:type="spellStart"/>
      <w:r w:rsidRPr="00F97119">
        <w:rPr>
          <w:rFonts w:eastAsia="Calibri"/>
          <w:lang w:eastAsia="es-ES"/>
        </w:rPr>
        <w:t>Iridium</w:t>
      </w:r>
      <w:proofErr w:type="spellEnd"/>
      <w:r w:rsidRPr="00F97119">
        <w:rPr>
          <w:rFonts w:eastAsia="Calibri"/>
          <w:lang w:eastAsia="es-ES"/>
        </w:rPr>
        <w:t xml:space="preserve"> Concesiones de Infraestructuras S.A., Construcciones Mariezcurrena S.L. y Construcciones Luciano </w:t>
      </w:r>
      <w:r w:rsidRPr="00A67F83">
        <w:rPr>
          <w:rFonts w:eastAsia="Calibri"/>
          <w:lang w:eastAsia="es-ES"/>
        </w:rPr>
        <w:t>Elcarte S.L</w:t>
      </w:r>
      <w:r w:rsidRPr="00F97119">
        <w:rPr>
          <w:rFonts w:eastAsia="Calibri"/>
          <w:lang w:eastAsia="es-ES"/>
        </w:rPr>
        <w:t>.</w:t>
      </w:r>
    </w:p>
    <w:p w14:paraId="5ED713F8" w14:textId="77777777" w:rsidR="00F97631" w:rsidRDefault="00F97631" w:rsidP="00F97631">
      <w:pPr>
        <w:pStyle w:val="texto"/>
        <w:rPr>
          <w:rFonts w:eastAsia="Calibri"/>
          <w:lang w:eastAsia="es-ES"/>
        </w:rPr>
      </w:pPr>
      <w:r w:rsidRPr="00F97119">
        <w:rPr>
          <w:rFonts w:eastAsia="Calibri"/>
          <w:lang w:eastAsia="es-ES"/>
        </w:rPr>
        <w:t>La autovía comenzó su fase de explotación el 15 de enero de 2012, una vez finalizadas las obras y el devengo de los cánones a pagar al concesionario se inició e1 1 de febrero de ese mismo año.</w:t>
      </w:r>
    </w:p>
    <w:p w14:paraId="7C25FC50" w14:textId="77777777" w:rsidR="00F97631" w:rsidRPr="00A24812" w:rsidRDefault="00F97631" w:rsidP="00F97631">
      <w:pPr>
        <w:pStyle w:val="texto"/>
        <w:rPr>
          <w:rFonts w:eastAsia="Calibri"/>
          <w:lang w:eastAsia="es-ES"/>
        </w:rPr>
      </w:pPr>
      <w:r w:rsidRPr="00F97119">
        <w:rPr>
          <w:rFonts w:eastAsia="Calibri"/>
          <w:lang w:eastAsia="es-ES"/>
        </w:rPr>
        <w:t xml:space="preserve">El contrato prevé la posibilidad de que </w:t>
      </w:r>
      <w:r>
        <w:rPr>
          <w:rFonts w:eastAsia="Calibri"/>
          <w:lang w:eastAsia="es-ES"/>
        </w:rPr>
        <w:t xml:space="preserve">las tarifas </w:t>
      </w:r>
      <w:r w:rsidRPr="00F97119">
        <w:rPr>
          <w:rFonts w:eastAsia="Calibri"/>
          <w:lang w:eastAsia="es-ES"/>
        </w:rPr>
        <w:t>sean revisadas en función del</w:t>
      </w:r>
      <w:r w:rsidRPr="00F97119">
        <w:rPr>
          <w:rFonts w:eastAsia="Calibri"/>
          <w:color w:val="FF0000"/>
          <w:lang w:eastAsia="es-ES"/>
        </w:rPr>
        <w:t xml:space="preserve"> </w:t>
      </w:r>
      <w:r w:rsidRPr="00F97119">
        <w:rPr>
          <w:rFonts w:eastAsia="Calibri"/>
          <w:lang w:eastAsia="es-ES"/>
        </w:rPr>
        <w:t xml:space="preserve">Precio Final Reconocido del conjunto de las Obras </w:t>
      </w:r>
      <w:r w:rsidRPr="00E55C4A">
        <w:rPr>
          <w:rFonts w:eastAsia="Calibri"/>
          <w:lang w:eastAsia="es-ES"/>
        </w:rPr>
        <w:t xml:space="preserve">(en adelante PFCOR) </w:t>
      </w:r>
      <w:r w:rsidRPr="00F97119">
        <w:rPr>
          <w:rFonts w:eastAsia="Calibri"/>
          <w:lang w:eastAsia="es-ES"/>
        </w:rPr>
        <w:t>aprobado</w:t>
      </w:r>
      <w:r w:rsidRPr="00E55C4A">
        <w:rPr>
          <w:rFonts w:eastAsia="Calibri"/>
          <w:lang w:eastAsia="es-ES"/>
        </w:rPr>
        <w:t xml:space="preserve">, pero al término de la fase de construcción de las obras no se realizó dicha </w:t>
      </w:r>
      <w:r w:rsidRPr="00A24812">
        <w:rPr>
          <w:rFonts w:eastAsia="Calibri"/>
          <w:lang w:eastAsia="es-ES"/>
        </w:rPr>
        <w:t>aprobación. El presupuesto total estimado d</w:t>
      </w:r>
      <w:r w:rsidR="004A6A11" w:rsidRPr="00A24812">
        <w:rPr>
          <w:rFonts w:eastAsia="Calibri"/>
          <w:lang w:eastAsia="es-ES"/>
        </w:rPr>
        <w:t>el contrato asciende a 271,38 millones</w:t>
      </w:r>
      <w:r w:rsidRPr="00A24812">
        <w:rPr>
          <w:rFonts w:eastAsia="Calibri"/>
          <w:lang w:eastAsia="es-ES"/>
        </w:rPr>
        <w:t>.</w:t>
      </w:r>
    </w:p>
    <w:p w14:paraId="584D867E" w14:textId="77777777" w:rsidR="00F97631" w:rsidRPr="00F97119" w:rsidRDefault="00F97631" w:rsidP="00F97631">
      <w:pPr>
        <w:pStyle w:val="texto"/>
        <w:rPr>
          <w:rFonts w:eastAsia="Calibri"/>
          <w:lang w:eastAsia="es-ES"/>
        </w:rPr>
      </w:pPr>
      <w:r w:rsidRPr="00A24812">
        <w:rPr>
          <w:rFonts w:eastAsia="Calibri"/>
          <w:lang w:eastAsia="es-ES"/>
        </w:rPr>
        <w:t xml:space="preserve">Durante la explotación, la retribución de la ACFN al concesionario </w:t>
      </w:r>
      <w:r w:rsidR="00EF08B7" w:rsidRPr="00A24812">
        <w:rPr>
          <w:rFonts w:eastAsia="Calibri"/>
          <w:lang w:eastAsia="es-ES"/>
        </w:rPr>
        <w:t xml:space="preserve">está </w:t>
      </w:r>
      <w:r w:rsidRPr="00A24812">
        <w:rPr>
          <w:rFonts w:eastAsia="Calibri"/>
          <w:lang w:eastAsia="es-ES"/>
        </w:rPr>
        <w:t xml:space="preserve">basada </w:t>
      </w:r>
      <w:r>
        <w:rPr>
          <w:rFonts w:eastAsia="Calibri"/>
          <w:lang w:eastAsia="es-ES"/>
        </w:rPr>
        <w:t>en:</w:t>
      </w:r>
    </w:p>
    <w:p w14:paraId="312D6C50" w14:textId="77777777" w:rsidR="00F97631" w:rsidRPr="004A6A11"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F97119">
        <w:rPr>
          <w:rFonts w:eastAsia="Calibri"/>
          <w:szCs w:val="26"/>
          <w:lang w:eastAsia="es-ES"/>
        </w:rPr>
        <w:t xml:space="preserve">Canon de demanda </w:t>
      </w:r>
      <w:r w:rsidRPr="004A6A11">
        <w:rPr>
          <w:rFonts w:eastAsia="Calibri"/>
          <w:szCs w:val="26"/>
          <w:lang w:eastAsia="es-ES"/>
        </w:rPr>
        <w:t>(</w:t>
      </w:r>
      <w:r w:rsidR="007715CA" w:rsidRPr="004A6A11">
        <w:rPr>
          <w:rFonts w:eastAsia="Calibri"/>
          <w:szCs w:val="26"/>
          <w:lang w:eastAsia="es-ES"/>
        </w:rPr>
        <w:t xml:space="preserve">en adelante </w:t>
      </w:r>
      <w:r w:rsidRPr="004A6A11">
        <w:rPr>
          <w:rFonts w:eastAsia="Calibri"/>
          <w:szCs w:val="26"/>
          <w:lang w:eastAsia="es-ES"/>
        </w:rPr>
        <w:t xml:space="preserve">CD) </w:t>
      </w:r>
      <w:r>
        <w:rPr>
          <w:rFonts w:eastAsia="Calibri"/>
          <w:szCs w:val="26"/>
          <w:lang w:eastAsia="es-ES"/>
        </w:rPr>
        <w:t>vinculado al tráfico soportado por la infraestructura</w:t>
      </w:r>
      <w:r w:rsidRPr="00F97119">
        <w:rPr>
          <w:rFonts w:eastAsia="Calibri"/>
          <w:szCs w:val="26"/>
          <w:lang w:eastAsia="es-ES"/>
        </w:rPr>
        <w:t>. Las variables que determinan este canon son</w:t>
      </w:r>
      <w:r w:rsidR="00D84F41">
        <w:rPr>
          <w:rFonts w:eastAsia="Calibri"/>
          <w:szCs w:val="26"/>
          <w:lang w:eastAsia="es-ES"/>
        </w:rPr>
        <w:t>:</w:t>
      </w:r>
      <w:r w:rsidRPr="00F97119">
        <w:rPr>
          <w:rFonts w:eastAsia="Calibri"/>
          <w:szCs w:val="26"/>
          <w:lang w:eastAsia="es-ES"/>
        </w:rPr>
        <w:t xml:space="preserve"> </w:t>
      </w:r>
      <w:r w:rsidRPr="00A67F83">
        <w:rPr>
          <w:rFonts w:eastAsia="Calibri"/>
          <w:szCs w:val="26"/>
          <w:lang w:eastAsia="es-ES"/>
        </w:rPr>
        <w:t>número de vehículos-kilómetro recorridos</w:t>
      </w:r>
      <w:r>
        <w:rPr>
          <w:rFonts w:eastAsia="Calibri"/>
          <w:szCs w:val="26"/>
          <w:lang w:eastAsia="es-ES"/>
        </w:rPr>
        <w:t>,</w:t>
      </w:r>
      <w:r w:rsidRPr="00F97119">
        <w:rPr>
          <w:rFonts w:eastAsia="Calibri"/>
          <w:szCs w:val="26"/>
          <w:lang w:eastAsia="es-ES"/>
        </w:rPr>
        <w:t xml:space="preserve"> la categoría de </w:t>
      </w:r>
      <w:proofErr w:type="gramStart"/>
      <w:r w:rsidRPr="00F97119">
        <w:rPr>
          <w:rFonts w:eastAsia="Calibri"/>
          <w:szCs w:val="26"/>
          <w:lang w:eastAsia="es-ES"/>
        </w:rPr>
        <w:t>los mismos</w:t>
      </w:r>
      <w:proofErr w:type="gramEnd"/>
      <w:r w:rsidRPr="00F97119">
        <w:rPr>
          <w:rFonts w:eastAsia="Calibri"/>
          <w:szCs w:val="26"/>
          <w:lang w:eastAsia="es-ES"/>
        </w:rPr>
        <w:t xml:space="preserve"> (pesado o ligero) y </w:t>
      </w:r>
      <w:r w:rsidRPr="004A6A11">
        <w:rPr>
          <w:rFonts w:eastAsia="Calibri"/>
          <w:szCs w:val="26"/>
          <w:lang w:eastAsia="es-ES"/>
        </w:rPr>
        <w:t xml:space="preserve">las tarifas por kilómetro recorrido aplicables a cada tipo de vehículo. </w:t>
      </w:r>
    </w:p>
    <w:p w14:paraId="36A0F90D" w14:textId="77777777" w:rsidR="00F97631" w:rsidRPr="00FE6758"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F97119">
        <w:rPr>
          <w:rFonts w:eastAsia="Calibri"/>
          <w:szCs w:val="26"/>
          <w:lang w:eastAsia="es-ES"/>
        </w:rPr>
        <w:t xml:space="preserve">Canon del estado y calidad de la infraestructura </w:t>
      </w:r>
      <w:r w:rsidR="007715CA" w:rsidRPr="004A6A11">
        <w:rPr>
          <w:rFonts w:eastAsia="Calibri"/>
          <w:szCs w:val="26"/>
          <w:lang w:eastAsia="es-ES"/>
        </w:rPr>
        <w:t xml:space="preserve">(en adelante </w:t>
      </w:r>
      <w:r w:rsidRPr="004A6A11">
        <w:rPr>
          <w:rFonts w:eastAsia="Calibri"/>
          <w:szCs w:val="26"/>
          <w:lang w:eastAsia="es-ES"/>
        </w:rPr>
        <w:t xml:space="preserve">CEICS) </w:t>
      </w:r>
      <w:r>
        <w:rPr>
          <w:rFonts w:eastAsia="Calibri"/>
          <w:szCs w:val="26"/>
          <w:lang w:eastAsia="es-ES"/>
        </w:rPr>
        <w:t>condicionado al grado de cumplimiento de unos estándares de calidad</w:t>
      </w:r>
      <w:r w:rsidRPr="00F97119">
        <w:rPr>
          <w:rFonts w:eastAsia="Calibri"/>
          <w:szCs w:val="26"/>
          <w:lang w:eastAsia="es-ES"/>
        </w:rPr>
        <w:t>. Las variables que lo determinan son la tarifa aplicable por kilómetro, el número de kilómetros</w:t>
      </w:r>
      <w:r>
        <w:rPr>
          <w:rFonts w:eastAsia="Calibri"/>
          <w:szCs w:val="26"/>
          <w:lang w:eastAsia="es-ES"/>
        </w:rPr>
        <w:t xml:space="preserve"> de la autovía</w:t>
      </w:r>
      <w:r w:rsidRPr="00F97119">
        <w:rPr>
          <w:rFonts w:eastAsia="Calibri"/>
          <w:szCs w:val="26"/>
          <w:lang w:eastAsia="es-ES"/>
        </w:rPr>
        <w:t xml:space="preserve"> y las deducciones automáticas en caso de que los indicadores de calidad no sean óptimos.</w:t>
      </w:r>
      <w:r>
        <w:rPr>
          <w:rFonts w:eastAsia="Calibri"/>
          <w:szCs w:val="26"/>
          <w:lang w:eastAsia="es-ES"/>
        </w:rPr>
        <w:t xml:space="preserve"> Por tanto, el canon CEICS es un importe fijo anual que se corrige el año siguiente con las mediciones del grado del cumplimiento de los indicadores.</w:t>
      </w:r>
    </w:p>
    <w:p w14:paraId="587F4635" w14:textId="77777777" w:rsidR="00F97631" w:rsidRDefault="00F97631" w:rsidP="00F97631">
      <w:pPr>
        <w:pStyle w:val="texto"/>
        <w:rPr>
          <w:rFonts w:eastAsia="Calibri"/>
          <w:lang w:eastAsia="es-ES"/>
        </w:rPr>
      </w:pPr>
      <w:r w:rsidRPr="00F97119">
        <w:rPr>
          <w:rFonts w:eastAsia="Calibri"/>
          <w:lang w:eastAsia="es-ES"/>
        </w:rPr>
        <w:t xml:space="preserve">Al canon </w:t>
      </w:r>
      <w:r>
        <w:rPr>
          <w:rFonts w:eastAsia="Calibri"/>
          <w:lang w:eastAsia="es-ES"/>
        </w:rPr>
        <w:t xml:space="preserve">de demanda, </w:t>
      </w:r>
      <w:r w:rsidRPr="003810F6">
        <w:rPr>
          <w:rFonts w:eastAsia="Calibri"/>
          <w:lang w:eastAsia="es-ES"/>
        </w:rPr>
        <w:t>según el contrato, está previsto  que se le aplique una corrección si el tráfico supera los límites superiores establecidos</w:t>
      </w:r>
      <w:r>
        <w:rPr>
          <w:rStyle w:val="Refdenotaalpie"/>
          <w:rFonts w:eastAsia="Calibri"/>
          <w:szCs w:val="26"/>
          <w:lang w:eastAsia="es-ES"/>
        </w:rPr>
        <w:footnoteReference w:id="4"/>
      </w:r>
      <w:r w:rsidRPr="00F97119">
        <w:rPr>
          <w:rFonts w:eastAsia="Calibri"/>
          <w:lang w:eastAsia="es-ES"/>
        </w:rPr>
        <w:t>. E</w:t>
      </w:r>
      <w:r>
        <w:rPr>
          <w:rFonts w:eastAsia="Calibri"/>
          <w:lang w:eastAsia="es-ES"/>
        </w:rPr>
        <w:t>n el periodo de explotación 2012</w:t>
      </w:r>
      <w:r w:rsidRPr="00F97119">
        <w:rPr>
          <w:rFonts w:eastAsia="Calibri"/>
          <w:lang w:eastAsia="es-ES"/>
        </w:rPr>
        <w:t xml:space="preserve">-2021 no se ha aplicado ninguna corrección al no rebasarse dicho nivel. </w:t>
      </w:r>
    </w:p>
    <w:p w14:paraId="25B53AF8" w14:textId="77777777" w:rsidR="00F97631" w:rsidRPr="00E26448" w:rsidRDefault="00253193" w:rsidP="00E26448">
      <w:pPr>
        <w:pStyle w:val="texto"/>
        <w:spacing w:after="240"/>
        <w:rPr>
          <w:rFonts w:eastAsia="Calibri"/>
          <w:spacing w:val="2"/>
          <w:lang w:eastAsia="es-ES"/>
        </w:rPr>
      </w:pPr>
      <w:r w:rsidRPr="005F0218">
        <w:rPr>
          <w:rFonts w:eastAsia="Calibri"/>
          <w:spacing w:val="2"/>
          <w:lang w:eastAsia="es-ES"/>
        </w:rPr>
        <w:t xml:space="preserve">Las tarifas unitarias </w:t>
      </w:r>
      <w:r w:rsidRPr="0058136F">
        <w:rPr>
          <w:rFonts w:eastAsia="Calibri"/>
          <w:spacing w:val="2"/>
          <w:lang w:eastAsia="es-ES"/>
        </w:rPr>
        <w:t xml:space="preserve">(IVA excluido) </w:t>
      </w:r>
      <w:r>
        <w:rPr>
          <w:rFonts w:eastAsia="Calibri"/>
          <w:spacing w:val="2"/>
          <w:lang w:eastAsia="es-ES"/>
        </w:rPr>
        <w:t xml:space="preserve">del </w:t>
      </w:r>
      <w:r w:rsidRPr="005F0218">
        <w:rPr>
          <w:rFonts w:eastAsia="Calibri"/>
          <w:spacing w:val="2"/>
          <w:lang w:eastAsia="es-ES"/>
        </w:rPr>
        <w:t xml:space="preserve">CD y </w:t>
      </w:r>
      <w:r>
        <w:rPr>
          <w:rFonts w:eastAsia="Calibri"/>
          <w:spacing w:val="2"/>
          <w:lang w:eastAsia="es-ES"/>
        </w:rPr>
        <w:t>CEICS</w:t>
      </w:r>
      <w:r w:rsidRPr="005F0218">
        <w:rPr>
          <w:rFonts w:eastAsia="Calibri"/>
          <w:spacing w:val="2"/>
          <w:lang w:eastAsia="es-ES"/>
        </w:rPr>
        <w:t xml:space="preserve"> correspondientes a la oferta se actualizan </w:t>
      </w:r>
      <w:r>
        <w:rPr>
          <w:rFonts w:eastAsia="Calibri"/>
          <w:spacing w:val="2"/>
          <w:lang w:eastAsia="es-ES"/>
        </w:rPr>
        <w:t>anualmente con la evolución del IPC nacional</w:t>
      </w:r>
      <w:r w:rsidRPr="005F0218">
        <w:rPr>
          <w:rFonts w:eastAsia="Calibri"/>
          <w:spacing w:val="2"/>
          <w:lang w:eastAsia="es-ES"/>
        </w:rPr>
        <w:t>.</w:t>
      </w:r>
    </w:p>
    <w:tbl>
      <w:tblPr>
        <w:tblW w:w="9077" w:type="dxa"/>
        <w:tblInd w:w="-5"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969"/>
        <w:gridCol w:w="5108"/>
      </w:tblGrid>
      <w:tr w:rsidR="00F97631" w:rsidRPr="00937E81" w14:paraId="120D6FFD" w14:textId="77777777" w:rsidTr="00E428A6">
        <w:trPr>
          <w:trHeight w:val="227"/>
        </w:trPr>
        <w:tc>
          <w:tcPr>
            <w:tcW w:w="9077" w:type="dxa"/>
            <w:gridSpan w:val="2"/>
            <w:shd w:val="clear" w:color="auto" w:fill="B8CCE4" w:themeFill="accent1" w:themeFillTint="66"/>
            <w:noWrap/>
            <w:vAlign w:val="center"/>
            <w:hideMark/>
          </w:tcPr>
          <w:p w14:paraId="34A3FC29" w14:textId="77777777" w:rsidR="00F97631" w:rsidRPr="00937E81" w:rsidRDefault="00F97631" w:rsidP="00716D48">
            <w:pPr>
              <w:pStyle w:val="cuadroCabe"/>
              <w:spacing w:line="240" w:lineRule="auto"/>
              <w:rPr>
                <w:lang w:val="es-ES" w:eastAsia="es-ES"/>
              </w:rPr>
            </w:pPr>
            <w:r w:rsidRPr="00713785">
              <w:rPr>
                <w:lang w:val="es-ES" w:eastAsia="es-ES"/>
              </w:rPr>
              <w:t>Tarifas del CD a aplicar</w:t>
            </w:r>
          </w:p>
        </w:tc>
      </w:tr>
      <w:tr w:rsidR="00F97631" w:rsidRPr="00937E81" w14:paraId="545BF8E2" w14:textId="77777777" w:rsidTr="00E428A6">
        <w:trPr>
          <w:trHeight w:val="227"/>
        </w:trPr>
        <w:tc>
          <w:tcPr>
            <w:tcW w:w="3969" w:type="dxa"/>
            <w:shd w:val="clear" w:color="auto" w:fill="D9D9D9" w:themeFill="background1" w:themeFillShade="D9"/>
            <w:noWrap/>
            <w:vAlign w:val="center"/>
            <w:hideMark/>
          </w:tcPr>
          <w:p w14:paraId="288DEE24" w14:textId="77777777" w:rsidR="00F97631" w:rsidRPr="00937E81" w:rsidRDefault="00F97631" w:rsidP="00716D48">
            <w:pPr>
              <w:spacing w:after="0"/>
              <w:ind w:firstLine="0"/>
              <w:jc w:val="left"/>
              <w:rPr>
                <w:rFonts w:ascii="Arial Narrow" w:hAnsi="Arial Narrow" w:cs="Calibri"/>
                <w:color w:val="000000"/>
                <w:lang w:val="es-ES" w:eastAsia="es-ES"/>
              </w:rPr>
            </w:pPr>
            <w:r w:rsidRPr="00937E81">
              <w:rPr>
                <w:rFonts w:ascii="Arial Narrow" w:hAnsi="Arial Narrow" w:cs="Calibri"/>
                <w:color w:val="000000"/>
                <w:lang w:val="es-ES" w:eastAsia="es-ES"/>
              </w:rPr>
              <w:t>Vehículos</w:t>
            </w:r>
          </w:p>
        </w:tc>
        <w:tc>
          <w:tcPr>
            <w:tcW w:w="5108" w:type="dxa"/>
            <w:shd w:val="clear" w:color="auto" w:fill="D9D9D9" w:themeFill="background1" w:themeFillShade="D9"/>
            <w:noWrap/>
            <w:vAlign w:val="center"/>
            <w:hideMark/>
          </w:tcPr>
          <w:p w14:paraId="67F59B84" w14:textId="77777777" w:rsidR="00F97631" w:rsidRPr="00937E81" w:rsidRDefault="00F97631" w:rsidP="00716D48">
            <w:pPr>
              <w:spacing w:after="0"/>
              <w:ind w:firstLine="0"/>
              <w:jc w:val="right"/>
              <w:rPr>
                <w:rFonts w:ascii="Arial Narrow" w:hAnsi="Arial Narrow" w:cs="Calibri"/>
                <w:color w:val="000000"/>
                <w:lang w:val="es-ES" w:eastAsia="es-ES"/>
              </w:rPr>
            </w:pPr>
            <w:r w:rsidRPr="00E26448">
              <w:rPr>
                <w:rFonts w:ascii="Arial Narrow" w:hAnsi="Arial Narrow" w:cs="Calibri"/>
                <w:lang w:val="es-ES" w:eastAsia="es-ES"/>
              </w:rPr>
              <w:t>(euros</w:t>
            </w:r>
            <w:proofErr w:type="gramStart"/>
            <w:r w:rsidRPr="00E26448">
              <w:rPr>
                <w:rFonts w:ascii="Arial Narrow" w:hAnsi="Arial Narrow" w:cs="Calibri"/>
                <w:lang w:val="es-ES" w:eastAsia="es-ES"/>
              </w:rPr>
              <w:t xml:space="preserve">)( </w:t>
            </w:r>
            <w:r>
              <w:rPr>
                <w:rFonts w:ascii="Arial Narrow" w:hAnsi="Arial Narrow" w:cs="Calibri"/>
                <w:color w:val="000000"/>
                <w:lang w:val="es-ES" w:eastAsia="es-ES"/>
              </w:rPr>
              <w:t>IVA</w:t>
            </w:r>
            <w:proofErr w:type="gramEnd"/>
            <w:r>
              <w:rPr>
                <w:rFonts w:ascii="Arial Narrow" w:hAnsi="Arial Narrow" w:cs="Calibri"/>
                <w:color w:val="000000"/>
                <w:lang w:val="es-ES" w:eastAsia="es-ES"/>
              </w:rPr>
              <w:t xml:space="preserve"> no incluido)</w:t>
            </w:r>
          </w:p>
        </w:tc>
      </w:tr>
      <w:tr w:rsidR="00F97631" w:rsidRPr="00937E81" w14:paraId="2F9A5D77" w14:textId="77777777" w:rsidTr="00E428A6">
        <w:trPr>
          <w:trHeight w:val="227"/>
        </w:trPr>
        <w:tc>
          <w:tcPr>
            <w:tcW w:w="3969" w:type="dxa"/>
            <w:shd w:val="clear" w:color="auto" w:fill="auto"/>
            <w:noWrap/>
            <w:vAlign w:val="center"/>
            <w:hideMark/>
          </w:tcPr>
          <w:p w14:paraId="6767DF73" w14:textId="77777777" w:rsidR="00F97631" w:rsidRPr="00937E81" w:rsidRDefault="00F97631" w:rsidP="00716D48">
            <w:pPr>
              <w:spacing w:after="0"/>
              <w:ind w:firstLine="0"/>
              <w:jc w:val="left"/>
              <w:rPr>
                <w:rFonts w:ascii="Arial Narrow" w:hAnsi="Arial Narrow" w:cs="Calibri"/>
                <w:color w:val="000000"/>
                <w:lang w:val="es-ES" w:eastAsia="es-ES"/>
              </w:rPr>
            </w:pPr>
            <w:r w:rsidRPr="00937E81">
              <w:rPr>
                <w:rFonts w:ascii="Arial Narrow" w:hAnsi="Arial Narrow" w:cs="Calibri"/>
                <w:color w:val="000000"/>
                <w:lang w:val="es-ES" w:eastAsia="es-ES"/>
              </w:rPr>
              <w:t>Ligeros</w:t>
            </w:r>
          </w:p>
        </w:tc>
        <w:tc>
          <w:tcPr>
            <w:tcW w:w="5108" w:type="dxa"/>
            <w:shd w:val="clear" w:color="auto" w:fill="auto"/>
            <w:noWrap/>
            <w:vAlign w:val="center"/>
          </w:tcPr>
          <w:p w14:paraId="16F42774" w14:textId="77777777" w:rsidR="00F97631" w:rsidRPr="00937E81" w:rsidRDefault="00F97631" w:rsidP="00716D48">
            <w:pPr>
              <w:spacing w:after="0"/>
              <w:ind w:firstLine="0"/>
              <w:jc w:val="right"/>
              <w:rPr>
                <w:rFonts w:ascii="Arial Narrow" w:hAnsi="Arial Narrow" w:cs="Calibri"/>
                <w:color w:val="000000"/>
                <w:lang w:val="es-ES" w:eastAsia="es-ES"/>
              </w:rPr>
            </w:pPr>
            <w:r>
              <w:rPr>
                <w:rFonts w:ascii="Arial Narrow" w:hAnsi="Arial Narrow" w:cs="Calibri"/>
                <w:color w:val="000000"/>
                <w:lang w:val="es-ES" w:eastAsia="es-ES"/>
              </w:rPr>
              <w:t>0,0624</w:t>
            </w:r>
          </w:p>
        </w:tc>
      </w:tr>
      <w:tr w:rsidR="00F97631" w:rsidRPr="00937E81" w14:paraId="66AA8CC0" w14:textId="77777777" w:rsidTr="00E428A6">
        <w:trPr>
          <w:trHeight w:val="227"/>
        </w:trPr>
        <w:tc>
          <w:tcPr>
            <w:tcW w:w="3969" w:type="dxa"/>
            <w:shd w:val="clear" w:color="auto" w:fill="auto"/>
            <w:noWrap/>
            <w:vAlign w:val="center"/>
            <w:hideMark/>
          </w:tcPr>
          <w:p w14:paraId="50006D47" w14:textId="77777777" w:rsidR="00F97631" w:rsidRPr="00937E81" w:rsidRDefault="00F97631" w:rsidP="00716D48">
            <w:pPr>
              <w:spacing w:after="0"/>
              <w:ind w:firstLine="0"/>
              <w:jc w:val="left"/>
              <w:rPr>
                <w:rFonts w:ascii="Arial Narrow" w:hAnsi="Arial Narrow" w:cs="Calibri"/>
                <w:color w:val="000000"/>
                <w:lang w:val="es-ES" w:eastAsia="es-ES"/>
              </w:rPr>
            </w:pPr>
            <w:r w:rsidRPr="00937E81">
              <w:rPr>
                <w:rFonts w:ascii="Arial Narrow" w:hAnsi="Arial Narrow" w:cs="Calibri"/>
                <w:color w:val="000000"/>
                <w:lang w:val="es-ES" w:eastAsia="es-ES"/>
              </w:rPr>
              <w:t>Pesados</w:t>
            </w:r>
          </w:p>
        </w:tc>
        <w:tc>
          <w:tcPr>
            <w:tcW w:w="5108" w:type="dxa"/>
            <w:shd w:val="clear" w:color="auto" w:fill="auto"/>
            <w:noWrap/>
            <w:vAlign w:val="center"/>
          </w:tcPr>
          <w:p w14:paraId="3B6D2ED6" w14:textId="77777777" w:rsidR="00F97631" w:rsidRPr="00937E81" w:rsidRDefault="00F97631" w:rsidP="00716D48">
            <w:pPr>
              <w:spacing w:after="0"/>
              <w:ind w:firstLine="0"/>
              <w:jc w:val="right"/>
              <w:rPr>
                <w:rFonts w:ascii="Arial Narrow" w:hAnsi="Arial Narrow" w:cs="Calibri"/>
                <w:color w:val="000000"/>
                <w:lang w:val="es-ES" w:eastAsia="es-ES"/>
              </w:rPr>
            </w:pPr>
            <w:r>
              <w:rPr>
                <w:rFonts w:ascii="Arial Narrow" w:hAnsi="Arial Narrow" w:cs="Calibri"/>
                <w:color w:val="000000"/>
                <w:lang w:val="es-ES" w:eastAsia="es-ES"/>
              </w:rPr>
              <w:t>0,0842</w:t>
            </w:r>
          </w:p>
        </w:tc>
      </w:tr>
      <w:tr w:rsidR="00F97631" w:rsidRPr="001509AD" w14:paraId="21CC6E43" w14:textId="77777777" w:rsidTr="00E428A6">
        <w:trPr>
          <w:trHeight w:val="227"/>
        </w:trPr>
        <w:tc>
          <w:tcPr>
            <w:tcW w:w="9077" w:type="dxa"/>
            <w:gridSpan w:val="2"/>
            <w:shd w:val="clear" w:color="auto" w:fill="B8CCE4" w:themeFill="accent1" w:themeFillTint="66"/>
            <w:noWrap/>
            <w:vAlign w:val="center"/>
            <w:hideMark/>
          </w:tcPr>
          <w:p w14:paraId="37E686C1" w14:textId="77777777" w:rsidR="00F97631" w:rsidRPr="00247E2E" w:rsidRDefault="00F97631" w:rsidP="00716D48">
            <w:pPr>
              <w:pStyle w:val="cuadroCabe"/>
              <w:jc w:val="center"/>
              <w:rPr>
                <w:sz w:val="16"/>
                <w:szCs w:val="16"/>
                <w:lang w:val="es-ES" w:eastAsia="es-ES"/>
              </w:rPr>
            </w:pPr>
            <w:r w:rsidRPr="00247E2E">
              <w:rPr>
                <w:sz w:val="16"/>
                <w:szCs w:val="16"/>
                <w:lang w:val="es-ES" w:eastAsia="es-ES"/>
              </w:rPr>
              <w:t>Tarifas del CEICS a aplicar</w:t>
            </w:r>
            <w:r>
              <w:rPr>
                <w:sz w:val="16"/>
                <w:szCs w:val="16"/>
                <w:lang w:val="es-ES" w:eastAsia="es-ES"/>
              </w:rPr>
              <w:t xml:space="preserve"> </w:t>
            </w:r>
            <w:proofErr w:type="gramStart"/>
            <w:r>
              <w:rPr>
                <w:sz w:val="16"/>
                <w:szCs w:val="16"/>
                <w:lang w:val="es-ES" w:eastAsia="es-ES"/>
              </w:rPr>
              <w:t>( valor</w:t>
            </w:r>
            <w:proofErr w:type="gramEnd"/>
            <w:r>
              <w:rPr>
                <w:sz w:val="16"/>
                <w:szCs w:val="16"/>
                <w:lang w:val="es-ES" w:eastAsia="es-ES"/>
              </w:rPr>
              <w:t xml:space="preserve"> 2012)</w:t>
            </w:r>
          </w:p>
        </w:tc>
      </w:tr>
      <w:tr w:rsidR="00F97631" w:rsidRPr="001509AD" w14:paraId="5B1B4BC3" w14:textId="77777777" w:rsidTr="00E428A6">
        <w:trPr>
          <w:trHeight w:val="227"/>
        </w:trPr>
        <w:tc>
          <w:tcPr>
            <w:tcW w:w="9077" w:type="dxa"/>
            <w:gridSpan w:val="2"/>
            <w:shd w:val="clear" w:color="auto" w:fill="B8CCE4" w:themeFill="accent1" w:themeFillTint="66"/>
            <w:noWrap/>
            <w:vAlign w:val="center"/>
            <w:hideMark/>
          </w:tcPr>
          <w:p w14:paraId="3AAEB324" w14:textId="77777777" w:rsidR="00F97631" w:rsidRPr="004E0069" w:rsidRDefault="00F97631" w:rsidP="00716D48">
            <w:pPr>
              <w:spacing w:after="0"/>
              <w:ind w:firstLine="0"/>
              <w:jc w:val="center"/>
              <w:rPr>
                <w:rFonts w:ascii="Arial Narrow" w:hAnsi="Arial Narrow" w:cs="Calibri"/>
                <w:color w:val="000000"/>
                <w:lang w:val="es-ES" w:eastAsia="es-ES"/>
              </w:rPr>
            </w:pPr>
            <w:r w:rsidRPr="004E0069">
              <w:rPr>
                <w:rFonts w:ascii="Arial Narrow" w:hAnsi="Arial Narrow" w:cs="Calibri"/>
                <w:color w:val="000000"/>
                <w:lang w:val="es-ES" w:eastAsia="es-ES"/>
              </w:rPr>
              <w:t>(expresada en euros por kilómetro /año)</w:t>
            </w:r>
            <w:r>
              <w:rPr>
                <w:rFonts w:ascii="Arial Narrow" w:hAnsi="Arial Narrow" w:cs="Calibri"/>
                <w:color w:val="000000"/>
                <w:lang w:val="es-ES" w:eastAsia="es-ES"/>
              </w:rPr>
              <w:t xml:space="preserve"> </w:t>
            </w:r>
            <w:proofErr w:type="gramStart"/>
            <w:r>
              <w:rPr>
                <w:rFonts w:ascii="Arial Narrow" w:hAnsi="Arial Narrow" w:cs="Calibri"/>
                <w:color w:val="000000"/>
                <w:lang w:val="es-ES" w:eastAsia="es-ES"/>
              </w:rPr>
              <w:t>( IVA</w:t>
            </w:r>
            <w:proofErr w:type="gramEnd"/>
            <w:r>
              <w:rPr>
                <w:rFonts w:ascii="Arial Narrow" w:hAnsi="Arial Narrow" w:cs="Calibri"/>
                <w:color w:val="000000"/>
                <w:lang w:val="es-ES" w:eastAsia="es-ES"/>
              </w:rPr>
              <w:t xml:space="preserve"> no incluido)</w:t>
            </w:r>
          </w:p>
        </w:tc>
      </w:tr>
      <w:tr w:rsidR="00F97631" w:rsidRPr="001509AD" w14:paraId="5BA634DB" w14:textId="77777777" w:rsidTr="00E428A6">
        <w:trPr>
          <w:trHeight w:val="227"/>
        </w:trPr>
        <w:tc>
          <w:tcPr>
            <w:tcW w:w="9077" w:type="dxa"/>
            <w:gridSpan w:val="2"/>
            <w:shd w:val="clear" w:color="auto" w:fill="auto"/>
            <w:noWrap/>
            <w:vAlign w:val="center"/>
            <w:hideMark/>
          </w:tcPr>
          <w:p w14:paraId="41364FF5" w14:textId="77777777" w:rsidR="00F97631" w:rsidRPr="001509AD" w:rsidRDefault="00F97631" w:rsidP="00716D48">
            <w:pPr>
              <w:pStyle w:val="cuatexto"/>
              <w:jc w:val="center"/>
              <w:rPr>
                <w:lang w:val="es-ES" w:eastAsia="es-ES"/>
              </w:rPr>
            </w:pPr>
            <w:r w:rsidRPr="001509AD">
              <w:rPr>
                <w:lang w:val="es-ES" w:eastAsia="es-ES"/>
              </w:rPr>
              <w:t>85.537,08</w:t>
            </w:r>
          </w:p>
        </w:tc>
      </w:tr>
    </w:tbl>
    <w:p w14:paraId="1246A102" w14:textId="77777777" w:rsidR="00F97631" w:rsidRPr="009C67D5" w:rsidRDefault="00F97631" w:rsidP="00F97631">
      <w:pPr>
        <w:pStyle w:val="texto"/>
        <w:rPr>
          <w:rFonts w:eastAsia="Calibri"/>
          <w:sz w:val="16"/>
          <w:szCs w:val="16"/>
          <w:lang w:eastAsia="es-ES"/>
        </w:rPr>
      </w:pPr>
    </w:p>
    <w:p w14:paraId="3A9B8F56" w14:textId="77777777" w:rsidR="00F97631" w:rsidRPr="00EE328D" w:rsidRDefault="00F97631" w:rsidP="00F97631">
      <w:pPr>
        <w:pStyle w:val="texto"/>
        <w:rPr>
          <w:rFonts w:eastAsia="Calibri"/>
          <w:strike/>
          <w:lang w:eastAsia="es-ES"/>
        </w:rPr>
      </w:pPr>
      <w:r w:rsidRPr="007F3B3D">
        <w:rPr>
          <w:rFonts w:eastAsia="Calibri"/>
          <w:lang w:eastAsia="es-ES"/>
        </w:rPr>
        <w:t xml:space="preserve">La longitud de la autovía, a efectos del cálculo del CEICS, ha sido objeto de recurso </w:t>
      </w:r>
      <w:r w:rsidR="007F3B3D" w:rsidRPr="007F3B3D">
        <w:rPr>
          <w:rFonts w:eastAsia="Calibri"/>
          <w:lang w:eastAsia="es-ES"/>
        </w:rPr>
        <w:t>en vía judicial. Dicho recurso finalizó media</w:t>
      </w:r>
      <w:r w:rsidR="007F3B3D">
        <w:rPr>
          <w:rFonts w:eastAsia="Calibri"/>
          <w:lang w:eastAsia="es-ES"/>
        </w:rPr>
        <w:t>nte sentencia</w:t>
      </w:r>
      <w:r w:rsidR="00E26448" w:rsidRPr="007F3B3D">
        <w:rPr>
          <w:rFonts w:eastAsia="Calibri"/>
          <w:lang w:eastAsia="es-ES"/>
        </w:rPr>
        <w:t xml:space="preserve"> </w:t>
      </w:r>
      <w:r w:rsidR="007F3B3D">
        <w:rPr>
          <w:rFonts w:eastAsia="Calibri"/>
          <w:lang w:eastAsia="es-ES"/>
        </w:rPr>
        <w:t>d</w:t>
      </w:r>
      <w:r w:rsidR="00E26448" w:rsidRPr="007F3B3D">
        <w:rPr>
          <w:rFonts w:eastAsia="Calibri"/>
          <w:lang w:eastAsia="es-ES"/>
        </w:rPr>
        <w:t xml:space="preserve">el Tribunal Supremo </w:t>
      </w:r>
      <w:r w:rsidR="007F3B3D">
        <w:rPr>
          <w:rFonts w:eastAsia="Calibri"/>
          <w:lang w:eastAsia="es-ES"/>
        </w:rPr>
        <w:t>de</w:t>
      </w:r>
      <w:r w:rsidR="00E26448" w:rsidRPr="007F3B3D">
        <w:rPr>
          <w:rFonts w:eastAsia="Calibri"/>
          <w:lang w:eastAsia="es-ES"/>
        </w:rPr>
        <w:t xml:space="preserve"> fecha 1 de marzo de 2017</w:t>
      </w:r>
      <w:r w:rsidR="007F3B3D">
        <w:rPr>
          <w:rFonts w:eastAsia="Calibri"/>
          <w:lang w:eastAsia="es-ES"/>
        </w:rPr>
        <w:t>, que avaló la tesis de</w:t>
      </w:r>
      <w:r w:rsidRPr="007F3B3D">
        <w:rPr>
          <w:rFonts w:eastAsia="Calibri"/>
          <w:lang w:eastAsia="es-ES"/>
        </w:rPr>
        <w:t xml:space="preserve"> la concesionaria</w:t>
      </w:r>
      <w:r w:rsidR="007F3B3D">
        <w:rPr>
          <w:rFonts w:eastAsia="Calibri"/>
          <w:lang w:eastAsia="es-ES"/>
        </w:rPr>
        <w:t>, quedando establecido que</w:t>
      </w:r>
      <w:r w:rsidRPr="00F10B66">
        <w:rPr>
          <w:rFonts w:eastAsia="Calibri"/>
          <w:lang w:eastAsia="es-ES"/>
        </w:rPr>
        <w:t xml:space="preserve"> los kilómetros afectos al cálculo de CEICS son los estipulados en el contrato de concesión, esto es, 46,097 kilómetros y no los 45,421 kilómetros construidos.</w:t>
      </w:r>
      <w:r>
        <w:rPr>
          <w:rFonts w:eastAsia="Calibri"/>
          <w:lang w:eastAsia="es-ES"/>
        </w:rPr>
        <w:t xml:space="preserve"> La ACFN </w:t>
      </w:r>
      <w:r w:rsidRPr="00E26448">
        <w:rPr>
          <w:rFonts w:eastAsia="Calibri"/>
          <w:lang w:eastAsia="es-ES"/>
        </w:rPr>
        <w:t xml:space="preserve">abonó </w:t>
      </w:r>
      <w:r>
        <w:rPr>
          <w:rFonts w:eastAsia="Calibri"/>
          <w:lang w:eastAsia="es-ES"/>
        </w:rPr>
        <w:t>a la concesionaria</w:t>
      </w:r>
      <w:r w:rsidRPr="00CC6E71">
        <w:rPr>
          <w:rFonts w:eastAsia="Calibri"/>
          <w:lang w:eastAsia="es-ES"/>
        </w:rPr>
        <w:t xml:space="preserve"> en 2017</w:t>
      </w:r>
      <w:r w:rsidR="00D84F41">
        <w:rPr>
          <w:rFonts w:eastAsia="Calibri"/>
          <w:lang w:eastAsia="es-ES"/>
        </w:rPr>
        <w:t>,</w:t>
      </w:r>
      <w:r w:rsidRPr="00CC6E71">
        <w:rPr>
          <w:rFonts w:eastAsia="Calibri"/>
          <w:lang w:eastAsia="es-ES"/>
        </w:rPr>
        <w:t xml:space="preserve"> </w:t>
      </w:r>
      <w:r w:rsidR="00D84F41">
        <w:rPr>
          <w:rFonts w:eastAsia="Calibri"/>
          <w:lang w:eastAsia="es-ES"/>
        </w:rPr>
        <w:t>400.000 euros</w:t>
      </w:r>
      <w:r w:rsidRPr="00CC6E71">
        <w:rPr>
          <w:rFonts w:eastAsia="Calibri"/>
          <w:lang w:eastAsia="es-ES"/>
        </w:rPr>
        <w:t xml:space="preserve"> por</w:t>
      </w:r>
      <w:r w:rsidRPr="00F10B66">
        <w:rPr>
          <w:rFonts w:eastAsia="Calibri"/>
          <w:lang w:eastAsia="es-ES"/>
        </w:rPr>
        <w:t xml:space="preserve"> la diferencia de longitud desde el inicio del devengo.</w:t>
      </w:r>
    </w:p>
    <w:p w14:paraId="7CD6A643" w14:textId="77777777" w:rsidR="00F97631" w:rsidRDefault="00F97631" w:rsidP="00F97631">
      <w:pPr>
        <w:pStyle w:val="texto"/>
        <w:rPr>
          <w:rFonts w:eastAsia="Calibri"/>
          <w:lang w:eastAsia="es-ES"/>
        </w:rPr>
      </w:pPr>
      <w:r w:rsidRPr="00F97119">
        <w:rPr>
          <w:rFonts w:eastAsia="Calibri"/>
          <w:lang w:eastAsia="es-ES"/>
        </w:rPr>
        <w:t>Los pagos realizad</w:t>
      </w:r>
      <w:r w:rsidR="00922E74">
        <w:rPr>
          <w:rFonts w:eastAsia="Calibri"/>
          <w:lang w:eastAsia="es-ES"/>
        </w:rPr>
        <w:t>os en concepto de canon por la A</w:t>
      </w:r>
      <w:r w:rsidRPr="00F97119">
        <w:rPr>
          <w:rFonts w:eastAsia="Calibri"/>
          <w:lang w:eastAsia="es-ES"/>
        </w:rPr>
        <w:t xml:space="preserve">utovía del </w:t>
      </w:r>
      <w:r>
        <w:rPr>
          <w:rFonts w:eastAsia="Calibri"/>
          <w:lang w:eastAsia="es-ES"/>
        </w:rPr>
        <w:t>Pirineo</w:t>
      </w:r>
      <w:r w:rsidRPr="00F97119">
        <w:rPr>
          <w:rFonts w:eastAsia="Calibri"/>
          <w:lang w:eastAsia="es-ES"/>
        </w:rPr>
        <w:t xml:space="preserve"> </w:t>
      </w:r>
      <w:r>
        <w:rPr>
          <w:rFonts w:eastAsia="Calibri"/>
          <w:lang w:eastAsia="es-ES"/>
        </w:rPr>
        <w:t>desde el inicio de la explotación</w:t>
      </w:r>
      <w:r w:rsidRPr="00F97119">
        <w:rPr>
          <w:rFonts w:eastAsia="Calibri"/>
          <w:lang w:eastAsia="es-ES"/>
        </w:rPr>
        <w:t xml:space="preserve"> </w:t>
      </w:r>
      <w:r w:rsidRPr="003D233C">
        <w:rPr>
          <w:rFonts w:eastAsia="Calibri"/>
          <w:lang w:eastAsia="es-ES"/>
        </w:rPr>
        <w:t xml:space="preserve">en 2012 hasta 2021 </w:t>
      </w:r>
      <w:r w:rsidRPr="00F97119">
        <w:rPr>
          <w:rFonts w:eastAsia="Calibri"/>
          <w:lang w:eastAsia="es-ES"/>
        </w:rPr>
        <w:t xml:space="preserve">ascienden a </w:t>
      </w:r>
      <w:r>
        <w:rPr>
          <w:rFonts w:eastAsia="Calibri"/>
          <w:lang w:eastAsia="es-ES"/>
        </w:rPr>
        <w:t xml:space="preserve">160 </w:t>
      </w:r>
      <w:r w:rsidRPr="00F97119">
        <w:rPr>
          <w:rFonts w:eastAsia="Calibri"/>
          <w:lang w:eastAsia="es-ES"/>
        </w:rPr>
        <w:t>millones.</w:t>
      </w:r>
      <w:r>
        <w:rPr>
          <w:rFonts w:eastAsia="Calibri"/>
          <w:lang w:eastAsia="es-ES"/>
        </w:rPr>
        <w:t xml:space="preserve"> </w:t>
      </w:r>
    </w:p>
    <w:p w14:paraId="51B5583E" w14:textId="77777777" w:rsidR="00F97631" w:rsidRDefault="00F97631" w:rsidP="00F97631">
      <w:pPr>
        <w:pStyle w:val="texto"/>
        <w:spacing w:after="240"/>
        <w:rPr>
          <w:rFonts w:eastAsia="Calibri"/>
          <w:lang w:eastAsia="es-ES"/>
        </w:rPr>
      </w:pPr>
      <w:r>
        <w:rPr>
          <w:rFonts w:eastAsia="Calibri"/>
          <w:szCs w:val="26"/>
          <w:lang w:eastAsia="es-ES"/>
        </w:rPr>
        <w:t>La evolución</w:t>
      </w:r>
      <w:r w:rsidRPr="006D0FCD">
        <w:rPr>
          <w:rFonts w:eastAsia="Calibri"/>
          <w:szCs w:val="26"/>
          <w:lang w:eastAsia="es-ES"/>
        </w:rPr>
        <w:t xml:space="preserve"> </w:t>
      </w:r>
      <w:r>
        <w:rPr>
          <w:rFonts w:eastAsia="Calibri"/>
          <w:szCs w:val="26"/>
          <w:lang w:eastAsia="es-ES"/>
        </w:rPr>
        <w:t xml:space="preserve">de la estructura accionarial, en porcentaje sobre la cifra de capital social, </w:t>
      </w:r>
      <w:r>
        <w:rPr>
          <w:rFonts w:eastAsia="Calibri"/>
          <w:lang w:eastAsia="es-ES"/>
        </w:rPr>
        <w:t xml:space="preserve">de la </w:t>
      </w:r>
      <w:r w:rsidRPr="007A3392">
        <w:rPr>
          <w:rFonts w:eastAsia="Calibri"/>
          <w:lang w:eastAsia="es-ES"/>
        </w:rPr>
        <w:t>A</w:t>
      </w:r>
      <w:r>
        <w:rPr>
          <w:rFonts w:eastAsia="Calibri"/>
          <w:lang w:eastAsia="es-ES"/>
        </w:rPr>
        <w:t xml:space="preserve">utovía del Pirineo S.A.U. </w:t>
      </w:r>
      <w:r w:rsidRPr="00CF4BC6">
        <w:rPr>
          <w:rFonts w:eastAsia="Calibri"/>
          <w:lang w:eastAsia="es-ES"/>
        </w:rPr>
        <w:t xml:space="preserve">en el periodo 2014-2021 </w:t>
      </w:r>
      <w:r>
        <w:rPr>
          <w:rFonts w:eastAsia="Calibri"/>
          <w:lang w:eastAsia="es-ES"/>
        </w:rPr>
        <w:t xml:space="preserve">es la siguiente: </w:t>
      </w:r>
    </w:p>
    <w:tbl>
      <w:tblPr>
        <w:tblW w:w="9073"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2552"/>
        <w:gridCol w:w="565"/>
        <w:gridCol w:w="940"/>
        <w:gridCol w:w="940"/>
        <w:gridCol w:w="940"/>
        <w:gridCol w:w="940"/>
        <w:gridCol w:w="940"/>
        <w:gridCol w:w="565"/>
        <w:gridCol w:w="691"/>
      </w:tblGrid>
      <w:tr w:rsidR="00F97631" w:rsidRPr="00714963" w14:paraId="3D21F85C" w14:textId="77777777" w:rsidTr="00E428A6">
        <w:trPr>
          <w:trHeight w:val="255"/>
        </w:trPr>
        <w:tc>
          <w:tcPr>
            <w:tcW w:w="2552" w:type="dxa"/>
            <w:vMerge w:val="restart"/>
            <w:tcBorders>
              <w:top w:val="single" w:sz="4" w:space="0" w:color="auto"/>
              <w:bottom w:val="single" w:sz="2" w:space="0" w:color="auto"/>
            </w:tcBorders>
            <w:shd w:val="clear" w:color="auto" w:fill="B8CCE4" w:themeFill="accent1" w:themeFillTint="66"/>
            <w:noWrap/>
            <w:vAlign w:val="center"/>
            <w:hideMark/>
          </w:tcPr>
          <w:p w14:paraId="35071EC3" w14:textId="77777777" w:rsidR="00F97631" w:rsidRPr="00714963" w:rsidRDefault="00F97631" w:rsidP="00E428A6">
            <w:pPr>
              <w:pStyle w:val="cuadroCabe"/>
              <w:spacing w:line="240" w:lineRule="auto"/>
              <w:rPr>
                <w:lang w:val="es-ES" w:eastAsia="es-ES"/>
              </w:rPr>
            </w:pPr>
            <w:r w:rsidRPr="00714963">
              <w:rPr>
                <w:lang w:val="es-ES" w:eastAsia="es-ES"/>
              </w:rPr>
              <w:t>Estructura accionarial</w:t>
            </w:r>
          </w:p>
        </w:tc>
        <w:tc>
          <w:tcPr>
            <w:tcW w:w="565" w:type="dxa"/>
            <w:tcBorders>
              <w:top w:val="single" w:sz="4" w:space="0" w:color="auto"/>
              <w:bottom w:val="single" w:sz="2" w:space="0" w:color="auto"/>
            </w:tcBorders>
            <w:shd w:val="clear" w:color="auto" w:fill="B8CCE4" w:themeFill="accent1" w:themeFillTint="66"/>
            <w:noWrap/>
            <w:vAlign w:val="center"/>
            <w:hideMark/>
          </w:tcPr>
          <w:p w14:paraId="6D33E951" w14:textId="77777777" w:rsidR="00F97631" w:rsidRPr="00714963" w:rsidRDefault="00F97631" w:rsidP="00E428A6">
            <w:pPr>
              <w:pStyle w:val="cuadroCabe"/>
              <w:spacing w:line="240" w:lineRule="auto"/>
              <w:jc w:val="right"/>
              <w:rPr>
                <w:lang w:val="es-ES" w:eastAsia="es-ES"/>
              </w:rPr>
            </w:pPr>
            <w:r w:rsidRPr="00714963">
              <w:rPr>
                <w:lang w:val="es-ES" w:eastAsia="es-ES"/>
              </w:rPr>
              <w:t>2014</w:t>
            </w:r>
          </w:p>
        </w:tc>
        <w:tc>
          <w:tcPr>
            <w:tcW w:w="940" w:type="dxa"/>
            <w:tcBorders>
              <w:top w:val="single" w:sz="4" w:space="0" w:color="auto"/>
              <w:bottom w:val="single" w:sz="2" w:space="0" w:color="auto"/>
            </w:tcBorders>
            <w:shd w:val="clear" w:color="auto" w:fill="B8CCE4" w:themeFill="accent1" w:themeFillTint="66"/>
            <w:noWrap/>
            <w:vAlign w:val="center"/>
            <w:hideMark/>
          </w:tcPr>
          <w:p w14:paraId="7B8AB764" w14:textId="77777777" w:rsidR="00F97631" w:rsidRPr="00714963" w:rsidRDefault="00F97631" w:rsidP="00E428A6">
            <w:pPr>
              <w:pStyle w:val="cuadroCabe"/>
              <w:spacing w:line="240" w:lineRule="auto"/>
              <w:jc w:val="right"/>
              <w:rPr>
                <w:lang w:val="es-ES" w:eastAsia="es-ES"/>
              </w:rPr>
            </w:pPr>
            <w:r w:rsidRPr="00714963">
              <w:rPr>
                <w:lang w:val="es-ES" w:eastAsia="es-ES"/>
              </w:rPr>
              <w:t>2015</w:t>
            </w:r>
          </w:p>
        </w:tc>
        <w:tc>
          <w:tcPr>
            <w:tcW w:w="940" w:type="dxa"/>
            <w:tcBorders>
              <w:top w:val="single" w:sz="4" w:space="0" w:color="auto"/>
              <w:bottom w:val="single" w:sz="2" w:space="0" w:color="auto"/>
            </w:tcBorders>
            <w:shd w:val="clear" w:color="auto" w:fill="B8CCE4" w:themeFill="accent1" w:themeFillTint="66"/>
            <w:noWrap/>
            <w:vAlign w:val="center"/>
            <w:hideMark/>
          </w:tcPr>
          <w:p w14:paraId="13AA77FC" w14:textId="77777777" w:rsidR="00F97631" w:rsidRPr="00714963" w:rsidRDefault="00F97631" w:rsidP="00E428A6">
            <w:pPr>
              <w:pStyle w:val="cuadroCabe"/>
              <w:spacing w:line="240" w:lineRule="auto"/>
              <w:jc w:val="right"/>
              <w:rPr>
                <w:lang w:val="es-ES" w:eastAsia="es-ES"/>
              </w:rPr>
            </w:pPr>
            <w:r w:rsidRPr="00714963">
              <w:rPr>
                <w:lang w:val="es-ES" w:eastAsia="es-ES"/>
              </w:rPr>
              <w:t>2016</w:t>
            </w:r>
          </w:p>
        </w:tc>
        <w:tc>
          <w:tcPr>
            <w:tcW w:w="940" w:type="dxa"/>
            <w:tcBorders>
              <w:top w:val="single" w:sz="4" w:space="0" w:color="auto"/>
              <w:bottom w:val="single" w:sz="2" w:space="0" w:color="auto"/>
            </w:tcBorders>
            <w:shd w:val="clear" w:color="auto" w:fill="B8CCE4" w:themeFill="accent1" w:themeFillTint="66"/>
            <w:noWrap/>
            <w:vAlign w:val="center"/>
            <w:hideMark/>
          </w:tcPr>
          <w:p w14:paraId="0DC9AD61" w14:textId="77777777" w:rsidR="00F97631" w:rsidRPr="00714963" w:rsidRDefault="00F97631" w:rsidP="00E428A6">
            <w:pPr>
              <w:pStyle w:val="cuadroCabe"/>
              <w:spacing w:line="240" w:lineRule="auto"/>
              <w:jc w:val="right"/>
              <w:rPr>
                <w:lang w:val="es-ES" w:eastAsia="es-ES"/>
              </w:rPr>
            </w:pPr>
            <w:r w:rsidRPr="00714963">
              <w:rPr>
                <w:lang w:val="es-ES" w:eastAsia="es-ES"/>
              </w:rPr>
              <w:t>2017</w:t>
            </w:r>
          </w:p>
        </w:tc>
        <w:tc>
          <w:tcPr>
            <w:tcW w:w="940" w:type="dxa"/>
            <w:tcBorders>
              <w:top w:val="single" w:sz="4" w:space="0" w:color="auto"/>
              <w:bottom w:val="single" w:sz="2" w:space="0" w:color="auto"/>
            </w:tcBorders>
            <w:shd w:val="clear" w:color="auto" w:fill="B8CCE4" w:themeFill="accent1" w:themeFillTint="66"/>
            <w:noWrap/>
            <w:vAlign w:val="center"/>
            <w:hideMark/>
          </w:tcPr>
          <w:p w14:paraId="0D0D29E0" w14:textId="77777777" w:rsidR="00F97631" w:rsidRPr="00714963" w:rsidRDefault="00F97631" w:rsidP="00E428A6">
            <w:pPr>
              <w:pStyle w:val="cuadroCabe"/>
              <w:spacing w:line="240" w:lineRule="auto"/>
              <w:jc w:val="right"/>
              <w:rPr>
                <w:lang w:val="es-ES" w:eastAsia="es-ES"/>
              </w:rPr>
            </w:pPr>
            <w:r w:rsidRPr="00714963">
              <w:rPr>
                <w:lang w:val="es-ES" w:eastAsia="es-ES"/>
              </w:rPr>
              <w:t>2018</w:t>
            </w:r>
          </w:p>
        </w:tc>
        <w:tc>
          <w:tcPr>
            <w:tcW w:w="940" w:type="dxa"/>
            <w:tcBorders>
              <w:top w:val="single" w:sz="4" w:space="0" w:color="auto"/>
              <w:bottom w:val="single" w:sz="2" w:space="0" w:color="auto"/>
            </w:tcBorders>
            <w:shd w:val="clear" w:color="auto" w:fill="B8CCE4" w:themeFill="accent1" w:themeFillTint="66"/>
            <w:noWrap/>
            <w:vAlign w:val="center"/>
            <w:hideMark/>
          </w:tcPr>
          <w:p w14:paraId="4D0C1C5D" w14:textId="77777777" w:rsidR="00F97631" w:rsidRPr="00714963" w:rsidRDefault="00F97631" w:rsidP="00E428A6">
            <w:pPr>
              <w:pStyle w:val="cuadroCabe"/>
              <w:spacing w:line="240" w:lineRule="auto"/>
              <w:jc w:val="right"/>
              <w:rPr>
                <w:lang w:val="es-ES" w:eastAsia="es-ES"/>
              </w:rPr>
            </w:pPr>
            <w:r w:rsidRPr="00714963">
              <w:rPr>
                <w:lang w:val="es-ES" w:eastAsia="es-ES"/>
              </w:rPr>
              <w:t>2019</w:t>
            </w:r>
          </w:p>
        </w:tc>
        <w:tc>
          <w:tcPr>
            <w:tcW w:w="565" w:type="dxa"/>
            <w:tcBorders>
              <w:top w:val="single" w:sz="4" w:space="0" w:color="auto"/>
              <w:bottom w:val="single" w:sz="2" w:space="0" w:color="auto"/>
            </w:tcBorders>
            <w:shd w:val="clear" w:color="auto" w:fill="B8CCE4" w:themeFill="accent1" w:themeFillTint="66"/>
            <w:noWrap/>
            <w:vAlign w:val="center"/>
            <w:hideMark/>
          </w:tcPr>
          <w:p w14:paraId="64A8F925" w14:textId="77777777" w:rsidR="00F97631" w:rsidRPr="00714963" w:rsidRDefault="00F97631" w:rsidP="00E428A6">
            <w:pPr>
              <w:pStyle w:val="cuadroCabe"/>
              <w:spacing w:line="240" w:lineRule="auto"/>
              <w:jc w:val="right"/>
              <w:rPr>
                <w:lang w:val="es-ES" w:eastAsia="es-ES"/>
              </w:rPr>
            </w:pPr>
            <w:r w:rsidRPr="00714963">
              <w:rPr>
                <w:lang w:val="es-ES" w:eastAsia="es-ES"/>
              </w:rPr>
              <w:t>2020</w:t>
            </w:r>
          </w:p>
        </w:tc>
        <w:tc>
          <w:tcPr>
            <w:tcW w:w="691" w:type="dxa"/>
            <w:tcBorders>
              <w:top w:val="single" w:sz="4" w:space="0" w:color="auto"/>
              <w:bottom w:val="single" w:sz="2" w:space="0" w:color="auto"/>
            </w:tcBorders>
            <w:shd w:val="clear" w:color="auto" w:fill="B8CCE4" w:themeFill="accent1" w:themeFillTint="66"/>
            <w:vAlign w:val="center"/>
          </w:tcPr>
          <w:p w14:paraId="416AE6B8" w14:textId="77777777" w:rsidR="00F97631" w:rsidRPr="00714963" w:rsidRDefault="00F97631" w:rsidP="00E428A6">
            <w:pPr>
              <w:pStyle w:val="cuadroCabe"/>
              <w:spacing w:line="240" w:lineRule="auto"/>
              <w:jc w:val="right"/>
              <w:rPr>
                <w:lang w:val="es-ES" w:eastAsia="es-ES"/>
              </w:rPr>
            </w:pPr>
            <w:r>
              <w:rPr>
                <w:lang w:val="es-ES" w:eastAsia="es-ES"/>
              </w:rPr>
              <w:t>2021</w:t>
            </w:r>
          </w:p>
        </w:tc>
      </w:tr>
      <w:tr w:rsidR="00F97631" w:rsidRPr="00103871" w14:paraId="6C2499FE" w14:textId="77777777" w:rsidTr="00E428A6">
        <w:trPr>
          <w:trHeight w:val="255"/>
        </w:trPr>
        <w:tc>
          <w:tcPr>
            <w:tcW w:w="2552" w:type="dxa"/>
            <w:vMerge/>
            <w:tcBorders>
              <w:top w:val="single" w:sz="2" w:space="0" w:color="auto"/>
              <w:bottom w:val="single" w:sz="4" w:space="0" w:color="auto"/>
            </w:tcBorders>
            <w:shd w:val="clear" w:color="auto" w:fill="B8CCE4" w:themeFill="accent1" w:themeFillTint="66"/>
            <w:vAlign w:val="center"/>
            <w:hideMark/>
          </w:tcPr>
          <w:p w14:paraId="5B41C141" w14:textId="77777777" w:rsidR="00F97631" w:rsidRPr="00714963" w:rsidRDefault="00F97631" w:rsidP="00E428A6">
            <w:pPr>
              <w:spacing w:after="0"/>
              <w:ind w:firstLine="0"/>
              <w:jc w:val="left"/>
              <w:rPr>
                <w:rFonts w:ascii="Arial" w:hAnsi="Arial" w:cs="Arial"/>
                <w:b/>
                <w:bCs/>
                <w:color w:val="000000"/>
                <w:sz w:val="18"/>
                <w:szCs w:val="18"/>
                <w:lang w:val="es-ES" w:eastAsia="es-ES"/>
              </w:rPr>
            </w:pPr>
          </w:p>
        </w:tc>
        <w:tc>
          <w:tcPr>
            <w:tcW w:w="565" w:type="dxa"/>
            <w:tcBorders>
              <w:top w:val="single" w:sz="2" w:space="0" w:color="auto"/>
              <w:bottom w:val="single" w:sz="4" w:space="0" w:color="auto"/>
            </w:tcBorders>
            <w:shd w:val="clear" w:color="auto" w:fill="B8CCE4" w:themeFill="accent1" w:themeFillTint="66"/>
            <w:noWrap/>
            <w:vAlign w:val="center"/>
            <w:hideMark/>
          </w:tcPr>
          <w:p w14:paraId="049FC0AB" w14:textId="77777777" w:rsidR="00F97631" w:rsidRPr="00714963" w:rsidRDefault="00F97631" w:rsidP="00E428A6">
            <w:pPr>
              <w:pStyle w:val="cuadroCabe"/>
              <w:spacing w:line="240" w:lineRule="auto"/>
              <w:jc w:val="right"/>
              <w:rPr>
                <w:lang w:val="es-ES" w:eastAsia="es-ES"/>
              </w:rPr>
            </w:pPr>
            <w:r w:rsidRPr="00714963">
              <w:rPr>
                <w:lang w:val="es-ES" w:eastAsia="es-ES"/>
              </w:rPr>
              <w:t>%</w:t>
            </w:r>
          </w:p>
        </w:tc>
        <w:tc>
          <w:tcPr>
            <w:tcW w:w="940" w:type="dxa"/>
            <w:tcBorders>
              <w:top w:val="single" w:sz="2" w:space="0" w:color="auto"/>
              <w:bottom w:val="single" w:sz="4" w:space="0" w:color="auto"/>
            </w:tcBorders>
            <w:shd w:val="clear" w:color="auto" w:fill="B8CCE4" w:themeFill="accent1" w:themeFillTint="66"/>
            <w:noWrap/>
            <w:vAlign w:val="center"/>
            <w:hideMark/>
          </w:tcPr>
          <w:p w14:paraId="7FAF22BB" w14:textId="77777777" w:rsidR="00F97631" w:rsidRPr="00714963" w:rsidRDefault="00F97631" w:rsidP="00E428A6">
            <w:pPr>
              <w:pStyle w:val="cuadroCabe"/>
              <w:spacing w:line="240" w:lineRule="auto"/>
              <w:jc w:val="right"/>
              <w:rPr>
                <w:lang w:val="es-ES" w:eastAsia="es-ES"/>
              </w:rPr>
            </w:pPr>
            <w:r w:rsidRPr="00714963">
              <w:rPr>
                <w:lang w:val="es-ES" w:eastAsia="es-ES"/>
              </w:rPr>
              <w:t>%</w:t>
            </w:r>
          </w:p>
        </w:tc>
        <w:tc>
          <w:tcPr>
            <w:tcW w:w="940" w:type="dxa"/>
            <w:tcBorders>
              <w:top w:val="single" w:sz="2" w:space="0" w:color="auto"/>
              <w:bottom w:val="single" w:sz="4" w:space="0" w:color="auto"/>
            </w:tcBorders>
            <w:shd w:val="clear" w:color="auto" w:fill="B8CCE4" w:themeFill="accent1" w:themeFillTint="66"/>
            <w:noWrap/>
            <w:vAlign w:val="center"/>
            <w:hideMark/>
          </w:tcPr>
          <w:p w14:paraId="7CD44C20" w14:textId="77777777" w:rsidR="00F97631" w:rsidRPr="00714963" w:rsidRDefault="00F97631" w:rsidP="00E428A6">
            <w:pPr>
              <w:pStyle w:val="cuadroCabe"/>
              <w:spacing w:line="240" w:lineRule="auto"/>
              <w:jc w:val="right"/>
              <w:rPr>
                <w:lang w:val="es-ES" w:eastAsia="es-ES"/>
              </w:rPr>
            </w:pPr>
            <w:r w:rsidRPr="00714963">
              <w:rPr>
                <w:lang w:val="es-ES" w:eastAsia="es-ES"/>
              </w:rPr>
              <w:t>%</w:t>
            </w:r>
          </w:p>
        </w:tc>
        <w:tc>
          <w:tcPr>
            <w:tcW w:w="940" w:type="dxa"/>
            <w:tcBorders>
              <w:top w:val="single" w:sz="2" w:space="0" w:color="auto"/>
              <w:bottom w:val="single" w:sz="4" w:space="0" w:color="auto"/>
            </w:tcBorders>
            <w:shd w:val="clear" w:color="auto" w:fill="B8CCE4" w:themeFill="accent1" w:themeFillTint="66"/>
            <w:noWrap/>
            <w:vAlign w:val="center"/>
            <w:hideMark/>
          </w:tcPr>
          <w:p w14:paraId="777972EA" w14:textId="77777777" w:rsidR="00F97631" w:rsidRPr="00714963" w:rsidRDefault="00F97631" w:rsidP="00E428A6">
            <w:pPr>
              <w:pStyle w:val="cuadroCabe"/>
              <w:spacing w:line="240" w:lineRule="auto"/>
              <w:jc w:val="right"/>
              <w:rPr>
                <w:lang w:val="es-ES" w:eastAsia="es-ES"/>
              </w:rPr>
            </w:pPr>
            <w:r w:rsidRPr="00714963">
              <w:rPr>
                <w:lang w:val="es-ES" w:eastAsia="es-ES"/>
              </w:rPr>
              <w:t>%</w:t>
            </w:r>
          </w:p>
        </w:tc>
        <w:tc>
          <w:tcPr>
            <w:tcW w:w="940" w:type="dxa"/>
            <w:tcBorders>
              <w:top w:val="single" w:sz="2" w:space="0" w:color="auto"/>
              <w:bottom w:val="single" w:sz="4" w:space="0" w:color="auto"/>
            </w:tcBorders>
            <w:shd w:val="clear" w:color="auto" w:fill="B8CCE4" w:themeFill="accent1" w:themeFillTint="66"/>
            <w:noWrap/>
            <w:vAlign w:val="center"/>
            <w:hideMark/>
          </w:tcPr>
          <w:p w14:paraId="093A6EA0" w14:textId="77777777" w:rsidR="00F97631" w:rsidRPr="00714963" w:rsidRDefault="00F97631" w:rsidP="00E428A6">
            <w:pPr>
              <w:pStyle w:val="cuadroCabe"/>
              <w:spacing w:line="240" w:lineRule="auto"/>
              <w:jc w:val="right"/>
              <w:rPr>
                <w:lang w:val="es-ES" w:eastAsia="es-ES"/>
              </w:rPr>
            </w:pPr>
            <w:r w:rsidRPr="00714963">
              <w:rPr>
                <w:lang w:val="es-ES" w:eastAsia="es-ES"/>
              </w:rPr>
              <w:t>%</w:t>
            </w:r>
          </w:p>
        </w:tc>
        <w:tc>
          <w:tcPr>
            <w:tcW w:w="940" w:type="dxa"/>
            <w:tcBorders>
              <w:top w:val="single" w:sz="2" w:space="0" w:color="auto"/>
              <w:bottom w:val="single" w:sz="4" w:space="0" w:color="auto"/>
            </w:tcBorders>
            <w:shd w:val="clear" w:color="auto" w:fill="B8CCE4" w:themeFill="accent1" w:themeFillTint="66"/>
            <w:noWrap/>
            <w:vAlign w:val="center"/>
            <w:hideMark/>
          </w:tcPr>
          <w:p w14:paraId="21B2AE18" w14:textId="77777777" w:rsidR="00F97631" w:rsidRPr="00714963" w:rsidRDefault="00F97631" w:rsidP="00E428A6">
            <w:pPr>
              <w:pStyle w:val="cuadroCabe"/>
              <w:spacing w:line="240" w:lineRule="auto"/>
              <w:jc w:val="right"/>
              <w:rPr>
                <w:lang w:val="es-ES" w:eastAsia="es-ES"/>
              </w:rPr>
            </w:pPr>
            <w:r w:rsidRPr="00714963">
              <w:rPr>
                <w:lang w:val="es-ES" w:eastAsia="es-ES"/>
              </w:rPr>
              <w:t>%</w:t>
            </w:r>
          </w:p>
        </w:tc>
        <w:tc>
          <w:tcPr>
            <w:tcW w:w="565" w:type="dxa"/>
            <w:tcBorders>
              <w:top w:val="single" w:sz="2" w:space="0" w:color="auto"/>
              <w:bottom w:val="single" w:sz="4" w:space="0" w:color="auto"/>
            </w:tcBorders>
            <w:shd w:val="clear" w:color="auto" w:fill="B8CCE4" w:themeFill="accent1" w:themeFillTint="66"/>
            <w:noWrap/>
            <w:vAlign w:val="center"/>
            <w:hideMark/>
          </w:tcPr>
          <w:p w14:paraId="5ECD8A83" w14:textId="77777777" w:rsidR="00F97631" w:rsidRPr="00714963" w:rsidRDefault="00F97631" w:rsidP="00E428A6">
            <w:pPr>
              <w:pStyle w:val="cuadroCabe"/>
              <w:spacing w:line="240" w:lineRule="auto"/>
              <w:jc w:val="right"/>
              <w:rPr>
                <w:lang w:val="es-ES" w:eastAsia="es-ES"/>
              </w:rPr>
            </w:pPr>
            <w:r w:rsidRPr="00714963">
              <w:rPr>
                <w:lang w:val="es-ES" w:eastAsia="es-ES"/>
              </w:rPr>
              <w:t>%</w:t>
            </w:r>
          </w:p>
        </w:tc>
        <w:tc>
          <w:tcPr>
            <w:tcW w:w="691" w:type="dxa"/>
            <w:tcBorders>
              <w:top w:val="single" w:sz="2" w:space="0" w:color="auto"/>
              <w:bottom w:val="single" w:sz="4" w:space="0" w:color="auto"/>
            </w:tcBorders>
            <w:shd w:val="clear" w:color="auto" w:fill="B8CCE4" w:themeFill="accent1" w:themeFillTint="66"/>
            <w:vAlign w:val="center"/>
          </w:tcPr>
          <w:p w14:paraId="0E479B7C" w14:textId="77777777" w:rsidR="00F97631" w:rsidRPr="00714963" w:rsidRDefault="00F97631" w:rsidP="00E428A6">
            <w:pPr>
              <w:pStyle w:val="cuadroCabe"/>
              <w:spacing w:line="240" w:lineRule="auto"/>
              <w:jc w:val="right"/>
              <w:rPr>
                <w:lang w:val="es-ES" w:eastAsia="es-ES"/>
              </w:rPr>
            </w:pPr>
            <w:r>
              <w:rPr>
                <w:lang w:val="es-ES" w:eastAsia="es-ES"/>
              </w:rPr>
              <w:t>%</w:t>
            </w:r>
          </w:p>
        </w:tc>
      </w:tr>
      <w:tr w:rsidR="00F97631" w:rsidRPr="001D7CF4" w14:paraId="5B0501CC" w14:textId="77777777" w:rsidTr="00E428A6">
        <w:trPr>
          <w:trHeight w:val="255"/>
        </w:trPr>
        <w:tc>
          <w:tcPr>
            <w:tcW w:w="2552" w:type="dxa"/>
            <w:tcBorders>
              <w:top w:val="single" w:sz="4" w:space="0" w:color="auto"/>
              <w:bottom w:val="single" w:sz="2" w:space="0" w:color="auto"/>
            </w:tcBorders>
            <w:shd w:val="clear" w:color="auto" w:fill="auto"/>
            <w:vAlign w:val="center"/>
            <w:hideMark/>
          </w:tcPr>
          <w:p w14:paraId="53349D15" w14:textId="77777777" w:rsidR="00F97631" w:rsidRPr="001D7CF4" w:rsidRDefault="00F97631" w:rsidP="00E428A6">
            <w:pPr>
              <w:spacing w:after="0"/>
              <w:ind w:firstLine="0"/>
              <w:jc w:val="left"/>
              <w:rPr>
                <w:rFonts w:ascii="Arial Narrow" w:hAnsi="Arial Narrow"/>
                <w:color w:val="000000"/>
                <w:sz w:val="18"/>
                <w:szCs w:val="18"/>
                <w:lang w:val="es-ES" w:eastAsia="es-ES"/>
              </w:rPr>
            </w:pPr>
            <w:proofErr w:type="spellStart"/>
            <w:r w:rsidRPr="001D7CF4">
              <w:rPr>
                <w:rFonts w:ascii="Arial Narrow" w:hAnsi="Arial Narrow"/>
                <w:color w:val="000000"/>
                <w:sz w:val="18"/>
                <w:szCs w:val="18"/>
                <w:lang w:val="es-ES" w:eastAsia="es-ES"/>
              </w:rPr>
              <w:t>Iridium</w:t>
            </w:r>
            <w:proofErr w:type="spellEnd"/>
            <w:r w:rsidRPr="001D7CF4">
              <w:rPr>
                <w:rFonts w:ascii="Arial Narrow" w:hAnsi="Arial Narrow"/>
                <w:color w:val="000000"/>
                <w:sz w:val="18"/>
                <w:szCs w:val="18"/>
                <w:lang w:val="es-ES" w:eastAsia="es-ES"/>
              </w:rPr>
              <w:t xml:space="preserve"> </w:t>
            </w:r>
            <w:proofErr w:type="spellStart"/>
            <w:r w:rsidRPr="001D7CF4">
              <w:rPr>
                <w:rFonts w:ascii="Arial Narrow" w:hAnsi="Arial Narrow"/>
                <w:color w:val="000000"/>
                <w:sz w:val="18"/>
                <w:szCs w:val="18"/>
                <w:lang w:val="es-ES" w:eastAsia="es-ES"/>
              </w:rPr>
              <w:t>Concec</w:t>
            </w:r>
            <w:proofErr w:type="spellEnd"/>
            <w:r w:rsidRPr="001D7CF4">
              <w:rPr>
                <w:rFonts w:ascii="Arial Narrow" w:hAnsi="Arial Narrow"/>
                <w:color w:val="000000"/>
                <w:sz w:val="18"/>
                <w:szCs w:val="18"/>
                <w:lang w:val="es-ES" w:eastAsia="es-ES"/>
              </w:rPr>
              <w:t xml:space="preserve"> de </w:t>
            </w:r>
            <w:proofErr w:type="spellStart"/>
            <w:r w:rsidRPr="001D7CF4">
              <w:rPr>
                <w:rFonts w:ascii="Arial Narrow" w:hAnsi="Arial Narrow"/>
                <w:color w:val="000000"/>
                <w:sz w:val="18"/>
                <w:szCs w:val="18"/>
                <w:lang w:val="es-ES" w:eastAsia="es-ES"/>
              </w:rPr>
              <w:t>Infr</w:t>
            </w:r>
            <w:proofErr w:type="spellEnd"/>
            <w:r w:rsidRPr="001D7CF4">
              <w:rPr>
                <w:rFonts w:ascii="Arial Narrow" w:hAnsi="Arial Narrow"/>
                <w:color w:val="000000"/>
                <w:sz w:val="18"/>
                <w:szCs w:val="18"/>
                <w:lang w:val="es-ES" w:eastAsia="es-ES"/>
              </w:rPr>
              <w:t>, S.A.</w:t>
            </w:r>
          </w:p>
        </w:tc>
        <w:tc>
          <w:tcPr>
            <w:tcW w:w="565" w:type="dxa"/>
            <w:tcBorders>
              <w:top w:val="single" w:sz="4" w:space="0" w:color="auto"/>
              <w:bottom w:val="single" w:sz="2" w:space="0" w:color="auto"/>
            </w:tcBorders>
            <w:shd w:val="clear" w:color="auto" w:fill="auto"/>
            <w:noWrap/>
            <w:vAlign w:val="center"/>
            <w:hideMark/>
          </w:tcPr>
          <w:p w14:paraId="247B198E"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72</w:t>
            </w:r>
          </w:p>
        </w:tc>
        <w:tc>
          <w:tcPr>
            <w:tcW w:w="940" w:type="dxa"/>
            <w:tcBorders>
              <w:top w:val="single" w:sz="4" w:space="0" w:color="auto"/>
              <w:bottom w:val="single" w:sz="2" w:space="0" w:color="auto"/>
            </w:tcBorders>
            <w:shd w:val="clear" w:color="auto" w:fill="auto"/>
            <w:noWrap/>
            <w:vAlign w:val="center"/>
            <w:hideMark/>
          </w:tcPr>
          <w:p w14:paraId="219017C8"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99,999997</w:t>
            </w:r>
          </w:p>
        </w:tc>
        <w:tc>
          <w:tcPr>
            <w:tcW w:w="940" w:type="dxa"/>
            <w:tcBorders>
              <w:top w:val="single" w:sz="4" w:space="0" w:color="auto"/>
              <w:bottom w:val="single" w:sz="2" w:space="0" w:color="auto"/>
            </w:tcBorders>
            <w:shd w:val="clear" w:color="auto" w:fill="auto"/>
            <w:noWrap/>
            <w:vAlign w:val="center"/>
            <w:hideMark/>
          </w:tcPr>
          <w:p w14:paraId="2FED1A2A"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99,999997</w:t>
            </w:r>
          </w:p>
        </w:tc>
        <w:tc>
          <w:tcPr>
            <w:tcW w:w="940" w:type="dxa"/>
            <w:tcBorders>
              <w:top w:val="single" w:sz="4" w:space="0" w:color="auto"/>
              <w:bottom w:val="single" w:sz="2" w:space="0" w:color="auto"/>
            </w:tcBorders>
            <w:shd w:val="clear" w:color="auto" w:fill="auto"/>
            <w:noWrap/>
            <w:vAlign w:val="center"/>
            <w:hideMark/>
          </w:tcPr>
          <w:p w14:paraId="3611942D"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99,999992</w:t>
            </w:r>
          </w:p>
        </w:tc>
        <w:tc>
          <w:tcPr>
            <w:tcW w:w="940" w:type="dxa"/>
            <w:tcBorders>
              <w:top w:val="single" w:sz="4" w:space="0" w:color="auto"/>
              <w:bottom w:val="single" w:sz="2" w:space="0" w:color="auto"/>
            </w:tcBorders>
            <w:shd w:val="clear" w:color="auto" w:fill="auto"/>
            <w:noWrap/>
            <w:vAlign w:val="center"/>
            <w:hideMark/>
          </w:tcPr>
          <w:p w14:paraId="5B6E50CC"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99,999992</w:t>
            </w:r>
          </w:p>
        </w:tc>
        <w:tc>
          <w:tcPr>
            <w:tcW w:w="940" w:type="dxa"/>
            <w:tcBorders>
              <w:top w:val="single" w:sz="4" w:space="0" w:color="auto"/>
              <w:bottom w:val="single" w:sz="2" w:space="0" w:color="auto"/>
            </w:tcBorders>
            <w:shd w:val="clear" w:color="auto" w:fill="auto"/>
            <w:noWrap/>
            <w:vAlign w:val="center"/>
            <w:hideMark/>
          </w:tcPr>
          <w:p w14:paraId="321E82C5"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99,999992</w:t>
            </w:r>
          </w:p>
        </w:tc>
        <w:tc>
          <w:tcPr>
            <w:tcW w:w="565" w:type="dxa"/>
            <w:tcBorders>
              <w:top w:val="single" w:sz="4" w:space="0" w:color="auto"/>
              <w:bottom w:val="single" w:sz="2" w:space="0" w:color="auto"/>
            </w:tcBorders>
            <w:shd w:val="clear" w:color="auto" w:fill="auto"/>
            <w:noWrap/>
            <w:vAlign w:val="center"/>
            <w:hideMark/>
          </w:tcPr>
          <w:p w14:paraId="578B7F2E"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691" w:type="dxa"/>
            <w:tcBorders>
              <w:top w:val="single" w:sz="4" w:space="0" w:color="auto"/>
              <w:bottom w:val="single" w:sz="2" w:space="0" w:color="auto"/>
            </w:tcBorders>
            <w:vAlign w:val="center"/>
          </w:tcPr>
          <w:p w14:paraId="1D9AE9B8" w14:textId="77777777" w:rsidR="00F97631" w:rsidRPr="001D7CF4" w:rsidRDefault="00F97631" w:rsidP="00E428A6">
            <w:pPr>
              <w:spacing w:after="0"/>
              <w:ind w:firstLine="0"/>
              <w:jc w:val="right"/>
              <w:rPr>
                <w:rFonts w:ascii="Arial Narrow" w:hAnsi="Arial Narrow"/>
                <w:color w:val="000000"/>
                <w:sz w:val="18"/>
                <w:szCs w:val="18"/>
                <w:lang w:val="es-ES" w:eastAsia="es-ES"/>
              </w:rPr>
            </w:pPr>
          </w:p>
        </w:tc>
      </w:tr>
      <w:tr w:rsidR="00F97631" w:rsidRPr="001D7CF4" w14:paraId="3124A20D" w14:textId="77777777" w:rsidTr="00E428A6">
        <w:trPr>
          <w:trHeight w:val="255"/>
        </w:trPr>
        <w:tc>
          <w:tcPr>
            <w:tcW w:w="2552" w:type="dxa"/>
            <w:tcBorders>
              <w:top w:val="single" w:sz="2" w:space="0" w:color="auto"/>
              <w:bottom w:val="single" w:sz="2" w:space="0" w:color="auto"/>
            </w:tcBorders>
            <w:shd w:val="clear" w:color="auto" w:fill="auto"/>
            <w:vAlign w:val="center"/>
            <w:hideMark/>
          </w:tcPr>
          <w:p w14:paraId="6A22D3A9" w14:textId="77777777" w:rsidR="00F97631" w:rsidRPr="001D7CF4" w:rsidRDefault="00F97631" w:rsidP="00E428A6">
            <w:pPr>
              <w:spacing w:after="0"/>
              <w:ind w:firstLine="0"/>
              <w:jc w:val="left"/>
              <w:rPr>
                <w:rFonts w:ascii="Arial Narrow" w:hAnsi="Arial Narrow"/>
                <w:color w:val="000000"/>
                <w:sz w:val="18"/>
                <w:szCs w:val="18"/>
                <w:lang w:val="es-ES" w:eastAsia="es-ES"/>
              </w:rPr>
            </w:pPr>
            <w:proofErr w:type="spellStart"/>
            <w:r w:rsidRPr="001D7CF4">
              <w:rPr>
                <w:rFonts w:ascii="Arial Narrow" w:hAnsi="Arial Narrow"/>
                <w:color w:val="000000"/>
                <w:sz w:val="18"/>
                <w:szCs w:val="18"/>
                <w:lang w:val="es-ES" w:eastAsia="es-ES"/>
              </w:rPr>
              <w:t>Cons</w:t>
            </w:r>
            <w:proofErr w:type="spellEnd"/>
            <w:r w:rsidRPr="001D7CF4">
              <w:rPr>
                <w:rFonts w:ascii="Arial Narrow" w:hAnsi="Arial Narrow"/>
                <w:color w:val="000000"/>
                <w:sz w:val="18"/>
                <w:szCs w:val="18"/>
                <w:lang w:val="es-ES" w:eastAsia="es-ES"/>
              </w:rPr>
              <w:t>. Mariezcurrena, S.L.</w:t>
            </w:r>
          </w:p>
        </w:tc>
        <w:tc>
          <w:tcPr>
            <w:tcW w:w="565" w:type="dxa"/>
            <w:tcBorders>
              <w:top w:val="single" w:sz="2" w:space="0" w:color="auto"/>
              <w:bottom w:val="single" w:sz="2" w:space="0" w:color="auto"/>
            </w:tcBorders>
            <w:shd w:val="clear" w:color="auto" w:fill="auto"/>
            <w:noWrap/>
            <w:vAlign w:val="center"/>
            <w:hideMark/>
          </w:tcPr>
          <w:p w14:paraId="551EF174"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20</w:t>
            </w:r>
          </w:p>
        </w:tc>
        <w:tc>
          <w:tcPr>
            <w:tcW w:w="940" w:type="dxa"/>
            <w:tcBorders>
              <w:top w:val="single" w:sz="2" w:space="0" w:color="auto"/>
              <w:bottom w:val="single" w:sz="2" w:space="0" w:color="auto"/>
            </w:tcBorders>
            <w:shd w:val="clear" w:color="auto" w:fill="auto"/>
            <w:noWrap/>
            <w:vAlign w:val="center"/>
            <w:hideMark/>
          </w:tcPr>
          <w:p w14:paraId="1F21E109"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940" w:type="dxa"/>
            <w:tcBorders>
              <w:top w:val="single" w:sz="2" w:space="0" w:color="auto"/>
              <w:bottom w:val="single" w:sz="2" w:space="0" w:color="auto"/>
            </w:tcBorders>
            <w:shd w:val="clear" w:color="auto" w:fill="auto"/>
            <w:noWrap/>
            <w:vAlign w:val="center"/>
            <w:hideMark/>
          </w:tcPr>
          <w:p w14:paraId="71C2CD57"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940" w:type="dxa"/>
            <w:tcBorders>
              <w:top w:val="single" w:sz="2" w:space="0" w:color="auto"/>
              <w:bottom w:val="single" w:sz="2" w:space="0" w:color="auto"/>
            </w:tcBorders>
            <w:shd w:val="clear" w:color="auto" w:fill="auto"/>
            <w:noWrap/>
            <w:vAlign w:val="center"/>
            <w:hideMark/>
          </w:tcPr>
          <w:p w14:paraId="594C6FDA"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940" w:type="dxa"/>
            <w:tcBorders>
              <w:top w:val="single" w:sz="2" w:space="0" w:color="auto"/>
              <w:bottom w:val="single" w:sz="2" w:space="0" w:color="auto"/>
            </w:tcBorders>
            <w:shd w:val="clear" w:color="auto" w:fill="auto"/>
            <w:noWrap/>
            <w:vAlign w:val="center"/>
            <w:hideMark/>
          </w:tcPr>
          <w:p w14:paraId="646BD1BD"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940" w:type="dxa"/>
            <w:tcBorders>
              <w:top w:val="single" w:sz="2" w:space="0" w:color="auto"/>
              <w:bottom w:val="single" w:sz="2" w:space="0" w:color="auto"/>
            </w:tcBorders>
            <w:shd w:val="clear" w:color="auto" w:fill="auto"/>
            <w:noWrap/>
            <w:vAlign w:val="center"/>
            <w:hideMark/>
          </w:tcPr>
          <w:p w14:paraId="175A2DCF"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565" w:type="dxa"/>
            <w:tcBorders>
              <w:top w:val="single" w:sz="2" w:space="0" w:color="auto"/>
              <w:bottom w:val="single" w:sz="2" w:space="0" w:color="auto"/>
            </w:tcBorders>
            <w:shd w:val="clear" w:color="auto" w:fill="auto"/>
            <w:noWrap/>
            <w:vAlign w:val="center"/>
            <w:hideMark/>
          </w:tcPr>
          <w:p w14:paraId="799C121F"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691" w:type="dxa"/>
            <w:tcBorders>
              <w:top w:val="single" w:sz="2" w:space="0" w:color="auto"/>
              <w:bottom w:val="single" w:sz="2" w:space="0" w:color="auto"/>
            </w:tcBorders>
            <w:vAlign w:val="center"/>
          </w:tcPr>
          <w:p w14:paraId="73702ABE" w14:textId="77777777" w:rsidR="00F97631" w:rsidRPr="001D7CF4" w:rsidRDefault="00F97631" w:rsidP="00E428A6">
            <w:pPr>
              <w:spacing w:after="0"/>
              <w:ind w:firstLine="0"/>
              <w:jc w:val="right"/>
              <w:rPr>
                <w:rFonts w:ascii="Arial Narrow" w:hAnsi="Arial Narrow"/>
                <w:color w:val="000000"/>
                <w:sz w:val="18"/>
                <w:szCs w:val="18"/>
                <w:lang w:val="es-ES" w:eastAsia="es-ES"/>
              </w:rPr>
            </w:pPr>
          </w:p>
        </w:tc>
      </w:tr>
      <w:tr w:rsidR="00F97631" w:rsidRPr="001D7CF4" w14:paraId="33531E0A" w14:textId="77777777" w:rsidTr="00E428A6">
        <w:trPr>
          <w:trHeight w:val="255"/>
        </w:trPr>
        <w:tc>
          <w:tcPr>
            <w:tcW w:w="2552" w:type="dxa"/>
            <w:tcBorders>
              <w:top w:val="single" w:sz="2" w:space="0" w:color="auto"/>
              <w:bottom w:val="single" w:sz="2" w:space="0" w:color="auto"/>
            </w:tcBorders>
            <w:shd w:val="clear" w:color="auto" w:fill="auto"/>
            <w:vAlign w:val="center"/>
            <w:hideMark/>
          </w:tcPr>
          <w:p w14:paraId="65699D45" w14:textId="77777777" w:rsidR="00F97631" w:rsidRPr="001D7CF4" w:rsidRDefault="00F97631" w:rsidP="00E428A6">
            <w:pPr>
              <w:spacing w:after="0"/>
              <w:ind w:firstLine="0"/>
              <w:jc w:val="left"/>
              <w:rPr>
                <w:rFonts w:ascii="Arial Narrow" w:hAnsi="Arial Narrow"/>
                <w:color w:val="000000"/>
                <w:sz w:val="18"/>
                <w:szCs w:val="18"/>
                <w:lang w:val="es-ES" w:eastAsia="es-ES"/>
              </w:rPr>
            </w:pPr>
            <w:proofErr w:type="spellStart"/>
            <w:r w:rsidRPr="001D7CF4">
              <w:rPr>
                <w:rFonts w:ascii="Arial Narrow" w:hAnsi="Arial Narrow"/>
                <w:color w:val="000000"/>
                <w:sz w:val="18"/>
                <w:szCs w:val="18"/>
                <w:lang w:val="es-ES" w:eastAsia="es-ES"/>
              </w:rPr>
              <w:t>Cons.Luciano</w:t>
            </w:r>
            <w:proofErr w:type="spellEnd"/>
            <w:r w:rsidRPr="001D7CF4">
              <w:rPr>
                <w:rFonts w:ascii="Arial Narrow" w:hAnsi="Arial Narrow"/>
                <w:color w:val="000000"/>
                <w:sz w:val="18"/>
                <w:szCs w:val="18"/>
                <w:lang w:val="es-ES" w:eastAsia="es-ES"/>
              </w:rPr>
              <w:t xml:space="preserve"> Elcarte, S.L.</w:t>
            </w:r>
          </w:p>
        </w:tc>
        <w:tc>
          <w:tcPr>
            <w:tcW w:w="565" w:type="dxa"/>
            <w:tcBorders>
              <w:top w:val="single" w:sz="2" w:space="0" w:color="auto"/>
              <w:bottom w:val="single" w:sz="2" w:space="0" w:color="auto"/>
            </w:tcBorders>
            <w:shd w:val="clear" w:color="auto" w:fill="auto"/>
            <w:noWrap/>
            <w:vAlign w:val="center"/>
            <w:hideMark/>
          </w:tcPr>
          <w:p w14:paraId="1FC34406"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8</w:t>
            </w:r>
          </w:p>
        </w:tc>
        <w:tc>
          <w:tcPr>
            <w:tcW w:w="940" w:type="dxa"/>
            <w:tcBorders>
              <w:top w:val="single" w:sz="2" w:space="0" w:color="auto"/>
              <w:bottom w:val="single" w:sz="2" w:space="0" w:color="auto"/>
            </w:tcBorders>
            <w:shd w:val="clear" w:color="auto" w:fill="auto"/>
            <w:noWrap/>
            <w:vAlign w:val="center"/>
            <w:hideMark/>
          </w:tcPr>
          <w:p w14:paraId="2115597F"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940" w:type="dxa"/>
            <w:tcBorders>
              <w:top w:val="single" w:sz="2" w:space="0" w:color="auto"/>
              <w:bottom w:val="single" w:sz="2" w:space="0" w:color="auto"/>
            </w:tcBorders>
            <w:shd w:val="clear" w:color="auto" w:fill="auto"/>
            <w:noWrap/>
            <w:vAlign w:val="center"/>
            <w:hideMark/>
          </w:tcPr>
          <w:p w14:paraId="4B172345"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940" w:type="dxa"/>
            <w:tcBorders>
              <w:top w:val="single" w:sz="2" w:space="0" w:color="auto"/>
              <w:bottom w:val="single" w:sz="2" w:space="0" w:color="auto"/>
            </w:tcBorders>
            <w:shd w:val="clear" w:color="auto" w:fill="auto"/>
            <w:noWrap/>
            <w:vAlign w:val="center"/>
            <w:hideMark/>
          </w:tcPr>
          <w:p w14:paraId="51B0E881"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940" w:type="dxa"/>
            <w:tcBorders>
              <w:top w:val="single" w:sz="2" w:space="0" w:color="auto"/>
              <w:bottom w:val="single" w:sz="2" w:space="0" w:color="auto"/>
            </w:tcBorders>
            <w:shd w:val="clear" w:color="auto" w:fill="auto"/>
            <w:noWrap/>
            <w:vAlign w:val="center"/>
            <w:hideMark/>
          </w:tcPr>
          <w:p w14:paraId="0AD47FEC"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940" w:type="dxa"/>
            <w:tcBorders>
              <w:top w:val="single" w:sz="2" w:space="0" w:color="auto"/>
              <w:bottom w:val="single" w:sz="2" w:space="0" w:color="auto"/>
            </w:tcBorders>
            <w:shd w:val="clear" w:color="auto" w:fill="auto"/>
            <w:noWrap/>
            <w:vAlign w:val="center"/>
            <w:hideMark/>
          </w:tcPr>
          <w:p w14:paraId="153C3929"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565" w:type="dxa"/>
            <w:tcBorders>
              <w:top w:val="single" w:sz="2" w:space="0" w:color="auto"/>
              <w:bottom w:val="single" w:sz="2" w:space="0" w:color="auto"/>
            </w:tcBorders>
            <w:shd w:val="clear" w:color="auto" w:fill="auto"/>
            <w:noWrap/>
            <w:vAlign w:val="center"/>
            <w:hideMark/>
          </w:tcPr>
          <w:p w14:paraId="426984C1"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691" w:type="dxa"/>
            <w:tcBorders>
              <w:top w:val="single" w:sz="2" w:space="0" w:color="auto"/>
              <w:bottom w:val="single" w:sz="2" w:space="0" w:color="auto"/>
            </w:tcBorders>
            <w:vAlign w:val="center"/>
          </w:tcPr>
          <w:p w14:paraId="6516B60E" w14:textId="77777777" w:rsidR="00F97631" w:rsidRPr="001D7CF4" w:rsidRDefault="00F97631" w:rsidP="00E428A6">
            <w:pPr>
              <w:spacing w:after="0"/>
              <w:ind w:firstLine="0"/>
              <w:jc w:val="right"/>
              <w:rPr>
                <w:rFonts w:ascii="Arial Narrow" w:hAnsi="Arial Narrow"/>
                <w:color w:val="000000"/>
                <w:sz w:val="18"/>
                <w:szCs w:val="18"/>
                <w:lang w:val="es-ES" w:eastAsia="es-ES"/>
              </w:rPr>
            </w:pPr>
          </w:p>
        </w:tc>
      </w:tr>
      <w:tr w:rsidR="00F97631" w:rsidRPr="001D7CF4" w14:paraId="74E154E0" w14:textId="77777777" w:rsidTr="00E428A6">
        <w:trPr>
          <w:trHeight w:val="255"/>
        </w:trPr>
        <w:tc>
          <w:tcPr>
            <w:tcW w:w="2552" w:type="dxa"/>
            <w:tcBorders>
              <w:top w:val="single" w:sz="2" w:space="0" w:color="auto"/>
              <w:bottom w:val="single" w:sz="2" w:space="0" w:color="auto"/>
            </w:tcBorders>
            <w:shd w:val="clear" w:color="auto" w:fill="auto"/>
            <w:vAlign w:val="center"/>
            <w:hideMark/>
          </w:tcPr>
          <w:p w14:paraId="16B42F24" w14:textId="77777777" w:rsidR="00F97631" w:rsidRPr="001D7CF4" w:rsidRDefault="00F97631" w:rsidP="00E428A6">
            <w:pPr>
              <w:spacing w:after="0"/>
              <w:ind w:firstLine="0"/>
              <w:jc w:val="left"/>
              <w:rPr>
                <w:rFonts w:ascii="Arial Narrow" w:hAnsi="Arial Narrow"/>
                <w:color w:val="000000"/>
                <w:sz w:val="18"/>
                <w:szCs w:val="18"/>
                <w:lang w:val="es-ES" w:eastAsia="es-ES"/>
              </w:rPr>
            </w:pPr>
            <w:r w:rsidRPr="007A3392">
              <w:rPr>
                <w:rFonts w:ascii="Arial Narrow" w:hAnsi="Arial Narrow"/>
                <w:sz w:val="18"/>
                <w:szCs w:val="18"/>
                <w:lang w:val="es-ES" w:eastAsia="es-ES"/>
              </w:rPr>
              <w:t xml:space="preserve">Desarrollo de Concesiones Viarias Uno, S.L. </w:t>
            </w:r>
          </w:p>
        </w:tc>
        <w:tc>
          <w:tcPr>
            <w:tcW w:w="565" w:type="dxa"/>
            <w:tcBorders>
              <w:top w:val="single" w:sz="2" w:space="0" w:color="auto"/>
              <w:bottom w:val="single" w:sz="2" w:space="0" w:color="auto"/>
            </w:tcBorders>
            <w:shd w:val="clear" w:color="auto" w:fill="auto"/>
            <w:noWrap/>
            <w:vAlign w:val="center"/>
            <w:hideMark/>
          </w:tcPr>
          <w:p w14:paraId="198132D3"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940" w:type="dxa"/>
            <w:tcBorders>
              <w:top w:val="single" w:sz="2" w:space="0" w:color="auto"/>
              <w:bottom w:val="single" w:sz="2" w:space="0" w:color="auto"/>
            </w:tcBorders>
            <w:shd w:val="clear" w:color="auto" w:fill="auto"/>
            <w:noWrap/>
            <w:vAlign w:val="center"/>
            <w:hideMark/>
          </w:tcPr>
          <w:p w14:paraId="0C878BB7"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0,000003</w:t>
            </w:r>
          </w:p>
        </w:tc>
        <w:tc>
          <w:tcPr>
            <w:tcW w:w="940" w:type="dxa"/>
            <w:tcBorders>
              <w:top w:val="single" w:sz="2" w:space="0" w:color="auto"/>
              <w:bottom w:val="single" w:sz="2" w:space="0" w:color="auto"/>
            </w:tcBorders>
            <w:shd w:val="clear" w:color="auto" w:fill="auto"/>
            <w:noWrap/>
            <w:vAlign w:val="center"/>
            <w:hideMark/>
          </w:tcPr>
          <w:p w14:paraId="4707B4C3"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0,000003</w:t>
            </w:r>
          </w:p>
        </w:tc>
        <w:tc>
          <w:tcPr>
            <w:tcW w:w="940" w:type="dxa"/>
            <w:tcBorders>
              <w:top w:val="single" w:sz="2" w:space="0" w:color="auto"/>
              <w:bottom w:val="single" w:sz="2" w:space="0" w:color="auto"/>
            </w:tcBorders>
            <w:shd w:val="clear" w:color="auto" w:fill="auto"/>
            <w:noWrap/>
            <w:vAlign w:val="center"/>
            <w:hideMark/>
          </w:tcPr>
          <w:p w14:paraId="0DAE690C"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0,000008</w:t>
            </w:r>
          </w:p>
        </w:tc>
        <w:tc>
          <w:tcPr>
            <w:tcW w:w="940" w:type="dxa"/>
            <w:tcBorders>
              <w:top w:val="single" w:sz="2" w:space="0" w:color="auto"/>
              <w:bottom w:val="single" w:sz="2" w:space="0" w:color="auto"/>
            </w:tcBorders>
            <w:shd w:val="clear" w:color="auto" w:fill="auto"/>
            <w:noWrap/>
            <w:vAlign w:val="center"/>
            <w:hideMark/>
          </w:tcPr>
          <w:p w14:paraId="77009A6B"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0,000008</w:t>
            </w:r>
          </w:p>
        </w:tc>
        <w:tc>
          <w:tcPr>
            <w:tcW w:w="940" w:type="dxa"/>
            <w:tcBorders>
              <w:top w:val="single" w:sz="2" w:space="0" w:color="auto"/>
              <w:bottom w:val="single" w:sz="2" w:space="0" w:color="auto"/>
            </w:tcBorders>
            <w:shd w:val="clear" w:color="auto" w:fill="auto"/>
            <w:noWrap/>
            <w:vAlign w:val="center"/>
            <w:hideMark/>
          </w:tcPr>
          <w:p w14:paraId="6D30E963"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0,000008</w:t>
            </w:r>
          </w:p>
        </w:tc>
        <w:tc>
          <w:tcPr>
            <w:tcW w:w="565" w:type="dxa"/>
            <w:tcBorders>
              <w:top w:val="single" w:sz="2" w:space="0" w:color="auto"/>
              <w:bottom w:val="single" w:sz="2" w:space="0" w:color="auto"/>
            </w:tcBorders>
            <w:shd w:val="clear" w:color="auto" w:fill="auto"/>
            <w:noWrap/>
            <w:vAlign w:val="center"/>
            <w:hideMark/>
          </w:tcPr>
          <w:p w14:paraId="0876782C" w14:textId="77777777" w:rsidR="00F97631" w:rsidRPr="001D7CF4" w:rsidRDefault="00F97631" w:rsidP="00E428A6">
            <w:pPr>
              <w:spacing w:after="0"/>
              <w:ind w:firstLine="0"/>
              <w:jc w:val="right"/>
              <w:rPr>
                <w:rFonts w:ascii="Arial Narrow" w:hAnsi="Arial Narrow"/>
                <w:color w:val="000000"/>
                <w:sz w:val="18"/>
                <w:szCs w:val="18"/>
                <w:lang w:val="es-ES" w:eastAsia="es-ES"/>
              </w:rPr>
            </w:pPr>
            <w:r w:rsidRPr="001D7CF4">
              <w:rPr>
                <w:rFonts w:ascii="Arial Narrow" w:hAnsi="Arial Narrow"/>
                <w:color w:val="000000"/>
                <w:sz w:val="18"/>
                <w:szCs w:val="18"/>
                <w:lang w:val="es-ES" w:eastAsia="es-ES"/>
              </w:rPr>
              <w:t> </w:t>
            </w:r>
          </w:p>
        </w:tc>
        <w:tc>
          <w:tcPr>
            <w:tcW w:w="691" w:type="dxa"/>
            <w:tcBorders>
              <w:top w:val="single" w:sz="2" w:space="0" w:color="auto"/>
              <w:bottom w:val="single" w:sz="2" w:space="0" w:color="auto"/>
            </w:tcBorders>
            <w:vAlign w:val="center"/>
          </w:tcPr>
          <w:p w14:paraId="43ECF78A" w14:textId="77777777" w:rsidR="00F97631" w:rsidRPr="001D7CF4" w:rsidRDefault="00F97631" w:rsidP="00E428A6">
            <w:pPr>
              <w:spacing w:after="0"/>
              <w:ind w:firstLine="0"/>
              <w:jc w:val="right"/>
              <w:rPr>
                <w:rFonts w:ascii="Arial Narrow" w:hAnsi="Arial Narrow"/>
                <w:color w:val="000000"/>
                <w:sz w:val="18"/>
                <w:szCs w:val="18"/>
                <w:lang w:val="es-ES" w:eastAsia="es-ES"/>
              </w:rPr>
            </w:pPr>
          </w:p>
        </w:tc>
      </w:tr>
      <w:tr w:rsidR="00F97631" w:rsidRPr="001D7CF4" w14:paraId="0CFB432A" w14:textId="77777777" w:rsidTr="00E428A6">
        <w:trPr>
          <w:trHeight w:val="255"/>
        </w:trPr>
        <w:tc>
          <w:tcPr>
            <w:tcW w:w="2552" w:type="dxa"/>
            <w:tcBorders>
              <w:top w:val="single" w:sz="2" w:space="0" w:color="auto"/>
              <w:bottom w:val="single" w:sz="4" w:space="0" w:color="auto"/>
            </w:tcBorders>
            <w:shd w:val="clear" w:color="auto" w:fill="auto"/>
            <w:vAlign w:val="center"/>
            <w:hideMark/>
          </w:tcPr>
          <w:p w14:paraId="03821D39" w14:textId="77777777" w:rsidR="00F97631" w:rsidRPr="001D7CF4" w:rsidRDefault="00F97631" w:rsidP="00E428A6">
            <w:pPr>
              <w:spacing w:after="0"/>
              <w:ind w:firstLine="0"/>
              <w:jc w:val="left"/>
              <w:rPr>
                <w:rFonts w:ascii="Arial Narrow" w:hAnsi="Arial Narrow"/>
                <w:color w:val="000000"/>
                <w:sz w:val="18"/>
                <w:szCs w:val="18"/>
                <w:lang w:val="es-ES" w:eastAsia="es-ES"/>
              </w:rPr>
            </w:pPr>
            <w:proofErr w:type="spellStart"/>
            <w:r w:rsidRPr="001D7CF4">
              <w:rPr>
                <w:rFonts w:ascii="Arial Narrow" w:hAnsi="Arial Narrow"/>
                <w:color w:val="000000"/>
                <w:sz w:val="18"/>
                <w:szCs w:val="18"/>
                <w:lang w:val="es-ES" w:eastAsia="es-ES"/>
              </w:rPr>
              <w:t>Iridium</w:t>
            </w:r>
            <w:proofErr w:type="spellEnd"/>
            <w:r w:rsidRPr="001D7CF4">
              <w:rPr>
                <w:rFonts w:ascii="Arial Narrow" w:hAnsi="Arial Narrow"/>
                <w:color w:val="000000"/>
                <w:sz w:val="18"/>
                <w:szCs w:val="18"/>
                <w:lang w:val="es-ES" w:eastAsia="es-ES"/>
              </w:rPr>
              <w:t xml:space="preserve"> Hermes </w:t>
            </w:r>
            <w:proofErr w:type="spellStart"/>
            <w:r w:rsidRPr="001D7CF4">
              <w:rPr>
                <w:rFonts w:ascii="Arial Narrow" w:hAnsi="Arial Narrow"/>
                <w:color w:val="000000"/>
                <w:sz w:val="18"/>
                <w:szCs w:val="18"/>
                <w:lang w:val="es-ES" w:eastAsia="es-ES"/>
              </w:rPr>
              <w:t>Roads</w:t>
            </w:r>
            <w:proofErr w:type="spellEnd"/>
            <w:r w:rsidRPr="001D7CF4">
              <w:rPr>
                <w:rFonts w:ascii="Arial Narrow" w:hAnsi="Arial Narrow"/>
                <w:color w:val="000000"/>
                <w:sz w:val="18"/>
                <w:szCs w:val="18"/>
                <w:lang w:val="es-ES" w:eastAsia="es-ES"/>
              </w:rPr>
              <w:t>, S.L.</w:t>
            </w:r>
          </w:p>
        </w:tc>
        <w:tc>
          <w:tcPr>
            <w:tcW w:w="565" w:type="dxa"/>
            <w:tcBorders>
              <w:top w:val="single" w:sz="2" w:space="0" w:color="auto"/>
              <w:bottom w:val="single" w:sz="4" w:space="0" w:color="auto"/>
            </w:tcBorders>
            <w:shd w:val="clear" w:color="auto" w:fill="auto"/>
            <w:noWrap/>
            <w:vAlign w:val="center"/>
            <w:hideMark/>
          </w:tcPr>
          <w:p w14:paraId="31A7D353" w14:textId="77777777" w:rsidR="00F97631" w:rsidRPr="001D7CF4" w:rsidRDefault="00F97631" w:rsidP="00E428A6">
            <w:pPr>
              <w:spacing w:after="0"/>
              <w:ind w:firstLine="0"/>
              <w:jc w:val="right"/>
              <w:rPr>
                <w:rFonts w:ascii="Arial Narrow" w:hAnsi="Arial Narrow"/>
                <w:b/>
                <w:bCs/>
                <w:color w:val="000000"/>
                <w:sz w:val="18"/>
                <w:szCs w:val="18"/>
                <w:lang w:val="es-ES" w:eastAsia="es-ES"/>
              </w:rPr>
            </w:pPr>
            <w:r w:rsidRPr="001D7CF4">
              <w:rPr>
                <w:rFonts w:ascii="Arial Narrow" w:hAnsi="Arial Narrow"/>
                <w:b/>
                <w:bCs/>
                <w:color w:val="000000"/>
                <w:sz w:val="18"/>
                <w:szCs w:val="18"/>
                <w:lang w:val="es-ES" w:eastAsia="es-ES"/>
              </w:rPr>
              <w:t> </w:t>
            </w:r>
          </w:p>
        </w:tc>
        <w:tc>
          <w:tcPr>
            <w:tcW w:w="940" w:type="dxa"/>
            <w:tcBorders>
              <w:top w:val="single" w:sz="2" w:space="0" w:color="auto"/>
              <w:bottom w:val="single" w:sz="4" w:space="0" w:color="auto"/>
            </w:tcBorders>
            <w:shd w:val="clear" w:color="auto" w:fill="auto"/>
            <w:noWrap/>
            <w:vAlign w:val="center"/>
            <w:hideMark/>
          </w:tcPr>
          <w:p w14:paraId="0E62D2CC" w14:textId="77777777" w:rsidR="00F97631" w:rsidRPr="001D7CF4" w:rsidRDefault="00F97631" w:rsidP="00E428A6">
            <w:pPr>
              <w:spacing w:after="0"/>
              <w:ind w:firstLine="0"/>
              <w:jc w:val="right"/>
              <w:rPr>
                <w:rFonts w:ascii="Arial Narrow" w:hAnsi="Arial Narrow"/>
                <w:b/>
                <w:bCs/>
                <w:color w:val="000000"/>
                <w:sz w:val="18"/>
                <w:szCs w:val="18"/>
                <w:lang w:val="es-ES" w:eastAsia="es-ES"/>
              </w:rPr>
            </w:pPr>
            <w:r w:rsidRPr="001D7CF4">
              <w:rPr>
                <w:rFonts w:ascii="Arial Narrow" w:hAnsi="Arial Narrow"/>
                <w:b/>
                <w:bCs/>
                <w:color w:val="000000"/>
                <w:sz w:val="18"/>
                <w:szCs w:val="18"/>
                <w:lang w:val="es-ES" w:eastAsia="es-ES"/>
              </w:rPr>
              <w:t> </w:t>
            </w:r>
          </w:p>
        </w:tc>
        <w:tc>
          <w:tcPr>
            <w:tcW w:w="940" w:type="dxa"/>
            <w:tcBorders>
              <w:top w:val="single" w:sz="2" w:space="0" w:color="auto"/>
              <w:bottom w:val="single" w:sz="4" w:space="0" w:color="auto"/>
            </w:tcBorders>
            <w:shd w:val="clear" w:color="auto" w:fill="auto"/>
            <w:noWrap/>
            <w:vAlign w:val="center"/>
            <w:hideMark/>
          </w:tcPr>
          <w:p w14:paraId="003DA611" w14:textId="77777777" w:rsidR="00F97631" w:rsidRPr="001D7CF4" w:rsidRDefault="00F97631" w:rsidP="00E428A6">
            <w:pPr>
              <w:spacing w:after="0"/>
              <w:ind w:firstLine="0"/>
              <w:jc w:val="right"/>
              <w:rPr>
                <w:rFonts w:ascii="Arial Narrow" w:hAnsi="Arial Narrow"/>
                <w:b/>
                <w:bCs/>
                <w:color w:val="000000"/>
                <w:sz w:val="18"/>
                <w:szCs w:val="18"/>
                <w:lang w:val="es-ES" w:eastAsia="es-ES"/>
              </w:rPr>
            </w:pPr>
            <w:r w:rsidRPr="001D7CF4">
              <w:rPr>
                <w:rFonts w:ascii="Arial Narrow" w:hAnsi="Arial Narrow"/>
                <w:b/>
                <w:bCs/>
                <w:color w:val="000000"/>
                <w:sz w:val="18"/>
                <w:szCs w:val="18"/>
                <w:lang w:val="es-ES" w:eastAsia="es-ES"/>
              </w:rPr>
              <w:t> </w:t>
            </w:r>
          </w:p>
        </w:tc>
        <w:tc>
          <w:tcPr>
            <w:tcW w:w="940" w:type="dxa"/>
            <w:tcBorders>
              <w:top w:val="single" w:sz="2" w:space="0" w:color="auto"/>
              <w:bottom w:val="single" w:sz="4" w:space="0" w:color="auto"/>
            </w:tcBorders>
            <w:shd w:val="clear" w:color="auto" w:fill="auto"/>
            <w:noWrap/>
            <w:vAlign w:val="center"/>
            <w:hideMark/>
          </w:tcPr>
          <w:p w14:paraId="5818985D" w14:textId="77777777" w:rsidR="00F97631" w:rsidRPr="001D7CF4" w:rsidRDefault="00F97631" w:rsidP="00E428A6">
            <w:pPr>
              <w:spacing w:after="0"/>
              <w:ind w:firstLine="0"/>
              <w:jc w:val="right"/>
              <w:rPr>
                <w:rFonts w:ascii="Arial Narrow" w:hAnsi="Arial Narrow"/>
                <w:b/>
                <w:bCs/>
                <w:color w:val="000000"/>
                <w:sz w:val="18"/>
                <w:szCs w:val="18"/>
                <w:lang w:val="es-ES" w:eastAsia="es-ES"/>
              </w:rPr>
            </w:pPr>
            <w:r w:rsidRPr="001D7CF4">
              <w:rPr>
                <w:rFonts w:ascii="Arial Narrow" w:hAnsi="Arial Narrow"/>
                <w:b/>
                <w:bCs/>
                <w:color w:val="000000"/>
                <w:sz w:val="18"/>
                <w:szCs w:val="18"/>
                <w:lang w:val="es-ES" w:eastAsia="es-ES"/>
              </w:rPr>
              <w:t> </w:t>
            </w:r>
          </w:p>
        </w:tc>
        <w:tc>
          <w:tcPr>
            <w:tcW w:w="940" w:type="dxa"/>
            <w:tcBorders>
              <w:top w:val="single" w:sz="2" w:space="0" w:color="auto"/>
              <w:bottom w:val="single" w:sz="4" w:space="0" w:color="auto"/>
            </w:tcBorders>
            <w:shd w:val="clear" w:color="auto" w:fill="auto"/>
            <w:noWrap/>
            <w:vAlign w:val="center"/>
            <w:hideMark/>
          </w:tcPr>
          <w:p w14:paraId="429A1ED9" w14:textId="77777777" w:rsidR="00F97631" w:rsidRPr="001D7CF4" w:rsidRDefault="00F97631" w:rsidP="00E428A6">
            <w:pPr>
              <w:spacing w:after="0"/>
              <w:ind w:firstLine="0"/>
              <w:jc w:val="right"/>
              <w:rPr>
                <w:rFonts w:ascii="Arial Narrow" w:hAnsi="Arial Narrow"/>
                <w:b/>
                <w:bCs/>
                <w:color w:val="000000"/>
                <w:sz w:val="18"/>
                <w:szCs w:val="18"/>
                <w:lang w:val="es-ES" w:eastAsia="es-ES"/>
              </w:rPr>
            </w:pPr>
            <w:r w:rsidRPr="001D7CF4">
              <w:rPr>
                <w:rFonts w:ascii="Arial Narrow" w:hAnsi="Arial Narrow"/>
                <w:b/>
                <w:bCs/>
                <w:color w:val="000000"/>
                <w:sz w:val="18"/>
                <w:szCs w:val="18"/>
                <w:lang w:val="es-ES" w:eastAsia="es-ES"/>
              </w:rPr>
              <w:t> </w:t>
            </w:r>
          </w:p>
        </w:tc>
        <w:tc>
          <w:tcPr>
            <w:tcW w:w="940" w:type="dxa"/>
            <w:tcBorders>
              <w:top w:val="single" w:sz="2" w:space="0" w:color="auto"/>
              <w:bottom w:val="single" w:sz="4" w:space="0" w:color="auto"/>
            </w:tcBorders>
            <w:shd w:val="clear" w:color="auto" w:fill="auto"/>
            <w:noWrap/>
            <w:vAlign w:val="center"/>
            <w:hideMark/>
          </w:tcPr>
          <w:p w14:paraId="2D9E44BF" w14:textId="77777777" w:rsidR="00F97631" w:rsidRPr="001D7CF4" w:rsidRDefault="00F97631" w:rsidP="00E428A6">
            <w:pPr>
              <w:spacing w:after="0"/>
              <w:ind w:firstLine="0"/>
              <w:jc w:val="right"/>
              <w:rPr>
                <w:rFonts w:ascii="Arial Narrow" w:hAnsi="Arial Narrow"/>
                <w:b/>
                <w:bCs/>
                <w:color w:val="000000"/>
                <w:sz w:val="18"/>
                <w:szCs w:val="18"/>
                <w:lang w:val="es-ES" w:eastAsia="es-ES"/>
              </w:rPr>
            </w:pPr>
            <w:r w:rsidRPr="001D7CF4">
              <w:rPr>
                <w:rFonts w:ascii="Arial Narrow" w:hAnsi="Arial Narrow"/>
                <w:b/>
                <w:bCs/>
                <w:color w:val="000000"/>
                <w:sz w:val="18"/>
                <w:szCs w:val="18"/>
                <w:lang w:val="es-ES" w:eastAsia="es-ES"/>
              </w:rPr>
              <w:t> </w:t>
            </w:r>
          </w:p>
        </w:tc>
        <w:tc>
          <w:tcPr>
            <w:tcW w:w="565" w:type="dxa"/>
            <w:tcBorders>
              <w:top w:val="single" w:sz="2" w:space="0" w:color="auto"/>
              <w:bottom w:val="single" w:sz="4" w:space="0" w:color="auto"/>
            </w:tcBorders>
            <w:shd w:val="clear" w:color="auto" w:fill="auto"/>
            <w:noWrap/>
            <w:vAlign w:val="center"/>
            <w:hideMark/>
          </w:tcPr>
          <w:p w14:paraId="2BC02C07" w14:textId="77777777" w:rsidR="00F97631" w:rsidRPr="001D7CF4" w:rsidRDefault="00F97631" w:rsidP="00E428A6">
            <w:pPr>
              <w:spacing w:after="0"/>
              <w:ind w:firstLine="0"/>
              <w:jc w:val="right"/>
              <w:rPr>
                <w:rFonts w:ascii="Arial Narrow" w:hAnsi="Arial Narrow"/>
                <w:bCs/>
                <w:color w:val="000000"/>
                <w:sz w:val="18"/>
                <w:szCs w:val="18"/>
                <w:lang w:val="es-ES" w:eastAsia="es-ES"/>
              </w:rPr>
            </w:pPr>
            <w:r w:rsidRPr="001D7CF4">
              <w:rPr>
                <w:rFonts w:ascii="Arial Narrow" w:hAnsi="Arial Narrow"/>
                <w:bCs/>
                <w:color w:val="000000"/>
                <w:sz w:val="18"/>
                <w:szCs w:val="18"/>
                <w:lang w:val="es-ES" w:eastAsia="es-ES"/>
              </w:rPr>
              <w:t>100</w:t>
            </w:r>
          </w:p>
        </w:tc>
        <w:tc>
          <w:tcPr>
            <w:tcW w:w="691" w:type="dxa"/>
            <w:tcBorders>
              <w:top w:val="single" w:sz="2" w:space="0" w:color="auto"/>
              <w:bottom w:val="single" w:sz="4" w:space="0" w:color="auto"/>
            </w:tcBorders>
            <w:vAlign w:val="center"/>
          </w:tcPr>
          <w:p w14:paraId="0665DDD1" w14:textId="77777777" w:rsidR="00F97631" w:rsidRPr="001D7CF4" w:rsidRDefault="00F97631" w:rsidP="00E428A6">
            <w:pPr>
              <w:spacing w:after="0"/>
              <w:ind w:firstLine="0"/>
              <w:jc w:val="right"/>
              <w:rPr>
                <w:rFonts w:ascii="Arial Narrow" w:hAnsi="Arial Narrow"/>
                <w:bCs/>
                <w:color w:val="000000"/>
                <w:sz w:val="18"/>
                <w:szCs w:val="18"/>
                <w:lang w:val="es-ES" w:eastAsia="es-ES"/>
              </w:rPr>
            </w:pPr>
            <w:r w:rsidRPr="001D7CF4">
              <w:rPr>
                <w:rFonts w:ascii="Arial Narrow" w:hAnsi="Arial Narrow"/>
                <w:bCs/>
                <w:color w:val="000000"/>
                <w:sz w:val="18"/>
                <w:szCs w:val="18"/>
                <w:lang w:val="es-ES" w:eastAsia="es-ES"/>
              </w:rPr>
              <w:t>100</w:t>
            </w:r>
          </w:p>
        </w:tc>
      </w:tr>
      <w:tr w:rsidR="00F97631" w:rsidRPr="00795CF7" w14:paraId="365C74C8" w14:textId="77777777" w:rsidTr="00E428A6">
        <w:trPr>
          <w:trHeight w:val="255"/>
        </w:trPr>
        <w:tc>
          <w:tcPr>
            <w:tcW w:w="2552" w:type="dxa"/>
            <w:tcBorders>
              <w:top w:val="single" w:sz="4" w:space="0" w:color="auto"/>
              <w:bottom w:val="single" w:sz="4" w:space="0" w:color="auto"/>
            </w:tcBorders>
            <w:shd w:val="clear" w:color="auto" w:fill="B8CCE4" w:themeFill="accent1" w:themeFillTint="66"/>
            <w:noWrap/>
            <w:vAlign w:val="center"/>
            <w:hideMark/>
          </w:tcPr>
          <w:p w14:paraId="1E4C6A7E" w14:textId="77777777" w:rsidR="00F97631" w:rsidRPr="00795CF7" w:rsidRDefault="00F97631" w:rsidP="00E428A6">
            <w:pPr>
              <w:pStyle w:val="cuadroCabe"/>
              <w:spacing w:line="240" w:lineRule="auto"/>
            </w:pPr>
            <w:r w:rsidRPr="00795CF7">
              <w:t>Total</w:t>
            </w:r>
          </w:p>
        </w:tc>
        <w:tc>
          <w:tcPr>
            <w:tcW w:w="565" w:type="dxa"/>
            <w:tcBorders>
              <w:top w:val="single" w:sz="4" w:space="0" w:color="auto"/>
              <w:bottom w:val="single" w:sz="4" w:space="0" w:color="auto"/>
            </w:tcBorders>
            <w:shd w:val="clear" w:color="auto" w:fill="B8CCE4" w:themeFill="accent1" w:themeFillTint="66"/>
            <w:noWrap/>
            <w:vAlign w:val="center"/>
            <w:hideMark/>
          </w:tcPr>
          <w:p w14:paraId="749E1B24" w14:textId="77777777" w:rsidR="00F97631" w:rsidRPr="00795CF7" w:rsidRDefault="00F97631" w:rsidP="00E428A6">
            <w:pPr>
              <w:pStyle w:val="cuadroCabe"/>
              <w:spacing w:line="240" w:lineRule="auto"/>
              <w:jc w:val="right"/>
            </w:pPr>
            <w:r w:rsidRPr="00795CF7">
              <w:t>100</w:t>
            </w:r>
          </w:p>
        </w:tc>
        <w:tc>
          <w:tcPr>
            <w:tcW w:w="940" w:type="dxa"/>
            <w:tcBorders>
              <w:top w:val="single" w:sz="4" w:space="0" w:color="auto"/>
              <w:bottom w:val="single" w:sz="4" w:space="0" w:color="auto"/>
            </w:tcBorders>
            <w:shd w:val="clear" w:color="auto" w:fill="B8CCE4" w:themeFill="accent1" w:themeFillTint="66"/>
            <w:noWrap/>
            <w:vAlign w:val="center"/>
            <w:hideMark/>
          </w:tcPr>
          <w:p w14:paraId="70843D32" w14:textId="77777777" w:rsidR="00F97631" w:rsidRPr="00795CF7" w:rsidRDefault="00F97631" w:rsidP="00E428A6">
            <w:pPr>
              <w:pStyle w:val="cuadroCabe"/>
              <w:spacing w:line="240" w:lineRule="auto"/>
              <w:jc w:val="right"/>
            </w:pPr>
            <w:r w:rsidRPr="00795CF7">
              <w:t>100</w:t>
            </w:r>
          </w:p>
        </w:tc>
        <w:tc>
          <w:tcPr>
            <w:tcW w:w="940" w:type="dxa"/>
            <w:tcBorders>
              <w:top w:val="single" w:sz="4" w:space="0" w:color="auto"/>
              <w:bottom w:val="single" w:sz="4" w:space="0" w:color="auto"/>
            </w:tcBorders>
            <w:shd w:val="clear" w:color="auto" w:fill="B8CCE4" w:themeFill="accent1" w:themeFillTint="66"/>
            <w:noWrap/>
            <w:vAlign w:val="center"/>
            <w:hideMark/>
          </w:tcPr>
          <w:p w14:paraId="1C2C9097" w14:textId="77777777" w:rsidR="00F97631" w:rsidRPr="00795CF7" w:rsidRDefault="00F97631" w:rsidP="00E428A6">
            <w:pPr>
              <w:pStyle w:val="cuadroCabe"/>
              <w:spacing w:line="240" w:lineRule="auto"/>
              <w:jc w:val="right"/>
            </w:pPr>
            <w:r w:rsidRPr="00795CF7">
              <w:t>100</w:t>
            </w:r>
          </w:p>
        </w:tc>
        <w:tc>
          <w:tcPr>
            <w:tcW w:w="940" w:type="dxa"/>
            <w:tcBorders>
              <w:top w:val="single" w:sz="4" w:space="0" w:color="auto"/>
              <w:bottom w:val="single" w:sz="4" w:space="0" w:color="auto"/>
            </w:tcBorders>
            <w:shd w:val="clear" w:color="auto" w:fill="B8CCE4" w:themeFill="accent1" w:themeFillTint="66"/>
            <w:noWrap/>
            <w:vAlign w:val="center"/>
            <w:hideMark/>
          </w:tcPr>
          <w:p w14:paraId="74B3BA35" w14:textId="77777777" w:rsidR="00F97631" w:rsidRPr="00795CF7" w:rsidRDefault="00F97631" w:rsidP="00E428A6">
            <w:pPr>
              <w:pStyle w:val="cuadroCabe"/>
              <w:spacing w:line="240" w:lineRule="auto"/>
              <w:jc w:val="right"/>
            </w:pPr>
            <w:r w:rsidRPr="00795CF7">
              <w:t>100</w:t>
            </w:r>
          </w:p>
        </w:tc>
        <w:tc>
          <w:tcPr>
            <w:tcW w:w="940" w:type="dxa"/>
            <w:tcBorders>
              <w:top w:val="single" w:sz="4" w:space="0" w:color="auto"/>
              <w:bottom w:val="single" w:sz="4" w:space="0" w:color="auto"/>
            </w:tcBorders>
            <w:shd w:val="clear" w:color="auto" w:fill="B8CCE4" w:themeFill="accent1" w:themeFillTint="66"/>
            <w:noWrap/>
            <w:vAlign w:val="center"/>
            <w:hideMark/>
          </w:tcPr>
          <w:p w14:paraId="2DFB7CCA" w14:textId="77777777" w:rsidR="00F97631" w:rsidRPr="00795CF7" w:rsidRDefault="00F97631" w:rsidP="00E428A6">
            <w:pPr>
              <w:pStyle w:val="cuadroCabe"/>
              <w:spacing w:line="240" w:lineRule="auto"/>
              <w:jc w:val="right"/>
            </w:pPr>
            <w:r w:rsidRPr="00795CF7">
              <w:t>100</w:t>
            </w:r>
          </w:p>
        </w:tc>
        <w:tc>
          <w:tcPr>
            <w:tcW w:w="940" w:type="dxa"/>
            <w:tcBorders>
              <w:top w:val="single" w:sz="4" w:space="0" w:color="auto"/>
              <w:bottom w:val="single" w:sz="4" w:space="0" w:color="auto"/>
            </w:tcBorders>
            <w:shd w:val="clear" w:color="auto" w:fill="B8CCE4" w:themeFill="accent1" w:themeFillTint="66"/>
            <w:noWrap/>
            <w:vAlign w:val="center"/>
            <w:hideMark/>
          </w:tcPr>
          <w:p w14:paraId="23EF1CD6" w14:textId="77777777" w:rsidR="00F97631" w:rsidRPr="00795CF7" w:rsidRDefault="00F97631" w:rsidP="00E428A6">
            <w:pPr>
              <w:pStyle w:val="cuadroCabe"/>
              <w:spacing w:line="240" w:lineRule="auto"/>
              <w:jc w:val="right"/>
            </w:pPr>
            <w:r w:rsidRPr="00795CF7">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27321436" w14:textId="77777777" w:rsidR="00F97631" w:rsidRPr="00795CF7" w:rsidRDefault="00F97631" w:rsidP="00E428A6">
            <w:pPr>
              <w:pStyle w:val="cuadroCabe"/>
              <w:spacing w:line="240" w:lineRule="auto"/>
              <w:jc w:val="right"/>
            </w:pPr>
            <w:r w:rsidRPr="00795CF7">
              <w:t>100</w:t>
            </w:r>
          </w:p>
        </w:tc>
        <w:tc>
          <w:tcPr>
            <w:tcW w:w="691" w:type="dxa"/>
            <w:tcBorders>
              <w:top w:val="single" w:sz="4" w:space="0" w:color="auto"/>
              <w:bottom w:val="single" w:sz="4" w:space="0" w:color="auto"/>
            </w:tcBorders>
            <w:shd w:val="clear" w:color="auto" w:fill="B8CCE4" w:themeFill="accent1" w:themeFillTint="66"/>
            <w:vAlign w:val="center"/>
          </w:tcPr>
          <w:p w14:paraId="473E269F" w14:textId="77777777" w:rsidR="00F97631" w:rsidRPr="00795CF7" w:rsidRDefault="00F97631" w:rsidP="00E428A6">
            <w:pPr>
              <w:pStyle w:val="cuadroCabe"/>
              <w:spacing w:line="240" w:lineRule="auto"/>
              <w:jc w:val="right"/>
            </w:pPr>
            <w:r w:rsidRPr="00795CF7">
              <w:t>100</w:t>
            </w:r>
          </w:p>
        </w:tc>
      </w:tr>
    </w:tbl>
    <w:p w14:paraId="13F90064" w14:textId="77777777" w:rsidR="00F97631" w:rsidRPr="001D7CF4" w:rsidRDefault="00F97631" w:rsidP="00F97631">
      <w:pPr>
        <w:spacing w:before="60" w:after="100"/>
        <w:ind w:left="142" w:firstLine="0"/>
        <w:rPr>
          <w:rFonts w:ascii="Arial" w:eastAsia="Calibri" w:hAnsi="Arial" w:cs="Arial"/>
          <w:sz w:val="14"/>
          <w:szCs w:val="14"/>
          <w:lang w:eastAsia="es-ES"/>
        </w:rPr>
      </w:pPr>
      <w:r w:rsidRPr="001D7CF4">
        <w:rPr>
          <w:rFonts w:ascii="Arial" w:eastAsia="Calibri" w:hAnsi="Arial" w:cs="Arial"/>
          <w:sz w:val="14"/>
          <w:szCs w:val="14"/>
          <w:lang w:eastAsia="es-ES"/>
        </w:rPr>
        <w:t>Fuente: cuentas anuales de las sociedades concesionarias</w:t>
      </w:r>
      <w:r w:rsidR="00E428A6">
        <w:rPr>
          <w:rFonts w:ascii="Arial" w:eastAsia="Calibri" w:hAnsi="Arial" w:cs="Arial"/>
          <w:sz w:val="14"/>
          <w:szCs w:val="14"/>
          <w:lang w:eastAsia="es-ES"/>
        </w:rPr>
        <w:t>.</w:t>
      </w:r>
    </w:p>
    <w:p w14:paraId="5290A6BD" w14:textId="77777777" w:rsidR="00F97631" w:rsidRDefault="00F97631" w:rsidP="00F97631">
      <w:pPr>
        <w:pStyle w:val="texto"/>
        <w:spacing w:before="240"/>
        <w:rPr>
          <w:rFonts w:eastAsia="Calibri"/>
          <w:lang w:eastAsia="es-ES"/>
        </w:rPr>
      </w:pPr>
      <w:r w:rsidRPr="00F97119">
        <w:rPr>
          <w:rFonts w:eastAsia="Calibri"/>
          <w:lang w:eastAsia="es-ES"/>
        </w:rPr>
        <w:t>Con fecha 29 de enero de 2020 el capital social de la concesionaria queda en manos de un único</w:t>
      </w:r>
      <w:r>
        <w:rPr>
          <w:rFonts w:eastAsia="Calibri"/>
          <w:lang w:eastAsia="es-ES"/>
        </w:rPr>
        <w:t xml:space="preserve"> accionista, la sociedad </w:t>
      </w:r>
      <w:proofErr w:type="spellStart"/>
      <w:r>
        <w:rPr>
          <w:rFonts w:eastAsia="Calibri"/>
          <w:lang w:eastAsia="es-ES"/>
        </w:rPr>
        <w:t>Iridium</w:t>
      </w:r>
      <w:proofErr w:type="spellEnd"/>
      <w:r w:rsidRPr="00F97119">
        <w:rPr>
          <w:rFonts w:eastAsia="Calibri"/>
          <w:lang w:eastAsia="es-ES"/>
        </w:rPr>
        <w:t xml:space="preserve"> H</w:t>
      </w:r>
      <w:r>
        <w:rPr>
          <w:rFonts w:eastAsia="Calibri"/>
          <w:lang w:eastAsia="es-ES"/>
        </w:rPr>
        <w:t>ermes</w:t>
      </w:r>
      <w:r w:rsidRPr="00F97119">
        <w:rPr>
          <w:rFonts w:eastAsia="Calibri"/>
          <w:lang w:eastAsia="es-ES"/>
        </w:rPr>
        <w:t xml:space="preserve"> </w:t>
      </w:r>
      <w:proofErr w:type="spellStart"/>
      <w:r w:rsidRPr="00F97119">
        <w:rPr>
          <w:rFonts w:eastAsia="Calibri"/>
          <w:lang w:eastAsia="es-ES"/>
        </w:rPr>
        <w:t>R</w:t>
      </w:r>
      <w:r>
        <w:rPr>
          <w:rFonts w:eastAsia="Calibri"/>
          <w:lang w:eastAsia="es-ES"/>
        </w:rPr>
        <w:t>oads</w:t>
      </w:r>
      <w:proofErr w:type="spellEnd"/>
      <w:r w:rsidRPr="00F97119">
        <w:rPr>
          <w:rFonts w:eastAsia="Calibri"/>
          <w:lang w:eastAsia="es-ES"/>
        </w:rPr>
        <w:t xml:space="preserve"> S.L.</w:t>
      </w:r>
      <w:r w:rsidRPr="00F97119">
        <w:rPr>
          <w:rFonts w:eastAsia="Calibri"/>
          <w:vertAlign w:val="superscript"/>
          <w:lang w:eastAsia="es-ES"/>
        </w:rPr>
        <w:footnoteReference w:id="5"/>
      </w:r>
      <w:r>
        <w:rPr>
          <w:rFonts w:eastAsia="Calibri"/>
          <w:lang w:eastAsia="es-ES"/>
        </w:rPr>
        <w:t xml:space="preserve"> . Esta transmisión, tal y como se establece en el contrato, cuenta con la autorización de la ACFN, al exceder del diez por ciento del capital de la sociedad concesionaria.</w:t>
      </w:r>
    </w:p>
    <w:p w14:paraId="12597329" w14:textId="77777777" w:rsidR="00464D7F" w:rsidRPr="00795CF7" w:rsidRDefault="00464D7F" w:rsidP="00464D7F">
      <w:pPr>
        <w:spacing w:after="0"/>
        <w:ind w:firstLine="284"/>
        <w:rPr>
          <w:rFonts w:eastAsia="Calibri"/>
          <w:sz w:val="26"/>
          <w:szCs w:val="26"/>
          <w:lang w:eastAsia="es-ES"/>
        </w:rPr>
      </w:pPr>
      <w:r w:rsidRPr="00F97119">
        <w:rPr>
          <w:rFonts w:eastAsia="Calibri"/>
          <w:sz w:val="26"/>
          <w:szCs w:val="26"/>
          <w:lang w:eastAsia="es-ES"/>
        </w:rPr>
        <w:t xml:space="preserve">Esta </w:t>
      </w:r>
      <w:r>
        <w:rPr>
          <w:rFonts w:eastAsia="Calibri"/>
          <w:sz w:val="26"/>
          <w:szCs w:val="26"/>
          <w:lang w:eastAsia="es-ES"/>
        </w:rPr>
        <w:t xml:space="preserve">infraestructura, </w:t>
      </w:r>
      <w:r w:rsidRPr="00611817">
        <w:rPr>
          <w:rFonts w:eastAsia="Calibri"/>
          <w:sz w:val="26"/>
          <w:szCs w:val="26"/>
          <w:lang w:eastAsia="es-ES"/>
        </w:rPr>
        <w:t xml:space="preserve">según la </w:t>
      </w:r>
      <w:r>
        <w:rPr>
          <w:rFonts w:eastAsia="Calibri"/>
          <w:sz w:val="26"/>
          <w:szCs w:val="26"/>
          <w:lang w:eastAsia="es-ES"/>
        </w:rPr>
        <w:t xml:space="preserve">valoración de la </w:t>
      </w:r>
      <w:r w:rsidRPr="00611817">
        <w:rPr>
          <w:rFonts w:eastAsia="Calibri"/>
          <w:sz w:val="26"/>
          <w:szCs w:val="26"/>
          <w:lang w:eastAsia="es-ES"/>
        </w:rPr>
        <w:t xml:space="preserve">autoridad estatal competente, </w:t>
      </w:r>
      <w:r w:rsidRPr="00F97119">
        <w:rPr>
          <w:rFonts w:eastAsia="Calibri"/>
          <w:sz w:val="26"/>
          <w:szCs w:val="26"/>
          <w:lang w:eastAsia="es-ES"/>
        </w:rPr>
        <w:t xml:space="preserve">cumple con los requisitos señalados por </w:t>
      </w:r>
      <w:r w:rsidRPr="00611817">
        <w:rPr>
          <w:rFonts w:eastAsia="Calibri"/>
          <w:sz w:val="26"/>
          <w:szCs w:val="26"/>
          <w:lang w:eastAsia="es-ES"/>
        </w:rPr>
        <w:t>Eurostat</w:t>
      </w:r>
      <w:r w:rsidRPr="00F97119">
        <w:rPr>
          <w:rFonts w:eastAsia="Calibri"/>
          <w:sz w:val="26"/>
          <w:szCs w:val="26"/>
          <w:lang w:eastAsia="es-ES"/>
        </w:rPr>
        <w:t xml:space="preserve"> para computar como deuda a efectos de lo señalado en el SEC  2010.</w:t>
      </w:r>
    </w:p>
    <w:p w14:paraId="0CA39ED9" w14:textId="77777777" w:rsidR="00F97631" w:rsidRPr="00795CF7" w:rsidRDefault="00F97631" w:rsidP="00F97631">
      <w:pPr>
        <w:spacing w:after="0"/>
        <w:ind w:firstLine="284"/>
        <w:rPr>
          <w:rFonts w:eastAsia="Calibri"/>
          <w:sz w:val="26"/>
          <w:szCs w:val="26"/>
          <w:lang w:eastAsia="es-ES"/>
        </w:rPr>
      </w:pPr>
    </w:p>
    <w:p w14:paraId="7C11B216" w14:textId="77777777" w:rsidR="00F97631" w:rsidRPr="003D233C" w:rsidRDefault="003D233C" w:rsidP="000D3237">
      <w:pPr>
        <w:pStyle w:val="atitulo3"/>
      </w:pPr>
      <w:r>
        <w:t>1.2.3</w:t>
      </w:r>
      <w:r w:rsidRPr="00F97119">
        <w:t xml:space="preserve">. </w:t>
      </w:r>
      <w:r w:rsidR="00F97631" w:rsidRPr="003D233C">
        <w:t xml:space="preserve">Estructura organizativa de control de la </w:t>
      </w:r>
      <w:r w:rsidR="00FD332B" w:rsidRPr="003D233C">
        <w:t>A</w:t>
      </w:r>
      <w:r w:rsidR="00FD332B">
        <w:t xml:space="preserve">dministración de la Comunidad Foral de Navarra </w:t>
      </w:r>
      <w:r w:rsidR="00F97631" w:rsidRPr="003D233C">
        <w:t xml:space="preserve">para </w:t>
      </w:r>
      <w:r>
        <w:t>ambas autovías.</w:t>
      </w:r>
      <w:r w:rsidR="00F97631" w:rsidRPr="004573C1">
        <w:rPr>
          <w:rFonts w:eastAsia="Calibri"/>
          <w:b/>
          <w:sz w:val="28"/>
          <w:szCs w:val="28"/>
          <w:lang w:eastAsia="es-ES"/>
        </w:rPr>
        <w:t xml:space="preserve"> </w:t>
      </w:r>
    </w:p>
    <w:p w14:paraId="4DE9EC3B" w14:textId="77777777" w:rsidR="00F97631" w:rsidRPr="00BD02C1" w:rsidRDefault="00F97631" w:rsidP="00F97631">
      <w:pPr>
        <w:pStyle w:val="texto"/>
        <w:rPr>
          <w:rFonts w:eastAsia="Calibri"/>
          <w:lang w:eastAsia="es-ES"/>
        </w:rPr>
      </w:pPr>
      <w:r w:rsidRPr="00F97119">
        <w:rPr>
          <w:rFonts w:eastAsia="Calibri"/>
          <w:lang w:eastAsia="es-ES"/>
        </w:rPr>
        <w:t>En el contrato de concesión y en los pliegos de ambas autovías se establecen como órganos</w:t>
      </w:r>
      <w:r>
        <w:rPr>
          <w:rFonts w:eastAsia="Calibri"/>
          <w:lang w:eastAsia="es-ES"/>
        </w:rPr>
        <w:t xml:space="preserve"> de control, el </w:t>
      </w:r>
      <w:r w:rsidRPr="00471BE2">
        <w:rPr>
          <w:rFonts w:eastAsia="Calibri"/>
          <w:lang w:eastAsia="es-ES"/>
        </w:rPr>
        <w:t>D</w:t>
      </w:r>
      <w:r w:rsidRPr="00F97119">
        <w:rPr>
          <w:rFonts w:eastAsia="Calibri"/>
          <w:lang w:eastAsia="es-ES"/>
        </w:rPr>
        <w:t xml:space="preserve">irector de explotación, para los </w:t>
      </w:r>
      <w:r w:rsidRPr="00BD02C1">
        <w:rPr>
          <w:rFonts w:eastAsia="Calibri"/>
          <w:lang w:eastAsia="es-ES"/>
        </w:rPr>
        <w:t>aspectos técnicos (</w:t>
      </w:r>
      <w:r w:rsidRPr="00BD02C1">
        <w:rPr>
          <w:rFonts w:eastAsia="Calibri"/>
        </w:rPr>
        <w:t>ejercida</w:t>
      </w:r>
      <w:r w:rsidRPr="00BD02C1">
        <w:rPr>
          <w:rFonts w:eastAsia="Calibri"/>
          <w:lang w:eastAsia="es-ES"/>
        </w:rPr>
        <w:t xml:space="preserve"> por un funcionario del Departamento de Cohesión Territorial) y, el Delegado del Gobierno en la concesionaria para los aspectos financieros. </w:t>
      </w:r>
    </w:p>
    <w:p w14:paraId="22185F30" w14:textId="77777777" w:rsidR="00F97631" w:rsidRPr="00F97119" w:rsidRDefault="00F97631" w:rsidP="00F97631">
      <w:pPr>
        <w:pStyle w:val="texto"/>
        <w:rPr>
          <w:rFonts w:eastAsia="Calibri"/>
          <w:lang w:eastAsia="es-ES"/>
        </w:rPr>
      </w:pPr>
      <w:r w:rsidRPr="00F97119">
        <w:rPr>
          <w:rFonts w:eastAsia="Calibri"/>
          <w:lang w:eastAsia="es-ES"/>
        </w:rPr>
        <w:t>En la ACFN la gestión de los dos contratos de concesión de obras públicas corresponde al Departamento de Cohesión Territorial, en concreto, a</w:t>
      </w:r>
      <w:r w:rsidR="00D84F41">
        <w:rPr>
          <w:rFonts w:eastAsia="Calibri"/>
          <w:lang w:eastAsia="es-ES"/>
        </w:rPr>
        <w:t xml:space="preserve"> dos servicios</w:t>
      </w:r>
      <w:r w:rsidRPr="00F97119">
        <w:rPr>
          <w:rFonts w:eastAsia="Calibri"/>
          <w:lang w:eastAsia="es-ES"/>
        </w:rPr>
        <w:t xml:space="preserve">: </w:t>
      </w:r>
    </w:p>
    <w:p w14:paraId="1C08806B" w14:textId="77777777" w:rsidR="00F97631" w:rsidRPr="00F97119"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F97119">
        <w:rPr>
          <w:rFonts w:eastAsia="Calibri"/>
          <w:szCs w:val="26"/>
          <w:lang w:eastAsia="es-ES"/>
        </w:rPr>
        <w:t xml:space="preserve">Servicio de Conservación, </w:t>
      </w:r>
      <w:r w:rsidRPr="0048284D">
        <w:rPr>
          <w:rFonts w:eastAsia="Calibri"/>
          <w:szCs w:val="26"/>
          <w:lang w:eastAsia="es-ES"/>
        </w:rPr>
        <w:t xml:space="preserve">dependiente de la Dirección General de Obras Públicas e Infraestructuras. </w:t>
      </w:r>
      <w:r w:rsidRPr="00F97119">
        <w:rPr>
          <w:rFonts w:eastAsia="Calibri"/>
          <w:szCs w:val="26"/>
          <w:lang w:eastAsia="es-ES"/>
        </w:rPr>
        <w:t xml:space="preserve">El director del Servicio de Conservación es el </w:t>
      </w:r>
      <w:r w:rsidR="00D84F41">
        <w:rPr>
          <w:rFonts w:eastAsia="Calibri"/>
          <w:szCs w:val="26"/>
          <w:lang w:eastAsia="es-ES"/>
        </w:rPr>
        <w:t>d</w:t>
      </w:r>
      <w:r w:rsidRPr="00F97119">
        <w:rPr>
          <w:rFonts w:eastAsia="Calibri"/>
          <w:szCs w:val="26"/>
          <w:lang w:eastAsia="es-ES"/>
        </w:rPr>
        <w:t>irector de Explotación, es decir, quien vigila la adecuada prestación del servicio y conservación de la autovía en su fase de explotación.</w:t>
      </w:r>
    </w:p>
    <w:p w14:paraId="0D334365" w14:textId="77777777" w:rsidR="00F97631" w:rsidRPr="00F97119"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F97119">
        <w:rPr>
          <w:rFonts w:eastAsia="Calibri"/>
          <w:szCs w:val="26"/>
          <w:lang w:eastAsia="es-ES"/>
        </w:rPr>
        <w:t xml:space="preserve">Servicio de Gestión </w:t>
      </w:r>
      <w:proofErr w:type="gramStart"/>
      <w:r w:rsidRPr="00F97119">
        <w:rPr>
          <w:rFonts w:eastAsia="Calibri"/>
          <w:szCs w:val="26"/>
          <w:lang w:eastAsia="es-ES"/>
        </w:rPr>
        <w:t>Económico Pre</w:t>
      </w:r>
      <w:r>
        <w:rPr>
          <w:rFonts w:eastAsia="Calibri"/>
          <w:szCs w:val="26"/>
          <w:lang w:eastAsia="es-ES"/>
        </w:rPr>
        <w:t>supuestaria</w:t>
      </w:r>
      <w:proofErr w:type="gramEnd"/>
      <w:r>
        <w:rPr>
          <w:rFonts w:eastAsia="Calibri"/>
          <w:szCs w:val="26"/>
          <w:lang w:eastAsia="es-ES"/>
        </w:rPr>
        <w:t xml:space="preserve"> y Control del Gasto</w:t>
      </w:r>
      <w:r w:rsidRPr="00F97119">
        <w:rPr>
          <w:rFonts w:eastAsia="Calibri"/>
          <w:szCs w:val="26"/>
          <w:lang w:eastAsia="es-ES"/>
        </w:rPr>
        <w:t>. Entre sus funciones, se incluye el seguimiento económico financiero de las concesiones, en colaboración con los servicios técnicos del departamento.</w:t>
      </w:r>
    </w:p>
    <w:p w14:paraId="02AD27DA" w14:textId="77777777" w:rsidR="00F97631" w:rsidRPr="00F97119" w:rsidRDefault="00F97631" w:rsidP="00F97631">
      <w:pPr>
        <w:pStyle w:val="texto"/>
        <w:spacing w:after="240"/>
        <w:rPr>
          <w:rFonts w:eastAsia="Calibri"/>
          <w:lang w:eastAsia="es-ES"/>
        </w:rPr>
      </w:pPr>
      <w:r w:rsidRPr="00896AE2">
        <w:rPr>
          <w:rFonts w:eastAsia="Calibri"/>
          <w:lang w:eastAsia="es-ES"/>
        </w:rPr>
        <w:t xml:space="preserve">El Delegado del Gobierno </w:t>
      </w:r>
      <w:r w:rsidRPr="00F97119">
        <w:rPr>
          <w:rFonts w:eastAsia="Calibri"/>
          <w:lang w:eastAsia="es-ES"/>
        </w:rPr>
        <w:t xml:space="preserve">tiene derecho a participar en las sesiones del Consejo de Administración </w:t>
      </w:r>
      <w:r>
        <w:rPr>
          <w:rFonts w:eastAsia="Calibri"/>
          <w:lang w:eastAsia="es-ES"/>
        </w:rPr>
        <w:t>de las sociedades concesionarias</w:t>
      </w:r>
      <w:r w:rsidRPr="00F97119">
        <w:rPr>
          <w:rFonts w:eastAsia="Calibri"/>
          <w:lang w:eastAsia="es-ES"/>
        </w:rPr>
        <w:t>. Los informes de las auditorías financieras de</w:t>
      </w:r>
      <w:r>
        <w:rPr>
          <w:rFonts w:eastAsia="Calibri"/>
          <w:lang w:eastAsia="es-ES"/>
        </w:rPr>
        <w:t xml:space="preserve"> la </w:t>
      </w:r>
      <w:r w:rsidRPr="00896AE2">
        <w:rPr>
          <w:rFonts w:eastAsia="Calibri"/>
          <w:lang w:eastAsia="es-ES"/>
        </w:rPr>
        <w:t xml:space="preserve">sociedad concesionaria </w:t>
      </w:r>
      <w:r w:rsidRPr="00F97119">
        <w:rPr>
          <w:rFonts w:eastAsia="Calibri"/>
          <w:lang w:eastAsia="es-ES"/>
        </w:rPr>
        <w:t xml:space="preserve">deben ser entregados al mismo. </w:t>
      </w:r>
      <w:r>
        <w:rPr>
          <w:rFonts w:eastAsia="Calibri"/>
          <w:lang w:eastAsia="es-ES"/>
        </w:rPr>
        <w:t xml:space="preserve">En la actualidad no hay </w:t>
      </w:r>
      <w:r w:rsidRPr="00471BE2">
        <w:rPr>
          <w:rFonts w:eastAsia="Calibri"/>
          <w:lang w:eastAsia="es-ES"/>
        </w:rPr>
        <w:t xml:space="preserve">ningún Delegado del Gobierno </w:t>
      </w:r>
      <w:r w:rsidRPr="00F97119">
        <w:rPr>
          <w:rFonts w:eastAsia="Calibri"/>
          <w:lang w:eastAsia="es-ES"/>
        </w:rPr>
        <w:t>en la</w:t>
      </w:r>
      <w:r>
        <w:rPr>
          <w:rFonts w:eastAsia="Calibri"/>
          <w:lang w:eastAsia="es-ES"/>
        </w:rPr>
        <w:t>s</w:t>
      </w:r>
      <w:r w:rsidRPr="00F97119">
        <w:rPr>
          <w:rFonts w:eastAsia="Calibri"/>
          <w:lang w:eastAsia="es-ES"/>
        </w:rPr>
        <w:t xml:space="preserve"> concesionaria</w:t>
      </w:r>
      <w:r>
        <w:rPr>
          <w:rFonts w:eastAsia="Calibri"/>
          <w:lang w:eastAsia="es-ES"/>
        </w:rPr>
        <w:t>s</w:t>
      </w:r>
      <w:r w:rsidRPr="00F97119">
        <w:rPr>
          <w:rFonts w:eastAsia="Calibri"/>
          <w:lang w:eastAsia="es-ES"/>
        </w:rPr>
        <w:t xml:space="preserve"> desde 2014, año en que se jubiló el anterior.</w:t>
      </w:r>
      <w:r>
        <w:rPr>
          <w:rFonts w:eastAsia="Calibri"/>
          <w:lang w:eastAsia="es-ES"/>
        </w:rPr>
        <w:t xml:space="preserve">  </w:t>
      </w:r>
    </w:p>
    <w:p w14:paraId="47DE857A" w14:textId="77777777" w:rsidR="00F97631" w:rsidRPr="00F97119" w:rsidRDefault="009D4C24" w:rsidP="00F97631">
      <w:pPr>
        <w:pStyle w:val="atitulo2"/>
      </w:pPr>
      <w:bookmarkStart w:id="24" w:name="_Toc97556873"/>
      <w:bookmarkStart w:id="25" w:name="_Toc126321321"/>
      <w:r>
        <w:t>1.3</w:t>
      </w:r>
      <w:r w:rsidR="00F97631" w:rsidRPr="00F97119">
        <w:t>. Zonas regables del Canal de Navarra</w:t>
      </w:r>
      <w:bookmarkEnd w:id="24"/>
      <w:bookmarkEnd w:id="25"/>
    </w:p>
    <w:p w14:paraId="3EB36467" w14:textId="77777777" w:rsidR="00F97631" w:rsidRPr="00765C65" w:rsidRDefault="00F97631" w:rsidP="00F97631">
      <w:pPr>
        <w:pStyle w:val="texto"/>
        <w:rPr>
          <w:rFonts w:eastAsia="Calibri"/>
          <w:lang w:eastAsia="es-ES"/>
        </w:rPr>
      </w:pPr>
      <w:r w:rsidRPr="00F97119">
        <w:rPr>
          <w:rFonts w:eastAsia="Calibri"/>
          <w:lang w:eastAsia="es-ES"/>
        </w:rPr>
        <w:t>La contratación y la explotación</w:t>
      </w:r>
      <w:r>
        <w:rPr>
          <w:rFonts w:eastAsia="Calibri"/>
          <w:lang w:eastAsia="es-ES"/>
        </w:rPr>
        <w:t xml:space="preserve"> del Canal de Navarra se </w:t>
      </w:r>
      <w:r w:rsidRPr="00765C65">
        <w:rPr>
          <w:rFonts w:eastAsia="Calibri"/>
          <w:lang w:eastAsia="es-ES"/>
        </w:rPr>
        <w:t xml:space="preserve">realizó mediante contrato de concesión de obras públicas. </w:t>
      </w:r>
    </w:p>
    <w:p w14:paraId="031F8E0D" w14:textId="77777777" w:rsidR="00F97631" w:rsidRPr="004A6A11" w:rsidRDefault="00F97631" w:rsidP="00F97631">
      <w:pPr>
        <w:pStyle w:val="texto"/>
        <w:rPr>
          <w:rFonts w:eastAsia="Calibri"/>
          <w:lang w:eastAsia="es-ES"/>
        </w:rPr>
      </w:pPr>
      <w:r w:rsidRPr="00F97119">
        <w:rPr>
          <w:rFonts w:eastAsia="Calibri"/>
          <w:lang w:eastAsia="es-ES"/>
        </w:rPr>
        <w:t>La Ley Foral 12/2005, de 22 de noviembre, de construcción y explotación de las infraestruc</w:t>
      </w:r>
      <w:r w:rsidR="00EF08B7">
        <w:rPr>
          <w:rFonts w:eastAsia="Calibri"/>
          <w:lang w:eastAsia="es-ES"/>
        </w:rPr>
        <w:t>turas de interés general de la Zona R</w:t>
      </w:r>
      <w:r w:rsidRPr="00F97119">
        <w:rPr>
          <w:rFonts w:eastAsia="Calibri"/>
          <w:lang w:eastAsia="es-ES"/>
        </w:rPr>
        <w:t>egable del Canal de Navarra, establece qu</w:t>
      </w:r>
      <w:r>
        <w:rPr>
          <w:rFonts w:eastAsia="Calibri"/>
          <w:lang w:eastAsia="es-ES"/>
        </w:rPr>
        <w:t>e sea la sociedad pública</w:t>
      </w:r>
      <w:r w:rsidRPr="006C7184">
        <w:rPr>
          <w:rFonts w:eastAsia="Calibri"/>
          <w:lang w:eastAsia="es-ES"/>
        </w:rPr>
        <w:t xml:space="preserve"> INTIA</w:t>
      </w:r>
      <w:r w:rsidRPr="00A7673A">
        <w:rPr>
          <w:rFonts w:eastAsia="Calibri"/>
          <w:lang w:eastAsia="es-ES"/>
        </w:rPr>
        <w:t xml:space="preserve"> </w:t>
      </w:r>
      <w:r w:rsidRPr="00F97119">
        <w:rPr>
          <w:rFonts w:eastAsia="Calibri"/>
          <w:lang w:eastAsia="es-ES"/>
        </w:rPr>
        <w:t>la concedente de la obra. La dirección de explotación y el seguimiento económico financiero de la concesión se realizan desde dicha sociedad pública.</w:t>
      </w:r>
      <w:r>
        <w:rPr>
          <w:rFonts w:eastAsia="Calibri"/>
          <w:lang w:eastAsia="es-ES"/>
        </w:rPr>
        <w:t xml:space="preserve"> </w:t>
      </w:r>
      <w:r w:rsidRPr="00A10CF3">
        <w:rPr>
          <w:rFonts w:eastAsia="Calibri"/>
          <w:lang w:eastAsia="es-ES"/>
        </w:rPr>
        <w:t>Las relaciones entre la ACFN e INTIA se articulan a través de los convenios de colaboración suscritos en 2006 y 2013 par</w:t>
      </w:r>
      <w:r w:rsidR="00FE6584">
        <w:rPr>
          <w:rFonts w:eastAsia="Calibri"/>
          <w:lang w:eastAsia="es-ES"/>
        </w:rPr>
        <w:t>a la Primera F</w:t>
      </w:r>
      <w:r w:rsidRPr="00A10CF3">
        <w:rPr>
          <w:rFonts w:eastAsia="Calibri"/>
          <w:lang w:eastAsia="es-ES"/>
        </w:rPr>
        <w:t xml:space="preserve">ase y </w:t>
      </w:r>
      <w:r w:rsidR="00FE6584">
        <w:rPr>
          <w:rFonts w:eastAsia="Calibri"/>
          <w:lang w:eastAsia="es-ES"/>
        </w:rPr>
        <w:t>para la Ampliación de la P</w:t>
      </w:r>
      <w:r w:rsidRPr="004A6A11">
        <w:rPr>
          <w:rFonts w:eastAsia="Calibri"/>
          <w:lang w:eastAsia="es-ES"/>
        </w:rPr>
        <w:t xml:space="preserve">rimera fase respectivamente. En ambos convenios </w:t>
      </w:r>
      <w:r w:rsidR="004A6A11">
        <w:rPr>
          <w:rFonts w:eastAsia="Calibri"/>
          <w:lang w:eastAsia="es-ES"/>
        </w:rPr>
        <w:t>se prevé el nombramiento de un D</w:t>
      </w:r>
      <w:r w:rsidRPr="004A6A11">
        <w:rPr>
          <w:rFonts w:eastAsia="Calibri"/>
          <w:lang w:eastAsia="es-ES"/>
        </w:rPr>
        <w:t>elegado del Gobierno en la concesionaria, a propuesta del Consejero de Economía y Hacienda.</w:t>
      </w:r>
    </w:p>
    <w:p w14:paraId="6C9938E6" w14:textId="77777777" w:rsidR="00F97631" w:rsidRPr="00F97119" w:rsidRDefault="00F97631" w:rsidP="00F97631">
      <w:pPr>
        <w:pStyle w:val="texto"/>
        <w:rPr>
          <w:rFonts w:eastAsia="Calibri"/>
          <w:lang w:eastAsia="es-ES"/>
        </w:rPr>
      </w:pPr>
      <w:r w:rsidRPr="00F97119">
        <w:rPr>
          <w:rFonts w:eastAsia="Calibri"/>
          <w:lang w:eastAsia="es-ES"/>
        </w:rPr>
        <w:t xml:space="preserve">En la ACFN, la gestión de los dos contratos de concesión de obras públicas, para la construcción y explotación del Canal de Navarra recae desde un inicio en el </w:t>
      </w:r>
      <w:proofErr w:type="spellStart"/>
      <w:r w:rsidR="007715CA" w:rsidRPr="00F97119">
        <w:rPr>
          <w:rFonts w:eastAsia="Calibri"/>
          <w:szCs w:val="26"/>
          <w:lang w:eastAsia="es-ES"/>
        </w:rPr>
        <w:t>DDRyMA</w:t>
      </w:r>
      <w:proofErr w:type="spellEnd"/>
      <w:r w:rsidRPr="009D4C24">
        <w:rPr>
          <w:rFonts w:eastAsia="Calibri"/>
          <w:lang w:eastAsia="es-ES"/>
        </w:rPr>
        <w:t xml:space="preserve">. </w:t>
      </w:r>
      <w:r w:rsidRPr="00F97119">
        <w:rPr>
          <w:rFonts w:eastAsia="Calibri"/>
          <w:lang w:eastAsia="es-ES"/>
        </w:rPr>
        <w:t xml:space="preserve">La competencia </w:t>
      </w:r>
      <w:r w:rsidR="00D84F41">
        <w:rPr>
          <w:rFonts w:eastAsia="Calibri"/>
          <w:lang w:eastAsia="es-ES"/>
        </w:rPr>
        <w:t>la</w:t>
      </w:r>
      <w:r w:rsidRPr="00F97119">
        <w:rPr>
          <w:rFonts w:eastAsia="Calibri"/>
          <w:lang w:eastAsia="es-ES"/>
        </w:rPr>
        <w:t xml:space="preserve"> ejerce </w:t>
      </w:r>
      <w:r w:rsidR="00D84F41">
        <w:rPr>
          <w:rFonts w:eastAsia="Calibri"/>
          <w:lang w:eastAsia="es-ES"/>
        </w:rPr>
        <w:t>el</w:t>
      </w:r>
      <w:r w:rsidRPr="00F97119">
        <w:rPr>
          <w:rFonts w:eastAsia="Calibri"/>
          <w:lang w:eastAsia="es-ES"/>
        </w:rPr>
        <w:t xml:space="preserve"> Servicio de Infraestructuras Agrarias, dependiente de la Dirección Gen</w:t>
      </w:r>
      <w:r>
        <w:rPr>
          <w:rFonts w:eastAsia="Calibri"/>
          <w:lang w:eastAsia="es-ES"/>
        </w:rPr>
        <w:t>eral de Agricultura y Ganadería</w:t>
      </w:r>
      <w:r w:rsidRPr="00F97119">
        <w:rPr>
          <w:rFonts w:eastAsia="Calibri"/>
          <w:lang w:eastAsia="es-ES"/>
        </w:rPr>
        <w:t xml:space="preserve"> del citado departamento. </w:t>
      </w:r>
    </w:p>
    <w:p w14:paraId="4D28C7E4" w14:textId="77777777" w:rsidR="00F97631" w:rsidRPr="00E26448" w:rsidRDefault="00253193" w:rsidP="009D4C24">
      <w:pPr>
        <w:pStyle w:val="texto"/>
        <w:rPr>
          <w:rFonts w:eastAsia="Calibri"/>
          <w:szCs w:val="26"/>
          <w:lang w:eastAsia="es-ES"/>
        </w:rPr>
      </w:pPr>
      <w:r w:rsidRPr="00E26448">
        <w:rPr>
          <w:rFonts w:eastAsia="Calibri"/>
          <w:szCs w:val="26"/>
          <w:lang w:eastAsia="es-ES"/>
        </w:rPr>
        <w:t xml:space="preserve">Mediante </w:t>
      </w:r>
      <w:r w:rsidR="00F97631" w:rsidRPr="00E26448">
        <w:rPr>
          <w:rFonts w:eastAsia="Calibri"/>
          <w:szCs w:val="26"/>
          <w:lang w:eastAsia="es-ES"/>
        </w:rPr>
        <w:t xml:space="preserve">Acuerdo del Gobierno de Navarra, de fecha 23 de octubre de 2019, </w:t>
      </w:r>
      <w:r w:rsidRPr="00E26448">
        <w:rPr>
          <w:rFonts w:eastAsia="Calibri"/>
          <w:szCs w:val="26"/>
          <w:lang w:eastAsia="es-ES"/>
        </w:rPr>
        <w:t xml:space="preserve">se </w:t>
      </w:r>
      <w:r w:rsidR="00F97631" w:rsidRPr="00E26448">
        <w:rPr>
          <w:rFonts w:eastAsia="Calibri"/>
          <w:szCs w:val="26"/>
          <w:lang w:eastAsia="es-ES"/>
        </w:rPr>
        <w:t xml:space="preserve">aprobó la delegación del </w:t>
      </w:r>
      <w:proofErr w:type="spellStart"/>
      <w:r w:rsidR="00F97631" w:rsidRPr="00E26448">
        <w:rPr>
          <w:rFonts w:eastAsia="Calibri"/>
          <w:szCs w:val="26"/>
          <w:lang w:eastAsia="es-ES"/>
        </w:rPr>
        <w:t>DDRyMA</w:t>
      </w:r>
      <w:proofErr w:type="spellEnd"/>
      <w:r w:rsidR="00FE6584">
        <w:rPr>
          <w:rFonts w:eastAsia="Calibri"/>
          <w:szCs w:val="26"/>
          <w:lang w:eastAsia="es-ES"/>
        </w:rPr>
        <w:t xml:space="preserve"> al D</w:t>
      </w:r>
      <w:r w:rsidR="00F97631" w:rsidRPr="00E26448">
        <w:rPr>
          <w:rFonts w:eastAsia="Calibri"/>
          <w:szCs w:val="26"/>
          <w:lang w:eastAsia="es-ES"/>
        </w:rPr>
        <w:t>epartamento de Cohesión Territorial para el ejercicio de las competencias que ostenta la ACFN en el contrato de concesión para l</w:t>
      </w:r>
      <w:r w:rsidR="00FE6584">
        <w:rPr>
          <w:rFonts w:eastAsia="Calibri"/>
          <w:szCs w:val="26"/>
          <w:lang w:eastAsia="es-ES"/>
        </w:rPr>
        <w:t>a Ampliación de la Primera F</w:t>
      </w:r>
      <w:r w:rsidR="009D4C24" w:rsidRPr="00E26448">
        <w:rPr>
          <w:rFonts w:eastAsia="Calibri"/>
          <w:szCs w:val="26"/>
          <w:lang w:eastAsia="es-ES"/>
        </w:rPr>
        <w:t>ase.</w:t>
      </w:r>
      <w:r w:rsidR="006159B5" w:rsidRPr="00E26448">
        <w:rPr>
          <w:rFonts w:eastAsia="Calibri"/>
          <w:szCs w:val="26"/>
          <w:lang w:eastAsia="es-ES"/>
        </w:rPr>
        <w:t xml:space="preserve"> </w:t>
      </w:r>
      <w:r w:rsidR="00F97631" w:rsidRPr="00E26448">
        <w:rPr>
          <w:rFonts w:eastAsia="Calibri"/>
          <w:szCs w:val="26"/>
          <w:lang w:eastAsia="es-ES"/>
        </w:rPr>
        <w:t xml:space="preserve">En concreto, </w:t>
      </w:r>
      <w:r w:rsidR="00D84F41">
        <w:rPr>
          <w:rFonts w:eastAsia="Calibri"/>
          <w:szCs w:val="26"/>
          <w:lang w:eastAsia="es-ES"/>
        </w:rPr>
        <w:t>las e</w:t>
      </w:r>
      <w:r w:rsidR="00F97631" w:rsidRPr="00E26448">
        <w:rPr>
          <w:rFonts w:eastAsia="Calibri"/>
          <w:szCs w:val="26"/>
          <w:lang w:eastAsia="es-ES"/>
        </w:rPr>
        <w:t xml:space="preserve">jerce el Servicio de Nuevas Infraestructuras, dependiente de la Dirección </w:t>
      </w:r>
      <w:r w:rsidR="00EF08B7">
        <w:rPr>
          <w:rFonts w:eastAsia="Calibri"/>
          <w:szCs w:val="26"/>
          <w:lang w:eastAsia="es-ES"/>
        </w:rPr>
        <w:t>General de Obras Públicas, del D</w:t>
      </w:r>
      <w:r w:rsidR="00F97631" w:rsidRPr="00E26448">
        <w:rPr>
          <w:rFonts w:eastAsia="Calibri"/>
          <w:szCs w:val="26"/>
          <w:lang w:eastAsia="es-ES"/>
        </w:rPr>
        <w:t>epartamento de Cohesión Territorial.</w:t>
      </w:r>
    </w:p>
    <w:p w14:paraId="30895BCF" w14:textId="77777777" w:rsidR="00F97631" w:rsidRPr="009730BF" w:rsidRDefault="00FE6584" w:rsidP="00F97631">
      <w:pPr>
        <w:spacing w:after="100"/>
        <w:ind w:firstLine="284"/>
        <w:rPr>
          <w:rFonts w:eastAsia="Calibri"/>
          <w:b/>
          <w:i/>
          <w:sz w:val="28"/>
          <w:szCs w:val="28"/>
          <w:lang w:eastAsia="es-ES"/>
        </w:rPr>
      </w:pPr>
      <w:r>
        <w:rPr>
          <w:rFonts w:eastAsia="Calibri"/>
          <w:b/>
          <w:i/>
          <w:sz w:val="28"/>
          <w:szCs w:val="28"/>
          <w:lang w:eastAsia="es-ES"/>
        </w:rPr>
        <w:t>Primera F</w:t>
      </w:r>
      <w:r w:rsidR="00E428A6">
        <w:rPr>
          <w:rFonts w:eastAsia="Calibri"/>
          <w:b/>
          <w:i/>
          <w:sz w:val="28"/>
          <w:szCs w:val="28"/>
          <w:lang w:eastAsia="es-ES"/>
        </w:rPr>
        <w:t>ase</w:t>
      </w:r>
      <w:r w:rsidR="00F97631" w:rsidRPr="009730BF">
        <w:rPr>
          <w:rFonts w:eastAsia="Calibri"/>
          <w:b/>
          <w:i/>
          <w:sz w:val="28"/>
          <w:szCs w:val="28"/>
          <w:lang w:eastAsia="es-ES"/>
        </w:rPr>
        <w:t xml:space="preserve"> </w:t>
      </w:r>
    </w:p>
    <w:p w14:paraId="2093CFD8" w14:textId="77777777" w:rsidR="00F97631" w:rsidRPr="00896AE2" w:rsidRDefault="00F97631" w:rsidP="00F97631">
      <w:pPr>
        <w:pStyle w:val="texto"/>
        <w:rPr>
          <w:rFonts w:eastAsia="Calibri"/>
          <w:lang w:eastAsia="es-ES"/>
        </w:rPr>
      </w:pPr>
      <w:r w:rsidRPr="00F97119">
        <w:rPr>
          <w:rFonts w:eastAsia="Calibri"/>
          <w:lang w:eastAsia="es-ES"/>
        </w:rPr>
        <w:t>El contrato de concesión de obras públicas para la construcción y explotación de las infraestruc</w:t>
      </w:r>
      <w:r w:rsidR="00662EBC">
        <w:rPr>
          <w:rFonts w:eastAsia="Calibri"/>
          <w:lang w:eastAsia="es-ES"/>
        </w:rPr>
        <w:t>turas de interés general de la Zona R</w:t>
      </w:r>
      <w:r w:rsidRPr="00F97119">
        <w:rPr>
          <w:rFonts w:eastAsia="Calibri"/>
          <w:lang w:eastAsia="es-ES"/>
        </w:rPr>
        <w:t xml:space="preserve">egable del Canal de Navarra de la </w:t>
      </w:r>
      <w:r w:rsidR="00FE6584">
        <w:rPr>
          <w:rFonts w:eastAsia="Calibri"/>
          <w:lang w:eastAsia="es-ES"/>
        </w:rPr>
        <w:t>Primera F</w:t>
      </w:r>
      <w:r w:rsidRPr="00F97119">
        <w:rPr>
          <w:rFonts w:eastAsia="Calibri"/>
          <w:lang w:eastAsia="es-ES"/>
        </w:rPr>
        <w:t xml:space="preserve">ase </w:t>
      </w:r>
      <w:r w:rsidR="00662EBC">
        <w:rPr>
          <w:rFonts w:eastAsia="Calibri"/>
          <w:lang w:eastAsia="es-ES"/>
        </w:rPr>
        <w:t>se firmó</w:t>
      </w:r>
      <w:r w:rsidR="00896AE2">
        <w:rPr>
          <w:rFonts w:eastAsia="Calibri"/>
          <w:lang w:eastAsia="es-ES"/>
        </w:rPr>
        <w:t xml:space="preserve"> en septiembre de 2006 </w:t>
      </w:r>
      <w:r w:rsidRPr="00F97119">
        <w:rPr>
          <w:rFonts w:eastAsia="Calibri"/>
          <w:lang w:eastAsia="es-ES"/>
        </w:rPr>
        <w:t>por un plazo de 30 años</w:t>
      </w:r>
      <w:r>
        <w:rPr>
          <w:rFonts w:eastAsia="Calibri"/>
          <w:lang w:eastAsia="es-ES"/>
        </w:rPr>
        <w:t>, en los que se incluye el periodo de construcción</w:t>
      </w:r>
      <w:r w:rsidR="00896AE2" w:rsidRPr="00896AE2">
        <w:rPr>
          <w:rFonts w:eastAsia="Calibri"/>
          <w:lang w:eastAsia="es-ES"/>
        </w:rPr>
        <w:t>.</w:t>
      </w:r>
    </w:p>
    <w:p w14:paraId="61995B6C" w14:textId="77777777" w:rsidR="00F97631" w:rsidRPr="00A10CF3" w:rsidRDefault="00F97631" w:rsidP="00F97631">
      <w:pPr>
        <w:pStyle w:val="texto"/>
        <w:rPr>
          <w:rFonts w:eastAsia="Calibri"/>
          <w:lang w:eastAsia="es-ES"/>
        </w:rPr>
      </w:pPr>
      <w:r w:rsidRPr="00684CFC">
        <w:rPr>
          <w:rFonts w:eastAsia="Calibri"/>
          <w:lang w:eastAsia="es-ES"/>
        </w:rPr>
        <w:t>La</w:t>
      </w:r>
      <w:r w:rsidRPr="00A10CF3">
        <w:rPr>
          <w:rFonts w:eastAsia="Calibri"/>
          <w:lang w:eastAsia="es-ES"/>
        </w:rPr>
        <w:t xml:space="preserve"> zona regable consta de 15 sectores o zonas de riego</w:t>
      </w:r>
      <w:r>
        <w:rPr>
          <w:rFonts w:eastAsia="Calibri"/>
          <w:lang w:eastAsia="es-ES"/>
        </w:rPr>
        <w:t>,</w:t>
      </w:r>
      <w:r w:rsidRPr="00A10CF3">
        <w:rPr>
          <w:rFonts w:eastAsia="Calibri"/>
          <w:lang w:eastAsia="es-ES"/>
        </w:rPr>
        <w:t xml:space="preserve"> con una previsión inicial de 23.610 hectáreas de riego. </w:t>
      </w:r>
    </w:p>
    <w:p w14:paraId="535522CA" w14:textId="77777777" w:rsidR="00F97631" w:rsidRPr="001D7CF4" w:rsidRDefault="007715CA" w:rsidP="00F97631">
      <w:pPr>
        <w:pStyle w:val="texto"/>
        <w:rPr>
          <w:rFonts w:eastAsia="Calibri"/>
          <w:spacing w:val="2"/>
          <w:lang w:eastAsia="es-ES"/>
        </w:rPr>
      </w:pPr>
      <w:r>
        <w:rPr>
          <w:rFonts w:eastAsia="Calibri"/>
          <w:spacing w:val="2"/>
          <w:lang w:eastAsia="es-ES"/>
        </w:rPr>
        <w:t>La Sociedad Concesionaria de la Zona R</w:t>
      </w:r>
      <w:r w:rsidR="00F97631" w:rsidRPr="001D7CF4">
        <w:rPr>
          <w:rFonts w:eastAsia="Calibri"/>
          <w:spacing w:val="2"/>
          <w:lang w:eastAsia="es-ES"/>
        </w:rPr>
        <w:t>egable del Canal de Navarra S.A</w:t>
      </w:r>
      <w:r w:rsidR="00F97631" w:rsidRPr="00896AE2">
        <w:rPr>
          <w:rFonts w:eastAsia="Calibri"/>
          <w:spacing w:val="2"/>
          <w:lang w:eastAsia="es-ES"/>
        </w:rPr>
        <w:t xml:space="preserve">. (en adelante </w:t>
      </w:r>
      <w:r w:rsidRPr="00110BE9">
        <w:rPr>
          <w:rFonts w:eastAsia="Calibri"/>
          <w:spacing w:val="2"/>
          <w:sz w:val="24"/>
          <w:lang w:eastAsia="es-ES"/>
        </w:rPr>
        <w:t>AGUACANAL</w:t>
      </w:r>
      <w:r w:rsidR="00F97631" w:rsidRPr="00896AE2">
        <w:rPr>
          <w:rFonts w:eastAsia="Calibri"/>
          <w:spacing w:val="2"/>
          <w:lang w:eastAsia="es-ES"/>
        </w:rPr>
        <w:t xml:space="preserve">) </w:t>
      </w:r>
      <w:r w:rsidR="00662EBC">
        <w:rPr>
          <w:rFonts w:eastAsia="Calibri"/>
          <w:spacing w:val="2"/>
          <w:lang w:eastAsia="es-ES"/>
        </w:rPr>
        <w:t>se constituyó</w:t>
      </w:r>
      <w:r w:rsidR="00F97631" w:rsidRPr="001D7CF4">
        <w:rPr>
          <w:rFonts w:eastAsia="Calibri"/>
          <w:spacing w:val="2"/>
          <w:lang w:eastAsia="es-ES"/>
        </w:rPr>
        <w:t xml:space="preserve"> como sociedad anónima en septiembre de 2006.</w:t>
      </w:r>
    </w:p>
    <w:p w14:paraId="04247016" w14:textId="77777777" w:rsidR="00F97631" w:rsidRDefault="00F97631" w:rsidP="00F97631">
      <w:pPr>
        <w:pStyle w:val="texto"/>
        <w:rPr>
          <w:rFonts w:eastAsia="Calibri"/>
          <w:lang w:eastAsia="es-ES"/>
        </w:rPr>
      </w:pPr>
      <w:r w:rsidRPr="001203E4">
        <w:rPr>
          <w:rFonts w:eastAsia="Calibri"/>
          <w:lang w:eastAsia="es-ES"/>
        </w:rPr>
        <w:t>El con</w:t>
      </w:r>
      <w:r>
        <w:rPr>
          <w:rFonts w:eastAsia="Calibri"/>
          <w:lang w:eastAsia="es-ES"/>
        </w:rPr>
        <w:t xml:space="preserve">cesionario, según establece la </w:t>
      </w:r>
      <w:r w:rsidRPr="0058136F">
        <w:rPr>
          <w:rFonts w:eastAsia="Calibri"/>
          <w:lang w:eastAsia="es-ES"/>
        </w:rPr>
        <w:t xml:space="preserve">Ley Foral </w:t>
      </w:r>
      <w:r w:rsidRPr="001203E4">
        <w:rPr>
          <w:rFonts w:eastAsia="Calibri"/>
          <w:lang w:eastAsia="es-ES"/>
        </w:rPr>
        <w:t>12/2005, asume el riesgo de con</w:t>
      </w:r>
      <w:r w:rsidR="00662EBC">
        <w:rPr>
          <w:rFonts w:eastAsia="Calibri"/>
          <w:lang w:eastAsia="es-ES"/>
        </w:rPr>
        <w:t>strucción, el de demanda de la Zona R</w:t>
      </w:r>
      <w:r w:rsidRPr="001203E4">
        <w:rPr>
          <w:rFonts w:eastAsia="Calibri"/>
          <w:lang w:eastAsia="es-ES"/>
        </w:rPr>
        <w:t xml:space="preserve">egable y el de disponibilidad de la infraestructura en adecuadas condiciones de uso. </w:t>
      </w:r>
    </w:p>
    <w:p w14:paraId="04ECA129" w14:textId="77777777" w:rsidR="00F97631" w:rsidRPr="000709E4" w:rsidRDefault="00F97631" w:rsidP="00F97631">
      <w:pPr>
        <w:pStyle w:val="texto"/>
        <w:rPr>
          <w:rFonts w:eastAsia="Calibri"/>
          <w:lang w:eastAsia="es-ES"/>
        </w:rPr>
      </w:pPr>
      <w:r w:rsidRPr="000709E4">
        <w:rPr>
          <w:rFonts w:eastAsia="Calibri"/>
          <w:lang w:eastAsia="es-ES"/>
        </w:rPr>
        <w:t xml:space="preserve">El presupuesto total </w:t>
      </w:r>
      <w:r w:rsidR="00FE6584">
        <w:rPr>
          <w:rFonts w:eastAsia="Calibri"/>
          <w:lang w:eastAsia="es-ES"/>
        </w:rPr>
        <w:t>estimado de la inversión de la Primera F</w:t>
      </w:r>
      <w:r w:rsidRPr="000709E4">
        <w:rPr>
          <w:rFonts w:eastAsia="Calibri"/>
          <w:lang w:eastAsia="es-ES"/>
        </w:rPr>
        <w:t xml:space="preserve">ase asciende a 172 millones. La suma de los PFROI de cada uno de los sectores de riego asciende a </w:t>
      </w:r>
      <w:r w:rsidR="00253193" w:rsidRPr="00253193">
        <w:rPr>
          <w:rFonts w:eastAsia="Calibri"/>
          <w:lang w:eastAsia="es-ES"/>
        </w:rPr>
        <w:t>169,88 millones</w:t>
      </w:r>
      <w:r w:rsidRPr="00253193">
        <w:rPr>
          <w:rFonts w:eastAsia="Calibri"/>
          <w:lang w:eastAsia="es-ES"/>
        </w:rPr>
        <w:t xml:space="preserve">. </w:t>
      </w:r>
      <w:r w:rsidRPr="000709E4">
        <w:rPr>
          <w:rFonts w:eastAsia="Calibri"/>
          <w:lang w:eastAsia="es-ES"/>
        </w:rPr>
        <w:t xml:space="preserve">Estas cifras incluyen el presupuesto de ejecución material más el 15 por ciento de gastos generales y beneficio industrial, el IVA y el </w:t>
      </w:r>
      <w:r>
        <w:rPr>
          <w:rFonts w:eastAsia="Calibri"/>
          <w:lang w:eastAsia="es-ES"/>
        </w:rPr>
        <w:t>ocho</w:t>
      </w:r>
      <w:r w:rsidRPr="000709E4">
        <w:rPr>
          <w:rFonts w:eastAsia="Calibri"/>
          <w:lang w:eastAsia="es-ES"/>
        </w:rPr>
        <w:t xml:space="preserve"> por ciento de </w:t>
      </w:r>
      <w:r w:rsidRPr="00253193">
        <w:rPr>
          <w:rFonts w:eastAsia="Calibri"/>
          <w:lang w:eastAsia="es-ES"/>
        </w:rPr>
        <w:t>gastos a cargo de la concesionaria</w:t>
      </w:r>
      <w:r w:rsidR="00253193">
        <w:rPr>
          <w:rFonts w:eastAsia="Calibri"/>
          <w:color w:val="FF0000"/>
          <w:lang w:eastAsia="es-ES"/>
        </w:rPr>
        <w:t>.</w:t>
      </w:r>
    </w:p>
    <w:p w14:paraId="04EF58F9" w14:textId="77777777" w:rsidR="00F97631" w:rsidRDefault="00DC50AB" w:rsidP="00F97631">
      <w:pPr>
        <w:spacing w:after="100"/>
        <w:ind w:firstLine="284"/>
        <w:rPr>
          <w:rFonts w:eastAsia="Calibri"/>
          <w:sz w:val="26"/>
          <w:szCs w:val="26"/>
          <w:lang w:eastAsia="es-ES"/>
        </w:rPr>
      </w:pPr>
      <w:r>
        <w:rPr>
          <w:rFonts w:eastAsia="Calibri"/>
          <w:sz w:val="26"/>
          <w:szCs w:val="26"/>
          <w:lang w:eastAsia="es-ES"/>
        </w:rPr>
        <w:t>L</w:t>
      </w:r>
      <w:r w:rsidR="00F97631">
        <w:rPr>
          <w:rFonts w:eastAsia="Calibri"/>
          <w:sz w:val="26"/>
          <w:szCs w:val="26"/>
          <w:lang w:eastAsia="es-ES"/>
        </w:rPr>
        <w:t>a retribución de la concesionaria está integrada por los siguientes componentes:</w:t>
      </w:r>
    </w:p>
    <w:p w14:paraId="6D34E8F9" w14:textId="77777777" w:rsidR="00F97631" w:rsidRPr="0058136F"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58136F">
        <w:rPr>
          <w:rFonts w:eastAsia="Calibri"/>
          <w:szCs w:val="26"/>
          <w:lang w:eastAsia="es-ES"/>
        </w:rPr>
        <w:t>Canon de demanda (</w:t>
      </w:r>
      <w:r w:rsidR="00B85365">
        <w:rPr>
          <w:rFonts w:eastAsia="Calibri"/>
          <w:szCs w:val="26"/>
          <w:lang w:eastAsia="es-ES"/>
        </w:rPr>
        <w:t xml:space="preserve">en adelante </w:t>
      </w:r>
      <w:r w:rsidRPr="0058136F">
        <w:rPr>
          <w:rFonts w:eastAsia="Calibri"/>
          <w:szCs w:val="26"/>
          <w:lang w:eastAsia="es-ES"/>
        </w:rPr>
        <w:t>CD): Es el producto de la tarifa unitaria corregida por el nivel de consumo de cada comunidad de regantes</w:t>
      </w:r>
      <w:r>
        <w:rPr>
          <w:rStyle w:val="Refdenotaalpie"/>
          <w:rFonts w:eastAsia="Calibri"/>
          <w:szCs w:val="26"/>
          <w:lang w:eastAsia="es-ES"/>
        </w:rPr>
        <w:footnoteReference w:id="6"/>
      </w:r>
      <w:r w:rsidRPr="0058136F">
        <w:rPr>
          <w:rFonts w:eastAsia="Calibri"/>
          <w:szCs w:val="26"/>
          <w:lang w:eastAsia="es-ES"/>
        </w:rPr>
        <w:t xml:space="preserve"> </w:t>
      </w:r>
      <w:proofErr w:type="gramStart"/>
      <w:r w:rsidRPr="0058136F">
        <w:rPr>
          <w:rFonts w:eastAsia="Calibri"/>
          <w:szCs w:val="26"/>
          <w:lang w:eastAsia="es-ES"/>
        </w:rPr>
        <w:t>( en</w:t>
      </w:r>
      <w:proofErr w:type="gramEnd"/>
      <w:r w:rsidRPr="0058136F">
        <w:rPr>
          <w:rFonts w:eastAsia="Calibri"/>
          <w:szCs w:val="26"/>
          <w:lang w:eastAsia="es-ES"/>
        </w:rPr>
        <w:t xml:space="preserve"> adelante CCRR) por el total de </w:t>
      </w:r>
      <w:r w:rsidRPr="00253193">
        <w:rPr>
          <w:rFonts w:eastAsia="Calibri"/>
          <w:szCs w:val="26"/>
          <w:lang w:eastAsia="es-ES"/>
        </w:rPr>
        <w:t xml:space="preserve">metros cúbicos </w:t>
      </w:r>
      <w:r w:rsidRPr="0058136F">
        <w:rPr>
          <w:rFonts w:eastAsia="Calibri"/>
          <w:szCs w:val="26"/>
          <w:lang w:eastAsia="es-ES"/>
        </w:rPr>
        <w:t xml:space="preserve">de agua consumidos por cada </w:t>
      </w:r>
      <w:r>
        <w:rPr>
          <w:rFonts w:eastAsia="Calibri"/>
          <w:szCs w:val="26"/>
          <w:lang w:eastAsia="es-ES"/>
        </w:rPr>
        <w:t>CCRR.</w:t>
      </w:r>
    </w:p>
    <w:p w14:paraId="21DA9238" w14:textId="77777777" w:rsidR="00F97631" w:rsidRPr="0058136F"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58136F">
        <w:rPr>
          <w:rFonts w:eastAsia="Calibri"/>
          <w:szCs w:val="26"/>
          <w:lang w:eastAsia="es-ES"/>
        </w:rPr>
        <w:t>Canon de calidad (</w:t>
      </w:r>
      <w:r w:rsidR="00B85365">
        <w:rPr>
          <w:rFonts w:eastAsia="Calibri"/>
          <w:szCs w:val="26"/>
          <w:lang w:eastAsia="es-ES"/>
        </w:rPr>
        <w:t xml:space="preserve">en adelante </w:t>
      </w:r>
      <w:r w:rsidRPr="0058136F">
        <w:rPr>
          <w:rFonts w:eastAsia="Calibri"/>
          <w:szCs w:val="26"/>
          <w:lang w:eastAsia="es-ES"/>
        </w:rPr>
        <w:t>CCGI): Se calcula en base a las hectáreas regadas netas de cada sector. Se aplicarán deducciones automáticas en caso de que la disponibilidad de la infraestructura esté por debajo de los estándares óptimos definidos en contrato.</w:t>
      </w:r>
    </w:p>
    <w:p w14:paraId="59282843" w14:textId="77777777" w:rsidR="00F97631" w:rsidRPr="009D3A3C" w:rsidRDefault="00B85365"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Pr>
          <w:rFonts w:eastAsia="Calibri"/>
          <w:szCs w:val="26"/>
          <w:lang w:eastAsia="es-ES"/>
        </w:rPr>
        <w:t>Canon de explotación</w:t>
      </w:r>
      <w:r w:rsidR="00F97631">
        <w:rPr>
          <w:rFonts w:eastAsia="Calibri"/>
          <w:szCs w:val="26"/>
          <w:lang w:eastAsia="es-ES"/>
        </w:rPr>
        <w:t xml:space="preserve">. </w:t>
      </w:r>
      <w:r w:rsidR="00F97631" w:rsidRPr="00253193">
        <w:rPr>
          <w:rFonts w:eastAsia="Calibri"/>
          <w:szCs w:val="26"/>
          <w:lang w:eastAsia="es-ES"/>
        </w:rPr>
        <w:t xml:space="preserve">La concesionaria lo percibe de la CCRR como abono anual de los gastos de </w:t>
      </w:r>
      <w:r w:rsidR="00253193" w:rsidRPr="00253193">
        <w:rPr>
          <w:rFonts w:eastAsia="Calibri"/>
          <w:szCs w:val="26"/>
          <w:lang w:eastAsia="es-ES"/>
        </w:rPr>
        <w:t>explotación de la obra pública</w:t>
      </w:r>
      <w:r w:rsidR="00F97631" w:rsidRPr="00253193">
        <w:rPr>
          <w:rFonts w:eastAsia="Calibri"/>
          <w:szCs w:val="26"/>
          <w:lang w:eastAsia="es-ES"/>
        </w:rPr>
        <w:t>.</w:t>
      </w:r>
      <w:r w:rsidR="00F97631">
        <w:rPr>
          <w:rFonts w:eastAsia="Calibri"/>
          <w:szCs w:val="26"/>
          <w:u w:val="single"/>
          <w:lang w:eastAsia="es-ES"/>
        </w:rPr>
        <w:t xml:space="preserve"> </w:t>
      </w:r>
    </w:p>
    <w:p w14:paraId="749D7BD6" w14:textId="77777777" w:rsidR="00F97631" w:rsidRPr="00F97119" w:rsidRDefault="00F97631" w:rsidP="00F97631">
      <w:pPr>
        <w:pStyle w:val="texto"/>
        <w:rPr>
          <w:rFonts w:eastAsia="Calibri"/>
          <w:lang w:eastAsia="es-ES"/>
        </w:rPr>
      </w:pPr>
      <w:r w:rsidRPr="00F97119">
        <w:rPr>
          <w:rFonts w:eastAsia="Calibri"/>
          <w:lang w:eastAsia="es-ES"/>
        </w:rPr>
        <w:t>Entre los años 2006 a 2011 se llevó a cabo la construcción de l</w:t>
      </w:r>
      <w:r>
        <w:rPr>
          <w:rFonts w:eastAsia="Calibri"/>
          <w:lang w:eastAsia="es-ES"/>
        </w:rPr>
        <w:t>os diferentes sectores</w:t>
      </w:r>
      <w:r w:rsidR="00D84F41">
        <w:rPr>
          <w:rFonts w:eastAsia="Calibri"/>
          <w:lang w:eastAsia="es-ES"/>
        </w:rPr>
        <w:t>;</w:t>
      </w:r>
      <w:r>
        <w:rPr>
          <w:rFonts w:eastAsia="Calibri"/>
          <w:lang w:eastAsia="es-ES"/>
        </w:rPr>
        <w:t xml:space="preserve"> todos están en explotación desde 2012.</w:t>
      </w:r>
    </w:p>
    <w:p w14:paraId="58A4B75A" w14:textId="77777777" w:rsidR="00F97631" w:rsidRDefault="00F97631" w:rsidP="00F97631">
      <w:pPr>
        <w:pStyle w:val="texto"/>
        <w:rPr>
          <w:rFonts w:eastAsia="Calibri"/>
          <w:lang w:eastAsia="es-ES"/>
        </w:rPr>
      </w:pPr>
      <w:r>
        <w:rPr>
          <w:rFonts w:eastAsia="Calibri"/>
          <w:lang w:eastAsia="es-ES"/>
        </w:rPr>
        <w:t>El modelo económico-financiero de la oferta presentada por el adjudicatario constituye el PEF del contrato; este</w:t>
      </w:r>
      <w:r w:rsidRPr="00F97119">
        <w:rPr>
          <w:rFonts w:eastAsia="Calibri"/>
          <w:lang w:eastAsia="es-ES"/>
        </w:rPr>
        <w:t xml:space="preserve"> ha sido actualizado con los valores resultantes de </w:t>
      </w:r>
      <w:r>
        <w:rPr>
          <w:rFonts w:eastAsia="Calibri"/>
          <w:lang w:eastAsia="es-ES"/>
        </w:rPr>
        <w:t>cuatro</w:t>
      </w:r>
      <w:r w:rsidRPr="00F97119">
        <w:rPr>
          <w:rFonts w:eastAsia="Calibri"/>
          <w:lang w:eastAsia="es-ES"/>
        </w:rPr>
        <w:t xml:space="preserve"> reequilibri</w:t>
      </w:r>
      <w:r>
        <w:rPr>
          <w:rFonts w:eastAsia="Calibri"/>
          <w:lang w:eastAsia="es-ES"/>
        </w:rPr>
        <w:t>os realizados entre 2008 y 2011</w:t>
      </w:r>
      <w:r w:rsidRPr="00D87B98">
        <w:rPr>
          <w:rFonts w:eastAsia="Calibri"/>
          <w:lang w:eastAsia="es-ES"/>
        </w:rPr>
        <w:t xml:space="preserve"> </w:t>
      </w:r>
      <w:r w:rsidRPr="00A10CF3">
        <w:rPr>
          <w:rFonts w:eastAsia="Calibri"/>
          <w:lang w:eastAsia="es-ES"/>
        </w:rPr>
        <w:t>como consecuencia del ajuste del contrato a la dimensión real de la transformación relativos a</w:t>
      </w:r>
      <w:r>
        <w:rPr>
          <w:rFonts w:eastAsia="Calibri"/>
          <w:lang w:eastAsia="es-ES"/>
        </w:rPr>
        <w:t>:</w:t>
      </w:r>
      <w:r w:rsidRPr="00A10CF3">
        <w:rPr>
          <w:rFonts w:eastAsia="Calibri"/>
          <w:lang w:eastAsia="es-ES"/>
        </w:rPr>
        <w:t xml:space="preserve"> importes finales de obra, las hectáreas definitivamente incluidas, las fechas definitivas de la puesta en riego de los diferentes sectores, etc.</w:t>
      </w:r>
      <w:r>
        <w:rPr>
          <w:rFonts w:eastAsia="Calibri"/>
          <w:lang w:eastAsia="es-ES"/>
        </w:rPr>
        <w:t xml:space="preserve"> </w:t>
      </w:r>
      <w:r w:rsidRPr="00F97119">
        <w:rPr>
          <w:rFonts w:eastAsia="Calibri"/>
          <w:lang w:eastAsia="es-ES"/>
        </w:rPr>
        <w:t xml:space="preserve"> El último reequilibrio se </w:t>
      </w:r>
      <w:r w:rsidR="00D84F41">
        <w:rPr>
          <w:rFonts w:eastAsia="Calibri"/>
          <w:lang w:eastAsia="es-ES"/>
        </w:rPr>
        <w:t>aprobó</w:t>
      </w:r>
      <w:r w:rsidRPr="00F97119">
        <w:rPr>
          <w:rFonts w:eastAsia="Calibri"/>
          <w:lang w:eastAsia="es-ES"/>
        </w:rPr>
        <w:t xml:space="preserve"> el 31 de diciembre de 2011, </w:t>
      </w:r>
      <w:r>
        <w:rPr>
          <w:rFonts w:eastAsia="Calibri"/>
          <w:lang w:eastAsia="es-ES"/>
        </w:rPr>
        <w:t xml:space="preserve">y, </w:t>
      </w:r>
      <w:r w:rsidRPr="00F97119">
        <w:rPr>
          <w:rFonts w:eastAsia="Calibri"/>
          <w:lang w:eastAsia="es-ES"/>
        </w:rPr>
        <w:t>por tanto, el PEF vigente es el derivado de este último.</w:t>
      </w:r>
    </w:p>
    <w:p w14:paraId="421AE637" w14:textId="77777777" w:rsidR="00F97631" w:rsidRPr="00585A5D" w:rsidRDefault="00F97631" w:rsidP="00F97631">
      <w:pPr>
        <w:pStyle w:val="texto"/>
        <w:spacing w:after="240"/>
        <w:rPr>
          <w:rFonts w:eastAsia="Calibri"/>
          <w:spacing w:val="0"/>
          <w:lang w:eastAsia="es-ES"/>
        </w:rPr>
      </w:pPr>
      <w:r w:rsidRPr="00585A5D">
        <w:rPr>
          <w:rFonts w:eastAsia="Calibri"/>
          <w:spacing w:val="0"/>
          <w:lang w:eastAsia="es-ES"/>
        </w:rPr>
        <w:t>Las tarifas unitarias de 2006 (IVA excluido) del CD y CCGI correspondientes a la oferta se actualizan con los porcentajes resultantes de los cuatro reequilibrios realizados.</w:t>
      </w:r>
    </w:p>
    <w:tbl>
      <w:tblPr>
        <w:tblW w:w="9077" w:type="dxa"/>
        <w:tblInd w:w="-5"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1559"/>
        <w:gridCol w:w="1848"/>
        <w:gridCol w:w="2245"/>
        <w:gridCol w:w="3425"/>
      </w:tblGrid>
      <w:tr w:rsidR="00F97631" w:rsidRPr="006B7451" w14:paraId="253CF942" w14:textId="77777777" w:rsidTr="00E428A6">
        <w:trPr>
          <w:trHeight w:val="255"/>
        </w:trPr>
        <w:tc>
          <w:tcPr>
            <w:tcW w:w="1559" w:type="dxa"/>
            <w:tcBorders>
              <w:top w:val="single" w:sz="4" w:space="0" w:color="auto"/>
              <w:bottom w:val="single" w:sz="4" w:space="0" w:color="auto"/>
            </w:tcBorders>
            <w:shd w:val="clear" w:color="auto" w:fill="B8CCE4" w:themeFill="accent1" w:themeFillTint="66"/>
            <w:vAlign w:val="center"/>
            <w:hideMark/>
          </w:tcPr>
          <w:p w14:paraId="1CFEA2C0" w14:textId="77777777" w:rsidR="00F97631" w:rsidRPr="006B7451" w:rsidRDefault="00F97631" w:rsidP="00716D48">
            <w:pPr>
              <w:pStyle w:val="cuadroCabe"/>
              <w:rPr>
                <w:lang w:val="es-ES" w:eastAsia="es-ES"/>
              </w:rPr>
            </w:pPr>
            <w:r w:rsidRPr="006B7451">
              <w:rPr>
                <w:lang w:val="es-ES" w:eastAsia="es-ES"/>
              </w:rPr>
              <w:t>Canon</w:t>
            </w:r>
          </w:p>
        </w:tc>
        <w:tc>
          <w:tcPr>
            <w:tcW w:w="1848" w:type="dxa"/>
            <w:tcBorders>
              <w:top w:val="single" w:sz="4" w:space="0" w:color="auto"/>
              <w:bottom w:val="single" w:sz="4" w:space="0" w:color="auto"/>
            </w:tcBorders>
            <w:shd w:val="clear" w:color="auto" w:fill="B8CCE4" w:themeFill="accent1" w:themeFillTint="66"/>
            <w:vAlign w:val="center"/>
            <w:hideMark/>
          </w:tcPr>
          <w:p w14:paraId="6FB66043" w14:textId="77777777" w:rsidR="00F97631" w:rsidRPr="006B7451" w:rsidRDefault="00F97631" w:rsidP="00716D48">
            <w:pPr>
              <w:pStyle w:val="cuadroCabe"/>
              <w:rPr>
                <w:lang w:val="es-ES" w:eastAsia="es-ES"/>
              </w:rPr>
            </w:pPr>
            <w:r w:rsidRPr="006B7451">
              <w:rPr>
                <w:lang w:val="es-ES" w:eastAsia="es-ES"/>
              </w:rPr>
              <w:t>Unidad medida</w:t>
            </w:r>
          </w:p>
        </w:tc>
        <w:tc>
          <w:tcPr>
            <w:tcW w:w="2245" w:type="dxa"/>
            <w:tcBorders>
              <w:top w:val="single" w:sz="4" w:space="0" w:color="auto"/>
              <w:bottom w:val="single" w:sz="4" w:space="0" w:color="auto"/>
            </w:tcBorders>
            <w:shd w:val="clear" w:color="auto" w:fill="B8CCE4" w:themeFill="accent1" w:themeFillTint="66"/>
            <w:vAlign w:val="center"/>
            <w:hideMark/>
          </w:tcPr>
          <w:p w14:paraId="4297D33D" w14:textId="77777777" w:rsidR="00F97631" w:rsidRPr="006B7451" w:rsidRDefault="00F97631" w:rsidP="00716D48">
            <w:pPr>
              <w:pStyle w:val="cuadroCabe"/>
              <w:jc w:val="right"/>
              <w:rPr>
                <w:lang w:val="es-ES" w:eastAsia="es-ES"/>
              </w:rPr>
            </w:pPr>
            <w:r w:rsidRPr="006B7451">
              <w:rPr>
                <w:lang w:val="es-ES" w:eastAsia="es-ES"/>
              </w:rPr>
              <w:t>Tarifa unitaria base 2006</w:t>
            </w:r>
            <w:r>
              <w:rPr>
                <w:lang w:val="es-ES" w:eastAsia="es-ES"/>
              </w:rPr>
              <w:t xml:space="preserve"> </w:t>
            </w:r>
          </w:p>
        </w:tc>
        <w:tc>
          <w:tcPr>
            <w:tcW w:w="3425" w:type="dxa"/>
            <w:tcBorders>
              <w:top w:val="single" w:sz="4" w:space="0" w:color="auto"/>
              <w:bottom w:val="single" w:sz="4" w:space="0" w:color="auto"/>
            </w:tcBorders>
            <w:shd w:val="clear" w:color="auto" w:fill="B8CCE4" w:themeFill="accent1" w:themeFillTint="66"/>
            <w:vAlign w:val="center"/>
            <w:hideMark/>
          </w:tcPr>
          <w:p w14:paraId="558FB063" w14:textId="77777777" w:rsidR="00F97631" w:rsidRDefault="00F97631" w:rsidP="00716D48">
            <w:pPr>
              <w:pStyle w:val="cuadroCabe"/>
              <w:jc w:val="right"/>
              <w:rPr>
                <w:lang w:val="es-ES" w:eastAsia="es-ES"/>
              </w:rPr>
            </w:pPr>
            <w:r w:rsidRPr="006B7451">
              <w:rPr>
                <w:lang w:val="es-ES" w:eastAsia="es-ES"/>
              </w:rPr>
              <w:t>Tarifa unitaria base 2006</w:t>
            </w:r>
          </w:p>
          <w:p w14:paraId="046EAF05" w14:textId="77777777" w:rsidR="00F97631" w:rsidRPr="006B7451" w:rsidRDefault="00F97631" w:rsidP="00716D48">
            <w:pPr>
              <w:pStyle w:val="cuadroCabe"/>
              <w:jc w:val="right"/>
              <w:rPr>
                <w:lang w:val="es-ES" w:eastAsia="es-ES"/>
              </w:rPr>
            </w:pPr>
            <w:r w:rsidRPr="006B7451">
              <w:rPr>
                <w:lang w:val="es-ES" w:eastAsia="es-ES"/>
              </w:rPr>
              <w:t xml:space="preserve"> actualizada por reequilibrios</w:t>
            </w:r>
          </w:p>
        </w:tc>
      </w:tr>
      <w:tr w:rsidR="00F97631" w:rsidRPr="006B7451" w14:paraId="43F262B8" w14:textId="77777777" w:rsidTr="00E428A6">
        <w:trPr>
          <w:trHeight w:val="255"/>
        </w:trPr>
        <w:tc>
          <w:tcPr>
            <w:tcW w:w="1559" w:type="dxa"/>
            <w:tcBorders>
              <w:top w:val="single" w:sz="4" w:space="0" w:color="auto"/>
            </w:tcBorders>
            <w:shd w:val="clear" w:color="auto" w:fill="auto"/>
            <w:noWrap/>
            <w:vAlign w:val="center"/>
            <w:hideMark/>
          </w:tcPr>
          <w:p w14:paraId="2F33136C" w14:textId="77777777" w:rsidR="00F97631" w:rsidRPr="006B7451" w:rsidRDefault="00F97631" w:rsidP="00716D48">
            <w:pPr>
              <w:pStyle w:val="cuatexto"/>
              <w:rPr>
                <w:lang w:val="es-ES" w:eastAsia="es-ES"/>
              </w:rPr>
            </w:pPr>
            <w:r w:rsidRPr="006B7451">
              <w:rPr>
                <w:lang w:val="es-ES" w:eastAsia="es-ES"/>
              </w:rPr>
              <w:t>Canon demanda</w:t>
            </w:r>
          </w:p>
        </w:tc>
        <w:tc>
          <w:tcPr>
            <w:tcW w:w="1848" w:type="dxa"/>
            <w:tcBorders>
              <w:top w:val="single" w:sz="4" w:space="0" w:color="auto"/>
            </w:tcBorders>
            <w:shd w:val="clear" w:color="auto" w:fill="auto"/>
            <w:vAlign w:val="center"/>
            <w:hideMark/>
          </w:tcPr>
          <w:p w14:paraId="557CE3C9" w14:textId="77777777" w:rsidR="00F97631" w:rsidRPr="006B7451" w:rsidRDefault="00F97631" w:rsidP="00716D48">
            <w:pPr>
              <w:pStyle w:val="cuatexto"/>
              <w:rPr>
                <w:lang w:val="es-ES" w:eastAsia="es-ES"/>
              </w:rPr>
            </w:pPr>
            <w:r w:rsidRPr="006B7451">
              <w:rPr>
                <w:lang w:val="es-ES" w:eastAsia="es-ES"/>
              </w:rPr>
              <w:t>(euros/ m</w:t>
            </w:r>
            <w:r w:rsidRPr="005F0218">
              <w:rPr>
                <w:vertAlign w:val="superscript"/>
                <w:lang w:val="es-ES" w:eastAsia="es-ES"/>
              </w:rPr>
              <w:t>3</w:t>
            </w:r>
            <w:r w:rsidRPr="006B7451">
              <w:rPr>
                <w:lang w:val="es-ES" w:eastAsia="es-ES"/>
              </w:rPr>
              <w:t>)</w:t>
            </w:r>
          </w:p>
        </w:tc>
        <w:tc>
          <w:tcPr>
            <w:tcW w:w="2245" w:type="dxa"/>
            <w:tcBorders>
              <w:top w:val="single" w:sz="4" w:space="0" w:color="auto"/>
            </w:tcBorders>
            <w:shd w:val="clear" w:color="auto" w:fill="auto"/>
            <w:noWrap/>
            <w:vAlign w:val="center"/>
            <w:hideMark/>
          </w:tcPr>
          <w:p w14:paraId="333B6FC9" w14:textId="77777777" w:rsidR="00F97631" w:rsidRPr="006B7451" w:rsidRDefault="00F97631" w:rsidP="00716D48">
            <w:pPr>
              <w:pStyle w:val="cuatexto"/>
              <w:jc w:val="right"/>
              <w:rPr>
                <w:lang w:val="es-ES" w:eastAsia="es-ES"/>
              </w:rPr>
            </w:pPr>
            <w:r>
              <w:rPr>
                <w:lang w:val="es-ES" w:eastAsia="es-ES"/>
              </w:rPr>
              <w:t>0,</w:t>
            </w:r>
            <w:r w:rsidRPr="006B7451">
              <w:rPr>
                <w:lang w:val="es-ES" w:eastAsia="es-ES"/>
              </w:rPr>
              <w:t>0446</w:t>
            </w:r>
          </w:p>
        </w:tc>
        <w:tc>
          <w:tcPr>
            <w:tcW w:w="3425" w:type="dxa"/>
            <w:tcBorders>
              <w:top w:val="single" w:sz="4" w:space="0" w:color="auto"/>
            </w:tcBorders>
            <w:shd w:val="clear" w:color="auto" w:fill="auto"/>
            <w:vAlign w:val="center"/>
            <w:hideMark/>
          </w:tcPr>
          <w:p w14:paraId="0A3C3CBA" w14:textId="77777777" w:rsidR="00F97631" w:rsidRPr="006B7451" w:rsidRDefault="00F97631" w:rsidP="00716D48">
            <w:pPr>
              <w:pStyle w:val="cuatexto"/>
              <w:jc w:val="right"/>
              <w:rPr>
                <w:lang w:val="es-ES" w:eastAsia="es-ES"/>
              </w:rPr>
            </w:pPr>
            <w:r>
              <w:rPr>
                <w:lang w:val="es-ES" w:eastAsia="es-ES"/>
              </w:rPr>
              <w:t>0,</w:t>
            </w:r>
            <w:r w:rsidRPr="006B7451">
              <w:rPr>
                <w:lang w:val="es-ES" w:eastAsia="es-ES"/>
              </w:rPr>
              <w:t>0565</w:t>
            </w:r>
          </w:p>
        </w:tc>
      </w:tr>
      <w:tr w:rsidR="00F97631" w:rsidRPr="006B7451" w14:paraId="44459188" w14:textId="77777777" w:rsidTr="00E428A6">
        <w:trPr>
          <w:trHeight w:val="255"/>
        </w:trPr>
        <w:tc>
          <w:tcPr>
            <w:tcW w:w="1559" w:type="dxa"/>
            <w:shd w:val="clear" w:color="auto" w:fill="auto"/>
            <w:noWrap/>
            <w:vAlign w:val="center"/>
            <w:hideMark/>
          </w:tcPr>
          <w:p w14:paraId="44C1FAB2" w14:textId="77777777" w:rsidR="00F97631" w:rsidRPr="006B7451" w:rsidRDefault="00F97631" w:rsidP="00716D48">
            <w:pPr>
              <w:pStyle w:val="cuatexto"/>
              <w:rPr>
                <w:lang w:val="es-ES" w:eastAsia="es-ES"/>
              </w:rPr>
            </w:pPr>
            <w:r w:rsidRPr="006B7451">
              <w:rPr>
                <w:lang w:val="es-ES" w:eastAsia="es-ES"/>
              </w:rPr>
              <w:t xml:space="preserve">Canon calidad </w:t>
            </w:r>
          </w:p>
        </w:tc>
        <w:tc>
          <w:tcPr>
            <w:tcW w:w="1848" w:type="dxa"/>
            <w:shd w:val="clear" w:color="auto" w:fill="auto"/>
            <w:vAlign w:val="center"/>
            <w:hideMark/>
          </w:tcPr>
          <w:p w14:paraId="60BB4DF0" w14:textId="77777777" w:rsidR="00F97631" w:rsidRPr="006B7451" w:rsidRDefault="00F97631" w:rsidP="00716D48">
            <w:pPr>
              <w:pStyle w:val="cuatexto"/>
              <w:rPr>
                <w:lang w:val="es-ES" w:eastAsia="es-ES"/>
              </w:rPr>
            </w:pPr>
            <w:r>
              <w:rPr>
                <w:lang w:val="es-ES" w:eastAsia="es-ES"/>
              </w:rPr>
              <w:t>euros</w:t>
            </w:r>
            <w:r w:rsidRPr="006B7451">
              <w:rPr>
                <w:lang w:val="es-ES" w:eastAsia="es-ES"/>
              </w:rPr>
              <w:t>/Ha regada neta</w:t>
            </w:r>
          </w:p>
        </w:tc>
        <w:tc>
          <w:tcPr>
            <w:tcW w:w="2245" w:type="dxa"/>
            <w:shd w:val="clear" w:color="auto" w:fill="auto"/>
            <w:noWrap/>
            <w:vAlign w:val="center"/>
            <w:hideMark/>
          </w:tcPr>
          <w:p w14:paraId="0CA9D0C6" w14:textId="77777777" w:rsidR="00F97631" w:rsidRPr="006B7451" w:rsidRDefault="00F97631" w:rsidP="00716D48">
            <w:pPr>
              <w:pStyle w:val="cuatexto"/>
              <w:jc w:val="right"/>
              <w:rPr>
                <w:lang w:val="es-ES" w:eastAsia="es-ES"/>
              </w:rPr>
            </w:pPr>
            <w:r>
              <w:rPr>
                <w:lang w:val="es-ES" w:eastAsia="es-ES"/>
              </w:rPr>
              <w:t>202,</w:t>
            </w:r>
            <w:r w:rsidRPr="006B7451">
              <w:rPr>
                <w:lang w:val="es-ES" w:eastAsia="es-ES"/>
              </w:rPr>
              <w:t>07</w:t>
            </w:r>
          </w:p>
        </w:tc>
        <w:tc>
          <w:tcPr>
            <w:tcW w:w="3425" w:type="dxa"/>
            <w:shd w:val="clear" w:color="auto" w:fill="auto"/>
            <w:vAlign w:val="center"/>
            <w:hideMark/>
          </w:tcPr>
          <w:p w14:paraId="69BAF493" w14:textId="77777777" w:rsidR="00F97631" w:rsidRPr="006B7451" w:rsidRDefault="00F97631" w:rsidP="00716D48">
            <w:pPr>
              <w:pStyle w:val="cuatexto"/>
              <w:jc w:val="right"/>
              <w:rPr>
                <w:lang w:val="es-ES" w:eastAsia="es-ES"/>
              </w:rPr>
            </w:pPr>
            <w:r w:rsidRPr="006B7451">
              <w:rPr>
                <w:lang w:val="es-ES" w:eastAsia="es-ES"/>
              </w:rPr>
              <w:t>255,96</w:t>
            </w:r>
          </w:p>
        </w:tc>
      </w:tr>
    </w:tbl>
    <w:p w14:paraId="3BECD7FD" w14:textId="77777777" w:rsidR="00F97631" w:rsidRPr="00F97119" w:rsidRDefault="00F97631" w:rsidP="005C0319">
      <w:pPr>
        <w:pStyle w:val="texto"/>
        <w:spacing w:before="120"/>
        <w:rPr>
          <w:rFonts w:eastAsia="Calibri"/>
          <w:lang w:eastAsia="es-ES"/>
        </w:rPr>
      </w:pPr>
      <w:r w:rsidRPr="003A7701">
        <w:rPr>
          <w:rFonts w:eastAsia="Calibri"/>
          <w:lang w:eastAsia="es-ES"/>
        </w:rPr>
        <w:t xml:space="preserve">Sucesivamente, para cada ejercicio se actualizan </w:t>
      </w:r>
      <w:r w:rsidRPr="00E26448">
        <w:rPr>
          <w:rFonts w:eastAsia="Calibri"/>
          <w:lang w:eastAsia="es-ES"/>
        </w:rPr>
        <w:t xml:space="preserve">según </w:t>
      </w:r>
      <w:r w:rsidR="00E26448" w:rsidRPr="00E26448">
        <w:rPr>
          <w:rFonts w:eastAsia="Calibri"/>
          <w:lang w:eastAsia="es-ES"/>
        </w:rPr>
        <w:t xml:space="preserve">el </w:t>
      </w:r>
      <w:r w:rsidRPr="00E26448">
        <w:rPr>
          <w:rFonts w:eastAsia="Calibri"/>
          <w:lang w:eastAsia="es-ES"/>
        </w:rPr>
        <w:t>IPC nacional.</w:t>
      </w:r>
    </w:p>
    <w:p w14:paraId="0826C6A0" w14:textId="77777777" w:rsidR="00F97631" w:rsidRDefault="00F97631" w:rsidP="005C0319">
      <w:pPr>
        <w:pStyle w:val="texto"/>
        <w:spacing w:after="0"/>
        <w:rPr>
          <w:rFonts w:eastAsia="Calibri"/>
          <w:lang w:eastAsia="es-ES"/>
        </w:rPr>
      </w:pPr>
      <w:r w:rsidRPr="00F97119">
        <w:rPr>
          <w:rFonts w:eastAsia="Calibri"/>
          <w:lang w:eastAsia="es-ES"/>
        </w:rPr>
        <w:t xml:space="preserve">Los pagos realizados </w:t>
      </w:r>
      <w:r>
        <w:rPr>
          <w:rFonts w:eastAsia="Calibri"/>
          <w:lang w:eastAsia="es-ES"/>
        </w:rPr>
        <w:t xml:space="preserve">por la ACFN </w:t>
      </w:r>
      <w:r w:rsidRPr="00F97119">
        <w:rPr>
          <w:rFonts w:eastAsia="Calibri"/>
          <w:lang w:eastAsia="es-ES"/>
        </w:rPr>
        <w:t>en con</w:t>
      </w:r>
      <w:r>
        <w:rPr>
          <w:rFonts w:eastAsia="Calibri"/>
          <w:lang w:eastAsia="es-ES"/>
        </w:rPr>
        <w:t xml:space="preserve">cepto de canon </w:t>
      </w:r>
      <w:r w:rsidR="00FE6584">
        <w:rPr>
          <w:rFonts w:eastAsia="Calibri"/>
          <w:lang w:eastAsia="es-ES"/>
        </w:rPr>
        <w:t>de los riegos de la Primera F</w:t>
      </w:r>
      <w:r>
        <w:rPr>
          <w:rFonts w:eastAsia="Calibri"/>
          <w:lang w:eastAsia="es-ES"/>
        </w:rPr>
        <w:t>ase del</w:t>
      </w:r>
      <w:r w:rsidRPr="00F97119">
        <w:rPr>
          <w:rFonts w:eastAsia="Calibri"/>
          <w:lang w:eastAsia="es-ES"/>
        </w:rPr>
        <w:t xml:space="preserve"> Canal de Navarra</w:t>
      </w:r>
      <w:r>
        <w:rPr>
          <w:rFonts w:eastAsia="Calibri"/>
          <w:lang w:eastAsia="es-ES"/>
        </w:rPr>
        <w:t xml:space="preserve">, </w:t>
      </w:r>
      <w:r w:rsidRPr="0058136F">
        <w:rPr>
          <w:rFonts w:eastAsia="Calibri"/>
          <w:lang w:eastAsia="es-ES"/>
        </w:rPr>
        <w:t>desde 2007 hasta 2021</w:t>
      </w:r>
      <w:r>
        <w:rPr>
          <w:rFonts w:eastAsia="Calibri"/>
          <w:lang w:eastAsia="es-ES"/>
        </w:rPr>
        <w:t>,</w:t>
      </w:r>
      <w:r w:rsidRPr="00F97119">
        <w:rPr>
          <w:rFonts w:eastAsia="Calibri"/>
          <w:lang w:eastAsia="es-ES"/>
        </w:rPr>
        <w:t xml:space="preserve"> asciende</w:t>
      </w:r>
      <w:r>
        <w:rPr>
          <w:rFonts w:eastAsia="Calibri"/>
          <w:lang w:eastAsia="es-ES"/>
        </w:rPr>
        <w:t>n</w:t>
      </w:r>
      <w:r w:rsidRPr="00F97119">
        <w:rPr>
          <w:rFonts w:eastAsia="Calibri"/>
          <w:lang w:eastAsia="es-ES"/>
        </w:rPr>
        <w:t xml:space="preserve"> a </w:t>
      </w:r>
      <w:r>
        <w:rPr>
          <w:rFonts w:eastAsia="Calibri"/>
          <w:lang w:eastAsia="es-ES"/>
        </w:rPr>
        <w:t>170</w:t>
      </w:r>
      <w:r w:rsidRPr="00F97119">
        <w:rPr>
          <w:rFonts w:eastAsia="Calibri"/>
          <w:lang w:eastAsia="es-ES"/>
        </w:rPr>
        <w:t xml:space="preserve"> millones.</w:t>
      </w:r>
    </w:p>
    <w:p w14:paraId="529EA710" w14:textId="77777777" w:rsidR="00F97631" w:rsidRDefault="00F97631" w:rsidP="005C0319">
      <w:pPr>
        <w:pStyle w:val="texto"/>
        <w:spacing w:before="120"/>
        <w:rPr>
          <w:rFonts w:eastAsia="Calibri"/>
          <w:lang w:eastAsia="es-ES"/>
        </w:rPr>
      </w:pPr>
      <w:r w:rsidRPr="00F97119">
        <w:rPr>
          <w:rFonts w:eastAsia="Calibri"/>
          <w:lang w:eastAsia="es-ES"/>
        </w:rPr>
        <w:t xml:space="preserve">Los accionistas con participación en el capital social de </w:t>
      </w:r>
      <w:r w:rsidR="00B85365">
        <w:rPr>
          <w:rFonts w:eastAsia="Calibri"/>
          <w:lang w:eastAsia="es-ES"/>
        </w:rPr>
        <w:t>AGUACANAL</w:t>
      </w:r>
      <w:r w:rsidRPr="00F97119">
        <w:rPr>
          <w:rFonts w:eastAsia="Calibri"/>
          <w:lang w:eastAsia="es-ES"/>
        </w:rPr>
        <w:t xml:space="preserve"> a 31 de diciembre de</w:t>
      </w:r>
      <w:r w:rsidRPr="00A10CF3">
        <w:rPr>
          <w:rFonts w:eastAsia="Calibri"/>
          <w:lang w:eastAsia="es-ES"/>
        </w:rPr>
        <w:t xml:space="preserve"> 2021 </w:t>
      </w:r>
      <w:r w:rsidRPr="00F97119">
        <w:rPr>
          <w:rFonts w:eastAsia="Calibri"/>
          <w:lang w:eastAsia="es-ES"/>
        </w:rPr>
        <w:t xml:space="preserve">son, al 50 por ciento, </w:t>
      </w:r>
      <w:proofErr w:type="spellStart"/>
      <w:r>
        <w:rPr>
          <w:rFonts w:eastAsia="Calibri"/>
          <w:lang w:eastAsia="es-ES"/>
        </w:rPr>
        <w:t>Impact</w:t>
      </w:r>
      <w:proofErr w:type="spellEnd"/>
      <w:r>
        <w:rPr>
          <w:rFonts w:eastAsia="Calibri"/>
          <w:lang w:eastAsia="es-ES"/>
        </w:rPr>
        <w:t xml:space="preserve"> Navarra S.L.U. y la</w:t>
      </w:r>
      <w:r w:rsidR="00564285">
        <w:rPr>
          <w:rFonts w:eastAsia="Calibri"/>
          <w:lang w:eastAsia="es-ES"/>
        </w:rPr>
        <w:t xml:space="preserve"> </w:t>
      </w:r>
      <w:r w:rsidRPr="00F97119">
        <w:rPr>
          <w:rFonts w:eastAsia="Calibri"/>
          <w:lang w:eastAsia="es-ES"/>
        </w:rPr>
        <w:t>Sociedad Gen</w:t>
      </w:r>
      <w:r w:rsidR="00564285">
        <w:rPr>
          <w:rFonts w:eastAsia="Calibri"/>
          <w:lang w:eastAsia="es-ES"/>
        </w:rPr>
        <w:t>eral de Aguas de Barcelona S.A.</w:t>
      </w:r>
      <w:r w:rsidRPr="00F97119">
        <w:rPr>
          <w:rFonts w:eastAsia="Calibri"/>
          <w:lang w:eastAsia="es-ES"/>
        </w:rPr>
        <w:t xml:space="preserve"> </w:t>
      </w:r>
      <w:r w:rsidRPr="000118F4">
        <w:rPr>
          <w:rFonts w:eastAsia="Calibri"/>
          <w:lang w:eastAsia="es-ES"/>
        </w:rPr>
        <w:t xml:space="preserve">(en adelante AGBAR). </w:t>
      </w:r>
    </w:p>
    <w:p w14:paraId="2B7C00D5" w14:textId="77777777" w:rsidR="000118F4" w:rsidRDefault="00B85365" w:rsidP="007610EF">
      <w:pPr>
        <w:pStyle w:val="texto"/>
        <w:tabs>
          <w:tab w:val="clear" w:pos="2835"/>
          <w:tab w:val="clear" w:pos="3969"/>
          <w:tab w:val="clear" w:pos="5103"/>
          <w:tab w:val="clear" w:pos="6237"/>
          <w:tab w:val="clear" w:pos="7371"/>
        </w:tabs>
        <w:spacing w:after="120"/>
        <w:rPr>
          <w:szCs w:val="26"/>
        </w:rPr>
      </w:pPr>
      <w:r>
        <w:rPr>
          <w:szCs w:val="26"/>
        </w:rPr>
        <w:t>La evolución de la e</w:t>
      </w:r>
      <w:r w:rsidR="000118F4">
        <w:rPr>
          <w:szCs w:val="26"/>
        </w:rPr>
        <w:t>structura accionarial</w:t>
      </w:r>
      <w:r>
        <w:rPr>
          <w:szCs w:val="26"/>
        </w:rPr>
        <w:t xml:space="preserve">, en porcentaje sobre la cifra de capital social, de AGUACANAL en el periodo 2014-2021 es la siguiente: </w:t>
      </w:r>
      <w:r w:rsidR="000118F4">
        <w:rPr>
          <w:szCs w:val="26"/>
        </w:rPr>
        <w:t xml:space="preserve"> </w:t>
      </w:r>
    </w:p>
    <w:tbl>
      <w:tblPr>
        <w:tblW w:w="9131"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4536"/>
        <w:gridCol w:w="640"/>
        <w:gridCol w:w="565"/>
        <w:gridCol w:w="565"/>
        <w:gridCol w:w="565"/>
        <w:gridCol w:w="565"/>
        <w:gridCol w:w="565"/>
        <w:gridCol w:w="565"/>
        <w:gridCol w:w="565"/>
      </w:tblGrid>
      <w:tr w:rsidR="00B85365" w:rsidRPr="00F40497" w14:paraId="66FBA6E3" w14:textId="77777777" w:rsidTr="00E428A6">
        <w:trPr>
          <w:trHeight w:val="255"/>
        </w:trPr>
        <w:tc>
          <w:tcPr>
            <w:tcW w:w="4536" w:type="dxa"/>
            <w:tcBorders>
              <w:top w:val="single" w:sz="4" w:space="0" w:color="auto"/>
              <w:bottom w:val="single" w:sz="4" w:space="0" w:color="auto"/>
            </w:tcBorders>
            <w:shd w:val="clear" w:color="auto" w:fill="B8CCE4" w:themeFill="accent1" w:themeFillTint="66"/>
            <w:noWrap/>
            <w:vAlign w:val="center"/>
            <w:hideMark/>
          </w:tcPr>
          <w:p w14:paraId="4F38B40F" w14:textId="77777777" w:rsidR="00B85365" w:rsidRPr="00F40497" w:rsidRDefault="00B85365" w:rsidP="00E63845">
            <w:pPr>
              <w:pStyle w:val="cuadroCabe"/>
              <w:spacing w:line="240" w:lineRule="auto"/>
              <w:jc w:val="left"/>
              <w:rPr>
                <w:lang w:val="es-ES" w:eastAsia="es-ES"/>
              </w:rPr>
            </w:pPr>
            <w:r w:rsidRPr="00F40497">
              <w:rPr>
                <w:lang w:val="es-ES" w:eastAsia="es-ES"/>
              </w:rPr>
              <w:t>Es</w:t>
            </w:r>
            <w:r>
              <w:rPr>
                <w:lang w:val="es-ES" w:eastAsia="es-ES"/>
              </w:rPr>
              <w:t xml:space="preserve">tructura accionarial </w:t>
            </w:r>
          </w:p>
        </w:tc>
        <w:tc>
          <w:tcPr>
            <w:tcW w:w="640" w:type="dxa"/>
            <w:tcBorders>
              <w:top w:val="single" w:sz="4" w:space="0" w:color="auto"/>
              <w:bottom w:val="single" w:sz="4" w:space="0" w:color="auto"/>
            </w:tcBorders>
            <w:shd w:val="clear" w:color="auto" w:fill="B8CCE4" w:themeFill="accent1" w:themeFillTint="66"/>
            <w:noWrap/>
            <w:vAlign w:val="center"/>
            <w:hideMark/>
          </w:tcPr>
          <w:p w14:paraId="4D6084A1" w14:textId="77777777" w:rsidR="00B85365" w:rsidRPr="00F40497" w:rsidRDefault="00B85365" w:rsidP="00E63845">
            <w:pPr>
              <w:pStyle w:val="cuadroCabe"/>
              <w:spacing w:line="240" w:lineRule="auto"/>
              <w:jc w:val="right"/>
              <w:rPr>
                <w:lang w:val="es-ES" w:eastAsia="es-ES"/>
              </w:rPr>
            </w:pPr>
            <w:r w:rsidRPr="00F40497">
              <w:rPr>
                <w:lang w:val="es-ES" w:eastAsia="es-ES"/>
              </w:rPr>
              <w:t>2014</w:t>
            </w:r>
          </w:p>
        </w:tc>
        <w:tc>
          <w:tcPr>
            <w:tcW w:w="565" w:type="dxa"/>
            <w:tcBorders>
              <w:top w:val="single" w:sz="4" w:space="0" w:color="auto"/>
              <w:bottom w:val="single" w:sz="4" w:space="0" w:color="auto"/>
            </w:tcBorders>
            <w:shd w:val="clear" w:color="auto" w:fill="B8CCE4" w:themeFill="accent1" w:themeFillTint="66"/>
            <w:noWrap/>
            <w:vAlign w:val="center"/>
            <w:hideMark/>
          </w:tcPr>
          <w:p w14:paraId="0ACD04E2" w14:textId="77777777" w:rsidR="00B85365" w:rsidRPr="00F40497" w:rsidRDefault="00B85365" w:rsidP="00E63845">
            <w:pPr>
              <w:pStyle w:val="cuadroCabe"/>
              <w:spacing w:line="240" w:lineRule="auto"/>
              <w:jc w:val="right"/>
              <w:rPr>
                <w:lang w:val="es-ES" w:eastAsia="es-ES"/>
              </w:rPr>
            </w:pPr>
            <w:r w:rsidRPr="00F40497">
              <w:rPr>
                <w:lang w:val="es-ES" w:eastAsia="es-ES"/>
              </w:rPr>
              <w:t>2015</w:t>
            </w:r>
          </w:p>
        </w:tc>
        <w:tc>
          <w:tcPr>
            <w:tcW w:w="565" w:type="dxa"/>
            <w:tcBorders>
              <w:top w:val="single" w:sz="4" w:space="0" w:color="auto"/>
              <w:bottom w:val="single" w:sz="4" w:space="0" w:color="auto"/>
            </w:tcBorders>
            <w:shd w:val="clear" w:color="auto" w:fill="B8CCE4" w:themeFill="accent1" w:themeFillTint="66"/>
            <w:noWrap/>
            <w:vAlign w:val="center"/>
            <w:hideMark/>
          </w:tcPr>
          <w:p w14:paraId="76411742" w14:textId="77777777" w:rsidR="00B85365" w:rsidRPr="00F40497" w:rsidRDefault="00B85365" w:rsidP="00E63845">
            <w:pPr>
              <w:pStyle w:val="cuadroCabe"/>
              <w:spacing w:line="240" w:lineRule="auto"/>
              <w:jc w:val="right"/>
              <w:rPr>
                <w:lang w:val="es-ES" w:eastAsia="es-ES"/>
              </w:rPr>
            </w:pPr>
            <w:r w:rsidRPr="00F40497">
              <w:rPr>
                <w:lang w:val="es-ES" w:eastAsia="es-ES"/>
              </w:rPr>
              <w:t>2016</w:t>
            </w:r>
          </w:p>
        </w:tc>
        <w:tc>
          <w:tcPr>
            <w:tcW w:w="565" w:type="dxa"/>
            <w:tcBorders>
              <w:top w:val="single" w:sz="4" w:space="0" w:color="auto"/>
              <w:bottom w:val="single" w:sz="4" w:space="0" w:color="auto"/>
            </w:tcBorders>
            <w:shd w:val="clear" w:color="auto" w:fill="B8CCE4" w:themeFill="accent1" w:themeFillTint="66"/>
            <w:noWrap/>
            <w:vAlign w:val="center"/>
            <w:hideMark/>
          </w:tcPr>
          <w:p w14:paraId="3A2631EB" w14:textId="77777777" w:rsidR="00B85365" w:rsidRPr="00F40497" w:rsidRDefault="00B85365" w:rsidP="00E63845">
            <w:pPr>
              <w:pStyle w:val="cuadroCabe"/>
              <w:spacing w:line="240" w:lineRule="auto"/>
              <w:jc w:val="right"/>
              <w:rPr>
                <w:lang w:val="es-ES" w:eastAsia="es-ES"/>
              </w:rPr>
            </w:pPr>
            <w:r w:rsidRPr="00F40497">
              <w:rPr>
                <w:lang w:val="es-ES" w:eastAsia="es-ES"/>
              </w:rPr>
              <w:t>2017</w:t>
            </w:r>
          </w:p>
        </w:tc>
        <w:tc>
          <w:tcPr>
            <w:tcW w:w="565" w:type="dxa"/>
            <w:tcBorders>
              <w:top w:val="single" w:sz="4" w:space="0" w:color="auto"/>
              <w:bottom w:val="single" w:sz="4" w:space="0" w:color="auto"/>
            </w:tcBorders>
            <w:shd w:val="clear" w:color="auto" w:fill="B8CCE4" w:themeFill="accent1" w:themeFillTint="66"/>
            <w:noWrap/>
            <w:vAlign w:val="center"/>
            <w:hideMark/>
          </w:tcPr>
          <w:p w14:paraId="6655D06C" w14:textId="77777777" w:rsidR="00B85365" w:rsidRPr="00F40497" w:rsidRDefault="00B85365" w:rsidP="00E63845">
            <w:pPr>
              <w:pStyle w:val="cuadroCabe"/>
              <w:spacing w:line="240" w:lineRule="auto"/>
              <w:jc w:val="right"/>
              <w:rPr>
                <w:lang w:val="es-ES" w:eastAsia="es-ES"/>
              </w:rPr>
            </w:pPr>
            <w:r w:rsidRPr="00F40497">
              <w:rPr>
                <w:lang w:val="es-ES" w:eastAsia="es-ES"/>
              </w:rPr>
              <w:t>2018</w:t>
            </w:r>
          </w:p>
        </w:tc>
        <w:tc>
          <w:tcPr>
            <w:tcW w:w="565" w:type="dxa"/>
            <w:tcBorders>
              <w:top w:val="single" w:sz="4" w:space="0" w:color="auto"/>
              <w:bottom w:val="single" w:sz="4" w:space="0" w:color="auto"/>
            </w:tcBorders>
            <w:shd w:val="clear" w:color="auto" w:fill="B8CCE4" w:themeFill="accent1" w:themeFillTint="66"/>
            <w:noWrap/>
            <w:vAlign w:val="center"/>
            <w:hideMark/>
          </w:tcPr>
          <w:p w14:paraId="0529A717" w14:textId="77777777" w:rsidR="00B85365" w:rsidRPr="00F40497" w:rsidRDefault="00B85365" w:rsidP="00E63845">
            <w:pPr>
              <w:pStyle w:val="cuadroCabe"/>
              <w:spacing w:line="240" w:lineRule="auto"/>
              <w:jc w:val="right"/>
              <w:rPr>
                <w:lang w:val="es-ES" w:eastAsia="es-ES"/>
              </w:rPr>
            </w:pPr>
            <w:r w:rsidRPr="00F40497">
              <w:rPr>
                <w:lang w:val="es-ES" w:eastAsia="es-ES"/>
              </w:rPr>
              <w:t>2019</w:t>
            </w:r>
          </w:p>
        </w:tc>
        <w:tc>
          <w:tcPr>
            <w:tcW w:w="565" w:type="dxa"/>
            <w:tcBorders>
              <w:top w:val="single" w:sz="4" w:space="0" w:color="auto"/>
              <w:bottom w:val="single" w:sz="4" w:space="0" w:color="auto"/>
            </w:tcBorders>
            <w:shd w:val="clear" w:color="auto" w:fill="B8CCE4" w:themeFill="accent1" w:themeFillTint="66"/>
            <w:noWrap/>
            <w:vAlign w:val="center"/>
            <w:hideMark/>
          </w:tcPr>
          <w:p w14:paraId="29FBC764" w14:textId="77777777" w:rsidR="00B85365" w:rsidRPr="00F40497" w:rsidRDefault="00B85365" w:rsidP="00E63845">
            <w:pPr>
              <w:pStyle w:val="cuadroCabe"/>
              <w:spacing w:line="240" w:lineRule="auto"/>
              <w:jc w:val="right"/>
              <w:rPr>
                <w:lang w:val="es-ES" w:eastAsia="es-ES"/>
              </w:rPr>
            </w:pPr>
            <w:r w:rsidRPr="00F40497">
              <w:rPr>
                <w:lang w:val="es-ES" w:eastAsia="es-ES"/>
              </w:rPr>
              <w:t>2020</w:t>
            </w:r>
          </w:p>
        </w:tc>
        <w:tc>
          <w:tcPr>
            <w:tcW w:w="565" w:type="dxa"/>
            <w:tcBorders>
              <w:top w:val="single" w:sz="4" w:space="0" w:color="auto"/>
              <w:bottom w:val="single" w:sz="4" w:space="0" w:color="auto"/>
            </w:tcBorders>
            <w:shd w:val="clear" w:color="auto" w:fill="B8CCE4" w:themeFill="accent1" w:themeFillTint="66"/>
            <w:noWrap/>
            <w:vAlign w:val="center"/>
            <w:hideMark/>
          </w:tcPr>
          <w:p w14:paraId="3B1D1D59" w14:textId="77777777" w:rsidR="00B85365" w:rsidRPr="00F40497" w:rsidRDefault="00B85365" w:rsidP="00E63845">
            <w:pPr>
              <w:pStyle w:val="cuadroCabe"/>
              <w:spacing w:line="240" w:lineRule="auto"/>
              <w:jc w:val="right"/>
              <w:rPr>
                <w:lang w:val="es-ES" w:eastAsia="es-ES"/>
              </w:rPr>
            </w:pPr>
            <w:r w:rsidRPr="00F40497">
              <w:rPr>
                <w:lang w:val="es-ES" w:eastAsia="es-ES"/>
              </w:rPr>
              <w:t>2021</w:t>
            </w:r>
          </w:p>
        </w:tc>
      </w:tr>
      <w:tr w:rsidR="00B85365" w:rsidRPr="004211B2" w14:paraId="13D62C63" w14:textId="77777777" w:rsidTr="00E63845">
        <w:trPr>
          <w:trHeight w:val="227"/>
        </w:trPr>
        <w:tc>
          <w:tcPr>
            <w:tcW w:w="4536" w:type="dxa"/>
            <w:tcBorders>
              <w:top w:val="single" w:sz="4" w:space="0" w:color="auto"/>
            </w:tcBorders>
            <w:shd w:val="clear" w:color="000000" w:fill="FFFFFF"/>
            <w:vAlign w:val="center"/>
            <w:hideMark/>
          </w:tcPr>
          <w:p w14:paraId="5F3E3E36" w14:textId="77777777" w:rsidR="00B85365" w:rsidRPr="004211B2" w:rsidRDefault="00B85365" w:rsidP="00E63845">
            <w:pPr>
              <w:pStyle w:val="cuatexto"/>
              <w:spacing w:line="240" w:lineRule="auto"/>
              <w:rPr>
                <w:sz w:val="18"/>
                <w:szCs w:val="18"/>
                <w:lang w:val="es-ES" w:eastAsia="es-ES"/>
              </w:rPr>
            </w:pPr>
            <w:r w:rsidRPr="004211B2">
              <w:rPr>
                <w:sz w:val="18"/>
                <w:szCs w:val="18"/>
                <w:lang w:val="es-ES" w:eastAsia="es-ES"/>
              </w:rPr>
              <w:t>Grupo Corporativo Empresarial de la Caja de Ahorros y Monte de Piedad de Navarra, S.</w:t>
            </w:r>
            <w:proofErr w:type="gramStart"/>
            <w:r w:rsidRPr="004211B2">
              <w:rPr>
                <w:sz w:val="18"/>
                <w:szCs w:val="18"/>
                <w:lang w:val="es-ES" w:eastAsia="es-ES"/>
              </w:rPr>
              <w:t>A.U</w:t>
            </w:r>
            <w:proofErr w:type="gramEnd"/>
          </w:p>
        </w:tc>
        <w:tc>
          <w:tcPr>
            <w:tcW w:w="640" w:type="dxa"/>
            <w:tcBorders>
              <w:top w:val="single" w:sz="4" w:space="0" w:color="auto"/>
            </w:tcBorders>
            <w:shd w:val="clear" w:color="000000" w:fill="FFFFFF"/>
            <w:noWrap/>
            <w:vAlign w:val="center"/>
            <w:hideMark/>
          </w:tcPr>
          <w:p w14:paraId="71E57F19"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top w:val="single" w:sz="4" w:space="0" w:color="auto"/>
            </w:tcBorders>
            <w:shd w:val="clear" w:color="000000" w:fill="FFFFFF"/>
            <w:noWrap/>
            <w:vAlign w:val="center"/>
            <w:hideMark/>
          </w:tcPr>
          <w:p w14:paraId="0C49C7FD"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top w:val="single" w:sz="4" w:space="0" w:color="auto"/>
            </w:tcBorders>
            <w:shd w:val="clear" w:color="000000" w:fill="FFFFFF"/>
            <w:noWrap/>
            <w:vAlign w:val="center"/>
            <w:hideMark/>
          </w:tcPr>
          <w:p w14:paraId="0589E997"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top w:val="single" w:sz="4" w:space="0" w:color="auto"/>
            </w:tcBorders>
            <w:shd w:val="clear" w:color="000000" w:fill="FFFFFF"/>
            <w:noWrap/>
            <w:vAlign w:val="center"/>
            <w:hideMark/>
          </w:tcPr>
          <w:p w14:paraId="16D2ED92"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top w:val="single" w:sz="4" w:space="0" w:color="auto"/>
            </w:tcBorders>
            <w:shd w:val="clear" w:color="000000" w:fill="FFFFFF"/>
            <w:noWrap/>
            <w:vAlign w:val="center"/>
            <w:hideMark/>
          </w:tcPr>
          <w:p w14:paraId="34F0B7DB"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top w:val="single" w:sz="4" w:space="0" w:color="auto"/>
            </w:tcBorders>
            <w:shd w:val="clear" w:color="000000" w:fill="FFFFFF"/>
            <w:noWrap/>
            <w:vAlign w:val="center"/>
            <w:hideMark/>
          </w:tcPr>
          <w:p w14:paraId="11CA20C8"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top w:val="single" w:sz="4" w:space="0" w:color="auto"/>
            </w:tcBorders>
            <w:shd w:val="clear" w:color="000000" w:fill="FFFFFF"/>
            <w:noWrap/>
            <w:vAlign w:val="center"/>
            <w:hideMark/>
          </w:tcPr>
          <w:p w14:paraId="1258526E"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top w:val="single" w:sz="4" w:space="0" w:color="auto"/>
            </w:tcBorders>
            <w:shd w:val="clear" w:color="000000" w:fill="FFFFFF"/>
            <w:noWrap/>
            <w:vAlign w:val="center"/>
            <w:hideMark/>
          </w:tcPr>
          <w:p w14:paraId="615EFB29"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r>
      <w:tr w:rsidR="00B85365" w:rsidRPr="004211B2" w14:paraId="16E93ED7" w14:textId="77777777" w:rsidTr="007610EF">
        <w:trPr>
          <w:trHeight w:val="227"/>
        </w:trPr>
        <w:tc>
          <w:tcPr>
            <w:tcW w:w="4536" w:type="dxa"/>
            <w:shd w:val="clear" w:color="000000" w:fill="FFFFFF"/>
            <w:vAlign w:val="center"/>
            <w:hideMark/>
          </w:tcPr>
          <w:p w14:paraId="1A71994D" w14:textId="77777777" w:rsidR="00B85365" w:rsidRPr="004211B2" w:rsidRDefault="00B85365" w:rsidP="00E63845">
            <w:pPr>
              <w:pStyle w:val="cuatexto"/>
              <w:spacing w:line="240" w:lineRule="auto"/>
              <w:rPr>
                <w:sz w:val="18"/>
                <w:szCs w:val="18"/>
                <w:lang w:val="es-ES" w:eastAsia="es-ES"/>
              </w:rPr>
            </w:pPr>
            <w:r w:rsidRPr="004211B2">
              <w:rPr>
                <w:sz w:val="18"/>
                <w:szCs w:val="18"/>
                <w:lang w:val="es-ES" w:eastAsia="es-ES"/>
              </w:rPr>
              <w:t>Acciona, S.A.</w:t>
            </w:r>
          </w:p>
        </w:tc>
        <w:tc>
          <w:tcPr>
            <w:tcW w:w="640" w:type="dxa"/>
            <w:shd w:val="clear" w:color="000000" w:fill="FFFFFF"/>
            <w:noWrap/>
            <w:vAlign w:val="center"/>
            <w:hideMark/>
          </w:tcPr>
          <w:p w14:paraId="1312CF74"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35</w:t>
            </w:r>
          </w:p>
        </w:tc>
        <w:tc>
          <w:tcPr>
            <w:tcW w:w="565" w:type="dxa"/>
            <w:shd w:val="clear" w:color="000000" w:fill="FFFFFF"/>
            <w:noWrap/>
            <w:vAlign w:val="center"/>
            <w:hideMark/>
          </w:tcPr>
          <w:p w14:paraId="53AD5C9F"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40</w:t>
            </w:r>
          </w:p>
        </w:tc>
        <w:tc>
          <w:tcPr>
            <w:tcW w:w="565" w:type="dxa"/>
            <w:shd w:val="clear" w:color="000000" w:fill="FFFFFF"/>
            <w:noWrap/>
            <w:vAlign w:val="center"/>
            <w:hideMark/>
          </w:tcPr>
          <w:p w14:paraId="3CC7248A"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45</w:t>
            </w:r>
          </w:p>
        </w:tc>
        <w:tc>
          <w:tcPr>
            <w:tcW w:w="565" w:type="dxa"/>
            <w:shd w:val="clear" w:color="000000" w:fill="FFFFFF"/>
            <w:noWrap/>
            <w:vAlign w:val="center"/>
            <w:hideMark/>
          </w:tcPr>
          <w:p w14:paraId="3ED1A7BC"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50</w:t>
            </w:r>
          </w:p>
        </w:tc>
        <w:tc>
          <w:tcPr>
            <w:tcW w:w="565" w:type="dxa"/>
            <w:shd w:val="clear" w:color="000000" w:fill="FFFFFF"/>
            <w:noWrap/>
            <w:vAlign w:val="center"/>
            <w:hideMark/>
          </w:tcPr>
          <w:p w14:paraId="0C1CBCD4"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50</w:t>
            </w:r>
          </w:p>
        </w:tc>
        <w:tc>
          <w:tcPr>
            <w:tcW w:w="565" w:type="dxa"/>
            <w:shd w:val="clear" w:color="000000" w:fill="FFFFFF"/>
            <w:noWrap/>
            <w:vAlign w:val="center"/>
            <w:hideMark/>
          </w:tcPr>
          <w:p w14:paraId="4584C936"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50</w:t>
            </w:r>
          </w:p>
        </w:tc>
        <w:tc>
          <w:tcPr>
            <w:tcW w:w="565" w:type="dxa"/>
            <w:shd w:val="clear" w:color="000000" w:fill="FFFFFF"/>
            <w:noWrap/>
            <w:vAlign w:val="center"/>
            <w:hideMark/>
          </w:tcPr>
          <w:p w14:paraId="1227FF4D"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50</w:t>
            </w:r>
          </w:p>
        </w:tc>
        <w:tc>
          <w:tcPr>
            <w:tcW w:w="565" w:type="dxa"/>
            <w:shd w:val="clear" w:color="000000" w:fill="FFFFFF"/>
            <w:noWrap/>
            <w:vAlign w:val="center"/>
            <w:hideMark/>
          </w:tcPr>
          <w:p w14:paraId="2379E8EB"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r>
      <w:tr w:rsidR="00B85365" w:rsidRPr="004211B2" w14:paraId="7ABE708F" w14:textId="77777777" w:rsidTr="007610EF">
        <w:trPr>
          <w:trHeight w:val="227"/>
        </w:trPr>
        <w:tc>
          <w:tcPr>
            <w:tcW w:w="4536" w:type="dxa"/>
            <w:shd w:val="clear" w:color="000000" w:fill="FFFFFF"/>
            <w:vAlign w:val="center"/>
            <w:hideMark/>
          </w:tcPr>
          <w:p w14:paraId="0D1C6BD1" w14:textId="77777777" w:rsidR="00B85365" w:rsidRPr="004211B2" w:rsidRDefault="00B85365" w:rsidP="00E63845">
            <w:pPr>
              <w:pStyle w:val="cuatexto"/>
              <w:spacing w:line="240" w:lineRule="auto"/>
              <w:rPr>
                <w:sz w:val="18"/>
                <w:szCs w:val="18"/>
                <w:lang w:val="es-ES" w:eastAsia="es-ES"/>
              </w:rPr>
            </w:pPr>
            <w:proofErr w:type="spellStart"/>
            <w:r w:rsidRPr="004211B2">
              <w:rPr>
                <w:sz w:val="18"/>
                <w:szCs w:val="18"/>
                <w:lang w:val="es-ES" w:eastAsia="es-ES"/>
              </w:rPr>
              <w:t>Befesa</w:t>
            </w:r>
            <w:proofErr w:type="spellEnd"/>
            <w:r w:rsidRPr="004211B2">
              <w:rPr>
                <w:sz w:val="18"/>
                <w:szCs w:val="18"/>
                <w:lang w:val="es-ES" w:eastAsia="es-ES"/>
              </w:rPr>
              <w:t xml:space="preserve"> Constr</w:t>
            </w:r>
            <w:r>
              <w:rPr>
                <w:sz w:val="18"/>
                <w:szCs w:val="18"/>
                <w:lang w:val="es-ES" w:eastAsia="es-ES"/>
              </w:rPr>
              <w:t>.</w:t>
            </w:r>
            <w:r w:rsidRPr="004211B2">
              <w:rPr>
                <w:sz w:val="18"/>
                <w:szCs w:val="18"/>
                <w:lang w:val="es-ES" w:eastAsia="es-ES"/>
              </w:rPr>
              <w:t xml:space="preserve"> y Tecnología Ambiental SAU en 2008 </w:t>
            </w:r>
            <w:proofErr w:type="spellStart"/>
            <w:r w:rsidRPr="004211B2">
              <w:rPr>
                <w:sz w:val="18"/>
                <w:szCs w:val="18"/>
                <w:lang w:val="es-ES" w:eastAsia="es-ES"/>
              </w:rPr>
              <w:t>Befesa</w:t>
            </w:r>
            <w:proofErr w:type="spellEnd"/>
            <w:r w:rsidRPr="004211B2">
              <w:rPr>
                <w:sz w:val="18"/>
                <w:szCs w:val="18"/>
                <w:lang w:val="es-ES" w:eastAsia="es-ES"/>
              </w:rPr>
              <w:t xml:space="preserve"> Agua, SA, y en 2011 </w:t>
            </w:r>
            <w:proofErr w:type="spellStart"/>
            <w:r w:rsidRPr="004211B2">
              <w:rPr>
                <w:sz w:val="18"/>
                <w:szCs w:val="18"/>
                <w:lang w:val="es-ES" w:eastAsia="es-ES"/>
              </w:rPr>
              <w:t>Abeinsa</w:t>
            </w:r>
            <w:proofErr w:type="spellEnd"/>
            <w:r w:rsidRPr="004211B2">
              <w:rPr>
                <w:sz w:val="18"/>
                <w:szCs w:val="18"/>
                <w:lang w:val="es-ES" w:eastAsia="es-ES"/>
              </w:rPr>
              <w:t xml:space="preserve"> </w:t>
            </w:r>
            <w:proofErr w:type="spellStart"/>
            <w:r w:rsidRPr="004211B2">
              <w:rPr>
                <w:sz w:val="18"/>
                <w:szCs w:val="18"/>
                <w:lang w:val="es-ES" w:eastAsia="es-ES"/>
              </w:rPr>
              <w:t>Infraestr</w:t>
            </w:r>
            <w:proofErr w:type="spellEnd"/>
            <w:r>
              <w:rPr>
                <w:sz w:val="18"/>
                <w:szCs w:val="18"/>
                <w:lang w:val="es-ES" w:eastAsia="es-ES"/>
              </w:rPr>
              <w:t xml:space="preserve">. </w:t>
            </w:r>
            <w:r w:rsidRPr="004211B2">
              <w:rPr>
                <w:sz w:val="18"/>
                <w:szCs w:val="18"/>
                <w:lang w:val="es-ES" w:eastAsia="es-ES"/>
              </w:rPr>
              <w:t>Medio Ambiente, S.A.</w:t>
            </w:r>
          </w:p>
        </w:tc>
        <w:tc>
          <w:tcPr>
            <w:tcW w:w="640" w:type="dxa"/>
            <w:shd w:val="clear" w:color="000000" w:fill="FFFFFF"/>
            <w:noWrap/>
            <w:vAlign w:val="center"/>
            <w:hideMark/>
          </w:tcPr>
          <w:p w14:paraId="1660DCC3"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10</w:t>
            </w:r>
          </w:p>
        </w:tc>
        <w:tc>
          <w:tcPr>
            <w:tcW w:w="565" w:type="dxa"/>
            <w:shd w:val="clear" w:color="000000" w:fill="FFFFFF"/>
            <w:noWrap/>
            <w:vAlign w:val="center"/>
            <w:hideMark/>
          </w:tcPr>
          <w:p w14:paraId="1D01E249"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10</w:t>
            </w:r>
          </w:p>
        </w:tc>
        <w:tc>
          <w:tcPr>
            <w:tcW w:w="565" w:type="dxa"/>
            <w:shd w:val="clear" w:color="000000" w:fill="FFFFFF"/>
            <w:noWrap/>
            <w:vAlign w:val="center"/>
            <w:hideMark/>
          </w:tcPr>
          <w:p w14:paraId="6C52BBE5"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10</w:t>
            </w:r>
          </w:p>
        </w:tc>
        <w:tc>
          <w:tcPr>
            <w:tcW w:w="565" w:type="dxa"/>
            <w:shd w:val="clear" w:color="000000" w:fill="FFFFFF"/>
            <w:noWrap/>
            <w:vAlign w:val="center"/>
            <w:hideMark/>
          </w:tcPr>
          <w:p w14:paraId="3CFF34EE"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259E684D"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491423A5"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24A84A55"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67386D1A"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r>
      <w:tr w:rsidR="00B85365" w:rsidRPr="004211B2" w14:paraId="15A0EA4A" w14:textId="77777777" w:rsidTr="007610EF">
        <w:trPr>
          <w:trHeight w:val="227"/>
        </w:trPr>
        <w:tc>
          <w:tcPr>
            <w:tcW w:w="4536" w:type="dxa"/>
            <w:shd w:val="clear" w:color="000000" w:fill="FFFFFF"/>
            <w:vAlign w:val="center"/>
            <w:hideMark/>
          </w:tcPr>
          <w:p w14:paraId="76F11049" w14:textId="77777777" w:rsidR="00B85365" w:rsidRPr="004211B2" w:rsidRDefault="00B85365" w:rsidP="00E63845">
            <w:pPr>
              <w:pStyle w:val="cuatexto"/>
              <w:spacing w:line="240" w:lineRule="auto"/>
              <w:rPr>
                <w:sz w:val="18"/>
                <w:szCs w:val="18"/>
                <w:lang w:val="es-ES" w:eastAsia="es-ES"/>
              </w:rPr>
            </w:pPr>
            <w:proofErr w:type="spellStart"/>
            <w:r w:rsidRPr="004211B2">
              <w:rPr>
                <w:sz w:val="18"/>
                <w:szCs w:val="18"/>
                <w:lang w:val="es-ES" w:eastAsia="es-ES"/>
              </w:rPr>
              <w:t>Isolux</w:t>
            </w:r>
            <w:proofErr w:type="spellEnd"/>
            <w:r w:rsidRPr="004211B2">
              <w:rPr>
                <w:sz w:val="18"/>
                <w:szCs w:val="18"/>
                <w:lang w:val="es-ES" w:eastAsia="es-ES"/>
              </w:rPr>
              <w:t xml:space="preserve"> </w:t>
            </w:r>
            <w:proofErr w:type="spellStart"/>
            <w:r w:rsidRPr="004211B2">
              <w:rPr>
                <w:sz w:val="18"/>
                <w:szCs w:val="18"/>
                <w:lang w:val="es-ES" w:eastAsia="es-ES"/>
              </w:rPr>
              <w:t>Corsán</w:t>
            </w:r>
            <w:proofErr w:type="spellEnd"/>
            <w:r w:rsidRPr="004211B2">
              <w:rPr>
                <w:sz w:val="18"/>
                <w:szCs w:val="18"/>
                <w:lang w:val="es-ES" w:eastAsia="es-ES"/>
              </w:rPr>
              <w:t xml:space="preserve"> </w:t>
            </w:r>
            <w:proofErr w:type="spellStart"/>
            <w:r w:rsidRPr="004211B2">
              <w:rPr>
                <w:sz w:val="18"/>
                <w:szCs w:val="18"/>
                <w:lang w:val="es-ES" w:eastAsia="es-ES"/>
              </w:rPr>
              <w:t>Conce</w:t>
            </w:r>
            <w:r>
              <w:rPr>
                <w:sz w:val="18"/>
                <w:szCs w:val="18"/>
                <w:lang w:val="es-ES" w:eastAsia="es-ES"/>
              </w:rPr>
              <w:t>s</w:t>
            </w:r>
            <w:proofErr w:type="spellEnd"/>
            <w:r>
              <w:rPr>
                <w:sz w:val="18"/>
                <w:szCs w:val="18"/>
                <w:lang w:val="es-ES" w:eastAsia="es-ES"/>
              </w:rPr>
              <w:t>.</w:t>
            </w:r>
            <w:r w:rsidRPr="004211B2">
              <w:rPr>
                <w:sz w:val="18"/>
                <w:szCs w:val="18"/>
                <w:lang w:val="es-ES" w:eastAsia="es-ES"/>
              </w:rPr>
              <w:t xml:space="preserve">, S.L </w:t>
            </w:r>
          </w:p>
        </w:tc>
        <w:tc>
          <w:tcPr>
            <w:tcW w:w="640" w:type="dxa"/>
            <w:shd w:val="clear" w:color="000000" w:fill="FFFFFF"/>
            <w:noWrap/>
            <w:vAlign w:val="center"/>
            <w:hideMark/>
          </w:tcPr>
          <w:p w14:paraId="190AC7EB"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4DA43E8A"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31000881"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69530491"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30E3285C"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15902AAA"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56C17C0C"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57C0AC5A"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r>
      <w:tr w:rsidR="00B85365" w:rsidRPr="004211B2" w14:paraId="5E5EE6F9" w14:textId="77777777" w:rsidTr="007610EF">
        <w:trPr>
          <w:trHeight w:val="227"/>
        </w:trPr>
        <w:tc>
          <w:tcPr>
            <w:tcW w:w="4536" w:type="dxa"/>
            <w:shd w:val="clear" w:color="000000" w:fill="FFFFFF"/>
            <w:vAlign w:val="center"/>
            <w:hideMark/>
          </w:tcPr>
          <w:p w14:paraId="5948DA72" w14:textId="77777777" w:rsidR="00B85365" w:rsidRPr="004211B2" w:rsidRDefault="00B85365" w:rsidP="00E63845">
            <w:pPr>
              <w:pStyle w:val="cuatexto"/>
              <w:spacing w:line="240" w:lineRule="auto"/>
              <w:rPr>
                <w:sz w:val="18"/>
                <w:szCs w:val="18"/>
                <w:lang w:val="es-ES" w:eastAsia="es-ES"/>
              </w:rPr>
            </w:pPr>
            <w:r w:rsidRPr="004211B2">
              <w:rPr>
                <w:sz w:val="18"/>
                <w:szCs w:val="18"/>
                <w:lang w:val="es-ES" w:eastAsia="es-ES"/>
              </w:rPr>
              <w:t xml:space="preserve">Obras </w:t>
            </w:r>
            <w:proofErr w:type="spellStart"/>
            <w:r w:rsidRPr="004211B2">
              <w:rPr>
                <w:sz w:val="18"/>
                <w:szCs w:val="18"/>
                <w:lang w:val="es-ES" w:eastAsia="es-ES"/>
              </w:rPr>
              <w:t>Espec</w:t>
            </w:r>
            <w:proofErr w:type="spellEnd"/>
            <w:r>
              <w:rPr>
                <w:sz w:val="18"/>
                <w:szCs w:val="18"/>
                <w:lang w:val="es-ES" w:eastAsia="es-ES"/>
              </w:rPr>
              <w:t xml:space="preserve">. </w:t>
            </w:r>
            <w:r w:rsidRPr="004211B2">
              <w:rPr>
                <w:sz w:val="18"/>
                <w:szCs w:val="18"/>
                <w:lang w:val="es-ES" w:eastAsia="es-ES"/>
              </w:rPr>
              <w:t>de Navarra, S.A.</w:t>
            </w:r>
          </w:p>
        </w:tc>
        <w:tc>
          <w:tcPr>
            <w:tcW w:w="640" w:type="dxa"/>
            <w:shd w:val="clear" w:color="000000" w:fill="FFFFFF"/>
            <w:noWrap/>
            <w:vAlign w:val="center"/>
            <w:hideMark/>
          </w:tcPr>
          <w:p w14:paraId="5AF11EC7"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3,333</w:t>
            </w:r>
          </w:p>
        </w:tc>
        <w:tc>
          <w:tcPr>
            <w:tcW w:w="565" w:type="dxa"/>
            <w:shd w:val="clear" w:color="000000" w:fill="FFFFFF"/>
            <w:noWrap/>
            <w:vAlign w:val="center"/>
            <w:hideMark/>
          </w:tcPr>
          <w:p w14:paraId="6F36B08D"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201FFF85"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069A532F"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6975D896"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6902DA44"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2D7C527F"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1575AC47"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r>
      <w:tr w:rsidR="00B85365" w:rsidRPr="004211B2" w14:paraId="1DCAE1C1" w14:textId="77777777" w:rsidTr="007610EF">
        <w:trPr>
          <w:trHeight w:val="227"/>
        </w:trPr>
        <w:tc>
          <w:tcPr>
            <w:tcW w:w="4536" w:type="dxa"/>
            <w:shd w:val="clear" w:color="000000" w:fill="FFFFFF"/>
            <w:vAlign w:val="center"/>
            <w:hideMark/>
          </w:tcPr>
          <w:p w14:paraId="79CFCDB9" w14:textId="77777777" w:rsidR="00B85365" w:rsidRPr="004211B2" w:rsidRDefault="00B85365" w:rsidP="00E63845">
            <w:pPr>
              <w:pStyle w:val="cuatexto"/>
              <w:spacing w:line="240" w:lineRule="auto"/>
              <w:rPr>
                <w:sz w:val="18"/>
                <w:szCs w:val="18"/>
                <w:lang w:val="es-ES" w:eastAsia="es-ES"/>
              </w:rPr>
            </w:pPr>
            <w:r w:rsidRPr="004211B2">
              <w:rPr>
                <w:sz w:val="18"/>
                <w:szCs w:val="18"/>
                <w:lang w:val="es-ES" w:eastAsia="es-ES"/>
              </w:rPr>
              <w:t xml:space="preserve">Urbanizaciones Iruña, S.A. (En 2008 IC Construcción, Ingeniería y Gestión de Obras, S.A.U) </w:t>
            </w:r>
          </w:p>
        </w:tc>
        <w:tc>
          <w:tcPr>
            <w:tcW w:w="640" w:type="dxa"/>
            <w:shd w:val="clear" w:color="000000" w:fill="FFFFFF"/>
            <w:noWrap/>
            <w:vAlign w:val="center"/>
            <w:hideMark/>
          </w:tcPr>
          <w:p w14:paraId="3414284C"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045AA948"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251CCF14"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5D40F447"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1FE8229C"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278473D8"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1F5CEFA6"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4B628666"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r>
      <w:tr w:rsidR="00B85365" w:rsidRPr="004211B2" w14:paraId="48359225" w14:textId="77777777" w:rsidTr="007610EF">
        <w:trPr>
          <w:trHeight w:val="227"/>
        </w:trPr>
        <w:tc>
          <w:tcPr>
            <w:tcW w:w="4536" w:type="dxa"/>
            <w:shd w:val="clear" w:color="000000" w:fill="FFFFFF"/>
            <w:vAlign w:val="center"/>
            <w:hideMark/>
          </w:tcPr>
          <w:p w14:paraId="0B4375C5" w14:textId="77777777" w:rsidR="00B85365" w:rsidRPr="004211B2" w:rsidRDefault="00B85365" w:rsidP="00E63845">
            <w:pPr>
              <w:pStyle w:val="cuatexto"/>
              <w:spacing w:line="240" w:lineRule="auto"/>
              <w:rPr>
                <w:sz w:val="18"/>
                <w:szCs w:val="18"/>
                <w:lang w:val="es-ES" w:eastAsia="es-ES"/>
              </w:rPr>
            </w:pPr>
            <w:proofErr w:type="spellStart"/>
            <w:r w:rsidRPr="004211B2">
              <w:rPr>
                <w:sz w:val="18"/>
                <w:szCs w:val="18"/>
                <w:lang w:val="es-ES" w:eastAsia="es-ES"/>
              </w:rPr>
              <w:t>Arian</w:t>
            </w:r>
            <w:proofErr w:type="spellEnd"/>
            <w:r w:rsidRPr="004211B2">
              <w:rPr>
                <w:sz w:val="18"/>
                <w:szCs w:val="18"/>
                <w:lang w:val="es-ES" w:eastAsia="es-ES"/>
              </w:rPr>
              <w:t>, Construcción y Gestión de Infraestructuras, S.A.</w:t>
            </w:r>
          </w:p>
        </w:tc>
        <w:tc>
          <w:tcPr>
            <w:tcW w:w="640" w:type="dxa"/>
            <w:shd w:val="clear" w:color="000000" w:fill="FFFFFF"/>
            <w:noWrap/>
            <w:vAlign w:val="center"/>
            <w:hideMark/>
          </w:tcPr>
          <w:p w14:paraId="3609B313"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3,334</w:t>
            </w:r>
          </w:p>
        </w:tc>
        <w:tc>
          <w:tcPr>
            <w:tcW w:w="565" w:type="dxa"/>
            <w:shd w:val="clear" w:color="000000" w:fill="FFFFFF"/>
            <w:noWrap/>
            <w:vAlign w:val="center"/>
            <w:hideMark/>
          </w:tcPr>
          <w:p w14:paraId="2D27B5B2"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677246AD"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260E52F6"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0E91615D"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7A50F6E3"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0F1C54F5"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4CF40376"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r>
      <w:tr w:rsidR="00B85365" w:rsidRPr="004211B2" w14:paraId="5F7A7C89" w14:textId="77777777" w:rsidTr="007610EF">
        <w:trPr>
          <w:trHeight w:val="227"/>
        </w:trPr>
        <w:tc>
          <w:tcPr>
            <w:tcW w:w="4536" w:type="dxa"/>
            <w:shd w:val="clear" w:color="000000" w:fill="FFFFFF"/>
            <w:vAlign w:val="center"/>
            <w:hideMark/>
          </w:tcPr>
          <w:p w14:paraId="4A346BD5" w14:textId="77777777" w:rsidR="00B85365" w:rsidRPr="004211B2" w:rsidRDefault="00B85365" w:rsidP="00E63845">
            <w:pPr>
              <w:pStyle w:val="cuatexto"/>
              <w:spacing w:line="240" w:lineRule="auto"/>
              <w:rPr>
                <w:sz w:val="18"/>
                <w:szCs w:val="18"/>
                <w:lang w:val="es-ES" w:eastAsia="es-ES"/>
              </w:rPr>
            </w:pPr>
            <w:r w:rsidRPr="004211B2">
              <w:rPr>
                <w:sz w:val="18"/>
                <w:szCs w:val="18"/>
                <w:lang w:val="es-ES" w:eastAsia="es-ES"/>
              </w:rPr>
              <w:t xml:space="preserve">Grupo </w:t>
            </w:r>
            <w:proofErr w:type="spellStart"/>
            <w:r w:rsidRPr="004211B2">
              <w:rPr>
                <w:sz w:val="18"/>
                <w:szCs w:val="18"/>
                <w:lang w:val="es-ES" w:eastAsia="es-ES"/>
              </w:rPr>
              <w:t>Isolux</w:t>
            </w:r>
            <w:proofErr w:type="spellEnd"/>
            <w:r w:rsidRPr="004211B2">
              <w:rPr>
                <w:sz w:val="18"/>
                <w:szCs w:val="18"/>
                <w:lang w:val="es-ES" w:eastAsia="es-ES"/>
              </w:rPr>
              <w:t xml:space="preserve"> </w:t>
            </w:r>
            <w:proofErr w:type="spellStart"/>
            <w:r w:rsidRPr="004211B2">
              <w:rPr>
                <w:sz w:val="18"/>
                <w:szCs w:val="18"/>
                <w:lang w:val="es-ES" w:eastAsia="es-ES"/>
              </w:rPr>
              <w:t>Corsán</w:t>
            </w:r>
            <w:proofErr w:type="spellEnd"/>
            <w:r w:rsidRPr="004211B2">
              <w:rPr>
                <w:sz w:val="18"/>
                <w:szCs w:val="18"/>
                <w:lang w:val="es-ES" w:eastAsia="es-ES"/>
              </w:rPr>
              <w:t xml:space="preserve">, </w:t>
            </w:r>
            <w:proofErr w:type="gramStart"/>
            <w:r w:rsidRPr="004211B2">
              <w:rPr>
                <w:sz w:val="18"/>
                <w:szCs w:val="18"/>
                <w:lang w:val="es-ES" w:eastAsia="es-ES"/>
              </w:rPr>
              <w:t>S.A</w:t>
            </w:r>
            <w:proofErr w:type="gramEnd"/>
          </w:p>
        </w:tc>
        <w:tc>
          <w:tcPr>
            <w:tcW w:w="640" w:type="dxa"/>
            <w:shd w:val="clear" w:color="000000" w:fill="FFFFFF"/>
            <w:noWrap/>
            <w:vAlign w:val="center"/>
            <w:hideMark/>
          </w:tcPr>
          <w:p w14:paraId="5819B4C7"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10</w:t>
            </w:r>
          </w:p>
        </w:tc>
        <w:tc>
          <w:tcPr>
            <w:tcW w:w="565" w:type="dxa"/>
            <w:shd w:val="clear" w:color="000000" w:fill="FFFFFF"/>
            <w:noWrap/>
            <w:vAlign w:val="center"/>
            <w:hideMark/>
          </w:tcPr>
          <w:p w14:paraId="6D390D6F"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10</w:t>
            </w:r>
          </w:p>
        </w:tc>
        <w:tc>
          <w:tcPr>
            <w:tcW w:w="565" w:type="dxa"/>
            <w:shd w:val="clear" w:color="000000" w:fill="FFFFFF"/>
            <w:noWrap/>
            <w:vAlign w:val="center"/>
            <w:hideMark/>
          </w:tcPr>
          <w:p w14:paraId="40C53EAE"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6A026DA7"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7A3594B4"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7496B2F3"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545C1454"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6B84C4B0"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r>
      <w:tr w:rsidR="00B85365" w:rsidRPr="004211B2" w14:paraId="6BD90E83" w14:textId="77777777" w:rsidTr="007610EF">
        <w:trPr>
          <w:trHeight w:val="227"/>
        </w:trPr>
        <w:tc>
          <w:tcPr>
            <w:tcW w:w="4536" w:type="dxa"/>
            <w:shd w:val="clear" w:color="000000" w:fill="FFFFFF"/>
            <w:vAlign w:val="center"/>
            <w:hideMark/>
          </w:tcPr>
          <w:p w14:paraId="7908837C" w14:textId="77777777" w:rsidR="00B85365" w:rsidRPr="004211B2" w:rsidRDefault="00B85365" w:rsidP="00E63845">
            <w:pPr>
              <w:pStyle w:val="cuatexto"/>
              <w:spacing w:line="240" w:lineRule="auto"/>
              <w:rPr>
                <w:sz w:val="18"/>
                <w:szCs w:val="18"/>
                <w:lang w:val="es-ES" w:eastAsia="es-ES"/>
              </w:rPr>
            </w:pPr>
            <w:proofErr w:type="spellStart"/>
            <w:r w:rsidRPr="004211B2">
              <w:rPr>
                <w:sz w:val="18"/>
                <w:szCs w:val="18"/>
                <w:lang w:val="es-ES" w:eastAsia="es-ES"/>
              </w:rPr>
              <w:t>Auna</w:t>
            </w:r>
            <w:proofErr w:type="spellEnd"/>
            <w:r w:rsidRPr="004211B2">
              <w:rPr>
                <w:sz w:val="18"/>
                <w:szCs w:val="18"/>
                <w:lang w:val="es-ES" w:eastAsia="es-ES"/>
              </w:rPr>
              <w:t xml:space="preserve"> </w:t>
            </w:r>
            <w:proofErr w:type="spellStart"/>
            <w:r w:rsidRPr="004211B2">
              <w:rPr>
                <w:sz w:val="18"/>
                <w:szCs w:val="18"/>
                <w:lang w:val="es-ES" w:eastAsia="es-ES"/>
              </w:rPr>
              <w:t>Socied</w:t>
            </w:r>
            <w:proofErr w:type="spellEnd"/>
            <w:r>
              <w:rPr>
                <w:sz w:val="18"/>
                <w:szCs w:val="18"/>
                <w:lang w:val="es-ES" w:eastAsia="es-ES"/>
              </w:rPr>
              <w:t>.</w:t>
            </w:r>
            <w:r w:rsidRPr="004211B2">
              <w:rPr>
                <w:sz w:val="18"/>
                <w:szCs w:val="18"/>
                <w:lang w:val="es-ES" w:eastAsia="es-ES"/>
              </w:rPr>
              <w:t xml:space="preserve"> Patrimonial, </w:t>
            </w:r>
            <w:proofErr w:type="gramStart"/>
            <w:r w:rsidRPr="004211B2">
              <w:rPr>
                <w:sz w:val="18"/>
                <w:szCs w:val="18"/>
                <w:lang w:val="es-ES" w:eastAsia="es-ES"/>
              </w:rPr>
              <w:t>S.L</w:t>
            </w:r>
            <w:proofErr w:type="gramEnd"/>
          </w:p>
        </w:tc>
        <w:tc>
          <w:tcPr>
            <w:tcW w:w="640" w:type="dxa"/>
            <w:shd w:val="clear" w:color="000000" w:fill="FFFFFF"/>
            <w:noWrap/>
            <w:vAlign w:val="center"/>
            <w:hideMark/>
          </w:tcPr>
          <w:p w14:paraId="56A92594"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3,333</w:t>
            </w:r>
          </w:p>
        </w:tc>
        <w:tc>
          <w:tcPr>
            <w:tcW w:w="565" w:type="dxa"/>
            <w:shd w:val="clear" w:color="000000" w:fill="FFFFFF"/>
            <w:noWrap/>
            <w:vAlign w:val="center"/>
            <w:hideMark/>
          </w:tcPr>
          <w:p w14:paraId="32139095"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339E7A99"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61D20A95"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51ECEF83"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09AD5853"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5A22128F"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shd w:val="clear" w:color="000000" w:fill="FFFFFF"/>
            <w:noWrap/>
            <w:vAlign w:val="center"/>
            <w:hideMark/>
          </w:tcPr>
          <w:p w14:paraId="682EF0CE"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r>
      <w:tr w:rsidR="00B85365" w:rsidRPr="004211B2" w14:paraId="2CFDA3BA" w14:textId="77777777" w:rsidTr="007610EF">
        <w:trPr>
          <w:trHeight w:val="227"/>
        </w:trPr>
        <w:tc>
          <w:tcPr>
            <w:tcW w:w="4536" w:type="dxa"/>
            <w:shd w:val="clear" w:color="000000" w:fill="FFFFFF"/>
            <w:vAlign w:val="center"/>
            <w:hideMark/>
          </w:tcPr>
          <w:p w14:paraId="010EA537" w14:textId="77777777" w:rsidR="00B85365" w:rsidRPr="004211B2" w:rsidRDefault="00B85365" w:rsidP="00E63845">
            <w:pPr>
              <w:pStyle w:val="cuatexto"/>
              <w:spacing w:line="240" w:lineRule="auto"/>
              <w:rPr>
                <w:sz w:val="18"/>
                <w:szCs w:val="18"/>
                <w:lang w:val="es-ES" w:eastAsia="es-ES"/>
              </w:rPr>
            </w:pPr>
            <w:r w:rsidRPr="004211B2">
              <w:rPr>
                <w:sz w:val="18"/>
                <w:szCs w:val="18"/>
                <w:lang w:val="es-ES" w:eastAsia="es-ES"/>
              </w:rPr>
              <w:t>Soc</w:t>
            </w:r>
            <w:r>
              <w:rPr>
                <w:sz w:val="18"/>
                <w:szCs w:val="18"/>
                <w:lang w:val="es-ES" w:eastAsia="es-ES"/>
              </w:rPr>
              <w:t>.</w:t>
            </w:r>
            <w:r w:rsidRPr="004211B2">
              <w:rPr>
                <w:sz w:val="18"/>
                <w:szCs w:val="18"/>
                <w:lang w:val="es-ES" w:eastAsia="es-ES"/>
              </w:rPr>
              <w:t xml:space="preserve"> </w:t>
            </w:r>
            <w:proofErr w:type="spellStart"/>
            <w:r w:rsidRPr="004211B2">
              <w:rPr>
                <w:sz w:val="18"/>
                <w:szCs w:val="18"/>
                <w:lang w:val="es-ES" w:eastAsia="es-ES"/>
              </w:rPr>
              <w:t>Gral</w:t>
            </w:r>
            <w:proofErr w:type="spellEnd"/>
            <w:r w:rsidRPr="004211B2">
              <w:rPr>
                <w:sz w:val="18"/>
                <w:szCs w:val="18"/>
                <w:lang w:val="es-ES" w:eastAsia="es-ES"/>
              </w:rPr>
              <w:t xml:space="preserve"> Aguas Barcelona</w:t>
            </w:r>
            <w:r>
              <w:rPr>
                <w:sz w:val="18"/>
                <w:szCs w:val="18"/>
                <w:lang w:val="es-ES" w:eastAsia="es-ES"/>
              </w:rPr>
              <w:t xml:space="preserve"> </w:t>
            </w:r>
            <w:r w:rsidRPr="004211B2">
              <w:rPr>
                <w:sz w:val="18"/>
                <w:szCs w:val="18"/>
                <w:lang w:val="es-ES" w:eastAsia="es-ES"/>
              </w:rPr>
              <w:t xml:space="preserve">S.A. </w:t>
            </w:r>
          </w:p>
        </w:tc>
        <w:tc>
          <w:tcPr>
            <w:tcW w:w="640" w:type="dxa"/>
            <w:shd w:val="clear" w:color="000000" w:fill="FFFFFF"/>
            <w:noWrap/>
            <w:vAlign w:val="center"/>
            <w:hideMark/>
          </w:tcPr>
          <w:p w14:paraId="29E4D891"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35</w:t>
            </w:r>
          </w:p>
        </w:tc>
        <w:tc>
          <w:tcPr>
            <w:tcW w:w="565" w:type="dxa"/>
            <w:shd w:val="clear" w:color="000000" w:fill="FFFFFF"/>
            <w:noWrap/>
            <w:vAlign w:val="center"/>
            <w:hideMark/>
          </w:tcPr>
          <w:p w14:paraId="4B55053F"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40</w:t>
            </w:r>
          </w:p>
        </w:tc>
        <w:tc>
          <w:tcPr>
            <w:tcW w:w="565" w:type="dxa"/>
            <w:shd w:val="clear" w:color="000000" w:fill="FFFFFF"/>
            <w:noWrap/>
            <w:vAlign w:val="center"/>
            <w:hideMark/>
          </w:tcPr>
          <w:p w14:paraId="17B72DAD"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45</w:t>
            </w:r>
          </w:p>
        </w:tc>
        <w:tc>
          <w:tcPr>
            <w:tcW w:w="565" w:type="dxa"/>
            <w:shd w:val="clear" w:color="000000" w:fill="FFFFFF"/>
            <w:noWrap/>
            <w:vAlign w:val="center"/>
            <w:hideMark/>
          </w:tcPr>
          <w:p w14:paraId="695FF14E"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50</w:t>
            </w:r>
          </w:p>
        </w:tc>
        <w:tc>
          <w:tcPr>
            <w:tcW w:w="565" w:type="dxa"/>
            <w:shd w:val="clear" w:color="000000" w:fill="FFFFFF"/>
            <w:noWrap/>
            <w:vAlign w:val="center"/>
            <w:hideMark/>
          </w:tcPr>
          <w:p w14:paraId="20B924AA"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50</w:t>
            </w:r>
          </w:p>
        </w:tc>
        <w:tc>
          <w:tcPr>
            <w:tcW w:w="565" w:type="dxa"/>
            <w:shd w:val="clear" w:color="000000" w:fill="FFFFFF"/>
            <w:noWrap/>
            <w:vAlign w:val="center"/>
            <w:hideMark/>
          </w:tcPr>
          <w:p w14:paraId="79C053BD"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50</w:t>
            </w:r>
          </w:p>
        </w:tc>
        <w:tc>
          <w:tcPr>
            <w:tcW w:w="565" w:type="dxa"/>
            <w:shd w:val="clear" w:color="000000" w:fill="FFFFFF"/>
            <w:noWrap/>
            <w:vAlign w:val="center"/>
            <w:hideMark/>
          </w:tcPr>
          <w:p w14:paraId="62596C86"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50</w:t>
            </w:r>
          </w:p>
        </w:tc>
        <w:tc>
          <w:tcPr>
            <w:tcW w:w="565" w:type="dxa"/>
            <w:shd w:val="clear" w:color="000000" w:fill="FFFFFF"/>
            <w:noWrap/>
            <w:vAlign w:val="center"/>
            <w:hideMark/>
          </w:tcPr>
          <w:p w14:paraId="1BA53C0E"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50</w:t>
            </w:r>
          </w:p>
        </w:tc>
      </w:tr>
      <w:tr w:rsidR="00B85365" w:rsidRPr="004211B2" w14:paraId="5EDA5BD0" w14:textId="77777777" w:rsidTr="00E428A6">
        <w:trPr>
          <w:trHeight w:val="227"/>
        </w:trPr>
        <w:tc>
          <w:tcPr>
            <w:tcW w:w="4536" w:type="dxa"/>
            <w:tcBorders>
              <w:bottom w:val="single" w:sz="4" w:space="0" w:color="auto"/>
            </w:tcBorders>
            <w:shd w:val="clear" w:color="000000" w:fill="FFFFFF"/>
            <w:vAlign w:val="center"/>
            <w:hideMark/>
          </w:tcPr>
          <w:p w14:paraId="197EEAB8" w14:textId="77777777" w:rsidR="00B85365" w:rsidRPr="004211B2" w:rsidRDefault="00B85365" w:rsidP="00E63845">
            <w:pPr>
              <w:pStyle w:val="cuatexto"/>
              <w:spacing w:line="240" w:lineRule="auto"/>
              <w:rPr>
                <w:sz w:val="18"/>
                <w:szCs w:val="18"/>
                <w:lang w:val="es-ES" w:eastAsia="es-ES"/>
              </w:rPr>
            </w:pPr>
            <w:proofErr w:type="spellStart"/>
            <w:r w:rsidRPr="004211B2">
              <w:rPr>
                <w:sz w:val="18"/>
                <w:szCs w:val="18"/>
                <w:lang w:val="es-ES" w:eastAsia="es-ES"/>
              </w:rPr>
              <w:t>Impact</w:t>
            </w:r>
            <w:proofErr w:type="spellEnd"/>
            <w:r w:rsidRPr="004211B2">
              <w:rPr>
                <w:sz w:val="18"/>
                <w:szCs w:val="18"/>
                <w:lang w:val="es-ES" w:eastAsia="es-ES"/>
              </w:rPr>
              <w:t xml:space="preserve"> Navarra, S.L.U.</w:t>
            </w:r>
          </w:p>
        </w:tc>
        <w:tc>
          <w:tcPr>
            <w:tcW w:w="640" w:type="dxa"/>
            <w:tcBorders>
              <w:bottom w:val="single" w:sz="4" w:space="0" w:color="auto"/>
            </w:tcBorders>
            <w:shd w:val="clear" w:color="000000" w:fill="FFFFFF"/>
            <w:noWrap/>
            <w:vAlign w:val="center"/>
            <w:hideMark/>
          </w:tcPr>
          <w:p w14:paraId="34FF47A5"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bottom w:val="single" w:sz="4" w:space="0" w:color="auto"/>
            </w:tcBorders>
            <w:shd w:val="clear" w:color="000000" w:fill="FFFFFF"/>
            <w:noWrap/>
            <w:vAlign w:val="center"/>
            <w:hideMark/>
          </w:tcPr>
          <w:p w14:paraId="406C64A0"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bottom w:val="single" w:sz="4" w:space="0" w:color="auto"/>
            </w:tcBorders>
            <w:shd w:val="clear" w:color="000000" w:fill="FFFFFF"/>
            <w:noWrap/>
            <w:vAlign w:val="center"/>
            <w:hideMark/>
          </w:tcPr>
          <w:p w14:paraId="195D263E"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bottom w:val="single" w:sz="4" w:space="0" w:color="auto"/>
            </w:tcBorders>
            <w:shd w:val="clear" w:color="000000" w:fill="FFFFFF"/>
            <w:noWrap/>
            <w:vAlign w:val="center"/>
            <w:hideMark/>
          </w:tcPr>
          <w:p w14:paraId="2590E361"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bottom w:val="single" w:sz="4" w:space="0" w:color="auto"/>
            </w:tcBorders>
            <w:shd w:val="clear" w:color="000000" w:fill="FFFFFF"/>
            <w:noWrap/>
            <w:vAlign w:val="center"/>
            <w:hideMark/>
          </w:tcPr>
          <w:p w14:paraId="426FC553"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bottom w:val="single" w:sz="4" w:space="0" w:color="auto"/>
            </w:tcBorders>
            <w:shd w:val="clear" w:color="000000" w:fill="FFFFFF"/>
            <w:noWrap/>
            <w:vAlign w:val="center"/>
            <w:hideMark/>
          </w:tcPr>
          <w:p w14:paraId="54F1C6C3"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bottom w:val="single" w:sz="4" w:space="0" w:color="auto"/>
            </w:tcBorders>
            <w:shd w:val="clear" w:color="000000" w:fill="FFFFFF"/>
            <w:noWrap/>
            <w:vAlign w:val="center"/>
            <w:hideMark/>
          </w:tcPr>
          <w:p w14:paraId="5A62F6DD"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 </w:t>
            </w:r>
          </w:p>
        </w:tc>
        <w:tc>
          <w:tcPr>
            <w:tcW w:w="565" w:type="dxa"/>
            <w:tcBorders>
              <w:bottom w:val="single" w:sz="4" w:space="0" w:color="auto"/>
            </w:tcBorders>
            <w:shd w:val="clear" w:color="000000" w:fill="FFFFFF"/>
            <w:noWrap/>
            <w:vAlign w:val="center"/>
            <w:hideMark/>
          </w:tcPr>
          <w:p w14:paraId="21A555D4" w14:textId="77777777" w:rsidR="00B85365" w:rsidRPr="004211B2" w:rsidRDefault="00B85365" w:rsidP="00E63845">
            <w:pPr>
              <w:pStyle w:val="cuatexto"/>
              <w:spacing w:line="240" w:lineRule="auto"/>
              <w:jc w:val="right"/>
              <w:rPr>
                <w:sz w:val="18"/>
                <w:szCs w:val="18"/>
                <w:lang w:val="es-ES" w:eastAsia="es-ES"/>
              </w:rPr>
            </w:pPr>
            <w:r w:rsidRPr="004211B2">
              <w:rPr>
                <w:sz w:val="18"/>
                <w:szCs w:val="18"/>
                <w:lang w:val="es-ES" w:eastAsia="es-ES"/>
              </w:rPr>
              <w:t>50</w:t>
            </w:r>
          </w:p>
        </w:tc>
      </w:tr>
      <w:tr w:rsidR="00B85365" w:rsidRPr="0040652A" w14:paraId="01CD3814" w14:textId="77777777" w:rsidTr="00E63845">
        <w:trPr>
          <w:trHeight w:val="227"/>
        </w:trPr>
        <w:tc>
          <w:tcPr>
            <w:tcW w:w="4536" w:type="dxa"/>
            <w:tcBorders>
              <w:top w:val="single" w:sz="4" w:space="0" w:color="auto"/>
              <w:bottom w:val="single" w:sz="4" w:space="0" w:color="auto"/>
            </w:tcBorders>
            <w:shd w:val="clear" w:color="auto" w:fill="B8CCE4" w:themeFill="accent1" w:themeFillTint="66"/>
            <w:noWrap/>
            <w:vAlign w:val="center"/>
            <w:hideMark/>
          </w:tcPr>
          <w:p w14:paraId="7A01246F" w14:textId="77777777" w:rsidR="00B85365" w:rsidRPr="0040652A" w:rsidRDefault="00B85365" w:rsidP="00E63845">
            <w:pPr>
              <w:pStyle w:val="cuadroCabe"/>
              <w:spacing w:line="240" w:lineRule="auto"/>
              <w:rPr>
                <w:lang w:val="es-ES" w:eastAsia="es-ES"/>
              </w:rPr>
            </w:pPr>
            <w:r w:rsidRPr="0040652A">
              <w:rPr>
                <w:lang w:val="es-ES" w:eastAsia="es-ES"/>
              </w:rPr>
              <w:t>Total</w:t>
            </w:r>
          </w:p>
        </w:tc>
        <w:tc>
          <w:tcPr>
            <w:tcW w:w="640" w:type="dxa"/>
            <w:tcBorders>
              <w:top w:val="single" w:sz="4" w:space="0" w:color="auto"/>
              <w:bottom w:val="single" w:sz="4" w:space="0" w:color="auto"/>
            </w:tcBorders>
            <w:shd w:val="clear" w:color="auto" w:fill="B8CCE4" w:themeFill="accent1" w:themeFillTint="66"/>
            <w:noWrap/>
            <w:vAlign w:val="center"/>
            <w:hideMark/>
          </w:tcPr>
          <w:p w14:paraId="18DFA96B" w14:textId="77777777" w:rsidR="00B85365" w:rsidRPr="0040652A" w:rsidRDefault="00B85365" w:rsidP="00E63845">
            <w:pPr>
              <w:pStyle w:val="cuadroCabe"/>
              <w:spacing w:line="240" w:lineRule="auto"/>
              <w:jc w:val="right"/>
              <w:rPr>
                <w:lang w:val="es-ES" w:eastAsia="es-ES"/>
              </w:rPr>
            </w:pPr>
            <w:r w:rsidRPr="0040652A">
              <w:rPr>
                <w:lang w:val="es-ES" w:eastAsia="es-ES"/>
              </w:rP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57732159" w14:textId="77777777" w:rsidR="00B85365" w:rsidRPr="0040652A" w:rsidRDefault="00B85365" w:rsidP="00E63845">
            <w:pPr>
              <w:pStyle w:val="cuadroCabe"/>
              <w:spacing w:line="240" w:lineRule="auto"/>
              <w:jc w:val="right"/>
              <w:rPr>
                <w:lang w:val="es-ES" w:eastAsia="es-ES"/>
              </w:rPr>
            </w:pPr>
            <w:r w:rsidRPr="0040652A">
              <w:rPr>
                <w:lang w:val="es-ES" w:eastAsia="es-ES"/>
              </w:rP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76D32500" w14:textId="77777777" w:rsidR="00B85365" w:rsidRPr="0040652A" w:rsidRDefault="00B85365" w:rsidP="00E63845">
            <w:pPr>
              <w:pStyle w:val="cuadroCabe"/>
              <w:spacing w:line="240" w:lineRule="auto"/>
              <w:jc w:val="right"/>
              <w:rPr>
                <w:lang w:val="es-ES" w:eastAsia="es-ES"/>
              </w:rPr>
            </w:pPr>
            <w:r w:rsidRPr="0040652A">
              <w:rPr>
                <w:lang w:val="es-ES" w:eastAsia="es-ES"/>
              </w:rP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1D3F70C1" w14:textId="77777777" w:rsidR="00B85365" w:rsidRPr="0040652A" w:rsidRDefault="00B85365" w:rsidP="00E63845">
            <w:pPr>
              <w:pStyle w:val="cuadroCabe"/>
              <w:spacing w:line="240" w:lineRule="auto"/>
              <w:jc w:val="right"/>
              <w:rPr>
                <w:lang w:val="es-ES" w:eastAsia="es-ES"/>
              </w:rPr>
            </w:pPr>
            <w:r w:rsidRPr="0040652A">
              <w:rPr>
                <w:lang w:val="es-ES" w:eastAsia="es-ES"/>
              </w:rP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25D56A6A" w14:textId="77777777" w:rsidR="00B85365" w:rsidRPr="0040652A" w:rsidRDefault="00B85365" w:rsidP="00E63845">
            <w:pPr>
              <w:pStyle w:val="cuadroCabe"/>
              <w:spacing w:line="240" w:lineRule="auto"/>
              <w:jc w:val="right"/>
              <w:rPr>
                <w:lang w:val="es-ES" w:eastAsia="es-ES"/>
              </w:rPr>
            </w:pPr>
            <w:r w:rsidRPr="0040652A">
              <w:rPr>
                <w:lang w:val="es-ES" w:eastAsia="es-ES"/>
              </w:rP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0760373C" w14:textId="77777777" w:rsidR="00B85365" w:rsidRPr="0040652A" w:rsidRDefault="00B85365" w:rsidP="00E63845">
            <w:pPr>
              <w:pStyle w:val="cuadroCabe"/>
              <w:spacing w:line="240" w:lineRule="auto"/>
              <w:jc w:val="right"/>
              <w:rPr>
                <w:lang w:val="es-ES" w:eastAsia="es-ES"/>
              </w:rPr>
            </w:pPr>
            <w:r w:rsidRPr="0040652A">
              <w:rPr>
                <w:lang w:val="es-ES" w:eastAsia="es-ES"/>
              </w:rP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11339A4B" w14:textId="77777777" w:rsidR="00B85365" w:rsidRPr="0040652A" w:rsidRDefault="00B85365" w:rsidP="00E63845">
            <w:pPr>
              <w:pStyle w:val="cuadroCabe"/>
              <w:spacing w:line="240" w:lineRule="auto"/>
              <w:jc w:val="right"/>
              <w:rPr>
                <w:lang w:val="es-ES" w:eastAsia="es-ES"/>
              </w:rPr>
            </w:pPr>
            <w:r w:rsidRPr="0040652A">
              <w:rPr>
                <w:lang w:val="es-ES" w:eastAsia="es-ES"/>
              </w:rPr>
              <w:t>100</w:t>
            </w:r>
          </w:p>
        </w:tc>
        <w:tc>
          <w:tcPr>
            <w:tcW w:w="565" w:type="dxa"/>
            <w:tcBorders>
              <w:top w:val="single" w:sz="4" w:space="0" w:color="auto"/>
              <w:bottom w:val="single" w:sz="4" w:space="0" w:color="auto"/>
            </w:tcBorders>
            <w:shd w:val="clear" w:color="auto" w:fill="B8CCE4" w:themeFill="accent1" w:themeFillTint="66"/>
            <w:noWrap/>
            <w:vAlign w:val="center"/>
            <w:hideMark/>
          </w:tcPr>
          <w:p w14:paraId="03B2EA25" w14:textId="77777777" w:rsidR="00B85365" w:rsidRPr="0040652A" w:rsidRDefault="00B85365" w:rsidP="00E63845">
            <w:pPr>
              <w:pStyle w:val="cuadroCabe"/>
              <w:spacing w:line="240" w:lineRule="auto"/>
              <w:jc w:val="right"/>
              <w:rPr>
                <w:lang w:val="es-ES" w:eastAsia="es-ES"/>
              </w:rPr>
            </w:pPr>
            <w:r w:rsidRPr="0040652A">
              <w:rPr>
                <w:lang w:val="es-ES" w:eastAsia="es-ES"/>
              </w:rPr>
              <w:t>100</w:t>
            </w:r>
          </w:p>
        </w:tc>
      </w:tr>
    </w:tbl>
    <w:p w14:paraId="38ED184E" w14:textId="77777777" w:rsidR="00464D7F" w:rsidRPr="00795CF7" w:rsidRDefault="00464D7F" w:rsidP="007610EF">
      <w:pPr>
        <w:spacing w:before="120" w:after="0"/>
        <w:ind w:firstLine="284"/>
        <w:rPr>
          <w:rFonts w:eastAsia="Calibri"/>
          <w:sz w:val="26"/>
          <w:szCs w:val="26"/>
          <w:lang w:eastAsia="es-ES"/>
        </w:rPr>
      </w:pPr>
      <w:r w:rsidRPr="00F97119">
        <w:rPr>
          <w:rFonts w:eastAsia="Calibri"/>
          <w:sz w:val="26"/>
          <w:szCs w:val="26"/>
          <w:lang w:eastAsia="es-ES"/>
        </w:rPr>
        <w:t xml:space="preserve">Esta </w:t>
      </w:r>
      <w:r>
        <w:rPr>
          <w:rFonts w:eastAsia="Calibri"/>
          <w:sz w:val="26"/>
          <w:szCs w:val="26"/>
          <w:lang w:eastAsia="es-ES"/>
        </w:rPr>
        <w:t xml:space="preserve">infraestructura, </w:t>
      </w:r>
      <w:r w:rsidRPr="00611817">
        <w:rPr>
          <w:rFonts w:eastAsia="Calibri"/>
          <w:sz w:val="26"/>
          <w:szCs w:val="26"/>
          <w:lang w:eastAsia="es-ES"/>
        </w:rPr>
        <w:t>según la</w:t>
      </w:r>
      <w:r w:rsidR="00B84A54">
        <w:rPr>
          <w:rFonts w:eastAsia="Calibri"/>
          <w:sz w:val="26"/>
          <w:szCs w:val="26"/>
          <w:lang w:eastAsia="es-ES"/>
        </w:rPr>
        <w:t xml:space="preserve"> valoración de la</w:t>
      </w:r>
      <w:r w:rsidRPr="00611817">
        <w:rPr>
          <w:rFonts w:eastAsia="Calibri"/>
          <w:sz w:val="26"/>
          <w:szCs w:val="26"/>
          <w:lang w:eastAsia="es-ES"/>
        </w:rPr>
        <w:t xml:space="preserve"> autoridad estatal competente, </w:t>
      </w:r>
      <w:r w:rsidRPr="00F97119">
        <w:rPr>
          <w:rFonts w:eastAsia="Calibri"/>
          <w:sz w:val="26"/>
          <w:szCs w:val="26"/>
          <w:lang w:eastAsia="es-ES"/>
        </w:rPr>
        <w:t xml:space="preserve">cumple con los requisitos señalados por </w:t>
      </w:r>
      <w:r w:rsidRPr="00611817">
        <w:rPr>
          <w:rFonts w:eastAsia="Calibri"/>
          <w:sz w:val="26"/>
          <w:szCs w:val="26"/>
          <w:lang w:eastAsia="es-ES"/>
        </w:rPr>
        <w:t>Eurostat</w:t>
      </w:r>
      <w:r w:rsidRPr="00F97119">
        <w:rPr>
          <w:rFonts w:eastAsia="Calibri"/>
          <w:sz w:val="26"/>
          <w:szCs w:val="26"/>
          <w:lang w:eastAsia="es-ES"/>
        </w:rPr>
        <w:t xml:space="preserve"> para computar como deuda a efectos de lo señalado en el SEC  2010.</w:t>
      </w:r>
    </w:p>
    <w:p w14:paraId="7ACA3549" w14:textId="77777777" w:rsidR="00464D7F" w:rsidRDefault="00464D7F" w:rsidP="007610EF">
      <w:pPr>
        <w:pStyle w:val="texto"/>
        <w:spacing w:after="0"/>
        <w:rPr>
          <w:rFonts w:eastAsia="Calibri"/>
          <w:lang w:eastAsia="es-ES"/>
        </w:rPr>
      </w:pPr>
    </w:p>
    <w:p w14:paraId="3A6B3744" w14:textId="77777777" w:rsidR="00F97631" w:rsidRPr="00EB0FF2" w:rsidRDefault="00FE6584" w:rsidP="00F97631">
      <w:pPr>
        <w:spacing w:after="100"/>
        <w:ind w:firstLine="284"/>
        <w:rPr>
          <w:rFonts w:eastAsia="Calibri"/>
          <w:b/>
          <w:i/>
          <w:sz w:val="28"/>
          <w:szCs w:val="28"/>
          <w:lang w:eastAsia="es-ES"/>
        </w:rPr>
      </w:pPr>
      <w:r>
        <w:rPr>
          <w:rFonts w:eastAsia="Calibri"/>
          <w:b/>
          <w:i/>
          <w:sz w:val="28"/>
          <w:szCs w:val="28"/>
          <w:lang w:eastAsia="es-ES"/>
        </w:rPr>
        <w:t>Ampliación de la Primera F</w:t>
      </w:r>
      <w:r w:rsidR="00E428A6">
        <w:rPr>
          <w:rFonts w:eastAsia="Calibri"/>
          <w:b/>
          <w:i/>
          <w:sz w:val="28"/>
          <w:szCs w:val="28"/>
          <w:lang w:eastAsia="es-ES"/>
        </w:rPr>
        <w:t>ase</w:t>
      </w:r>
    </w:p>
    <w:p w14:paraId="3E340E62" w14:textId="77777777" w:rsidR="00F97631" w:rsidRPr="00E26448" w:rsidRDefault="00F97631" w:rsidP="007610EF">
      <w:pPr>
        <w:pStyle w:val="texto"/>
        <w:rPr>
          <w:rFonts w:eastAsia="Calibri"/>
          <w:lang w:eastAsia="es-ES"/>
        </w:rPr>
      </w:pPr>
      <w:r w:rsidRPr="00E26448">
        <w:rPr>
          <w:rFonts w:eastAsia="Calibri"/>
          <w:lang w:eastAsia="es-ES"/>
        </w:rPr>
        <w:t>El 21 de mayo de 2014 la sociedad concedente, INTIA, y la sociedad concesionari</w:t>
      </w:r>
      <w:r w:rsidR="00564285">
        <w:rPr>
          <w:rFonts w:eastAsia="Calibri"/>
          <w:lang w:eastAsia="es-ES"/>
        </w:rPr>
        <w:t>a, Aguas de Navarra S.A., firmaron</w:t>
      </w:r>
      <w:r w:rsidRPr="00E26448">
        <w:rPr>
          <w:rFonts w:eastAsia="Calibri"/>
          <w:lang w:eastAsia="es-ES"/>
        </w:rPr>
        <w:t xml:space="preserve"> el contrato de concesión de obras públicas para la Construcción y Explotación de las Infraestructuras de Interés </w:t>
      </w:r>
      <w:r w:rsidR="00FE6584">
        <w:rPr>
          <w:rFonts w:eastAsia="Calibri"/>
          <w:lang w:eastAsia="es-ES"/>
        </w:rPr>
        <w:t>General de la Ampliación de la Primera F</w:t>
      </w:r>
      <w:r w:rsidRPr="00E26448">
        <w:rPr>
          <w:rFonts w:eastAsia="Calibri"/>
          <w:lang w:eastAsia="es-ES"/>
        </w:rPr>
        <w:t>ase de la Zona Regable del Canal de Navarra.</w:t>
      </w:r>
    </w:p>
    <w:p w14:paraId="6E18A7E8" w14:textId="77777777" w:rsidR="00F97631" w:rsidRPr="00A10CF3" w:rsidRDefault="00564285" w:rsidP="007610EF">
      <w:pPr>
        <w:pStyle w:val="texto"/>
        <w:rPr>
          <w:rFonts w:eastAsia="Calibri"/>
          <w:lang w:eastAsia="es-ES"/>
        </w:rPr>
      </w:pPr>
      <w:r>
        <w:rPr>
          <w:rFonts w:eastAsia="Calibri"/>
          <w:lang w:eastAsia="es-ES"/>
        </w:rPr>
        <w:t>La Zona R</w:t>
      </w:r>
      <w:r w:rsidR="00F97631">
        <w:rPr>
          <w:rFonts w:eastAsia="Calibri"/>
          <w:lang w:eastAsia="es-ES"/>
        </w:rPr>
        <w:t>egable consta de cinco</w:t>
      </w:r>
      <w:r w:rsidR="00F97631" w:rsidRPr="00A10CF3">
        <w:rPr>
          <w:rFonts w:eastAsia="Calibri"/>
          <w:lang w:eastAsia="es-ES"/>
        </w:rPr>
        <w:t xml:space="preserve"> sectores de riego, con una previsión inicial de 15.275 hectáreas de riego. Estos sectores</w:t>
      </w:r>
      <w:r w:rsidR="00D84F41">
        <w:rPr>
          <w:rFonts w:eastAsia="Calibri"/>
          <w:lang w:eastAsia="es-ES"/>
        </w:rPr>
        <w:t>,</w:t>
      </w:r>
      <w:r w:rsidR="00F97631" w:rsidRPr="00A10CF3">
        <w:rPr>
          <w:rFonts w:eastAsia="Calibri"/>
          <w:lang w:eastAsia="es-ES"/>
        </w:rPr>
        <w:t xml:space="preserve"> a su vez</w:t>
      </w:r>
      <w:r w:rsidR="00D84F41">
        <w:rPr>
          <w:rFonts w:eastAsia="Calibri"/>
          <w:lang w:eastAsia="es-ES"/>
        </w:rPr>
        <w:t>,</w:t>
      </w:r>
      <w:r w:rsidR="00F97631" w:rsidRPr="00A10CF3">
        <w:rPr>
          <w:rFonts w:eastAsia="Calibri"/>
          <w:lang w:eastAsia="es-ES"/>
        </w:rPr>
        <w:t xml:space="preserve"> está</w:t>
      </w:r>
      <w:r w:rsidR="00F97631">
        <w:rPr>
          <w:rFonts w:eastAsia="Calibri"/>
          <w:lang w:eastAsia="es-ES"/>
        </w:rPr>
        <w:t>n</w:t>
      </w:r>
      <w:r w:rsidR="00F97631" w:rsidRPr="00A10CF3">
        <w:rPr>
          <w:rFonts w:eastAsia="Calibri"/>
          <w:lang w:eastAsia="es-ES"/>
        </w:rPr>
        <w:t xml:space="preserve"> divididos en diferentes zonas de riego.</w:t>
      </w:r>
    </w:p>
    <w:p w14:paraId="42EE551C" w14:textId="77777777" w:rsidR="00F97631" w:rsidRPr="007610EF" w:rsidRDefault="00F97631" w:rsidP="007610EF">
      <w:pPr>
        <w:pStyle w:val="texto"/>
        <w:rPr>
          <w:rFonts w:eastAsia="Calibri"/>
          <w:spacing w:val="-2"/>
          <w:lang w:eastAsia="es-ES"/>
        </w:rPr>
      </w:pPr>
      <w:r w:rsidRPr="007610EF">
        <w:rPr>
          <w:rFonts w:eastAsia="Calibri"/>
          <w:spacing w:val="-2"/>
          <w:lang w:eastAsia="es-ES"/>
        </w:rPr>
        <w:t>La sociedad concesionaria</w:t>
      </w:r>
      <w:r w:rsidR="00564285" w:rsidRPr="007610EF">
        <w:rPr>
          <w:rFonts w:eastAsia="Calibri"/>
          <w:spacing w:val="-2"/>
          <w:lang w:eastAsia="es-ES"/>
        </w:rPr>
        <w:t xml:space="preserve"> se constituyó</w:t>
      </w:r>
      <w:r w:rsidRPr="007610EF">
        <w:rPr>
          <w:rFonts w:eastAsia="Calibri"/>
          <w:spacing w:val="-2"/>
          <w:lang w:eastAsia="es-ES"/>
        </w:rPr>
        <w:t xml:space="preserve"> como sociedad anónima en mayo de 2014. Está sociedad estaba </w:t>
      </w:r>
      <w:r w:rsidR="00564285" w:rsidRPr="007610EF">
        <w:rPr>
          <w:rFonts w:eastAsia="Calibri"/>
          <w:spacing w:val="-2"/>
          <w:lang w:eastAsia="es-ES"/>
        </w:rPr>
        <w:t xml:space="preserve">controlada por el grupo </w:t>
      </w:r>
      <w:proofErr w:type="spellStart"/>
      <w:r w:rsidR="00564285" w:rsidRPr="007610EF">
        <w:rPr>
          <w:rFonts w:eastAsia="Calibri"/>
          <w:spacing w:val="-2"/>
          <w:lang w:eastAsia="es-ES"/>
        </w:rPr>
        <w:t>Obrascón</w:t>
      </w:r>
      <w:proofErr w:type="spellEnd"/>
      <w:r w:rsidR="00564285" w:rsidRPr="007610EF">
        <w:rPr>
          <w:rFonts w:eastAsia="Calibri"/>
          <w:spacing w:val="-2"/>
          <w:lang w:eastAsia="es-ES"/>
        </w:rPr>
        <w:t xml:space="preserve"> Huarte </w:t>
      </w:r>
      <w:proofErr w:type="spellStart"/>
      <w:r w:rsidR="00564285" w:rsidRPr="007610EF">
        <w:rPr>
          <w:rFonts w:eastAsia="Calibri"/>
          <w:spacing w:val="-2"/>
          <w:lang w:eastAsia="es-ES"/>
        </w:rPr>
        <w:t>Lain</w:t>
      </w:r>
      <w:proofErr w:type="spellEnd"/>
      <w:r w:rsidR="00564285" w:rsidRPr="007610EF">
        <w:rPr>
          <w:rFonts w:eastAsia="Calibri"/>
          <w:spacing w:val="-2"/>
          <w:lang w:eastAsia="es-ES"/>
        </w:rPr>
        <w:t>, S.A.</w:t>
      </w:r>
      <w:r w:rsidRPr="007610EF">
        <w:rPr>
          <w:rFonts w:eastAsia="Calibri"/>
          <w:spacing w:val="-2"/>
          <w:lang w:eastAsia="es-ES"/>
        </w:rPr>
        <w:t xml:space="preserve"> (en adelante OHL) que poseía un 65 por ciento y el 35 por ciento restante obraba en poder de </w:t>
      </w:r>
      <w:r w:rsidRPr="007610EF">
        <w:rPr>
          <w:rFonts w:eastAsia="Calibri"/>
          <w:spacing w:val="-2"/>
          <w:sz w:val="24"/>
          <w:lang w:eastAsia="es-ES"/>
        </w:rPr>
        <w:t>AGBAR</w:t>
      </w:r>
      <w:r w:rsidRPr="007610EF">
        <w:rPr>
          <w:rFonts w:eastAsia="Calibri"/>
          <w:spacing w:val="-2"/>
          <w:lang w:eastAsia="es-ES"/>
        </w:rPr>
        <w:t xml:space="preserve">. </w:t>
      </w:r>
    </w:p>
    <w:p w14:paraId="4C43E751" w14:textId="77777777" w:rsidR="00F97631" w:rsidRDefault="00F97631" w:rsidP="007610EF">
      <w:pPr>
        <w:pStyle w:val="texto"/>
        <w:rPr>
          <w:rFonts w:eastAsia="Calibri"/>
          <w:lang w:eastAsia="es-ES"/>
        </w:rPr>
      </w:pPr>
      <w:r>
        <w:rPr>
          <w:rFonts w:eastAsia="Calibri"/>
          <w:szCs w:val="26"/>
          <w:lang w:eastAsia="es-ES"/>
        </w:rPr>
        <w:t>La evolución</w:t>
      </w:r>
      <w:r w:rsidRPr="006D0FCD">
        <w:rPr>
          <w:rFonts w:eastAsia="Calibri"/>
          <w:szCs w:val="26"/>
          <w:lang w:eastAsia="es-ES"/>
        </w:rPr>
        <w:t xml:space="preserve"> </w:t>
      </w:r>
      <w:r>
        <w:rPr>
          <w:rFonts w:eastAsia="Calibri"/>
          <w:szCs w:val="26"/>
          <w:lang w:eastAsia="es-ES"/>
        </w:rPr>
        <w:t xml:space="preserve">de la estructura accionarial, en porcentaje sobre la cifra de capital social, </w:t>
      </w:r>
      <w:r>
        <w:rPr>
          <w:rFonts w:eastAsia="Calibri"/>
          <w:lang w:eastAsia="es-ES"/>
        </w:rPr>
        <w:t xml:space="preserve">de la estructura accionarial de Aguas de Navarra S.A. </w:t>
      </w:r>
      <w:r w:rsidR="001B1193">
        <w:rPr>
          <w:rFonts w:eastAsia="Calibri"/>
          <w:lang w:eastAsia="es-ES"/>
        </w:rPr>
        <w:t>en el periodo 2014-2021</w:t>
      </w:r>
      <w:r>
        <w:rPr>
          <w:rFonts w:eastAsia="Calibri"/>
          <w:lang w:eastAsia="es-ES"/>
        </w:rPr>
        <w:t xml:space="preserve"> es la siguiente: </w:t>
      </w:r>
    </w:p>
    <w:tbl>
      <w:tblPr>
        <w:tblW w:w="9089" w:type="dxa"/>
        <w:tblCellMar>
          <w:left w:w="70" w:type="dxa"/>
          <w:right w:w="70" w:type="dxa"/>
        </w:tblCellMar>
        <w:tblLook w:val="04A0" w:firstRow="1" w:lastRow="0" w:firstColumn="1" w:lastColumn="0" w:noHBand="0" w:noVBand="1"/>
      </w:tblPr>
      <w:tblGrid>
        <w:gridCol w:w="3402"/>
        <w:gridCol w:w="780"/>
        <w:gridCol w:w="637"/>
        <w:gridCol w:w="585"/>
        <w:gridCol w:w="832"/>
        <w:gridCol w:w="585"/>
        <w:gridCol w:w="833"/>
        <w:gridCol w:w="850"/>
        <w:gridCol w:w="585"/>
      </w:tblGrid>
      <w:tr w:rsidR="00F97631" w:rsidRPr="00DF3E6B" w14:paraId="5A02ED99" w14:textId="77777777" w:rsidTr="00E428A6">
        <w:trPr>
          <w:trHeight w:val="227"/>
        </w:trPr>
        <w:tc>
          <w:tcPr>
            <w:tcW w:w="3402" w:type="dxa"/>
            <w:tcBorders>
              <w:top w:val="single" w:sz="4" w:space="0" w:color="auto"/>
              <w:left w:val="nil"/>
              <w:bottom w:val="nil"/>
              <w:right w:val="nil"/>
            </w:tcBorders>
            <w:shd w:val="clear" w:color="auto" w:fill="B8CCE4" w:themeFill="accent1" w:themeFillTint="66"/>
            <w:noWrap/>
            <w:vAlign w:val="center"/>
            <w:hideMark/>
          </w:tcPr>
          <w:p w14:paraId="640DE797" w14:textId="77777777" w:rsidR="00F97631" w:rsidRPr="00DF3E6B" w:rsidRDefault="00F97631" w:rsidP="00716D48">
            <w:pPr>
              <w:pStyle w:val="cuadroCabe"/>
              <w:spacing w:line="240" w:lineRule="auto"/>
              <w:rPr>
                <w:lang w:val="es-ES" w:eastAsia="es-ES"/>
              </w:rPr>
            </w:pPr>
            <w:r w:rsidRPr="00DF3E6B">
              <w:rPr>
                <w:lang w:val="es-ES" w:eastAsia="es-ES"/>
              </w:rPr>
              <w:t>Estructura accionarial</w:t>
            </w:r>
          </w:p>
        </w:tc>
        <w:tc>
          <w:tcPr>
            <w:tcW w:w="780" w:type="dxa"/>
            <w:tcBorders>
              <w:top w:val="single" w:sz="4" w:space="0" w:color="auto"/>
              <w:left w:val="nil"/>
              <w:bottom w:val="nil"/>
              <w:right w:val="nil"/>
            </w:tcBorders>
            <w:shd w:val="clear" w:color="auto" w:fill="B8CCE4" w:themeFill="accent1" w:themeFillTint="66"/>
            <w:noWrap/>
            <w:vAlign w:val="center"/>
            <w:hideMark/>
          </w:tcPr>
          <w:p w14:paraId="047A6B8B" w14:textId="77777777" w:rsidR="00F97631" w:rsidRPr="00DF3E6B" w:rsidRDefault="00F97631" w:rsidP="00716D48">
            <w:pPr>
              <w:pStyle w:val="cuadroCabe"/>
              <w:spacing w:line="240" w:lineRule="auto"/>
              <w:jc w:val="right"/>
              <w:rPr>
                <w:lang w:val="es-ES" w:eastAsia="es-ES"/>
              </w:rPr>
            </w:pPr>
            <w:r w:rsidRPr="00DF3E6B">
              <w:rPr>
                <w:lang w:val="es-ES" w:eastAsia="es-ES"/>
              </w:rPr>
              <w:t>2014</w:t>
            </w:r>
          </w:p>
        </w:tc>
        <w:tc>
          <w:tcPr>
            <w:tcW w:w="637" w:type="dxa"/>
            <w:tcBorders>
              <w:top w:val="single" w:sz="4" w:space="0" w:color="auto"/>
              <w:left w:val="nil"/>
              <w:bottom w:val="nil"/>
              <w:right w:val="nil"/>
            </w:tcBorders>
            <w:shd w:val="clear" w:color="auto" w:fill="B8CCE4" w:themeFill="accent1" w:themeFillTint="66"/>
            <w:noWrap/>
            <w:vAlign w:val="center"/>
            <w:hideMark/>
          </w:tcPr>
          <w:p w14:paraId="677C653F" w14:textId="77777777" w:rsidR="00F97631" w:rsidRPr="00DF3E6B" w:rsidRDefault="00F97631" w:rsidP="00716D48">
            <w:pPr>
              <w:pStyle w:val="cuadroCabe"/>
              <w:spacing w:line="240" w:lineRule="auto"/>
              <w:jc w:val="right"/>
              <w:rPr>
                <w:lang w:val="es-ES" w:eastAsia="es-ES"/>
              </w:rPr>
            </w:pPr>
            <w:r w:rsidRPr="00DF3E6B">
              <w:rPr>
                <w:lang w:val="es-ES" w:eastAsia="es-ES"/>
              </w:rPr>
              <w:t>2015</w:t>
            </w:r>
          </w:p>
        </w:tc>
        <w:tc>
          <w:tcPr>
            <w:tcW w:w="585" w:type="dxa"/>
            <w:tcBorders>
              <w:top w:val="single" w:sz="4" w:space="0" w:color="auto"/>
              <w:left w:val="nil"/>
              <w:bottom w:val="nil"/>
              <w:right w:val="nil"/>
            </w:tcBorders>
            <w:shd w:val="clear" w:color="auto" w:fill="B8CCE4" w:themeFill="accent1" w:themeFillTint="66"/>
            <w:noWrap/>
            <w:vAlign w:val="center"/>
            <w:hideMark/>
          </w:tcPr>
          <w:p w14:paraId="2A45131B" w14:textId="77777777" w:rsidR="00F97631" w:rsidRPr="00DF3E6B" w:rsidRDefault="00F97631" w:rsidP="00716D48">
            <w:pPr>
              <w:pStyle w:val="cuadroCabe"/>
              <w:spacing w:line="240" w:lineRule="auto"/>
              <w:jc w:val="right"/>
              <w:rPr>
                <w:lang w:val="es-ES" w:eastAsia="es-ES"/>
              </w:rPr>
            </w:pPr>
            <w:r w:rsidRPr="00DF3E6B">
              <w:rPr>
                <w:lang w:val="es-ES" w:eastAsia="es-ES"/>
              </w:rPr>
              <w:t>2016</w:t>
            </w:r>
          </w:p>
        </w:tc>
        <w:tc>
          <w:tcPr>
            <w:tcW w:w="832" w:type="dxa"/>
            <w:tcBorders>
              <w:top w:val="single" w:sz="4" w:space="0" w:color="auto"/>
              <w:left w:val="nil"/>
              <w:bottom w:val="nil"/>
              <w:right w:val="nil"/>
            </w:tcBorders>
            <w:shd w:val="clear" w:color="auto" w:fill="B8CCE4" w:themeFill="accent1" w:themeFillTint="66"/>
            <w:noWrap/>
            <w:vAlign w:val="center"/>
            <w:hideMark/>
          </w:tcPr>
          <w:p w14:paraId="36FAB7E5" w14:textId="77777777" w:rsidR="00F97631" w:rsidRPr="00DF3E6B" w:rsidRDefault="00F97631" w:rsidP="00716D48">
            <w:pPr>
              <w:pStyle w:val="cuadroCabe"/>
              <w:spacing w:line="240" w:lineRule="auto"/>
              <w:jc w:val="right"/>
              <w:rPr>
                <w:lang w:val="es-ES" w:eastAsia="es-ES"/>
              </w:rPr>
            </w:pPr>
            <w:r w:rsidRPr="00DF3E6B">
              <w:rPr>
                <w:lang w:val="es-ES" w:eastAsia="es-ES"/>
              </w:rPr>
              <w:t>2017</w:t>
            </w:r>
          </w:p>
        </w:tc>
        <w:tc>
          <w:tcPr>
            <w:tcW w:w="585" w:type="dxa"/>
            <w:tcBorders>
              <w:top w:val="single" w:sz="4" w:space="0" w:color="auto"/>
              <w:left w:val="nil"/>
              <w:bottom w:val="nil"/>
              <w:right w:val="nil"/>
            </w:tcBorders>
            <w:shd w:val="clear" w:color="auto" w:fill="B8CCE4" w:themeFill="accent1" w:themeFillTint="66"/>
            <w:noWrap/>
            <w:vAlign w:val="center"/>
            <w:hideMark/>
          </w:tcPr>
          <w:p w14:paraId="4B6D91CD" w14:textId="77777777" w:rsidR="00F97631" w:rsidRPr="00DF3E6B" w:rsidRDefault="00F97631" w:rsidP="00716D48">
            <w:pPr>
              <w:pStyle w:val="cuadroCabe"/>
              <w:spacing w:line="240" w:lineRule="auto"/>
              <w:jc w:val="right"/>
              <w:rPr>
                <w:lang w:val="es-ES" w:eastAsia="es-ES"/>
              </w:rPr>
            </w:pPr>
            <w:r w:rsidRPr="00DF3E6B">
              <w:rPr>
                <w:lang w:val="es-ES" w:eastAsia="es-ES"/>
              </w:rPr>
              <w:t>2018</w:t>
            </w:r>
          </w:p>
        </w:tc>
        <w:tc>
          <w:tcPr>
            <w:tcW w:w="833" w:type="dxa"/>
            <w:tcBorders>
              <w:top w:val="single" w:sz="4" w:space="0" w:color="auto"/>
              <w:left w:val="nil"/>
              <w:bottom w:val="nil"/>
              <w:right w:val="nil"/>
            </w:tcBorders>
            <w:shd w:val="clear" w:color="auto" w:fill="B8CCE4" w:themeFill="accent1" w:themeFillTint="66"/>
            <w:noWrap/>
            <w:vAlign w:val="center"/>
            <w:hideMark/>
          </w:tcPr>
          <w:p w14:paraId="457F357F" w14:textId="77777777" w:rsidR="00F97631" w:rsidRPr="00DF3E6B" w:rsidRDefault="00F97631" w:rsidP="00716D48">
            <w:pPr>
              <w:pStyle w:val="cuadroCabe"/>
              <w:spacing w:line="240" w:lineRule="auto"/>
              <w:jc w:val="right"/>
              <w:rPr>
                <w:lang w:val="es-ES" w:eastAsia="es-ES"/>
              </w:rPr>
            </w:pPr>
            <w:r w:rsidRPr="00DF3E6B">
              <w:rPr>
                <w:lang w:val="es-ES" w:eastAsia="es-ES"/>
              </w:rPr>
              <w:t>2019</w:t>
            </w:r>
          </w:p>
        </w:tc>
        <w:tc>
          <w:tcPr>
            <w:tcW w:w="850" w:type="dxa"/>
            <w:tcBorders>
              <w:top w:val="single" w:sz="4" w:space="0" w:color="auto"/>
              <w:left w:val="nil"/>
              <w:bottom w:val="nil"/>
              <w:right w:val="nil"/>
            </w:tcBorders>
            <w:shd w:val="clear" w:color="auto" w:fill="B8CCE4" w:themeFill="accent1" w:themeFillTint="66"/>
            <w:noWrap/>
            <w:vAlign w:val="center"/>
            <w:hideMark/>
          </w:tcPr>
          <w:p w14:paraId="3C3422AD" w14:textId="77777777" w:rsidR="00F97631" w:rsidRPr="00DF3E6B" w:rsidRDefault="00F97631" w:rsidP="00716D48">
            <w:pPr>
              <w:pStyle w:val="cuadroCabe"/>
              <w:spacing w:line="240" w:lineRule="auto"/>
              <w:jc w:val="right"/>
              <w:rPr>
                <w:lang w:val="es-ES" w:eastAsia="es-ES"/>
              </w:rPr>
            </w:pPr>
            <w:r w:rsidRPr="00DF3E6B">
              <w:rPr>
                <w:lang w:val="es-ES" w:eastAsia="es-ES"/>
              </w:rPr>
              <w:t>2020</w:t>
            </w:r>
          </w:p>
        </w:tc>
        <w:tc>
          <w:tcPr>
            <w:tcW w:w="585" w:type="dxa"/>
            <w:tcBorders>
              <w:top w:val="single" w:sz="4" w:space="0" w:color="auto"/>
              <w:left w:val="nil"/>
              <w:bottom w:val="nil"/>
              <w:right w:val="nil"/>
            </w:tcBorders>
            <w:shd w:val="clear" w:color="auto" w:fill="B8CCE4" w:themeFill="accent1" w:themeFillTint="66"/>
            <w:noWrap/>
            <w:vAlign w:val="center"/>
            <w:hideMark/>
          </w:tcPr>
          <w:p w14:paraId="37232303" w14:textId="77777777" w:rsidR="00F97631" w:rsidRPr="00DF3E6B" w:rsidRDefault="00F97631" w:rsidP="00716D48">
            <w:pPr>
              <w:pStyle w:val="cuadroCabe"/>
              <w:spacing w:line="240" w:lineRule="auto"/>
              <w:jc w:val="right"/>
              <w:rPr>
                <w:lang w:val="es-ES" w:eastAsia="es-ES"/>
              </w:rPr>
            </w:pPr>
            <w:r w:rsidRPr="00DF3E6B">
              <w:rPr>
                <w:lang w:val="es-ES" w:eastAsia="es-ES"/>
              </w:rPr>
              <w:t>2021</w:t>
            </w:r>
          </w:p>
        </w:tc>
      </w:tr>
      <w:tr w:rsidR="00F97631" w:rsidRPr="00DF3E6B" w14:paraId="666F6D63" w14:textId="77777777" w:rsidTr="00E428A6">
        <w:trPr>
          <w:trHeight w:val="227"/>
        </w:trPr>
        <w:tc>
          <w:tcPr>
            <w:tcW w:w="3402" w:type="dxa"/>
            <w:tcBorders>
              <w:top w:val="single" w:sz="4" w:space="0" w:color="auto"/>
              <w:left w:val="nil"/>
              <w:bottom w:val="single" w:sz="2" w:space="0" w:color="auto"/>
              <w:right w:val="nil"/>
            </w:tcBorders>
            <w:shd w:val="clear" w:color="auto" w:fill="auto"/>
            <w:vAlign w:val="center"/>
            <w:hideMark/>
          </w:tcPr>
          <w:p w14:paraId="3D61F9AC" w14:textId="77777777" w:rsidR="00F97631" w:rsidRPr="00DF3E6B" w:rsidRDefault="00F97631" w:rsidP="00716D48">
            <w:pPr>
              <w:pStyle w:val="cuatexto"/>
              <w:spacing w:line="240" w:lineRule="auto"/>
              <w:rPr>
                <w:lang w:val="es-ES" w:eastAsia="es-ES"/>
              </w:rPr>
            </w:pPr>
            <w:proofErr w:type="spellStart"/>
            <w:r w:rsidRPr="00DF3E6B">
              <w:rPr>
                <w:lang w:val="es-ES" w:eastAsia="es-ES"/>
              </w:rPr>
              <w:t>Obrascon</w:t>
            </w:r>
            <w:proofErr w:type="spellEnd"/>
            <w:r w:rsidRPr="00DF3E6B">
              <w:rPr>
                <w:lang w:val="es-ES" w:eastAsia="es-ES"/>
              </w:rPr>
              <w:t xml:space="preserve"> Huarte </w:t>
            </w:r>
            <w:proofErr w:type="spellStart"/>
            <w:r w:rsidRPr="00DF3E6B">
              <w:rPr>
                <w:lang w:val="es-ES" w:eastAsia="es-ES"/>
              </w:rPr>
              <w:t>Lain</w:t>
            </w:r>
            <w:proofErr w:type="spellEnd"/>
            <w:r w:rsidRPr="00DF3E6B">
              <w:rPr>
                <w:lang w:val="es-ES" w:eastAsia="es-ES"/>
              </w:rPr>
              <w:t>, S.A.</w:t>
            </w:r>
          </w:p>
        </w:tc>
        <w:tc>
          <w:tcPr>
            <w:tcW w:w="780" w:type="dxa"/>
            <w:tcBorders>
              <w:top w:val="single" w:sz="4" w:space="0" w:color="auto"/>
              <w:left w:val="nil"/>
              <w:bottom w:val="single" w:sz="2" w:space="0" w:color="auto"/>
              <w:right w:val="nil"/>
            </w:tcBorders>
            <w:shd w:val="clear" w:color="auto" w:fill="auto"/>
            <w:noWrap/>
            <w:vAlign w:val="center"/>
            <w:hideMark/>
          </w:tcPr>
          <w:p w14:paraId="72B41552" w14:textId="77777777" w:rsidR="00F97631" w:rsidRPr="00DF3E6B" w:rsidRDefault="00F97631" w:rsidP="00716D48">
            <w:pPr>
              <w:pStyle w:val="cuatexto"/>
              <w:spacing w:line="240" w:lineRule="auto"/>
              <w:jc w:val="right"/>
              <w:rPr>
                <w:lang w:val="es-ES" w:eastAsia="es-ES"/>
              </w:rPr>
            </w:pPr>
            <w:r w:rsidRPr="00DF3E6B">
              <w:rPr>
                <w:lang w:val="es-ES" w:eastAsia="es-ES"/>
              </w:rPr>
              <w:t>65</w:t>
            </w:r>
          </w:p>
        </w:tc>
        <w:tc>
          <w:tcPr>
            <w:tcW w:w="637" w:type="dxa"/>
            <w:tcBorders>
              <w:top w:val="single" w:sz="4" w:space="0" w:color="auto"/>
              <w:left w:val="nil"/>
              <w:bottom w:val="single" w:sz="2" w:space="0" w:color="auto"/>
              <w:right w:val="nil"/>
            </w:tcBorders>
            <w:shd w:val="clear" w:color="auto" w:fill="auto"/>
            <w:noWrap/>
            <w:vAlign w:val="center"/>
            <w:hideMark/>
          </w:tcPr>
          <w:p w14:paraId="01A2E2D4" w14:textId="77777777" w:rsidR="00F97631" w:rsidRPr="00DF3E6B" w:rsidRDefault="00F97631" w:rsidP="00716D48">
            <w:pPr>
              <w:pStyle w:val="cuatexto"/>
              <w:spacing w:line="240" w:lineRule="auto"/>
              <w:jc w:val="right"/>
              <w:rPr>
                <w:lang w:val="es-ES" w:eastAsia="es-ES"/>
              </w:rPr>
            </w:pPr>
            <w:r w:rsidRPr="00DF3E6B">
              <w:rPr>
                <w:lang w:val="es-ES" w:eastAsia="es-ES"/>
              </w:rPr>
              <w:t>65</w:t>
            </w:r>
          </w:p>
        </w:tc>
        <w:tc>
          <w:tcPr>
            <w:tcW w:w="585" w:type="dxa"/>
            <w:tcBorders>
              <w:top w:val="single" w:sz="4" w:space="0" w:color="auto"/>
              <w:left w:val="nil"/>
              <w:bottom w:val="single" w:sz="2" w:space="0" w:color="auto"/>
              <w:right w:val="nil"/>
            </w:tcBorders>
            <w:shd w:val="clear" w:color="auto" w:fill="auto"/>
            <w:noWrap/>
            <w:vAlign w:val="center"/>
            <w:hideMark/>
          </w:tcPr>
          <w:p w14:paraId="60E49231" w14:textId="77777777" w:rsidR="00F97631" w:rsidRPr="00DF3E6B" w:rsidRDefault="00F97631" w:rsidP="00716D48">
            <w:pPr>
              <w:pStyle w:val="cuatexto"/>
              <w:spacing w:line="240" w:lineRule="auto"/>
              <w:jc w:val="right"/>
              <w:rPr>
                <w:lang w:val="es-ES" w:eastAsia="es-ES"/>
              </w:rPr>
            </w:pPr>
            <w:r w:rsidRPr="00DF3E6B">
              <w:rPr>
                <w:lang w:val="es-ES" w:eastAsia="es-ES"/>
              </w:rPr>
              <w:t>65</w:t>
            </w:r>
          </w:p>
        </w:tc>
        <w:tc>
          <w:tcPr>
            <w:tcW w:w="832" w:type="dxa"/>
            <w:tcBorders>
              <w:top w:val="single" w:sz="4" w:space="0" w:color="auto"/>
              <w:left w:val="nil"/>
              <w:bottom w:val="single" w:sz="2" w:space="0" w:color="auto"/>
              <w:right w:val="nil"/>
            </w:tcBorders>
            <w:shd w:val="clear" w:color="auto" w:fill="auto"/>
            <w:noWrap/>
            <w:vAlign w:val="center"/>
            <w:hideMark/>
          </w:tcPr>
          <w:p w14:paraId="3BC93DF7" w14:textId="77777777" w:rsidR="00F97631" w:rsidRPr="00DF3E6B" w:rsidRDefault="00F97631" w:rsidP="00716D48">
            <w:pPr>
              <w:pStyle w:val="cuatexto"/>
              <w:spacing w:line="240" w:lineRule="auto"/>
              <w:jc w:val="right"/>
              <w:rPr>
                <w:lang w:val="es-ES" w:eastAsia="es-ES"/>
              </w:rPr>
            </w:pPr>
            <w:r w:rsidRPr="00DF3E6B">
              <w:rPr>
                <w:lang w:val="es-ES" w:eastAsia="es-ES"/>
              </w:rPr>
              <w:t>65</w:t>
            </w:r>
          </w:p>
        </w:tc>
        <w:tc>
          <w:tcPr>
            <w:tcW w:w="585" w:type="dxa"/>
            <w:tcBorders>
              <w:top w:val="single" w:sz="4" w:space="0" w:color="auto"/>
              <w:left w:val="nil"/>
              <w:bottom w:val="single" w:sz="2" w:space="0" w:color="auto"/>
              <w:right w:val="nil"/>
            </w:tcBorders>
            <w:shd w:val="clear" w:color="auto" w:fill="auto"/>
            <w:noWrap/>
            <w:vAlign w:val="center"/>
            <w:hideMark/>
          </w:tcPr>
          <w:p w14:paraId="325AFBB5" w14:textId="77777777" w:rsidR="00F97631" w:rsidRPr="00DF3E6B" w:rsidRDefault="00F97631" w:rsidP="00716D48">
            <w:pPr>
              <w:pStyle w:val="cuatexto"/>
              <w:spacing w:line="240" w:lineRule="auto"/>
              <w:jc w:val="right"/>
              <w:rPr>
                <w:lang w:val="es-ES" w:eastAsia="es-ES"/>
              </w:rPr>
            </w:pPr>
            <w:r w:rsidRPr="00DF3E6B">
              <w:rPr>
                <w:lang w:val="es-ES" w:eastAsia="es-ES"/>
              </w:rPr>
              <w:t>65</w:t>
            </w:r>
          </w:p>
        </w:tc>
        <w:tc>
          <w:tcPr>
            <w:tcW w:w="833" w:type="dxa"/>
            <w:tcBorders>
              <w:top w:val="single" w:sz="4" w:space="0" w:color="auto"/>
              <w:left w:val="nil"/>
              <w:bottom w:val="single" w:sz="2" w:space="0" w:color="auto"/>
              <w:right w:val="nil"/>
            </w:tcBorders>
            <w:shd w:val="clear" w:color="auto" w:fill="auto"/>
            <w:noWrap/>
            <w:vAlign w:val="center"/>
            <w:hideMark/>
          </w:tcPr>
          <w:p w14:paraId="67771376" w14:textId="77777777" w:rsidR="00F97631" w:rsidRPr="00DF3E6B" w:rsidRDefault="00F97631" w:rsidP="00716D48">
            <w:pPr>
              <w:pStyle w:val="cuatexto"/>
              <w:spacing w:line="240" w:lineRule="auto"/>
              <w:jc w:val="right"/>
              <w:rPr>
                <w:lang w:val="es-ES" w:eastAsia="es-ES"/>
              </w:rPr>
            </w:pPr>
            <w:r w:rsidRPr="00DF3E6B">
              <w:rPr>
                <w:lang w:val="es-ES" w:eastAsia="es-ES"/>
              </w:rPr>
              <w:t>65</w:t>
            </w:r>
          </w:p>
        </w:tc>
        <w:tc>
          <w:tcPr>
            <w:tcW w:w="850" w:type="dxa"/>
            <w:tcBorders>
              <w:top w:val="single" w:sz="4" w:space="0" w:color="auto"/>
              <w:left w:val="nil"/>
              <w:bottom w:val="single" w:sz="2" w:space="0" w:color="auto"/>
              <w:right w:val="nil"/>
            </w:tcBorders>
            <w:shd w:val="clear" w:color="auto" w:fill="auto"/>
            <w:noWrap/>
            <w:vAlign w:val="center"/>
            <w:hideMark/>
          </w:tcPr>
          <w:p w14:paraId="5E32855C" w14:textId="77777777" w:rsidR="00F97631" w:rsidRPr="00DF3E6B" w:rsidRDefault="00F97631" w:rsidP="00716D48">
            <w:pPr>
              <w:pStyle w:val="cuatexto"/>
              <w:spacing w:line="240" w:lineRule="auto"/>
              <w:jc w:val="right"/>
              <w:rPr>
                <w:lang w:val="es-ES" w:eastAsia="es-ES"/>
              </w:rPr>
            </w:pPr>
            <w:r w:rsidRPr="00DF3E6B">
              <w:rPr>
                <w:lang w:val="es-ES" w:eastAsia="es-ES"/>
              </w:rPr>
              <w:t>65</w:t>
            </w:r>
          </w:p>
        </w:tc>
        <w:tc>
          <w:tcPr>
            <w:tcW w:w="585" w:type="dxa"/>
            <w:tcBorders>
              <w:top w:val="single" w:sz="4" w:space="0" w:color="auto"/>
              <w:left w:val="nil"/>
              <w:bottom w:val="single" w:sz="2" w:space="0" w:color="auto"/>
              <w:right w:val="nil"/>
            </w:tcBorders>
            <w:shd w:val="clear" w:color="auto" w:fill="auto"/>
            <w:vAlign w:val="center"/>
            <w:hideMark/>
          </w:tcPr>
          <w:p w14:paraId="5332FF0D" w14:textId="77777777" w:rsidR="00F97631" w:rsidRPr="00DF3E6B" w:rsidRDefault="00F97631" w:rsidP="00716D48">
            <w:pPr>
              <w:pStyle w:val="cuatexto"/>
              <w:spacing w:line="240" w:lineRule="auto"/>
              <w:jc w:val="right"/>
              <w:rPr>
                <w:lang w:val="es-ES" w:eastAsia="es-ES"/>
              </w:rPr>
            </w:pPr>
            <w:r w:rsidRPr="00DF3E6B">
              <w:rPr>
                <w:lang w:val="es-ES" w:eastAsia="es-ES"/>
              </w:rPr>
              <w:t> </w:t>
            </w:r>
          </w:p>
        </w:tc>
      </w:tr>
      <w:tr w:rsidR="00F97631" w:rsidRPr="00DF3E6B" w14:paraId="5235F17B" w14:textId="77777777" w:rsidTr="00E428A6">
        <w:trPr>
          <w:trHeight w:val="227"/>
        </w:trPr>
        <w:tc>
          <w:tcPr>
            <w:tcW w:w="3402" w:type="dxa"/>
            <w:tcBorders>
              <w:top w:val="single" w:sz="2" w:space="0" w:color="auto"/>
              <w:left w:val="nil"/>
              <w:bottom w:val="single" w:sz="2" w:space="0" w:color="auto"/>
              <w:right w:val="nil"/>
            </w:tcBorders>
            <w:shd w:val="clear" w:color="auto" w:fill="auto"/>
            <w:vAlign w:val="center"/>
            <w:hideMark/>
          </w:tcPr>
          <w:p w14:paraId="5BC45CBC" w14:textId="77777777" w:rsidR="00F97631" w:rsidRPr="00DF3E6B" w:rsidRDefault="00F97631" w:rsidP="007610EF">
            <w:pPr>
              <w:pStyle w:val="cuatexto"/>
              <w:spacing w:line="240" w:lineRule="auto"/>
              <w:rPr>
                <w:lang w:val="es-ES" w:eastAsia="es-ES"/>
              </w:rPr>
            </w:pPr>
            <w:proofErr w:type="spellStart"/>
            <w:r w:rsidRPr="00DF3E6B">
              <w:rPr>
                <w:lang w:val="es-ES" w:eastAsia="es-ES"/>
              </w:rPr>
              <w:t>Soc</w:t>
            </w:r>
            <w:r w:rsidR="007610EF">
              <w:rPr>
                <w:lang w:val="es-ES" w:eastAsia="es-ES"/>
              </w:rPr>
              <w:t>.</w:t>
            </w:r>
            <w:r w:rsidRPr="00DF3E6B">
              <w:rPr>
                <w:lang w:val="es-ES" w:eastAsia="es-ES"/>
              </w:rPr>
              <w:t>Ge</w:t>
            </w:r>
            <w:r w:rsidR="007610EF">
              <w:rPr>
                <w:lang w:val="es-ES" w:eastAsia="es-ES"/>
              </w:rPr>
              <w:t>ra</w:t>
            </w:r>
            <w:r w:rsidRPr="00DF3E6B">
              <w:rPr>
                <w:lang w:val="es-ES" w:eastAsia="es-ES"/>
              </w:rPr>
              <w:t>l</w:t>
            </w:r>
            <w:proofErr w:type="spellEnd"/>
            <w:r w:rsidRPr="00DF3E6B">
              <w:rPr>
                <w:lang w:val="es-ES" w:eastAsia="es-ES"/>
              </w:rPr>
              <w:t xml:space="preserve"> </w:t>
            </w:r>
            <w:proofErr w:type="spellStart"/>
            <w:r w:rsidRPr="00DF3E6B">
              <w:rPr>
                <w:lang w:val="es-ES" w:eastAsia="es-ES"/>
              </w:rPr>
              <w:t>AguasBarcelona</w:t>
            </w:r>
            <w:proofErr w:type="spellEnd"/>
            <w:r w:rsidRPr="00DF3E6B">
              <w:rPr>
                <w:lang w:val="es-ES" w:eastAsia="es-ES"/>
              </w:rPr>
              <w:t xml:space="preserve">, S.A. </w:t>
            </w:r>
          </w:p>
        </w:tc>
        <w:tc>
          <w:tcPr>
            <w:tcW w:w="780" w:type="dxa"/>
            <w:tcBorders>
              <w:top w:val="single" w:sz="2" w:space="0" w:color="auto"/>
              <w:left w:val="nil"/>
              <w:bottom w:val="single" w:sz="2" w:space="0" w:color="auto"/>
              <w:right w:val="nil"/>
            </w:tcBorders>
            <w:shd w:val="clear" w:color="auto" w:fill="auto"/>
            <w:noWrap/>
            <w:vAlign w:val="center"/>
            <w:hideMark/>
          </w:tcPr>
          <w:p w14:paraId="1726761C" w14:textId="77777777" w:rsidR="00F97631" w:rsidRPr="00DF3E6B" w:rsidRDefault="00F97631" w:rsidP="00716D48">
            <w:pPr>
              <w:pStyle w:val="cuatexto"/>
              <w:spacing w:line="240" w:lineRule="auto"/>
              <w:jc w:val="right"/>
              <w:rPr>
                <w:lang w:val="es-ES" w:eastAsia="es-ES"/>
              </w:rPr>
            </w:pPr>
            <w:r w:rsidRPr="00DF3E6B">
              <w:rPr>
                <w:lang w:val="es-ES" w:eastAsia="es-ES"/>
              </w:rPr>
              <w:t>35</w:t>
            </w:r>
          </w:p>
        </w:tc>
        <w:tc>
          <w:tcPr>
            <w:tcW w:w="637" w:type="dxa"/>
            <w:tcBorders>
              <w:top w:val="single" w:sz="2" w:space="0" w:color="auto"/>
              <w:left w:val="nil"/>
              <w:bottom w:val="single" w:sz="2" w:space="0" w:color="auto"/>
              <w:right w:val="nil"/>
            </w:tcBorders>
            <w:shd w:val="clear" w:color="auto" w:fill="auto"/>
            <w:noWrap/>
            <w:vAlign w:val="center"/>
            <w:hideMark/>
          </w:tcPr>
          <w:p w14:paraId="398DD388" w14:textId="77777777" w:rsidR="00F97631" w:rsidRPr="00DF3E6B" w:rsidRDefault="00F97631" w:rsidP="00716D48">
            <w:pPr>
              <w:pStyle w:val="cuatexto"/>
              <w:spacing w:line="240" w:lineRule="auto"/>
              <w:jc w:val="right"/>
              <w:rPr>
                <w:lang w:val="es-ES" w:eastAsia="es-ES"/>
              </w:rPr>
            </w:pPr>
            <w:r w:rsidRPr="00DF3E6B">
              <w:rPr>
                <w:lang w:val="es-ES" w:eastAsia="es-ES"/>
              </w:rPr>
              <w:t>35</w:t>
            </w:r>
          </w:p>
        </w:tc>
        <w:tc>
          <w:tcPr>
            <w:tcW w:w="585" w:type="dxa"/>
            <w:tcBorders>
              <w:top w:val="single" w:sz="2" w:space="0" w:color="auto"/>
              <w:left w:val="nil"/>
              <w:bottom w:val="single" w:sz="2" w:space="0" w:color="auto"/>
              <w:right w:val="nil"/>
            </w:tcBorders>
            <w:shd w:val="clear" w:color="auto" w:fill="auto"/>
            <w:noWrap/>
            <w:vAlign w:val="center"/>
            <w:hideMark/>
          </w:tcPr>
          <w:p w14:paraId="10F8ED90" w14:textId="77777777" w:rsidR="00F97631" w:rsidRPr="00DF3E6B" w:rsidRDefault="00F97631" w:rsidP="00716D48">
            <w:pPr>
              <w:pStyle w:val="cuatexto"/>
              <w:spacing w:line="240" w:lineRule="auto"/>
              <w:jc w:val="right"/>
              <w:rPr>
                <w:lang w:val="es-ES" w:eastAsia="es-ES"/>
              </w:rPr>
            </w:pPr>
            <w:r w:rsidRPr="00DF3E6B">
              <w:rPr>
                <w:lang w:val="es-ES" w:eastAsia="es-ES"/>
              </w:rPr>
              <w:t>35</w:t>
            </w:r>
          </w:p>
        </w:tc>
        <w:tc>
          <w:tcPr>
            <w:tcW w:w="832" w:type="dxa"/>
            <w:tcBorders>
              <w:top w:val="single" w:sz="2" w:space="0" w:color="auto"/>
              <w:left w:val="nil"/>
              <w:bottom w:val="single" w:sz="2" w:space="0" w:color="auto"/>
              <w:right w:val="nil"/>
            </w:tcBorders>
            <w:shd w:val="clear" w:color="auto" w:fill="auto"/>
            <w:noWrap/>
            <w:vAlign w:val="center"/>
            <w:hideMark/>
          </w:tcPr>
          <w:p w14:paraId="38BE6908" w14:textId="77777777" w:rsidR="00F97631" w:rsidRPr="00DF3E6B" w:rsidRDefault="00F97631" w:rsidP="00716D48">
            <w:pPr>
              <w:pStyle w:val="cuatexto"/>
              <w:spacing w:line="240" w:lineRule="auto"/>
              <w:jc w:val="right"/>
              <w:rPr>
                <w:lang w:val="es-ES" w:eastAsia="es-ES"/>
              </w:rPr>
            </w:pPr>
            <w:r w:rsidRPr="00DF3E6B">
              <w:rPr>
                <w:lang w:val="es-ES" w:eastAsia="es-ES"/>
              </w:rPr>
              <w:t>35</w:t>
            </w:r>
          </w:p>
        </w:tc>
        <w:tc>
          <w:tcPr>
            <w:tcW w:w="585" w:type="dxa"/>
            <w:tcBorders>
              <w:top w:val="single" w:sz="2" w:space="0" w:color="auto"/>
              <w:left w:val="nil"/>
              <w:bottom w:val="single" w:sz="2" w:space="0" w:color="auto"/>
              <w:right w:val="nil"/>
            </w:tcBorders>
            <w:shd w:val="clear" w:color="auto" w:fill="auto"/>
            <w:noWrap/>
            <w:vAlign w:val="center"/>
            <w:hideMark/>
          </w:tcPr>
          <w:p w14:paraId="7BD028D3" w14:textId="77777777" w:rsidR="00F97631" w:rsidRPr="00DF3E6B" w:rsidRDefault="00F97631" w:rsidP="00716D48">
            <w:pPr>
              <w:pStyle w:val="cuatexto"/>
              <w:spacing w:line="240" w:lineRule="auto"/>
              <w:jc w:val="right"/>
              <w:rPr>
                <w:lang w:val="es-ES" w:eastAsia="es-ES"/>
              </w:rPr>
            </w:pPr>
            <w:r w:rsidRPr="00DF3E6B">
              <w:rPr>
                <w:lang w:val="es-ES" w:eastAsia="es-ES"/>
              </w:rPr>
              <w:t>35</w:t>
            </w:r>
          </w:p>
        </w:tc>
        <w:tc>
          <w:tcPr>
            <w:tcW w:w="833" w:type="dxa"/>
            <w:tcBorders>
              <w:top w:val="single" w:sz="2" w:space="0" w:color="auto"/>
              <w:left w:val="nil"/>
              <w:bottom w:val="single" w:sz="2" w:space="0" w:color="auto"/>
              <w:right w:val="nil"/>
            </w:tcBorders>
            <w:shd w:val="clear" w:color="auto" w:fill="auto"/>
            <w:noWrap/>
            <w:vAlign w:val="center"/>
            <w:hideMark/>
          </w:tcPr>
          <w:p w14:paraId="7BBB2D72" w14:textId="77777777" w:rsidR="00F97631" w:rsidRPr="00DF3E6B" w:rsidRDefault="00F97631" w:rsidP="00716D48">
            <w:pPr>
              <w:pStyle w:val="cuatexto"/>
              <w:spacing w:line="240" w:lineRule="auto"/>
              <w:jc w:val="right"/>
              <w:rPr>
                <w:lang w:val="es-ES" w:eastAsia="es-ES"/>
              </w:rPr>
            </w:pPr>
            <w:r w:rsidRPr="00DF3E6B">
              <w:rPr>
                <w:lang w:val="es-ES" w:eastAsia="es-ES"/>
              </w:rPr>
              <w:t>35</w:t>
            </w:r>
          </w:p>
        </w:tc>
        <w:tc>
          <w:tcPr>
            <w:tcW w:w="850" w:type="dxa"/>
            <w:tcBorders>
              <w:top w:val="single" w:sz="2" w:space="0" w:color="auto"/>
              <w:left w:val="nil"/>
              <w:bottom w:val="single" w:sz="2" w:space="0" w:color="auto"/>
              <w:right w:val="nil"/>
            </w:tcBorders>
            <w:shd w:val="clear" w:color="auto" w:fill="auto"/>
            <w:noWrap/>
            <w:vAlign w:val="center"/>
            <w:hideMark/>
          </w:tcPr>
          <w:p w14:paraId="56CB65EC" w14:textId="77777777" w:rsidR="00F97631" w:rsidRPr="00DF3E6B" w:rsidRDefault="00F97631" w:rsidP="00716D48">
            <w:pPr>
              <w:pStyle w:val="cuatexto"/>
              <w:spacing w:line="240" w:lineRule="auto"/>
              <w:jc w:val="right"/>
              <w:rPr>
                <w:lang w:val="es-ES" w:eastAsia="es-ES"/>
              </w:rPr>
            </w:pPr>
            <w:r w:rsidRPr="00DF3E6B">
              <w:rPr>
                <w:lang w:val="es-ES" w:eastAsia="es-ES"/>
              </w:rPr>
              <w:t>35</w:t>
            </w:r>
          </w:p>
        </w:tc>
        <w:tc>
          <w:tcPr>
            <w:tcW w:w="585" w:type="dxa"/>
            <w:tcBorders>
              <w:top w:val="single" w:sz="2" w:space="0" w:color="auto"/>
              <w:left w:val="nil"/>
              <w:bottom w:val="single" w:sz="2" w:space="0" w:color="auto"/>
              <w:right w:val="nil"/>
            </w:tcBorders>
            <w:shd w:val="clear" w:color="auto" w:fill="auto"/>
            <w:vAlign w:val="center"/>
            <w:hideMark/>
          </w:tcPr>
          <w:p w14:paraId="54120425" w14:textId="77777777" w:rsidR="00F97631" w:rsidRPr="00DF3E6B" w:rsidRDefault="00F97631" w:rsidP="00716D48">
            <w:pPr>
              <w:pStyle w:val="cuatexto"/>
              <w:spacing w:line="240" w:lineRule="auto"/>
              <w:jc w:val="right"/>
              <w:rPr>
                <w:lang w:val="es-ES" w:eastAsia="es-ES"/>
              </w:rPr>
            </w:pPr>
            <w:r w:rsidRPr="00DF3E6B">
              <w:rPr>
                <w:lang w:val="es-ES" w:eastAsia="es-ES"/>
              </w:rPr>
              <w:t>50</w:t>
            </w:r>
          </w:p>
        </w:tc>
      </w:tr>
      <w:tr w:rsidR="00F97631" w:rsidRPr="00DF3E6B" w14:paraId="243B4A81" w14:textId="77777777" w:rsidTr="00E428A6">
        <w:trPr>
          <w:trHeight w:val="227"/>
        </w:trPr>
        <w:tc>
          <w:tcPr>
            <w:tcW w:w="3402" w:type="dxa"/>
            <w:tcBorders>
              <w:top w:val="single" w:sz="2" w:space="0" w:color="auto"/>
              <w:left w:val="nil"/>
              <w:bottom w:val="single" w:sz="4" w:space="0" w:color="auto"/>
              <w:right w:val="nil"/>
            </w:tcBorders>
            <w:shd w:val="clear" w:color="auto" w:fill="auto"/>
            <w:vAlign w:val="center"/>
            <w:hideMark/>
          </w:tcPr>
          <w:p w14:paraId="7A7DE70D" w14:textId="77777777" w:rsidR="00F97631" w:rsidRPr="00DF3E6B" w:rsidRDefault="00F97631" w:rsidP="00716D48">
            <w:pPr>
              <w:pStyle w:val="cuatexto"/>
              <w:spacing w:line="240" w:lineRule="auto"/>
              <w:rPr>
                <w:lang w:val="es-ES" w:eastAsia="es-ES"/>
              </w:rPr>
            </w:pPr>
            <w:proofErr w:type="spellStart"/>
            <w:r w:rsidRPr="00DF3E6B">
              <w:rPr>
                <w:lang w:val="es-ES" w:eastAsia="es-ES"/>
              </w:rPr>
              <w:t>Impact</w:t>
            </w:r>
            <w:proofErr w:type="spellEnd"/>
            <w:r w:rsidRPr="00DF3E6B">
              <w:rPr>
                <w:lang w:val="es-ES" w:eastAsia="es-ES"/>
              </w:rPr>
              <w:t xml:space="preserve"> Navarra, S.L.U.</w:t>
            </w:r>
          </w:p>
        </w:tc>
        <w:tc>
          <w:tcPr>
            <w:tcW w:w="780" w:type="dxa"/>
            <w:tcBorders>
              <w:top w:val="single" w:sz="2" w:space="0" w:color="auto"/>
              <w:left w:val="nil"/>
              <w:bottom w:val="single" w:sz="4" w:space="0" w:color="auto"/>
              <w:right w:val="nil"/>
            </w:tcBorders>
            <w:shd w:val="clear" w:color="auto" w:fill="auto"/>
            <w:noWrap/>
            <w:vAlign w:val="center"/>
            <w:hideMark/>
          </w:tcPr>
          <w:p w14:paraId="4B15E917" w14:textId="77777777" w:rsidR="00F97631" w:rsidRPr="00DF3E6B" w:rsidRDefault="00F97631" w:rsidP="00716D48">
            <w:pPr>
              <w:pStyle w:val="cuatexto"/>
              <w:spacing w:line="240" w:lineRule="auto"/>
              <w:jc w:val="right"/>
              <w:rPr>
                <w:lang w:val="es-ES" w:eastAsia="es-ES"/>
              </w:rPr>
            </w:pPr>
            <w:r w:rsidRPr="00DF3E6B">
              <w:rPr>
                <w:lang w:val="es-ES" w:eastAsia="es-ES"/>
              </w:rPr>
              <w:t> </w:t>
            </w:r>
          </w:p>
        </w:tc>
        <w:tc>
          <w:tcPr>
            <w:tcW w:w="637" w:type="dxa"/>
            <w:tcBorders>
              <w:top w:val="single" w:sz="2" w:space="0" w:color="auto"/>
              <w:left w:val="nil"/>
              <w:bottom w:val="single" w:sz="4" w:space="0" w:color="auto"/>
              <w:right w:val="nil"/>
            </w:tcBorders>
            <w:shd w:val="clear" w:color="auto" w:fill="auto"/>
            <w:noWrap/>
            <w:vAlign w:val="center"/>
            <w:hideMark/>
          </w:tcPr>
          <w:p w14:paraId="229BEB81" w14:textId="77777777" w:rsidR="00F97631" w:rsidRPr="00DF3E6B" w:rsidRDefault="00F97631" w:rsidP="00716D48">
            <w:pPr>
              <w:pStyle w:val="cuatexto"/>
              <w:spacing w:line="240" w:lineRule="auto"/>
              <w:jc w:val="right"/>
              <w:rPr>
                <w:lang w:val="es-ES" w:eastAsia="es-ES"/>
              </w:rPr>
            </w:pPr>
            <w:r w:rsidRPr="00DF3E6B">
              <w:rPr>
                <w:lang w:val="es-ES" w:eastAsia="es-ES"/>
              </w:rPr>
              <w:t> </w:t>
            </w:r>
          </w:p>
        </w:tc>
        <w:tc>
          <w:tcPr>
            <w:tcW w:w="585" w:type="dxa"/>
            <w:tcBorders>
              <w:top w:val="single" w:sz="2" w:space="0" w:color="auto"/>
              <w:left w:val="nil"/>
              <w:bottom w:val="single" w:sz="4" w:space="0" w:color="auto"/>
              <w:right w:val="nil"/>
            </w:tcBorders>
            <w:shd w:val="clear" w:color="auto" w:fill="auto"/>
            <w:noWrap/>
            <w:vAlign w:val="center"/>
            <w:hideMark/>
          </w:tcPr>
          <w:p w14:paraId="52A666AA" w14:textId="77777777" w:rsidR="00F97631" w:rsidRPr="00DF3E6B" w:rsidRDefault="00F97631" w:rsidP="00716D48">
            <w:pPr>
              <w:pStyle w:val="cuatexto"/>
              <w:spacing w:line="240" w:lineRule="auto"/>
              <w:jc w:val="right"/>
              <w:rPr>
                <w:lang w:val="es-ES" w:eastAsia="es-ES"/>
              </w:rPr>
            </w:pPr>
            <w:r w:rsidRPr="00DF3E6B">
              <w:rPr>
                <w:lang w:val="es-ES" w:eastAsia="es-ES"/>
              </w:rPr>
              <w:t> </w:t>
            </w:r>
          </w:p>
        </w:tc>
        <w:tc>
          <w:tcPr>
            <w:tcW w:w="832" w:type="dxa"/>
            <w:tcBorders>
              <w:top w:val="single" w:sz="2" w:space="0" w:color="auto"/>
              <w:left w:val="nil"/>
              <w:bottom w:val="single" w:sz="4" w:space="0" w:color="auto"/>
              <w:right w:val="nil"/>
            </w:tcBorders>
            <w:shd w:val="clear" w:color="auto" w:fill="auto"/>
            <w:noWrap/>
            <w:vAlign w:val="center"/>
            <w:hideMark/>
          </w:tcPr>
          <w:p w14:paraId="54BD6771" w14:textId="77777777" w:rsidR="00F97631" w:rsidRPr="00DF3E6B" w:rsidRDefault="00F97631" w:rsidP="00716D48">
            <w:pPr>
              <w:pStyle w:val="cuatexto"/>
              <w:spacing w:line="240" w:lineRule="auto"/>
              <w:jc w:val="right"/>
              <w:rPr>
                <w:lang w:val="es-ES" w:eastAsia="es-ES"/>
              </w:rPr>
            </w:pPr>
            <w:r w:rsidRPr="00DF3E6B">
              <w:rPr>
                <w:lang w:val="es-ES" w:eastAsia="es-ES"/>
              </w:rPr>
              <w:t> </w:t>
            </w:r>
          </w:p>
        </w:tc>
        <w:tc>
          <w:tcPr>
            <w:tcW w:w="585" w:type="dxa"/>
            <w:tcBorders>
              <w:top w:val="single" w:sz="2" w:space="0" w:color="auto"/>
              <w:left w:val="nil"/>
              <w:bottom w:val="single" w:sz="4" w:space="0" w:color="auto"/>
              <w:right w:val="nil"/>
            </w:tcBorders>
            <w:shd w:val="clear" w:color="auto" w:fill="auto"/>
            <w:noWrap/>
            <w:vAlign w:val="center"/>
            <w:hideMark/>
          </w:tcPr>
          <w:p w14:paraId="0136322C" w14:textId="77777777" w:rsidR="00F97631" w:rsidRPr="00DF3E6B" w:rsidRDefault="00F97631" w:rsidP="00716D48">
            <w:pPr>
              <w:pStyle w:val="cuatexto"/>
              <w:spacing w:line="240" w:lineRule="auto"/>
              <w:jc w:val="right"/>
              <w:rPr>
                <w:lang w:val="es-ES" w:eastAsia="es-ES"/>
              </w:rPr>
            </w:pPr>
            <w:r w:rsidRPr="00DF3E6B">
              <w:rPr>
                <w:lang w:val="es-ES" w:eastAsia="es-ES"/>
              </w:rPr>
              <w:t> </w:t>
            </w:r>
          </w:p>
        </w:tc>
        <w:tc>
          <w:tcPr>
            <w:tcW w:w="833" w:type="dxa"/>
            <w:tcBorders>
              <w:top w:val="single" w:sz="2" w:space="0" w:color="auto"/>
              <w:left w:val="nil"/>
              <w:bottom w:val="single" w:sz="4" w:space="0" w:color="auto"/>
              <w:right w:val="nil"/>
            </w:tcBorders>
            <w:shd w:val="clear" w:color="auto" w:fill="auto"/>
            <w:noWrap/>
            <w:vAlign w:val="center"/>
            <w:hideMark/>
          </w:tcPr>
          <w:p w14:paraId="172F667A" w14:textId="77777777" w:rsidR="00F97631" w:rsidRPr="00DF3E6B" w:rsidRDefault="00F97631" w:rsidP="00716D48">
            <w:pPr>
              <w:pStyle w:val="cuatexto"/>
              <w:spacing w:line="240" w:lineRule="auto"/>
              <w:jc w:val="right"/>
              <w:rPr>
                <w:lang w:val="es-ES" w:eastAsia="es-ES"/>
              </w:rPr>
            </w:pPr>
            <w:r w:rsidRPr="00DF3E6B">
              <w:rPr>
                <w:lang w:val="es-ES" w:eastAsia="es-ES"/>
              </w:rPr>
              <w:t> </w:t>
            </w:r>
          </w:p>
        </w:tc>
        <w:tc>
          <w:tcPr>
            <w:tcW w:w="850" w:type="dxa"/>
            <w:tcBorders>
              <w:top w:val="single" w:sz="2" w:space="0" w:color="auto"/>
              <w:left w:val="nil"/>
              <w:bottom w:val="single" w:sz="4" w:space="0" w:color="auto"/>
              <w:right w:val="nil"/>
            </w:tcBorders>
            <w:shd w:val="clear" w:color="auto" w:fill="auto"/>
            <w:noWrap/>
            <w:vAlign w:val="center"/>
            <w:hideMark/>
          </w:tcPr>
          <w:p w14:paraId="107B1B69" w14:textId="77777777" w:rsidR="00F97631" w:rsidRPr="00DF3E6B" w:rsidRDefault="00F97631" w:rsidP="00716D48">
            <w:pPr>
              <w:pStyle w:val="cuatexto"/>
              <w:spacing w:line="240" w:lineRule="auto"/>
              <w:jc w:val="right"/>
              <w:rPr>
                <w:lang w:val="es-ES" w:eastAsia="es-ES"/>
              </w:rPr>
            </w:pPr>
            <w:r w:rsidRPr="00DF3E6B">
              <w:rPr>
                <w:lang w:val="es-ES" w:eastAsia="es-ES"/>
              </w:rPr>
              <w:t> </w:t>
            </w:r>
          </w:p>
        </w:tc>
        <w:tc>
          <w:tcPr>
            <w:tcW w:w="585" w:type="dxa"/>
            <w:tcBorders>
              <w:top w:val="single" w:sz="2" w:space="0" w:color="auto"/>
              <w:left w:val="nil"/>
              <w:bottom w:val="single" w:sz="4" w:space="0" w:color="auto"/>
              <w:right w:val="nil"/>
            </w:tcBorders>
            <w:shd w:val="clear" w:color="auto" w:fill="auto"/>
            <w:vAlign w:val="center"/>
            <w:hideMark/>
          </w:tcPr>
          <w:p w14:paraId="5DD735E4" w14:textId="77777777" w:rsidR="00F97631" w:rsidRPr="00DF3E6B" w:rsidRDefault="00F97631" w:rsidP="00716D48">
            <w:pPr>
              <w:pStyle w:val="cuatexto"/>
              <w:spacing w:line="240" w:lineRule="auto"/>
              <w:jc w:val="right"/>
              <w:rPr>
                <w:lang w:val="es-ES" w:eastAsia="es-ES"/>
              </w:rPr>
            </w:pPr>
            <w:r w:rsidRPr="00DF3E6B">
              <w:rPr>
                <w:lang w:val="es-ES" w:eastAsia="es-ES"/>
              </w:rPr>
              <w:t>50</w:t>
            </w:r>
          </w:p>
        </w:tc>
      </w:tr>
      <w:tr w:rsidR="00F97631" w:rsidRPr="00DF3E6B" w14:paraId="286A85D6" w14:textId="77777777" w:rsidTr="00E428A6">
        <w:trPr>
          <w:trHeight w:val="227"/>
        </w:trPr>
        <w:tc>
          <w:tcPr>
            <w:tcW w:w="3402" w:type="dxa"/>
            <w:tcBorders>
              <w:top w:val="single" w:sz="4" w:space="0" w:color="auto"/>
              <w:left w:val="nil"/>
              <w:bottom w:val="single" w:sz="4" w:space="0" w:color="auto"/>
              <w:right w:val="nil"/>
            </w:tcBorders>
            <w:shd w:val="clear" w:color="auto" w:fill="B8CCE4" w:themeFill="accent1" w:themeFillTint="66"/>
            <w:vAlign w:val="center"/>
            <w:hideMark/>
          </w:tcPr>
          <w:p w14:paraId="11A5EA6B" w14:textId="77777777" w:rsidR="00F97631" w:rsidRPr="00DF3E6B" w:rsidRDefault="00F97631" w:rsidP="00716D48">
            <w:pPr>
              <w:pStyle w:val="cuadroCabe"/>
              <w:spacing w:line="240" w:lineRule="auto"/>
              <w:rPr>
                <w:lang w:val="es-ES" w:eastAsia="es-ES"/>
              </w:rPr>
            </w:pPr>
            <w:r w:rsidRPr="00DF3E6B">
              <w:rPr>
                <w:lang w:val="es-ES" w:eastAsia="es-ES"/>
              </w:rPr>
              <w:t>Total</w:t>
            </w:r>
          </w:p>
        </w:tc>
        <w:tc>
          <w:tcPr>
            <w:tcW w:w="780" w:type="dxa"/>
            <w:tcBorders>
              <w:top w:val="single" w:sz="4" w:space="0" w:color="auto"/>
              <w:left w:val="nil"/>
              <w:bottom w:val="single" w:sz="4" w:space="0" w:color="auto"/>
              <w:right w:val="nil"/>
            </w:tcBorders>
            <w:shd w:val="clear" w:color="auto" w:fill="B8CCE4" w:themeFill="accent1" w:themeFillTint="66"/>
            <w:noWrap/>
            <w:vAlign w:val="center"/>
            <w:hideMark/>
          </w:tcPr>
          <w:p w14:paraId="251EBD26" w14:textId="77777777" w:rsidR="00F97631" w:rsidRPr="00DF3E6B" w:rsidRDefault="00F97631" w:rsidP="00716D48">
            <w:pPr>
              <w:pStyle w:val="cuadroCabe"/>
              <w:spacing w:line="240" w:lineRule="auto"/>
              <w:jc w:val="right"/>
              <w:rPr>
                <w:lang w:val="es-ES" w:eastAsia="es-ES"/>
              </w:rPr>
            </w:pPr>
            <w:r w:rsidRPr="00DF3E6B">
              <w:rPr>
                <w:lang w:val="es-ES" w:eastAsia="es-ES"/>
              </w:rPr>
              <w:t>100</w:t>
            </w:r>
          </w:p>
        </w:tc>
        <w:tc>
          <w:tcPr>
            <w:tcW w:w="637" w:type="dxa"/>
            <w:tcBorders>
              <w:top w:val="single" w:sz="4" w:space="0" w:color="auto"/>
              <w:left w:val="nil"/>
              <w:bottom w:val="single" w:sz="4" w:space="0" w:color="auto"/>
              <w:right w:val="nil"/>
            </w:tcBorders>
            <w:shd w:val="clear" w:color="auto" w:fill="B8CCE4" w:themeFill="accent1" w:themeFillTint="66"/>
            <w:noWrap/>
            <w:vAlign w:val="center"/>
            <w:hideMark/>
          </w:tcPr>
          <w:p w14:paraId="274B3013" w14:textId="77777777" w:rsidR="00F97631" w:rsidRPr="00DF3E6B" w:rsidRDefault="00F97631" w:rsidP="00716D48">
            <w:pPr>
              <w:pStyle w:val="cuadroCabe"/>
              <w:spacing w:line="240" w:lineRule="auto"/>
              <w:jc w:val="right"/>
              <w:rPr>
                <w:lang w:val="es-ES" w:eastAsia="es-ES"/>
              </w:rPr>
            </w:pPr>
            <w:r w:rsidRPr="00DF3E6B">
              <w:rPr>
                <w:lang w:val="es-ES" w:eastAsia="es-ES"/>
              </w:rPr>
              <w:t>100</w:t>
            </w:r>
          </w:p>
        </w:tc>
        <w:tc>
          <w:tcPr>
            <w:tcW w:w="585" w:type="dxa"/>
            <w:tcBorders>
              <w:top w:val="single" w:sz="4" w:space="0" w:color="auto"/>
              <w:left w:val="nil"/>
              <w:bottom w:val="single" w:sz="4" w:space="0" w:color="auto"/>
              <w:right w:val="nil"/>
            </w:tcBorders>
            <w:shd w:val="clear" w:color="auto" w:fill="B8CCE4" w:themeFill="accent1" w:themeFillTint="66"/>
            <w:noWrap/>
            <w:vAlign w:val="center"/>
            <w:hideMark/>
          </w:tcPr>
          <w:p w14:paraId="0A801781" w14:textId="77777777" w:rsidR="00F97631" w:rsidRPr="00DF3E6B" w:rsidRDefault="00F97631" w:rsidP="00716D48">
            <w:pPr>
              <w:pStyle w:val="cuadroCabe"/>
              <w:spacing w:line="240" w:lineRule="auto"/>
              <w:jc w:val="right"/>
              <w:rPr>
                <w:lang w:val="es-ES" w:eastAsia="es-ES"/>
              </w:rPr>
            </w:pPr>
            <w:r w:rsidRPr="00DF3E6B">
              <w:rPr>
                <w:lang w:val="es-ES" w:eastAsia="es-ES"/>
              </w:rPr>
              <w:t>100</w:t>
            </w:r>
          </w:p>
        </w:tc>
        <w:tc>
          <w:tcPr>
            <w:tcW w:w="832" w:type="dxa"/>
            <w:tcBorders>
              <w:top w:val="single" w:sz="4" w:space="0" w:color="auto"/>
              <w:left w:val="nil"/>
              <w:bottom w:val="single" w:sz="4" w:space="0" w:color="auto"/>
              <w:right w:val="nil"/>
            </w:tcBorders>
            <w:shd w:val="clear" w:color="auto" w:fill="B8CCE4" w:themeFill="accent1" w:themeFillTint="66"/>
            <w:noWrap/>
            <w:vAlign w:val="center"/>
            <w:hideMark/>
          </w:tcPr>
          <w:p w14:paraId="6F127817" w14:textId="77777777" w:rsidR="00F97631" w:rsidRPr="00DF3E6B" w:rsidRDefault="00F97631" w:rsidP="00716D48">
            <w:pPr>
              <w:pStyle w:val="cuadroCabe"/>
              <w:spacing w:line="240" w:lineRule="auto"/>
              <w:jc w:val="right"/>
              <w:rPr>
                <w:lang w:val="es-ES" w:eastAsia="es-ES"/>
              </w:rPr>
            </w:pPr>
            <w:r w:rsidRPr="00DF3E6B">
              <w:rPr>
                <w:lang w:val="es-ES" w:eastAsia="es-ES"/>
              </w:rPr>
              <w:t>100</w:t>
            </w:r>
          </w:p>
        </w:tc>
        <w:tc>
          <w:tcPr>
            <w:tcW w:w="585" w:type="dxa"/>
            <w:tcBorders>
              <w:top w:val="single" w:sz="4" w:space="0" w:color="auto"/>
              <w:left w:val="nil"/>
              <w:bottom w:val="single" w:sz="4" w:space="0" w:color="auto"/>
              <w:right w:val="nil"/>
            </w:tcBorders>
            <w:shd w:val="clear" w:color="auto" w:fill="B8CCE4" w:themeFill="accent1" w:themeFillTint="66"/>
            <w:noWrap/>
            <w:vAlign w:val="center"/>
            <w:hideMark/>
          </w:tcPr>
          <w:p w14:paraId="32960E75" w14:textId="77777777" w:rsidR="00F97631" w:rsidRPr="00DF3E6B" w:rsidRDefault="00F97631" w:rsidP="00716D48">
            <w:pPr>
              <w:pStyle w:val="cuadroCabe"/>
              <w:spacing w:line="240" w:lineRule="auto"/>
              <w:jc w:val="right"/>
              <w:rPr>
                <w:lang w:val="es-ES" w:eastAsia="es-ES"/>
              </w:rPr>
            </w:pPr>
            <w:r w:rsidRPr="00DF3E6B">
              <w:rPr>
                <w:lang w:val="es-ES" w:eastAsia="es-ES"/>
              </w:rPr>
              <w:t>100</w:t>
            </w:r>
          </w:p>
        </w:tc>
        <w:tc>
          <w:tcPr>
            <w:tcW w:w="833" w:type="dxa"/>
            <w:tcBorders>
              <w:top w:val="single" w:sz="4" w:space="0" w:color="auto"/>
              <w:left w:val="nil"/>
              <w:bottom w:val="single" w:sz="4" w:space="0" w:color="auto"/>
              <w:right w:val="nil"/>
            </w:tcBorders>
            <w:shd w:val="clear" w:color="auto" w:fill="B8CCE4" w:themeFill="accent1" w:themeFillTint="66"/>
            <w:noWrap/>
            <w:vAlign w:val="center"/>
            <w:hideMark/>
          </w:tcPr>
          <w:p w14:paraId="41B55AF9" w14:textId="77777777" w:rsidR="00F97631" w:rsidRPr="00DF3E6B" w:rsidRDefault="00F97631" w:rsidP="00716D48">
            <w:pPr>
              <w:pStyle w:val="cuadroCabe"/>
              <w:spacing w:line="240" w:lineRule="auto"/>
              <w:jc w:val="right"/>
              <w:rPr>
                <w:lang w:val="es-ES" w:eastAsia="es-ES"/>
              </w:rPr>
            </w:pPr>
            <w:r w:rsidRPr="00DF3E6B">
              <w:rPr>
                <w:lang w:val="es-ES" w:eastAsia="es-ES"/>
              </w:rPr>
              <w:t>100</w:t>
            </w:r>
          </w:p>
        </w:tc>
        <w:tc>
          <w:tcPr>
            <w:tcW w:w="850" w:type="dxa"/>
            <w:tcBorders>
              <w:top w:val="single" w:sz="4" w:space="0" w:color="auto"/>
              <w:left w:val="nil"/>
              <w:bottom w:val="single" w:sz="4" w:space="0" w:color="auto"/>
              <w:right w:val="nil"/>
            </w:tcBorders>
            <w:shd w:val="clear" w:color="auto" w:fill="B8CCE4" w:themeFill="accent1" w:themeFillTint="66"/>
            <w:noWrap/>
            <w:vAlign w:val="center"/>
            <w:hideMark/>
          </w:tcPr>
          <w:p w14:paraId="656FCC56" w14:textId="77777777" w:rsidR="00F97631" w:rsidRPr="00DF3E6B" w:rsidRDefault="00F97631" w:rsidP="00716D48">
            <w:pPr>
              <w:pStyle w:val="cuadroCabe"/>
              <w:spacing w:line="240" w:lineRule="auto"/>
              <w:jc w:val="right"/>
              <w:rPr>
                <w:lang w:val="es-ES" w:eastAsia="es-ES"/>
              </w:rPr>
            </w:pPr>
            <w:r w:rsidRPr="00DF3E6B">
              <w:rPr>
                <w:lang w:val="es-ES" w:eastAsia="es-ES"/>
              </w:rPr>
              <w:t>100</w:t>
            </w:r>
          </w:p>
        </w:tc>
        <w:tc>
          <w:tcPr>
            <w:tcW w:w="585" w:type="dxa"/>
            <w:tcBorders>
              <w:top w:val="single" w:sz="4" w:space="0" w:color="auto"/>
              <w:left w:val="nil"/>
              <w:bottom w:val="single" w:sz="4" w:space="0" w:color="auto"/>
              <w:right w:val="nil"/>
            </w:tcBorders>
            <w:shd w:val="clear" w:color="auto" w:fill="B8CCE4" w:themeFill="accent1" w:themeFillTint="66"/>
            <w:vAlign w:val="center"/>
            <w:hideMark/>
          </w:tcPr>
          <w:p w14:paraId="0CFEDCD5" w14:textId="77777777" w:rsidR="00F97631" w:rsidRPr="00DF3E6B" w:rsidRDefault="00F97631" w:rsidP="00716D48">
            <w:pPr>
              <w:pStyle w:val="cuadroCabe"/>
              <w:spacing w:line="240" w:lineRule="auto"/>
              <w:jc w:val="right"/>
              <w:rPr>
                <w:lang w:val="es-ES" w:eastAsia="es-ES"/>
              </w:rPr>
            </w:pPr>
            <w:r w:rsidRPr="00DF3E6B">
              <w:rPr>
                <w:lang w:val="es-ES" w:eastAsia="es-ES"/>
              </w:rPr>
              <w:t>100</w:t>
            </w:r>
          </w:p>
        </w:tc>
      </w:tr>
    </w:tbl>
    <w:p w14:paraId="199D2DE6" w14:textId="77777777" w:rsidR="00F97631" w:rsidRDefault="00F97631" w:rsidP="00F97631">
      <w:pPr>
        <w:pStyle w:val="texto"/>
        <w:spacing w:before="240"/>
        <w:rPr>
          <w:rFonts w:eastAsia="Calibri"/>
          <w:lang w:eastAsia="es-ES"/>
        </w:rPr>
      </w:pPr>
      <w:r>
        <w:rPr>
          <w:rFonts w:eastAsia="Calibri"/>
          <w:lang w:eastAsia="es-ES"/>
        </w:rPr>
        <w:t>En octubre de 2021, OHL</w:t>
      </w:r>
      <w:r w:rsidRPr="00F97119">
        <w:rPr>
          <w:rFonts w:eastAsia="Calibri"/>
          <w:lang w:eastAsia="es-ES"/>
        </w:rPr>
        <w:t xml:space="preserve"> vende su participación a un fondo de inversión (</w:t>
      </w:r>
      <w:proofErr w:type="spellStart"/>
      <w:r w:rsidRPr="00F97119">
        <w:rPr>
          <w:rFonts w:eastAsia="Calibri"/>
          <w:lang w:eastAsia="es-ES"/>
        </w:rPr>
        <w:t>Impact</w:t>
      </w:r>
      <w:proofErr w:type="spellEnd"/>
      <w:r w:rsidRPr="00F97119">
        <w:rPr>
          <w:rFonts w:eastAsia="Calibri"/>
          <w:lang w:eastAsia="es-ES"/>
        </w:rPr>
        <w:t xml:space="preserve"> Navarra S</w:t>
      </w:r>
      <w:r>
        <w:rPr>
          <w:rFonts w:eastAsia="Calibri"/>
          <w:lang w:eastAsia="es-ES"/>
        </w:rPr>
        <w:t>.</w:t>
      </w:r>
      <w:r w:rsidRPr="00F97119">
        <w:rPr>
          <w:rFonts w:eastAsia="Calibri"/>
          <w:lang w:eastAsia="es-ES"/>
        </w:rPr>
        <w:t>L</w:t>
      </w:r>
      <w:r>
        <w:rPr>
          <w:rFonts w:eastAsia="Calibri"/>
          <w:lang w:eastAsia="es-ES"/>
        </w:rPr>
        <w:t>.</w:t>
      </w:r>
      <w:r w:rsidRPr="00F97119">
        <w:rPr>
          <w:rFonts w:eastAsia="Calibri"/>
          <w:lang w:eastAsia="es-ES"/>
        </w:rPr>
        <w:t>U</w:t>
      </w:r>
      <w:r>
        <w:rPr>
          <w:rFonts w:eastAsia="Calibri"/>
          <w:lang w:eastAsia="es-ES"/>
        </w:rPr>
        <w:t>.</w:t>
      </w:r>
      <w:r w:rsidRPr="00F97119">
        <w:rPr>
          <w:rFonts w:eastAsia="Calibri"/>
          <w:lang w:eastAsia="es-ES"/>
        </w:rPr>
        <w:t xml:space="preserve">).  Posteriormente este fondo vende el 15 por ciento a </w:t>
      </w:r>
      <w:r w:rsidRPr="000118F4">
        <w:rPr>
          <w:rFonts w:eastAsia="Calibri"/>
          <w:lang w:eastAsia="es-ES"/>
        </w:rPr>
        <w:t xml:space="preserve">AGBAR, </w:t>
      </w:r>
      <w:r w:rsidRPr="00F97119">
        <w:rPr>
          <w:rFonts w:eastAsia="Calibri"/>
          <w:lang w:eastAsia="es-ES"/>
        </w:rPr>
        <w:t xml:space="preserve">y </w:t>
      </w:r>
      <w:r>
        <w:rPr>
          <w:rFonts w:eastAsia="Calibri"/>
          <w:lang w:eastAsia="es-ES"/>
        </w:rPr>
        <w:t>con esta operación</w:t>
      </w:r>
      <w:r w:rsidRPr="00F97119">
        <w:rPr>
          <w:rFonts w:eastAsia="Calibri"/>
          <w:lang w:eastAsia="es-ES"/>
        </w:rPr>
        <w:t xml:space="preserve">, </w:t>
      </w:r>
      <w:r>
        <w:rPr>
          <w:rFonts w:eastAsia="Calibri"/>
          <w:lang w:eastAsia="es-ES"/>
        </w:rPr>
        <w:t>la sociedad concesionaria está participada</w:t>
      </w:r>
      <w:r w:rsidRPr="000E0323">
        <w:rPr>
          <w:rFonts w:eastAsia="Calibri"/>
          <w:lang w:eastAsia="es-ES"/>
        </w:rPr>
        <w:t xml:space="preserve">, al </w:t>
      </w:r>
      <w:r w:rsidRPr="000118F4">
        <w:rPr>
          <w:rFonts w:eastAsia="Calibri"/>
          <w:lang w:eastAsia="es-ES"/>
        </w:rPr>
        <w:t xml:space="preserve">cierre del ejercicio 2021, en un 50 por ciento por </w:t>
      </w:r>
      <w:proofErr w:type="spellStart"/>
      <w:r w:rsidRPr="000118F4">
        <w:rPr>
          <w:rFonts w:eastAsia="Calibri"/>
          <w:lang w:eastAsia="es-ES"/>
        </w:rPr>
        <w:t>Impact</w:t>
      </w:r>
      <w:proofErr w:type="spellEnd"/>
      <w:r w:rsidRPr="000118F4">
        <w:rPr>
          <w:rFonts w:eastAsia="Calibri"/>
          <w:lang w:eastAsia="es-ES"/>
        </w:rPr>
        <w:t xml:space="preserve"> Navarra S.L.U. y en un 50 por ciento por AGBAR. </w:t>
      </w:r>
    </w:p>
    <w:p w14:paraId="3DF68B26" w14:textId="77777777" w:rsidR="00F97631" w:rsidRPr="00F97119" w:rsidRDefault="00F97631" w:rsidP="00F97631">
      <w:pPr>
        <w:pStyle w:val="texto"/>
        <w:rPr>
          <w:rFonts w:eastAsia="Calibri"/>
          <w:lang w:eastAsia="es-ES"/>
        </w:rPr>
      </w:pPr>
      <w:r w:rsidRPr="00F97119">
        <w:rPr>
          <w:rFonts w:eastAsia="Calibri"/>
          <w:lang w:eastAsia="es-ES"/>
        </w:rPr>
        <w:t>Durante el período de duración del</w:t>
      </w:r>
      <w:r w:rsidR="00564285">
        <w:rPr>
          <w:rFonts w:eastAsia="Calibri"/>
          <w:lang w:eastAsia="es-ES"/>
        </w:rPr>
        <w:t xml:space="preserve"> contrato, la retribución a la sociedad c</w:t>
      </w:r>
      <w:r w:rsidRPr="00F97119">
        <w:rPr>
          <w:rFonts w:eastAsia="Calibri"/>
          <w:lang w:eastAsia="es-ES"/>
        </w:rPr>
        <w:t xml:space="preserve">oncesionaria </w:t>
      </w:r>
      <w:r w:rsidRPr="000118F4">
        <w:rPr>
          <w:rFonts w:eastAsia="Calibri"/>
          <w:lang w:eastAsia="es-ES"/>
        </w:rPr>
        <w:t xml:space="preserve">se basa en un componente único denominado </w:t>
      </w:r>
      <w:r w:rsidRPr="001C2781">
        <w:rPr>
          <w:rFonts w:eastAsia="Calibri"/>
          <w:lang w:eastAsia="es-ES"/>
        </w:rPr>
        <w:t>“Retribución única Total” (en adelante RUT),</w:t>
      </w:r>
      <w:r w:rsidRPr="00F97119">
        <w:rPr>
          <w:rFonts w:eastAsia="Calibri"/>
          <w:lang w:eastAsia="es-ES"/>
        </w:rPr>
        <w:t xml:space="preserve"> desglosado a su vez en tres subcomponentes:</w:t>
      </w:r>
    </w:p>
    <w:p w14:paraId="36450C4B" w14:textId="77777777" w:rsidR="00F97631" w:rsidRPr="007610EF"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pacing w:val="4"/>
          <w:szCs w:val="26"/>
          <w:lang w:eastAsia="es-ES"/>
        </w:rPr>
      </w:pPr>
      <w:r w:rsidRPr="007610EF">
        <w:rPr>
          <w:rFonts w:eastAsia="Calibri"/>
          <w:spacing w:val="4"/>
          <w:szCs w:val="26"/>
          <w:lang w:eastAsia="es-ES"/>
        </w:rPr>
        <w:t>Canon de Volumen de Agua (</w:t>
      </w:r>
      <w:r w:rsidR="00731D83" w:rsidRPr="007610EF">
        <w:rPr>
          <w:rFonts w:eastAsia="Calibri"/>
          <w:spacing w:val="4"/>
          <w:szCs w:val="26"/>
          <w:lang w:eastAsia="es-ES"/>
        </w:rPr>
        <w:t xml:space="preserve">en adelante </w:t>
      </w:r>
      <w:r w:rsidRPr="007610EF">
        <w:rPr>
          <w:rFonts w:eastAsia="Calibri"/>
          <w:spacing w:val="4"/>
          <w:szCs w:val="26"/>
          <w:lang w:eastAsia="es-ES"/>
        </w:rPr>
        <w:t>CVA). Se paga en función del consumo de agua. Es el producto de la tarifa unitaria por el total de metros cúbicos de agua consumidos. La tarifa será aplicable teniendo en cuenta las bandas de consumo.</w:t>
      </w:r>
    </w:p>
    <w:p w14:paraId="11F56AC5" w14:textId="77777777" w:rsidR="00F97631" w:rsidRPr="000E0323" w:rsidRDefault="00F97631"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F97119">
        <w:rPr>
          <w:rFonts w:eastAsia="Calibri"/>
          <w:szCs w:val="26"/>
          <w:lang w:eastAsia="es-ES"/>
        </w:rPr>
        <w:t>Canon de calidad y gestión de la infraestructura (</w:t>
      </w:r>
      <w:r w:rsidR="00731D83">
        <w:rPr>
          <w:rFonts w:eastAsia="Calibri"/>
          <w:szCs w:val="26"/>
          <w:lang w:eastAsia="es-ES"/>
        </w:rPr>
        <w:t xml:space="preserve">en adelante </w:t>
      </w:r>
      <w:r w:rsidRPr="00F97119">
        <w:rPr>
          <w:rFonts w:eastAsia="Calibri"/>
          <w:szCs w:val="26"/>
          <w:lang w:eastAsia="es-ES"/>
        </w:rPr>
        <w:t>CCGI). Está relacionado con la puesta a disposición de las obras en las condiciones técnicas</w:t>
      </w:r>
      <w:r w:rsidRPr="000E0323">
        <w:rPr>
          <w:rFonts w:eastAsia="Calibri"/>
          <w:szCs w:val="26"/>
          <w:lang w:eastAsia="es-ES"/>
        </w:rPr>
        <w:t xml:space="preserve"> y de servicio </w:t>
      </w:r>
      <w:r>
        <w:rPr>
          <w:rFonts w:eastAsia="Calibri"/>
          <w:szCs w:val="26"/>
          <w:lang w:eastAsia="es-ES"/>
        </w:rPr>
        <w:t>adecuada</w:t>
      </w:r>
      <w:r w:rsidRPr="00F97119">
        <w:rPr>
          <w:rFonts w:eastAsia="Calibri"/>
          <w:szCs w:val="26"/>
          <w:lang w:eastAsia="es-ES"/>
        </w:rPr>
        <w:t>s</w:t>
      </w:r>
      <w:r>
        <w:rPr>
          <w:rFonts w:eastAsia="Calibri"/>
          <w:szCs w:val="26"/>
          <w:lang w:eastAsia="es-ES"/>
        </w:rPr>
        <w:t xml:space="preserve"> </w:t>
      </w:r>
      <w:r w:rsidRPr="004C6F50">
        <w:rPr>
          <w:rFonts w:eastAsia="Calibri"/>
          <w:szCs w:val="26"/>
          <w:lang w:eastAsia="es-ES"/>
        </w:rPr>
        <w:t xml:space="preserve">para su uso por los regantes. </w:t>
      </w:r>
      <w:r>
        <w:rPr>
          <w:rFonts w:eastAsia="Calibri"/>
          <w:szCs w:val="26"/>
          <w:lang w:eastAsia="es-ES"/>
        </w:rPr>
        <w:t xml:space="preserve">Se calcula por sector o zona de riego en función del número de hectáreas puestas en riego </w:t>
      </w:r>
      <w:r w:rsidRPr="004761C7">
        <w:rPr>
          <w:rFonts w:eastAsia="Calibri"/>
          <w:szCs w:val="26"/>
          <w:lang w:eastAsia="es-ES"/>
        </w:rPr>
        <w:t xml:space="preserve">y </w:t>
      </w:r>
      <w:r w:rsidRPr="004C6F50">
        <w:rPr>
          <w:rFonts w:eastAsia="Calibri"/>
          <w:szCs w:val="26"/>
          <w:lang w:eastAsia="es-ES"/>
        </w:rPr>
        <w:t>la cantidad ofertada</w:t>
      </w:r>
      <w:r w:rsidRPr="004761C7">
        <w:rPr>
          <w:rFonts w:eastAsia="Calibri"/>
          <w:szCs w:val="26"/>
          <w:lang w:eastAsia="es-ES"/>
        </w:rPr>
        <w:t xml:space="preserve"> por hectárea. </w:t>
      </w:r>
      <w:r w:rsidRPr="000E0323">
        <w:rPr>
          <w:rFonts w:eastAsia="Calibri"/>
          <w:szCs w:val="26"/>
          <w:lang w:eastAsia="es-ES"/>
        </w:rPr>
        <w:t>Cada sector o zona de riego tiene su pro</w:t>
      </w:r>
      <w:r w:rsidR="00FE6584">
        <w:rPr>
          <w:rFonts w:eastAsia="Calibri"/>
          <w:szCs w:val="26"/>
          <w:lang w:eastAsia="es-ES"/>
        </w:rPr>
        <w:t>pia tarifa, a diferencia de la Primera F</w:t>
      </w:r>
      <w:r w:rsidRPr="000E0323">
        <w:rPr>
          <w:rFonts w:eastAsia="Calibri"/>
          <w:szCs w:val="26"/>
          <w:lang w:eastAsia="es-ES"/>
        </w:rPr>
        <w:t>ase, que es única.</w:t>
      </w:r>
    </w:p>
    <w:p w14:paraId="0F0DD306" w14:textId="77777777" w:rsidR="00F97631" w:rsidRPr="00F97119" w:rsidRDefault="00731D83" w:rsidP="00F97631">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Pr>
          <w:rFonts w:eastAsia="Calibri"/>
          <w:szCs w:val="26"/>
          <w:lang w:eastAsia="es-ES"/>
        </w:rPr>
        <w:t>Canon de explotación</w:t>
      </w:r>
      <w:r w:rsidR="00F97631" w:rsidRPr="00F97119">
        <w:rPr>
          <w:rFonts w:eastAsia="Calibri"/>
          <w:szCs w:val="26"/>
          <w:lang w:eastAsia="es-ES"/>
        </w:rPr>
        <w:t xml:space="preserve">. La concesionaria lo recibe de la </w:t>
      </w:r>
      <w:r w:rsidR="00F97631" w:rsidRPr="004C6F50">
        <w:rPr>
          <w:rFonts w:eastAsia="Calibri"/>
          <w:szCs w:val="26"/>
          <w:lang w:eastAsia="es-ES"/>
        </w:rPr>
        <w:t xml:space="preserve">comunidad de regantes </w:t>
      </w:r>
      <w:r w:rsidR="00F97631" w:rsidRPr="00F97119">
        <w:rPr>
          <w:rFonts w:eastAsia="Calibri"/>
          <w:szCs w:val="26"/>
          <w:lang w:eastAsia="es-ES"/>
        </w:rPr>
        <w:t>como abono anual de los gastos de explotación y mantenimiento de la zona regable.</w:t>
      </w:r>
    </w:p>
    <w:p w14:paraId="20653D49" w14:textId="77777777" w:rsidR="00F97631" w:rsidRPr="000709E4" w:rsidRDefault="00F97631" w:rsidP="00F97631">
      <w:pPr>
        <w:pStyle w:val="texto"/>
        <w:rPr>
          <w:rFonts w:eastAsia="Calibri"/>
          <w:lang w:eastAsia="es-ES"/>
        </w:rPr>
      </w:pPr>
      <w:r w:rsidRPr="000709E4">
        <w:rPr>
          <w:rFonts w:eastAsia="Calibri"/>
          <w:lang w:eastAsia="es-ES"/>
        </w:rPr>
        <w:t xml:space="preserve">El presupuesto total estimado asciende a </w:t>
      </w:r>
      <w:r w:rsidR="004C6F50" w:rsidRPr="00CC5EA3">
        <w:rPr>
          <w:rFonts w:eastAsia="Calibri"/>
          <w:lang w:eastAsia="es-ES"/>
        </w:rPr>
        <w:t>157,</w:t>
      </w:r>
      <w:r w:rsidRPr="00CC5EA3">
        <w:rPr>
          <w:rFonts w:eastAsia="Calibri"/>
          <w:lang w:eastAsia="es-ES"/>
        </w:rPr>
        <w:t>78</w:t>
      </w:r>
      <w:r w:rsidR="004C6F50" w:rsidRPr="00CC5EA3">
        <w:rPr>
          <w:rFonts w:eastAsia="Calibri"/>
          <w:lang w:eastAsia="es-ES"/>
        </w:rPr>
        <w:t xml:space="preserve"> millones</w:t>
      </w:r>
      <w:r w:rsidRPr="00CC5EA3">
        <w:rPr>
          <w:rFonts w:eastAsia="Calibri"/>
          <w:lang w:eastAsia="es-ES"/>
        </w:rPr>
        <w:t xml:space="preserve">. </w:t>
      </w:r>
      <w:r w:rsidRPr="000709E4">
        <w:rPr>
          <w:rFonts w:eastAsia="Calibri"/>
          <w:lang w:eastAsia="es-ES"/>
        </w:rPr>
        <w:t xml:space="preserve">Hasta el 31 de diciembre de 2021 la suma de los PFROI de los </w:t>
      </w:r>
      <w:r w:rsidRPr="004C6F50">
        <w:rPr>
          <w:rFonts w:eastAsia="Calibri"/>
          <w:lang w:eastAsia="es-ES"/>
        </w:rPr>
        <w:t>11 sectores o zonas de riego</w:t>
      </w:r>
      <w:r w:rsidR="004C6F50">
        <w:rPr>
          <w:rFonts w:eastAsia="Calibri"/>
          <w:lang w:eastAsia="es-ES"/>
        </w:rPr>
        <w:t xml:space="preserve"> ya en explotación es de </w:t>
      </w:r>
      <w:r w:rsidR="004C6F50" w:rsidRPr="00CC5EA3">
        <w:rPr>
          <w:rFonts w:eastAsia="Calibri"/>
          <w:lang w:eastAsia="es-ES"/>
        </w:rPr>
        <w:t>78,31 millones</w:t>
      </w:r>
      <w:r w:rsidRPr="00CC5EA3">
        <w:rPr>
          <w:rFonts w:eastAsia="Calibri"/>
          <w:lang w:eastAsia="es-ES"/>
        </w:rPr>
        <w:t xml:space="preserve">. </w:t>
      </w:r>
      <w:r w:rsidRPr="000709E4">
        <w:rPr>
          <w:rFonts w:eastAsia="Calibri"/>
          <w:lang w:eastAsia="es-ES"/>
        </w:rPr>
        <w:t xml:space="preserve">Estas cifras incluyen el presupuesto de ejecución material más el 15 por ciento de gastos generales y beneficio industrial, el IVA y el </w:t>
      </w:r>
      <w:r>
        <w:rPr>
          <w:rFonts w:eastAsia="Calibri"/>
          <w:lang w:eastAsia="es-ES"/>
        </w:rPr>
        <w:t>siete</w:t>
      </w:r>
      <w:r w:rsidRPr="000709E4">
        <w:rPr>
          <w:rFonts w:eastAsia="Calibri"/>
          <w:lang w:eastAsia="es-ES"/>
        </w:rPr>
        <w:t xml:space="preserve"> por ciento de gastos a cargo de la concesionaria. </w:t>
      </w:r>
    </w:p>
    <w:p w14:paraId="66ECE485" w14:textId="77777777" w:rsidR="00F97631" w:rsidRPr="00223A4E" w:rsidRDefault="00FE6584" w:rsidP="00F97631">
      <w:pPr>
        <w:pStyle w:val="texto"/>
        <w:rPr>
          <w:rFonts w:eastAsia="Calibri"/>
          <w:lang w:eastAsia="es-ES"/>
        </w:rPr>
      </w:pPr>
      <w:r>
        <w:rPr>
          <w:rFonts w:eastAsia="Calibri"/>
          <w:lang w:eastAsia="es-ES"/>
        </w:rPr>
        <w:t>La Ampliación de la Primera F</w:t>
      </w:r>
      <w:r w:rsidR="00F97631" w:rsidRPr="00223A4E">
        <w:rPr>
          <w:rFonts w:eastAsia="Calibri"/>
          <w:lang w:eastAsia="es-ES"/>
        </w:rPr>
        <w:t>ase se en</w:t>
      </w:r>
      <w:r w:rsidR="00F97631">
        <w:rPr>
          <w:rFonts w:eastAsia="Calibri"/>
          <w:lang w:eastAsia="es-ES"/>
        </w:rPr>
        <w:t>cuentra en fase de construcción;</w:t>
      </w:r>
      <w:r w:rsidR="00F97631" w:rsidRPr="00223A4E">
        <w:rPr>
          <w:rFonts w:eastAsia="Calibri"/>
          <w:lang w:eastAsia="es-ES"/>
        </w:rPr>
        <w:t xml:space="preserve"> si bien inicialmente estaba previsto finalizar la obra para el año 2018, se está produciendo un retraso y se prevé la finalización para 2023.</w:t>
      </w:r>
    </w:p>
    <w:p w14:paraId="2907BBB4" w14:textId="77777777" w:rsidR="00F97631" w:rsidRPr="00F97119" w:rsidRDefault="00F97631" w:rsidP="00F97631">
      <w:pPr>
        <w:pStyle w:val="texto"/>
        <w:rPr>
          <w:rFonts w:eastAsia="Calibri"/>
          <w:szCs w:val="26"/>
          <w:lang w:eastAsia="es-ES"/>
        </w:rPr>
      </w:pPr>
      <w:r w:rsidRPr="00F97119">
        <w:rPr>
          <w:rFonts w:eastAsia="Calibri"/>
          <w:szCs w:val="26"/>
          <w:lang w:eastAsia="es-ES"/>
        </w:rPr>
        <w:t xml:space="preserve">La RUT </w:t>
      </w:r>
      <w:r>
        <w:rPr>
          <w:rFonts w:eastAsia="Calibri"/>
          <w:szCs w:val="26"/>
          <w:lang w:eastAsia="es-ES"/>
        </w:rPr>
        <w:t>se verá afectada</w:t>
      </w:r>
      <w:r w:rsidRPr="00F97119">
        <w:rPr>
          <w:rFonts w:eastAsia="Calibri"/>
          <w:szCs w:val="26"/>
          <w:lang w:eastAsia="es-ES"/>
        </w:rPr>
        <w:t xml:space="preserve"> por deducciones automáticas en el caso de que la disponibilidad de la infraestructura y la calidad en la gestión para la prestación del servicio esté por debajo de los estándares establecidos en el pliego.</w:t>
      </w:r>
    </w:p>
    <w:p w14:paraId="28B8A5C2" w14:textId="77777777" w:rsidR="00F97631" w:rsidRPr="000E0323" w:rsidRDefault="00F97631" w:rsidP="00F97631">
      <w:pPr>
        <w:pStyle w:val="texto"/>
        <w:rPr>
          <w:rFonts w:eastAsia="Calibri"/>
          <w:szCs w:val="26"/>
          <w:lang w:eastAsia="es-ES"/>
        </w:rPr>
      </w:pPr>
      <w:r w:rsidRPr="000E0323">
        <w:rPr>
          <w:rFonts w:eastAsia="Calibri"/>
          <w:szCs w:val="26"/>
          <w:lang w:eastAsia="es-ES"/>
        </w:rPr>
        <w:t xml:space="preserve">Formando parte de la oferta, la sociedad concesionaria incluye un PEF para toda la vida de la concesión. </w:t>
      </w:r>
    </w:p>
    <w:p w14:paraId="4EBBD440" w14:textId="77777777" w:rsidR="00F97631" w:rsidRDefault="001B5D98" w:rsidP="00F97631">
      <w:pPr>
        <w:pStyle w:val="texto"/>
        <w:rPr>
          <w:rFonts w:eastAsia="Calibri"/>
          <w:szCs w:val="26"/>
          <w:lang w:eastAsia="es-ES"/>
        </w:rPr>
      </w:pPr>
      <w:r w:rsidRPr="005C57BD">
        <w:rPr>
          <w:rFonts w:eastAsia="Calibri"/>
          <w:szCs w:val="26"/>
          <w:lang w:eastAsia="es-ES"/>
        </w:rPr>
        <w:t xml:space="preserve">Con efectos </w:t>
      </w:r>
      <w:r>
        <w:rPr>
          <w:rFonts w:eastAsia="Calibri"/>
          <w:szCs w:val="26"/>
          <w:lang w:eastAsia="es-ES"/>
        </w:rPr>
        <w:t>e</w:t>
      </w:r>
      <w:r w:rsidR="00F97631" w:rsidRPr="00E64CFD">
        <w:rPr>
          <w:rFonts w:eastAsia="Calibri"/>
          <w:szCs w:val="26"/>
          <w:lang w:eastAsia="es-ES"/>
        </w:rPr>
        <w:t xml:space="preserve">n el periodo analizado por el </w:t>
      </w:r>
      <w:r w:rsidR="00F97631" w:rsidRPr="004C6F50">
        <w:rPr>
          <w:rFonts w:eastAsia="Calibri"/>
          <w:szCs w:val="26"/>
          <w:lang w:eastAsia="es-ES"/>
        </w:rPr>
        <w:t xml:space="preserve">presente informe, </w:t>
      </w:r>
      <w:r w:rsidR="00F97631">
        <w:rPr>
          <w:rFonts w:eastAsia="Calibri"/>
          <w:szCs w:val="26"/>
          <w:lang w:eastAsia="es-ES"/>
        </w:rPr>
        <w:t>s</w:t>
      </w:r>
      <w:r w:rsidR="00F97631" w:rsidRPr="00F97119">
        <w:rPr>
          <w:rFonts w:eastAsia="Calibri"/>
          <w:szCs w:val="26"/>
          <w:lang w:eastAsia="es-ES"/>
        </w:rPr>
        <w:t>e han aprobado mediante resolución del Director General de Obras Públicas e Infraestructuras un total de cinco reequilibrios del contrato de concesión, el último de mayo de 2021. Los restablecimientos del equilibrio económico financiero del contrato dan</w:t>
      </w:r>
      <w:r w:rsidR="00F97631">
        <w:rPr>
          <w:rFonts w:eastAsia="Calibri"/>
          <w:szCs w:val="26"/>
          <w:lang w:eastAsia="es-ES"/>
        </w:rPr>
        <w:t xml:space="preserve"> </w:t>
      </w:r>
      <w:r w:rsidR="00F97631" w:rsidRPr="00F97119">
        <w:rPr>
          <w:rFonts w:eastAsia="Calibri"/>
          <w:szCs w:val="26"/>
          <w:lang w:eastAsia="es-ES"/>
        </w:rPr>
        <w:t xml:space="preserve">lugar a la revisión y actualización del PEF al objeto de acomodarlo a las nuevas circunstancias. Estos reequilibrios se realizan mediante un incremento de </w:t>
      </w:r>
      <w:r w:rsidR="00F97631" w:rsidRPr="00E64CFD">
        <w:rPr>
          <w:rFonts w:eastAsia="Calibri"/>
          <w:szCs w:val="26"/>
          <w:lang w:eastAsia="es-ES"/>
        </w:rPr>
        <w:t xml:space="preserve">la tarifa y/o mediante pagos anticipados, dando lugar a variaciones en el coste del contrato y, en su caso, modificaciones contractuales. </w:t>
      </w:r>
    </w:p>
    <w:p w14:paraId="16CA6DC0" w14:textId="77777777" w:rsidR="00F97631" w:rsidRDefault="00F97631" w:rsidP="00F97631">
      <w:pPr>
        <w:pStyle w:val="texto"/>
        <w:spacing w:after="240"/>
        <w:rPr>
          <w:rFonts w:eastAsia="Calibri"/>
          <w:spacing w:val="2"/>
          <w:lang w:eastAsia="es-ES"/>
        </w:rPr>
      </w:pPr>
      <w:r w:rsidRPr="005F0218">
        <w:rPr>
          <w:rFonts w:eastAsia="Calibri"/>
          <w:spacing w:val="2"/>
          <w:lang w:eastAsia="es-ES"/>
        </w:rPr>
        <w:t>Las tarifas unitarias</w:t>
      </w:r>
      <w:r>
        <w:rPr>
          <w:rFonts w:eastAsia="Calibri"/>
          <w:spacing w:val="2"/>
          <w:lang w:eastAsia="es-ES"/>
        </w:rPr>
        <w:t xml:space="preserve"> de</w:t>
      </w:r>
      <w:r w:rsidRPr="005F0218">
        <w:rPr>
          <w:rFonts w:eastAsia="Calibri"/>
          <w:spacing w:val="2"/>
          <w:lang w:eastAsia="es-ES"/>
        </w:rPr>
        <w:t xml:space="preserve"> </w:t>
      </w:r>
      <w:r>
        <w:rPr>
          <w:rFonts w:eastAsia="Calibri"/>
          <w:spacing w:val="2"/>
          <w:lang w:eastAsia="es-ES"/>
        </w:rPr>
        <w:t xml:space="preserve">2014 del </w:t>
      </w:r>
      <w:r w:rsidRPr="005F0218">
        <w:rPr>
          <w:rFonts w:eastAsia="Calibri"/>
          <w:spacing w:val="2"/>
          <w:lang w:eastAsia="es-ES"/>
        </w:rPr>
        <w:t>CD y CCGI correspondientes a la oferta se actualizan con los porcentajes resultantes de los</w:t>
      </w:r>
      <w:r>
        <w:rPr>
          <w:rFonts w:eastAsia="Calibri"/>
          <w:spacing w:val="2"/>
          <w:lang w:eastAsia="es-ES"/>
        </w:rPr>
        <w:t xml:space="preserve"> </w:t>
      </w:r>
      <w:r w:rsidRPr="00A7673A">
        <w:rPr>
          <w:rFonts w:eastAsia="Calibri"/>
          <w:spacing w:val="2"/>
          <w:lang w:eastAsia="es-ES"/>
        </w:rPr>
        <w:t>cinco</w:t>
      </w:r>
      <w:r>
        <w:rPr>
          <w:rFonts w:eastAsia="Calibri"/>
          <w:spacing w:val="2"/>
          <w:lang w:eastAsia="es-ES"/>
        </w:rPr>
        <w:t xml:space="preserve"> </w:t>
      </w:r>
      <w:r w:rsidRPr="005F0218">
        <w:rPr>
          <w:rFonts w:eastAsia="Calibri"/>
          <w:spacing w:val="2"/>
          <w:lang w:eastAsia="es-ES"/>
        </w:rPr>
        <w:t>reequilibrios realizados.</w:t>
      </w:r>
      <w:r>
        <w:rPr>
          <w:rFonts w:eastAsia="Calibri"/>
          <w:spacing w:val="2"/>
          <w:lang w:eastAsia="es-ES"/>
        </w:rPr>
        <w:t xml:space="preserve"> </w:t>
      </w:r>
    </w:p>
    <w:tbl>
      <w:tblPr>
        <w:tblW w:w="9088" w:type="dxa"/>
        <w:tblInd w:w="-5" w:type="dxa"/>
        <w:tblBorders>
          <w:top w:val="single" w:sz="4" w:space="0" w:color="auto"/>
          <w:bottom w:val="single" w:sz="4" w:space="0" w:color="auto"/>
          <w:insideH w:val="single" w:sz="2" w:space="0" w:color="auto"/>
        </w:tblBorders>
        <w:shd w:val="clear" w:color="auto" w:fill="B8CCE4" w:themeFill="accent1" w:themeFillTint="66"/>
        <w:tblCellMar>
          <w:left w:w="70" w:type="dxa"/>
          <w:right w:w="70" w:type="dxa"/>
        </w:tblCellMar>
        <w:tblLook w:val="04A0" w:firstRow="1" w:lastRow="0" w:firstColumn="1" w:lastColumn="0" w:noHBand="0" w:noVBand="1"/>
      </w:tblPr>
      <w:tblGrid>
        <w:gridCol w:w="1990"/>
        <w:gridCol w:w="2132"/>
        <w:gridCol w:w="1962"/>
        <w:gridCol w:w="3004"/>
      </w:tblGrid>
      <w:tr w:rsidR="00F97631" w:rsidRPr="006B7451" w14:paraId="7308E8A1" w14:textId="77777777" w:rsidTr="00E428A6">
        <w:trPr>
          <w:trHeight w:val="255"/>
        </w:trPr>
        <w:tc>
          <w:tcPr>
            <w:tcW w:w="1990" w:type="dxa"/>
            <w:shd w:val="clear" w:color="auto" w:fill="B8CCE4" w:themeFill="accent1" w:themeFillTint="66"/>
            <w:vAlign w:val="center"/>
            <w:hideMark/>
          </w:tcPr>
          <w:p w14:paraId="6EE111B3" w14:textId="77777777" w:rsidR="00F97631" w:rsidRPr="006B7451" w:rsidRDefault="00F97631" w:rsidP="00716D48">
            <w:pPr>
              <w:pStyle w:val="cuadroCabe"/>
              <w:rPr>
                <w:lang w:val="es-ES" w:eastAsia="es-ES"/>
              </w:rPr>
            </w:pPr>
            <w:r w:rsidRPr="006B7451">
              <w:rPr>
                <w:lang w:val="es-ES" w:eastAsia="es-ES"/>
              </w:rPr>
              <w:t>Canon</w:t>
            </w:r>
          </w:p>
        </w:tc>
        <w:tc>
          <w:tcPr>
            <w:tcW w:w="2132" w:type="dxa"/>
            <w:shd w:val="clear" w:color="auto" w:fill="B8CCE4" w:themeFill="accent1" w:themeFillTint="66"/>
            <w:vAlign w:val="center"/>
            <w:hideMark/>
          </w:tcPr>
          <w:p w14:paraId="4B70EDA6" w14:textId="77777777" w:rsidR="00F97631" w:rsidRPr="006B7451" w:rsidRDefault="00F97631" w:rsidP="00716D48">
            <w:pPr>
              <w:pStyle w:val="cuadroCabe"/>
              <w:rPr>
                <w:lang w:val="es-ES" w:eastAsia="es-ES"/>
              </w:rPr>
            </w:pPr>
            <w:r w:rsidRPr="006B7451">
              <w:rPr>
                <w:lang w:val="es-ES" w:eastAsia="es-ES"/>
              </w:rPr>
              <w:t>Unidad medida</w:t>
            </w:r>
          </w:p>
        </w:tc>
        <w:tc>
          <w:tcPr>
            <w:tcW w:w="1962" w:type="dxa"/>
            <w:shd w:val="clear" w:color="auto" w:fill="B8CCE4" w:themeFill="accent1" w:themeFillTint="66"/>
            <w:vAlign w:val="center"/>
            <w:hideMark/>
          </w:tcPr>
          <w:p w14:paraId="4659C941" w14:textId="77777777" w:rsidR="00F97631" w:rsidRPr="006B7451" w:rsidRDefault="00F97631" w:rsidP="00716D48">
            <w:pPr>
              <w:pStyle w:val="cuadroCabe"/>
              <w:jc w:val="right"/>
              <w:rPr>
                <w:lang w:val="es-ES" w:eastAsia="es-ES"/>
              </w:rPr>
            </w:pPr>
            <w:r>
              <w:rPr>
                <w:lang w:val="es-ES" w:eastAsia="es-ES"/>
              </w:rPr>
              <w:t>Tarifa unitaria base 2014</w:t>
            </w:r>
          </w:p>
        </w:tc>
        <w:tc>
          <w:tcPr>
            <w:tcW w:w="3004" w:type="dxa"/>
            <w:shd w:val="clear" w:color="auto" w:fill="B8CCE4" w:themeFill="accent1" w:themeFillTint="66"/>
            <w:vAlign w:val="center"/>
            <w:hideMark/>
          </w:tcPr>
          <w:p w14:paraId="7D8A952E" w14:textId="77777777" w:rsidR="00F97631" w:rsidRDefault="00F97631" w:rsidP="00716D48">
            <w:pPr>
              <w:pStyle w:val="cuadroCabe"/>
              <w:jc w:val="right"/>
              <w:rPr>
                <w:lang w:val="es-ES" w:eastAsia="es-ES"/>
              </w:rPr>
            </w:pPr>
            <w:r w:rsidRPr="006B7451">
              <w:rPr>
                <w:lang w:val="es-ES" w:eastAsia="es-ES"/>
              </w:rPr>
              <w:t xml:space="preserve">Tarifa unitaria base </w:t>
            </w:r>
            <w:r>
              <w:rPr>
                <w:lang w:val="es-ES" w:eastAsia="es-ES"/>
              </w:rPr>
              <w:t>2014</w:t>
            </w:r>
            <w:r w:rsidRPr="006B7451">
              <w:rPr>
                <w:lang w:val="es-ES" w:eastAsia="es-ES"/>
              </w:rPr>
              <w:t xml:space="preserve"> </w:t>
            </w:r>
          </w:p>
          <w:p w14:paraId="488A0C5B" w14:textId="77777777" w:rsidR="00F97631" w:rsidRPr="006B7451" w:rsidRDefault="00F97631" w:rsidP="00716D48">
            <w:pPr>
              <w:pStyle w:val="cuadroCabe"/>
              <w:jc w:val="right"/>
              <w:rPr>
                <w:lang w:val="es-ES" w:eastAsia="es-ES"/>
              </w:rPr>
            </w:pPr>
            <w:r w:rsidRPr="006B7451">
              <w:rPr>
                <w:lang w:val="es-ES" w:eastAsia="es-ES"/>
              </w:rPr>
              <w:t>actualizada por reequilibrios</w:t>
            </w:r>
          </w:p>
        </w:tc>
      </w:tr>
      <w:tr w:rsidR="00F97631" w:rsidRPr="006B7451" w14:paraId="12124C08" w14:textId="77777777" w:rsidTr="00E428A6">
        <w:trPr>
          <w:trHeight w:val="255"/>
        </w:trPr>
        <w:tc>
          <w:tcPr>
            <w:tcW w:w="1990" w:type="dxa"/>
            <w:shd w:val="clear" w:color="auto" w:fill="auto"/>
            <w:noWrap/>
            <w:vAlign w:val="center"/>
            <w:hideMark/>
          </w:tcPr>
          <w:p w14:paraId="37D16612" w14:textId="77777777" w:rsidR="00F97631" w:rsidRPr="006B7451" w:rsidRDefault="00F97631" w:rsidP="00716D48">
            <w:pPr>
              <w:spacing w:after="0"/>
              <w:ind w:firstLine="0"/>
              <w:jc w:val="left"/>
              <w:rPr>
                <w:rFonts w:ascii="Arial Narrow" w:hAnsi="Arial Narrow"/>
                <w:color w:val="000000"/>
                <w:lang w:val="es-ES" w:eastAsia="es-ES"/>
              </w:rPr>
            </w:pPr>
            <w:r w:rsidRPr="006B7451">
              <w:rPr>
                <w:rFonts w:ascii="Arial Narrow" w:hAnsi="Arial Narrow"/>
                <w:color w:val="000000"/>
                <w:lang w:val="es-ES" w:eastAsia="es-ES"/>
              </w:rPr>
              <w:t>Canon demanda</w:t>
            </w:r>
          </w:p>
        </w:tc>
        <w:tc>
          <w:tcPr>
            <w:tcW w:w="2132" w:type="dxa"/>
            <w:shd w:val="clear" w:color="auto" w:fill="auto"/>
            <w:vAlign w:val="center"/>
            <w:hideMark/>
          </w:tcPr>
          <w:p w14:paraId="7745847F" w14:textId="77777777" w:rsidR="00F97631" w:rsidRPr="006B7451" w:rsidRDefault="00F97631" w:rsidP="00716D48">
            <w:pPr>
              <w:spacing w:after="0"/>
              <w:ind w:firstLine="0"/>
              <w:jc w:val="center"/>
              <w:rPr>
                <w:rFonts w:ascii="Arial Narrow" w:hAnsi="Arial Narrow"/>
                <w:color w:val="000000"/>
                <w:lang w:val="es-ES" w:eastAsia="es-ES"/>
              </w:rPr>
            </w:pPr>
            <w:r w:rsidRPr="006B7451">
              <w:rPr>
                <w:rFonts w:ascii="Arial Narrow" w:hAnsi="Arial Narrow"/>
                <w:color w:val="000000"/>
                <w:lang w:val="es-ES" w:eastAsia="es-ES"/>
              </w:rPr>
              <w:t>(euros/ m</w:t>
            </w:r>
            <w:r w:rsidRPr="00AE550C">
              <w:rPr>
                <w:rFonts w:ascii="Arial Narrow" w:hAnsi="Arial Narrow"/>
                <w:color w:val="000000"/>
                <w:vertAlign w:val="superscript"/>
                <w:lang w:val="es-ES" w:eastAsia="es-ES"/>
              </w:rPr>
              <w:t>3</w:t>
            </w:r>
            <w:r w:rsidRPr="006B7451">
              <w:rPr>
                <w:rFonts w:ascii="Arial Narrow" w:hAnsi="Arial Narrow"/>
                <w:color w:val="000000"/>
                <w:lang w:val="es-ES" w:eastAsia="es-ES"/>
              </w:rPr>
              <w:t>)</w:t>
            </w:r>
          </w:p>
        </w:tc>
        <w:tc>
          <w:tcPr>
            <w:tcW w:w="1962" w:type="dxa"/>
            <w:shd w:val="clear" w:color="auto" w:fill="auto"/>
            <w:noWrap/>
            <w:vAlign w:val="center"/>
          </w:tcPr>
          <w:p w14:paraId="40F8F2AC" w14:textId="77777777" w:rsidR="00F97631" w:rsidRPr="006B7451" w:rsidRDefault="00F97631" w:rsidP="00716D48">
            <w:pPr>
              <w:spacing w:after="0"/>
              <w:ind w:firstLine="0"/>
              <w:jc w:val="right"/>
              <w:rPr>
                <w:rFonts w:ascii="Arial Narrow" w:hAnsi="Arial Narrow"/>
                <w:color w:val="000000"/>
                <w:lang w:val="es-ES" w:eastAsia="es-ES"/>
              </w:rPr>
            </w:pPr>
            <w:r>
              <w:rPr>
                <w:rFonts w:ascii="Arial Narrow" w:hAnsi="Arial Narrow"/>
                <w:color w:val="000000"/>
                <w:lang w:val="es-ES" w:eastAsia="es-ES"/>
              </w:rPr>
              <w:t>0,02197</w:t>
            </w:r>
          </w:p>
        </w:tc>
        <w:tc>
          <w:tcPr>
            <w:tcW w:w="3004" w:type="dxa"/>
            <w:shd w:val="clear" w:color="auto" w:fill="auto"/>
            <w:vAlign w:val="center"/>
          </w:tcPr>
          <w:p w14:paraId="2982981D" w14:textId="77777777" w:rsidR="00F97631" w:rsidRPr="006B7451" w:rsidRDefault="00F97631" w:rsidP="00716D48">
            <w:pPr>
              <w:spacing w:after="0"/>
              <w:ind w:firstLine="0"/>
              <w:jc w:val="right"/>
              <w:rPr>
                <w:rFonts w:ascii="Arial Narrow" w:hAnsi="Arial Narrow"/>
                <w:color w:val="000000"/>
                <w:lang w:val="es-ES" w:eastAsia="es-ES"/>
              </w:rPr>
            </w:pPr>
            <w:r>
              <w:rPr>
                <w:rFonts w:ascii="Arial Narrow" w:hAnsi="Arial Narrow"/>
                <w:color w:val="000000"/>
                <w:lang w:val="es-ES" w:eastAsia="es-ES"/>
              </w:rPr>
              <w:t>0,03272</w:t>
            </w:r>
          </w:p>
        </w:tc>
      </w:tr>
      <w:tr w:rsidR="00F97631" w:rsidRPr="006B7451" w14:paraId="41FF16C5" w14:textId="77777777" w:rsidTr="00E428A6">
        <w:trPr>
          <w:trHeight w:val="255"/>
        </w:trPr>
        <w:tc>
          <w:tcPr>
            <w:tcW w:w="1990" w:type="dxa"/>
            <w:shd w:val="clear" w:color="auto" w:fill="auto"/>
            <w:noWrap/>
            <w:vAlign w:val="center"/>
            <w:hideMark/>
          </w:tcPr>
          <w:p w14:paraId="62FB8AEC" w14:textId="77777777" w:rsidR="00F97631" w:rsidRPr="006B7451" w:rsidRDefault="00F97631" w:rsidP="00686011">
            <w:pPr>
              <w:spacing w:after="0"/>
              <w:ind w:firstLine="0"/>
              <w:jc w:val="left"/>
              <w:rPr>
                <w:rFonts w:ascii="Arial Narrow" w:hAnsi="Arial Narrow"/>
                <w:color w:val="000000"/>
                <w:lang w:val="es-ES" w:eastAsia="es-ES"/>
              </w:rPr>
            </w:pPr>
            <w:r w:rsidRPr="004C6F50">
              <w:rPr>
                <w:rFonts w:ascii="Arial Narrow" w:hAnsi="Arial Narrow"/>
                <w:lang w:val="es-ES" w:eastAsia="es-ES"/>
              </w:rPr>
              <w:t xml:space="preserve">Canon </w:t>
            </w:r>
            <w:proofErr w:type="gramStart"/>
            <w:r w:rsidRPr="004C6F50">
              <w:rPr>
                <w:rFonts w:ascii="Arial Narrow" w:hAnsi="Arial Narrow"/>
                <w:lang w:val="es-ES" w:eastAsia="es-ES"/>
              </w:rPr>
              <w:t>calidad</w:t>
            </w:r>
            <w:r w:rsidR="00D366BE" w:rsidRPr="00D366BE">
              <w:rPr>
                <w:rFonts w:ascii="Arial Narrow" w:hAnsi="Arial Narrow"/>
                <w:sz w:val="16"/>
                <w:szCs w:val="16"/>
                <w:vertAlign w:val="superscript"/>
                <w:lang w:val="es-ES" w:eastAsia="es-ES"/>
              </w:rPr>
              <w:t>(</w:t>
            </w:r>
            <w:proofErr w:type="gramEnd"/>
            <w:r w:rsidR="00686011">
              <w:rPr>
                <w:rFonts w:ascii="Arial Narrow" w:hAnsi="Arial Narrow"/>
                <w:sz w:val="16"/>
                <w:szCs w:val="16"/>
                <w:vertAlign w:val="superscript"/>
                <w:lang w:val="es-ES" w:eastAsia="es-ES"/>
              </w:rPr>
              <w:t>*</w:t>
            </w:r>
            <w:r w:rsidR="00D366BE" w:rsidRPr="00D366BE">
              <w:rPr>
                <w:rFonts w:ascii="Arial Narrow" w:hAnsi="Arial Narrow"/>
                <w:sz w:val="16"/>
                <w:szCs w:val="16"/>
                <w:vertAlign w:val="superscript"/>
                <w:lang w:val="es-ES" w:eastAsia="es-ES"/>
              </w:rPr>
              <w:t>)</w:t>
            </w:r>
          </w:p>
        </w:tc>
        <w:tc>
          <w:tcPr>
            <w:tcW w:w="2132" w:type="dxa"/>
            <w:shd w:val="clear" w:color="auto" w:fill="auto"/>
            <w:vAlign w:val="center"/>
            <w:hideMark/>
          </w:tcPr>
          <w:p w14:paraId="670D6C87" w14:textId="77777777" w:rsidR="00F97631" w:rsidRPr="006B7451" w:rsidRDefault="00F97631" w:rsidP="00716D48">
            <w:pPr>
              <w:spacing w:after="0"/>
              <w:ind w:firstLine="0"/>
              <w:jc w:val="center"/>
              <w:rPr>
                <w:rFonts w:ascii="Arial Narrow" w:hAnsi="Arial Narrow"/>
                <w:color w:val="000000"/>
                <w:lang w:val="es-ES" w:eastAsia="es-ES"/>
              </w:rPr>
            </w:pPr>
            <w:r w:rsidRPr="006B7451">
              <w:rPr>
                <w:rFonts w:ascii="Arial Narrow" w:hAnsi="Arial Narrow"/>
                <w:color w:val="000000"/>
                <w:lang w:val="es-ES" w:eastAsia="es-ES"/>
              </w:rPr>
              <w:t>€/Ha regada neta</w:t>
            </w:r>
          </w:p>
        </w:tc>
        <w:tc>
          <w:tcPr>
            <w:tcW w:w="1962" w:type="dxa"/>
            <w:shd w:val="clear" w:color="auto" w:fill="auto"/>
            <w:noWrap/>
            <w:vAlign w:val="center"/>
          </w:tcPr>
          <w:p w14:paraId="09096D5C" w14:textId="77777777" w:rsidR="00F97631" w:rsidRPr="006B7451" w:rsidRDefault="00F97631" w:rsidP="00716D48">
            <w:pPr>
              <w:spacing w:after="0"/>
              <w:ind w:firstLine="0"/>
              <w:jc w:val="right"/>
              <w:rPr>
                <w:rFonts w:ascii="Arial Narrow" w:hAnsi="Arial Narrow"/>
                <w:color w:val="000000"/>
                <w:lang w:val="es-ES" w:eastAsia="es-ES"/>
              </w:rPr>
            </w:pPr>
          </w:p>
        </w:tc>
        <w:tc>
          <w:tcPr>
            <w:tcW w:w="3004" w:type="dxa"/>
            <w:shd w:val="clear" w:color="auto" w:fill="auto"/>
            <w:vAlign w:val="center"/>
          </w:tcPr>
          <w:p w14:paraId="49B50EA1" w14:textId="77777777" w:rsidR="00F97631" w:rsidRPr="006B7451" w:rsidRDefault="00F97631" w:rsidP="00716D48">
            <w:pPr>
              <w:spacing w:after="0"/>
              <w:ind w:firstLine="0"/>
              <w:jc w:val="right"/>
              <w:rPr>
                <w:rFonts w:ascii="Arial Narrow" w:hAnsi="Arial Narrow"/>
                <w:color w:val="000000"/>
                <w:lang w:val="es-ES" w:eastAsia="es-ES"/>
              </w:rPr>
            </w:pPr>
          </w:p>
        </w:tc>
      </w:tr>
    </w:tbl>
    <w:p w14:paraId="72196D10" w14:textId="77777777" w:rsidR="00D366BE" w:rsidRPr="00D366BE" w:rsidRDefault="00D366BE" w:rsidP="00D366BE">
      <w:pPr>
        <w:pStyle w:val="texto"/>
        <w:spacing w:before="60"/>
        <w:ind w:firstLine="0"/>
        <w:rPr>
          <w:rFonts w:ascii="Arial" w:eastAsia="Calibri" w:hAnsi="Arial" w:cs="Arial"/>
          <w:sz w:val="14"/>
          <w:szCs w:val="14"/>
          <w:lang w:eastAsia="es-ES"/>
        </w:rPr>
      </w:pPr>
      <w:r w:rsidRPr="00D366BE">
        <w:rPr>
          <w:rFonts w:ascii="Arial" w:eastAsia="Calibri" w:hAnsi="Arial" w:cs="Arial"/>
          <w:sz w:val="14"/>
          <w:szCs w:val="14"/>
          <w:vertAlign w:val="superscript"/>
          <w:lang w:eastAsia="es-ES"/>
        </w:rPr>
        <w:t>(</w:t>
      </w:r>
      <w:r w:rsidR="00686011">
        <w:rPr>
          <w:rFonts w:ascii="Arial" w:eastAsia="Calibri" w:hAnsi="Arial" w:cs="Arial"/>
          <w:sz w:val="14"/>
          <w:szCs w:val="14"/>
          <w:vertAlign w:val="superscript"/>
          <w:lang w:eastAsia="es-ES"/>
        </w:rPr>
        <w:t>*</w:t>
      </w:r>
      <w:r w:rsidRPr="00D366BE">
        <w:rPr>
          <w:rFonts w:ascii="Arial" w:eastAsia="Calibri" w:hAnsi="Arial" w:cs="Arial"/>
          <w:sz w:val="14"/>
          <w:szCs w:val="14"/>
          <w:vertAlign w:val="superscript"/>
          <w:lang w:eastAsia="es-ES"/>
        </w:rPr>
        <w:t>)</w:t>
      </w:r>
      <w:r>
        <w:rPr>
          <w:rFonts w:ascii="Arial" w:eastAsia="Calibri" w:hAnsi="Arial" w:cs="Arial"/>
          <w:sz w:val="14"/>
          <w:szCs w:val="14"/>
          <w:lang w:eastAsia="es-ES"/>
        </w:rPr>
        <w:t xml:space="preserve"> Tarifa unitaria para cada uno de los sectores de riego.</w:t>
      </w:r>
    </w:p>
    <w:p w14:paraId="5479F56C" w14:textId="77777777" w:rsidR="00F97631" w:rsidRPr="00F97119" w:rsidRDefault="00F97631" w:rsidP="00F97631">
      <w:pPr>
        <w:pStyle w:val="texto"/>
        <w:spacing w:before="240"/>
        <w:rPr>
          <w:rFonts w:eastAsia="Calibri"/>
          <w:lang w:eastAsia="es-ES"/>
        </w:rPr>
      </w:pPr>
      <w:r w:rsidRPr="00E074EE">
        <w:rPr>
          <w:rFonts w:eastAsia="Calibri"/>
          <w:lang w:eastAsia="es-ES"/>
        </w:rPr>
        <w:t xml:space="preserve">Los pagos </w:t>
      </w:r>
      <w:r w:rsidRPr="00F97119">
        <w:rPr>
          <w:rFonts w:eastAsia="Calibri"/>
          <w:lang w:eastAsia="es-ES"/>
        </w:rPr>
        <w:t>realiza</w:t>
      </w:r>
      <w:r w:rsidR="00BC52A1">
        <w:rPr>
          <w:rFonts w:eastAsia="Calibri"/>
          <w:lang w:eastAsia="es-ES"/>
        </w:rPr>
        <w:t>dos en concepto de canon de la Ampliación de la Primera F</w:t>
      </w:r>
      <w:r w:rsidRPr="00F97119">
        <w:rPr>
          <w:rFonts w:eastAsia="Calibri"/>
          <w:lang w:eastAsia="es-ES"/>
        </w:rPr>
        <w:t xml:space="preserve">ase </w:t>
      </w:r>
      <w:r>
        <w:rPr>
          <w:rFonts w:eastAsia="Calibri"/>
          <w:lang w:eastAsia="es-ES"/>
        </w:rPr>
        <w:t xml:space="preserve">ascienden a 35 millones correspondientes a 11 zonas de riego puestos en explotación. </w:t>
      </w:r>
    </w:p>
    <w:p w14:paraId="65C91EC0" w14:textId="77777777" w:rsidR="00B84A54" w:rsidRPr="00795CF7" w:rsidRDefault="00B84A54" w:rsidP="00B84A54">
      <w:pPr>
        <w:spacing w:after="0"/>
        <w:ind w:firstLine="284"/>
        <w:rPr>
          <w:rFonts w:eastAsia="Calibri"/>
          <w:sz w:val="26"/>
          <w:szCs w:val="26"/>
          <w:lang w:eastAsia="es-ES"/>
        </w:rPr>
      </w:pPr>
      <w:r w:rsidRPr="00F97119">
        <w:rPr>
          <w:rFonts w:eastAsia="Calibri"/>
          <w:sz w:val="26"/>
          <w:szCs w:val="26"/>
          <w:lang w:eastAsia="es-ES"/>
        </w:rPr>
        <w:t xml:space="preserve">Esta </w:t>
      </w:r>
      <w:r>
        <w:rPr>
          <w:rFonts w:eastAsia="Calibri"/>
          <w:sz w:val="26"/>
          <w:szCs w:val="26"/>
          <w:lang w:eastAsia="es-ES"/>
        </w:rPr>
        <w:t xml:space="preserve">infraestructura, </w:t>
      </w:r>
      <w:r w:rsidRPr="00611817">
        <w:rPr>
          <w:rFonts w:eastAsia="Calibri"/>
          <w:sz w:val="26"/>
          <w:szCs w:val="26"/>
          <w:lang w:eastAsia="es-ES"/>
        </w:rPr>
        <w:t>según la</w:t>
      </w:r>
      <w:r>
        <w:rPr>
          <w:rFonts w:eastAsia="Calibri"/>
          <w:sz w:val="26"/>
          <w:szCs w:val="26"/>
          <w:lang w:eastAsia="es-ES"/>
        </w:rPr>
        <w:t xml:space="preserve"> valoración de la</w:t>
      </w:r>
      <w:r w:rsidRPr="00611817">
        <w:rPr>
          <w:rFonts w:eastAsia="Calibri"/>
          <w:sz w:val="26"/>
          <w:szCs w:val="26"/>
          <w:lang w:eastAsia="es-ES"/>
        </w:rPr>
        <w:t xml:space="preserve"> autoridad estatal competente</w:t>
      </w:r>
      <w:r>
        <w:rPr>
          <w:rFonts w:eastAsia="Calibri"/>
          <w:sz w:val="26"/>
          <w:szCs w:val="26"/>
          <w:lang w:eastAsia="es-ES"/>
        </w:rPr>
        <w:t>, no computa como</w:t>
      </w:r>
      <w:r w:rsidRPr="00F97119">
        <w:rPr>
          <w:rFonts w:eastAsia="Calibri"/>
          <w:sz w:val="26"/>
          <w:szCs w:val="26"/>
          <w:lang w:eastAsia="es-ES"/>
        </w:rPr>
        <w:t xml:space="preserve"> deuda a efectos de lo señalado en el SEC 2010.</w:t>
      </w:r>
    </w:p>
    <w:p w14:paraId="6FADA8E1" w14:textId="77777777" w:rsidR="00A84A4A" w:rsidRDefault="00A84A4A">
      <w:pPr>
        <w:spacing w:after="0"/>
        <w:ind w:firstLine="0"/>
        <w:jc w:val="left"/>
        <w:rPr>
          <w:rFonts w:ascii="Arial" w:hAnsi="Arial"/>
          <w:b/>
          <w:color w:val="000000"/>
          <w:kern w:val="28"/>
          <w:sz w:val="25"/>
          <w:szCs w:val="26"/>
        </w:rPr>
      </w:pPr>
      <w:r>
        <w:br w:type="page"/>
      </w:r>
    </w:p>
    <w:p w14:paraId="7434A69D" w14:textId="77777777" w:rsidR="00F97631" w:rsidRDefault="00F97631" w:rsidP="00F97631">
      <w:pPr>
        <w:pStyle w:val="atitulo1"/>
      </w:pPr>
      <w:bookmarkStart w:id="26" w:name="_Toc126321322"/>
      <w:r>
        <w:t>Apéndice 2</w:t>
      </w:r>
      <w:r w:rsidRPr="0040652A">
        <w:t>: Observaciones y hallazgos de la fiscalización</w:t>
      </w:r>
      <w:bookmarkEnd w:id="26"/>
      <w:r w:rsidRPr="0040652A">
        <w:t xml:space="preserve"> </w:t>
      </w:r>
    </w:p>
    <w:p w14:paraId="22E8BE03" w14:textId="77777777" w:rsidR="00C30199" w:rsidRDefault="00C30199" w:rsidP="00C30199">
      <w:pPr>
        <w:pStyle w:val="texto"/>
        <w:tabs>
          <w:tab w:val="clear" w:pos="2835"/>
          <w:tab w:val="clear" w:pos="3969"/>
          <w:tab w:val="clear" w:pos="5103"/>
          <w:tab w:val="clear" w:pos="6237"/>
          <w:tab w:val="clear" w:pos="7371"/>
        </w:tabs>
        <w:spacing w:after="100"/>
      </w:pPr>
      <w:r w:rsidRPr="00D5079E">
        <w:t xml:space="preserve">A continuación, se incluyen observaciones e información adicional que esta Cámara considera de interés para las personas destinatarias y usuarias del presente informe de fiscalización. </w:t>
      </w:r>
    </w:p>
    <w:p w14:paraId="55CE3EFF" w14:textId="77777777" w:rsidR="00C30199" w:rsidRPr="00FD08F0" w:rsidRDefault="00474A7C" w:rsidP="0040652A">
      <w:pPr>
        <w:pStyle w:val="atitulo2"/>
      </w:pPr>
      <w:bookmarkStart w:id="27" w:name="_Toc126321323"/>
      <w:r>
        <w:t>2</w:t>
      </w:r>
      <w:r w:rsidR="00C30199" w:rsidRPr="00FD08F0">
        <w:t>.1</w:t>
      </w:r>
      <w:r w:rsidR="00E428A6">
        <w:t>.</w:t>
      </w:r>
      <w:r w:rsidR="00C30199" w:rsidRPr="00FD08F0">
        <w:t xml:space="preserve"> Autovías</w:t>
      </w:r>
      <w:bookmarkEnd w:id="27"/>
    </w:p>
    <w:p w14:paraId="6453A888" w14:textId="77777777" w:rsidR="00C30199" w:rsidRPr="00FD08F0" w:rsidRDefault="00474A7C" w:rsidP="0040652A">
      <w:pPr>
        <w:pStyle w:val="atitulo3"/>
      </w:pPr>
      <w:bookmarkStart w:id="28" w:name="_Toc41485563"/>
      <w:bookmarkEnd w:id="19"/>
      <w:r>
        <w:t>2</w:t>
      </w:r>
      <w:r w:rsidR="00C30199" w:rsidRPr="00FD08F0">
        <w:t xml:space="preserve">.1.1. </w:t>
      </w:r>
      <w:r w:rsidR="00A84A4A">
        <w:t>E</w:t>
      </w:r>
      <w:r w:rsidR="00731D83">
        <w:t>xplotación y control de la A</w:t>
      </w:r>
      <w:r w:rsidR="00C30199" w:rsidRPr="00FD08F0">
        <w:t>dministración</w:t>
      </w:r>
    </w:p>
    <w:p w14:paraId="787558D2" w14:textId="77777777" w:rsidR="00C30199" w:rsidRDefault="00C30199" w:rsidP="00C30199">
      <w:pPr>
        <w:pStyle w:val="texto"/>
        <w:tabs>
          <w:tab w:val="clear" w:pos="2835"/>
          <w:tab w:val="clear" w:pos="3969"/>
          <w:tab w:val="clear" w:pos="5103"/>
          <w:tab w:val="clear" w:pos="6237"/>
          <w:tab w:val="clear" w:pos="7371"/>
        </w:tabs>
        <w:spacing w:after="100"/>
      </w:pPr>
      <w:r>
        <w:t>Una vez finalizada la obra comienza la fase de explotación. En esta</w:t>
      </w:r>
      <w:r w:rsidR="00A6498C">
        <w:t xml:space="preserve"> fase, las relaciones entre la A</w:t>
      </w:r>
      <w:r>
        <w:t xml:space="preserve">dministración y la sociedad concesionaria están reguladas en el contrato </w:t>
      </w:r>
      <w:r w:rsidRPr="00A84A4A">
        <w:t xml:space="preserve">y </w:t>
      </w:r>
      <w:r w:rsidR="00866A69" w:rsidRPr="00A84A4A">
        <w:t xml:space="preserve">en el </w:t>
      </w:r>
      <w:r w:rsidRPr="00A84A4A">
        <w:t xml:space="preserve">pliego de condiciones (en adelante PCAP). </w:t>
      </w:r>
    </w:p>
    <w:p w14:paraId="48DD7450" w14:textId="77777777" w:rsidR="00C30199" w:rsidRDefault="00C30199" w:rsidP="00C30199">
      <w:pPr>
        <w:pStyle w:val="texto"/>
        <w:tabs>
          <w:tab w:val="clear" w:pos="2835"/>
          <w:tab w:val="clear" w:pos="3969"/>
          <w:tab w:val="clear" w:pos="5103"/>
          <w:tab w:val="clear" w:pos="6237"/>
          <w:tab w:val="clear" w:pos="7371"/>
        </w:tabs>
        <w:spacing w:after="100"/>
      </w:pPr>
      <w:r>
        <w:t>El análisis de la fase de explotación, de acuerdo con los términos de la concesión,</w:t>
      </w:r>
      <w:r w:rsidRPr="002975A2">
        <w:t xml:space="preserve"> </w:t>
      </w:r>
      <w:r>
        <w:t>pone de manifiesto los siguientes hechos:</w:t>
      </w:r>
    </w:p>
    <w:p w14:paraId="72C3FCFF" w14:textId="77777777" w:rsidR="00C30199" w:rsidRPr="00AE550C" w:rsidRDefault="00AE43D5"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163FA2">
        <w:rPr>
          <w:rFonts w:eastAsia="Calibri"/>
          <w:szCs w:val="26"/>
          <w:lang w:eastAsia="es-ES"/>
        </w:rPr>
        <w:t xml:space="preserve">Desde 2014 </w:t>
      </w:r>
      <w:r w:rsidR="00163FA2">
        <w:rPr>
          <w:rFonts w:eastAsia="Calibri"/>
          <w:szCs w:val="26"/>
          <w:lang w:eastAsia="es-ES"/>
        </w:rPr>
        <w:t>n</w:t>
      </w:r>
      <w:r w:rsidR="00C30199" w:rsidRPr="00AE550C">
        <w:rPr>
          <w:rFonts w:eastAsia="Calibri"/>
          <w:szCs w:val="26"/>
          <w:lang w:eastAsia="es-ES"/>
        </w:rPr>
        <w:t xml:space="preserve">o se ha nombrado a ninguna persona para el desempeño del puesto de </w:t>
      </w:r>
      <w:r w:rsidR="00337F6F" w:rsidRPr="00163FA2">
        <w:rPr>
          <w:rFonts w:eastAsia="Calibri"/>
          <w:szCs w:val="26"/>
          <w:lang w:eastAsia="es-ES"/>
        </w:rPr>
        <w:t>Delegado de</w:t>
      </w:r>
      <w:r w:rsidR="005F5524" w:rsidRPr="00163FA2">
        <w:rPr>
          <w:rFonts w:eastAsia="Calibri"/>
          <w:szCs w:val="26"/>
          <w:lang w:eastAsia="es-ES"/>
        </w:rPr>
        <w:t>l</w:t>
      </w:r>
      <w:r w:rsidR="00337F6F" w:rsidRPr="00163FA2">
        <w:rPr>
          <w:rFonts w:eastAsia="Calibri"/>
          <w:szCs w:val="26"/>
          <w:lang w:eastAsia="es-ES"/>
        </w:rPr>
        <w:t xml:space="preserve"> G</w:t>
      </w:r>
      <w:r w:rsidR="00C30199" w:rsidRPr="00163FA2">
        <w:rPr>
          <w:rFonts w:eastAsia="Calibri"/>
          <w:szCs w:val="26"/>
          <w:lang w:eastAsia="es-ES"/>
        </w:rPr>
        <w:t>obierno</w:t>
      </w:r>
      <w:r w:rsidR="00C30199" w:rsidRPr="00AE550C">
        <w:rPr>
          <w:rFonts w:eastAsia="Calibri"/>
          <w:szCs w:val="26"/>
          <w:lang w:eastAsia="es-ES"/>
        </w:rPr>
        <w:t xml:space="preserve"> en las sociedades concesionarias. </w:t>
      </w:r>
    </w:p>
    <w:p w14:paraId="63CDBDF8" w14:textId="77777777" w:rsidR="00C30199" w:rsidRPr="00AE550C" w:rsidRDefault="00922E74"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Pr>
          <w:rFonts w:eastAsia="Calibri"/>
          <w:szCs w:val="26"/>
          <w:lang w:eastAsia="es-ES"/>
        </w:rPr>
        <w:t>La concesionaria de la A</w:t>
      </w:r>
      <w:r w:rsidR="00C30199" w:rsidRPr="00AE550C">
        <w:rPr>
          <w:rFonts w:eastAsia="Calibri"/>
          <w:szCs w:val="26"/>
          <w:lang w:eastAsia="es-ES"/>
        </w:rPr>
        <w:t>utovía del Camino ha comunicado, conforme a lo establecido en el contrato, la transmisión de acciones representativas del capital socia</w:t>
      </w:r>
      <w:r>
        <w:rPr>
          <w:rFonts w:eastAsia="Calibri"/>
          <w:szCs w:val="26"/>
          <w:lang w:eastAsia="es-ES"/>
        </w:rPr>
        <w:t>l. En la concesión de la A</w:t>
      </w:r>
      <w:r w:rsidR="00C30199" w:rsidRPr="00AE550C">
        <w:rPr>
          <w:rFonts w:eastAsia="Calibri"/>
          <w:szCs w:val="26"/>
          <w:lang w:eastAsia="es-ES"/>
        </w:rPr>
        <w:t>utovía</w:t>
      </w:r>
      <w:r w:rsidR="00AE43D5">
        <w:rPr>
          <w:rFonts w:eastAsia="Calibri"/>
          <w:szCs w:val="26"/>
          <w:lang w:eastAsia="es-ES"/>
        </w:rPr>
        <w:t xml:space="preserve"> del Pirineo, donde es necesari</w:t>
      </w:r>
      <w:r w:rsidR="00AE43D5" w:rsidRPr="00731D83">
        <w:rPr>
          <w:rFonts w:eastAsia="Calibri"/>
          <w:szCs w:val="26"/>
          <w:lang w:eastAsia="es-ES"/>
        </w:rPr>
        <w:t>a</w:t>
      </w:r>
      <w:r w:rsidR="00C30199" w:rsidRPr="00AE550C">
        <w:rPr>
          <w:rFonts w:eastAsia="Calibri"/>
          <w:szCs w:val="26"/>
          <w:lang w:eastAsia="es-ES"/>
        </w:rPr>
        <w:t xml:space="preserve"> autorización cuando la transmisión sea de acciones representativas de más del diez por ciento del capital social de la concesionaria, </w:t>
      </w:r>
      <w:r w:rsidR="00337F6F" w:rsidRPr="00AE550C">
        <w:rPr>
          <w:rFonts w:eastAsia="Calibri"/>
          <w:szCs w:val="26"/>
          <w:lang w:eastAsia="es-ES"/>
        </w:rPr>
        <w:t>las autorizaciones</w:t>
      </w:r>
      <w:r w:rsidR="00C30199" w:rsidRPr="00AE550C">
        <w:rPr>
          <w:rFonts w:eastAsia="Calibri"/>
          <w:szCs w:val="26"/>
          <w:lang w:eastAsia="es-ES"/>
        </w:rPr>
        <w:t xml:space="preserve"> se ha</w:t>
      </w:r>
      <w:r w:rsidR="00337F6F" w:rsidRPr="00AE550C">
        <w:rPr>
          <w:rFonts w:eastAsia="Calibri"/>
          <w:szCs w:val="26"/>
          <w:lang w:eastAsia="es-ES"/>
        </w:rPr>
        <w:t>n</w:t>
      </w:r>
      <w:r w:rsidR="00C30199" w:rsidRPr="00AE550C">
        <w:rPr>
          <w:rFonts w:eastAsia="Calibri"/>
          <w:szCs w:val="26"/>
          <w:lang w:eastAsia="es-ES"/>
        </w:rPr>
        <w:t xml:space="preserve"> concedido por </w:t>
      </w:r>
      <w:r w:rsidR="00337F6F" w:rsidRPr="00AE550C">
        <w:rPr>
          <w:rFonts w:eastAsia="Calibri"/>
          <w:szCs w:val="26"/>
          <w:lang w:eastAsia="es-ES"/>
        </w:rPr>
        <w:t>resolución del Director General de Obras Públicas e I</w:t>
      </w:r>
      <w:r w:rsidR="00C30199" w:rsidRPr="00AE550C">
        <w:rPr>
          <w:rFonts w:eastAsia="Calibri"/>
          <w:szCs w:val="26"/>
          <w:lang w:eastAsia="es-ES"/>
        </w:rPr>
        <w:t>nfraestructuras.</w:t>
      </w:r>
    </w:p>
    <w:p w14:paraId="66FDAC55" w14:textId="77777777" w:rsidR="00C30199" w:rsidRPr="00BD02C1" w:rsidRDefault="00C30199"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AE550C">
        <w:rPr>
          <w:rFonts w:eastAsia="Calibri"/>
          <w:szCs w:val="26"/>
          <w:lang w:eastAsia="es-ES"/>
        </w:rPr>
        <w:t xml:space="preserve">En los contratos se fijan obligaciones en relación con el capital social mínimo de las sociedades </w:t>
      </w:r>
      <w:r w:rsidR="00D853D8" w:rsidRPr="00D853D8">
        <w:rPr>
          <w:rFonts w:eastAsia="Calibri"/>
          <w:szCs w:val="26"/>
          <w:lang w:eastAsia="es-ES"/>
        </w:rPr>
        <w:t>concesionarias. E</w:t>
      </w:r>
      <w:r w:rsidR="00866A69" w:rsidRPr="00D853D8">
        <w:rPr>
          <w:rFonts w:eastAsia="Calibri"/>
          <w:szCs w:val="26"/>
          <w:lang w:eastAsia="es-ES"/>
        </w:rPr>
        <w:t>ste</w:t>
      </w:r>
      <w:r w:rsidR="00866A69">
        <w:rPr>
          <w:rFonts w:eastAsia="Calibri"/>
          <w:szCs w:val="26"/>
          <w:lang w:eastAsia="es-ES"/>
        </w:rPr>
        <w:t xml:space="preserve"> no podrá ser inferior al diez</w:t>
      </w:r>
      <w:r w:rsidRPr="00AE550C">
        <w:rPr>
          <w:rFonts w:eastAsia="Calibri"/>
          <w:szCs w:val="26"/>
          <w:lang w:eastAsia="es-ES"/>
        </w:rPr>
        <w:t xml:space="preserve"> por ciento de la inversión ofertada, si bien, </w:t>
      </w:r>
      <w:r w:rsidR="00A7673A" w:rsidRPr="00AE550C">
        <w:rPr>
          <w:rFonts w:eastAsia="Calibri"/>
          <w:szCs w:val="26"/>
          <w:lang w:eastAsia="es-ES"/>
        </w:rPr>
        <w:t>en la co</w:t>
      </w:r>
      <w:r w:rsidR="00922E74">
        <w:rPr>
          <w:rFonts w:eastAsia="Calibri"/>
          <w:szCs w:val="26"/>
          <w:lang w:eastAsia="es-ES"/>
        </w:rPr>
        <w:t>ncesión de la A</w:t>
      </w:r>
      <w:r w:rsidR="00A7673A" w:rsidRPr="00AE550C">
        <w:rPr>
          <w:rFonts w:eastAsia="Calibri"/>
          <w:szCs w:val="26"/>
          <w:lang w:eastAsia="es-ES"/>
        </w:rPr>
        <w:t xml:space="preserve">utovía del Pirineo, </w:t>
      </w:r>
      <w:r w:rsidRPr="00AE550C">
        <w:rPr>
          <w:rFonts w:eastAsia="Calibri"/>
          <w:szCs w:val="26"/>
          <w:lang w:eastAsia="es-ES"/>
        </w:rPr>
        <w:t xml:space="preserve">transcurridos cinco años desde la puesta en servicio del último tramo de la autovía, este porcentaje se reduce al cinco por ciento durante todo el plazo de </w:t>
      </w:r>
      <w:r w:rsidR="00A7673A" w:rsidRPr="00BD02C1">
        <w:rPr>
          <w:rFonts w:eastAsia="Calibri"/>
          <w:szCs w:val="26"/>
          <w:lang w:eastAsia="es-ES"/>
        </w:rPr>
        <w:t>concesión.</w:t>
      </w:r>
    </w:p>
    <w:p w14:paraId="2CC91F88" w14:textId="77777777" w:rsidR="00C30199" w:rsidRPr="00BD02C1" w:rsidRDefault="00C30199" w:rsidP="00AE550C">
      <w:pPr>
        <w:pStyle w:val="texto"/>
        <w:tabs>
          <w:tab w:val="clear" w:pos="2835"/>
          <w:tab w:val="clear" w:pos="3969"/>
          <w:tab w:val="clear" w:pos="5103"/>
          <w:tab w:val="clear" w:pos="6237"/>
          <w:tab w:val="clear" w:pos="7371"/>
        </w:tabs>
        <w:spacing w:after="100"/>
      </w:pPr>
      <w:r w:rsidRPr="00BD02C1">
        <w:t xml:space="preserve">El capital social a 31 de diciembre de 2021 de </w:t>
      </w:r>
      <w:r w:rsidR="00866A69" w:rsidRPr="00BD02C1">
        <w:t xml:space="preserve">la </w:t>
      </w:r>
      <w:r w:rsidRPr="00BD02C1">
        <w:t xml:space="preserve">Autovía del Camino S.A.U es el diez por ciento de la PFROI de la inversión y </w:t>
      </w:r>
      <w:r w:rsidR="00866A69" w:rsidRPr="00BD02C1">
        <w:t xml:space="preserve">el </w:t>
      </w:r>
      <w:r w:rsidRPr="00BD02C1">
        <w:t>de</w:t>
      </w:r>
      <w:r w:rsidR="00866A69" w:rsidRPr="00BD02C1">
        <w:t xml:space="preserve"> la</w:t>
      </w:r>
      <w:r w:rsidRPr="00BD02C1">
        <w:t xml:space="preserve"> Autovía del Pirineo S.A.U. es el cinco por ciento de la inversión total ofertada</w:t>
      </w:r>
      <w:r w:rsidR="007769E0" w:rsidRPr="00BD02C1">
        <w:t>.</w:t>
      </w:r>
      <w:r w:rsidRPr="00BD02C1">
        <w:t xml:space="preserve"> </w:t>
      </w:r>
    </w:p>
    <w:p w14:paraId="3ACB7867" w14:textId="77777777" w:rsidR="00C30199" w:rsidRPr="00BD02C1" w:rsidRDefault="00C30199"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BD02C1">
        <w:rPr>
          <w:rFonts w:eastAsia="Calibri"/>
          <w:szCs w:val="26"/>
          <w:lang w:eastAsia="es-ES"/>
        </w:rPr>
        <w:t>Se observa una moderada incidencia de los indicadores de calidad:</w:t>
      </w:r>
    </w:p>
    <w:p w14:paraId="2AD6D2A6" w14:textId="77777777" w:rsidR="00C30199" w:rsidRPr="00C4016B" w:rsidRDefault="00922E74" w:rsidP="00C30199">
      <w:pPr>
        <w:pStyle w:val="texto"/>
        <w:tabs>
          <w:tab w:val="clear" w:pos="2835"/>
          <w:tab w:val="clear" w:pos="3969"/>
          <w:tab w:val="clear" w:pos="5103"/>
          <w:tab w:val="clear" w:pos="6237"/>
          <w:tab w:val="clear" w:pos="7371"/>
        </w:tabs>
        <w:spacing w:after="100"/>
      </w:pPr>
      <w:r w:rsidRPr="00BD02C1">
        <w:rPr>
          <w:rFonts w:eastAsia="Calibri"/>
          <w:szCs w:val="26"/>
          <w:lang w:eastAsia="es-ES"/>
        </w:rPr>
        <w:t>En la A</w:t>
      </w:r>
      <w:r w:rsidR="00C30199" w:rsidRPr="00BD02C1">
        <w:rPr>
          <w:rFonts w:eastAsia="Calibri"/>
          <w:szCs w:val="26"/>
          <w:lang w:eastAsia="es-ES"/>
        </w:rPr>
        <w:t xml:space="preserve">utovía del Camino no se prevén deducciones automáticas </w:t>
      </w:r>
      <w:r w:rsidR="00C30199" w:rsidRPr="003A7701">
        <w:rPr>
          <w:rFonts w:eastAsia="Calibri"/>
          <w:szCs w:val="26"/>
          <w:lang w:eastAsia="es-ES"/>
        </w:rPr>
        <w:t>en función del estado de la infraestructura y</w:t>
      </w:r>
      <w:r w:rsidR="00C30199" w:rsidRPr="00163FA2">
        <w:rPr>
          <w:rFonts w:eastAsia="Calibri"/>
          <w:szCs w:val="26"/>
          <w:lang w:eastAsia="es-ES"/>
        </w:rPr>
        <w:t xml:space="preserve"> la calidad del servicio. Los </w:t>
      </w:r>
      <w:r w:rsidR="00AE43D5" w:rsidRPr="00163FA2">
        <w:rPr>
          <w:rFonts w:eastAsia="Calibri"/>
          <w:szCs w:val="26"/>
          <w:lang w:eastAsia="es-ES"/>
        </w:rPr>
        <w:t xml:space="preserve">estándares </w:t>
      </w:r>
      <w:r w:rsidR="00C30199" w:rsidRPr="00163FA2">
        <w:rPr>
          <w:rFonts w:eastAsia="Calibri"/>
          <w:szCs w:val="26"/>
          <w:lang w:eastAsia="es-ES"/>
        </w:rPr>
        <w:t xml:space="preserve">de calidad establecidos en el contrato </w:t>
      </w:r>
      <w:r w:rsidR="005115FF" w:rsidRPr="00163FA2">
        <w:rPr>
          <w:rFonts w:eastAsia="Calibri"/>
          <w:szCs w:val="26"/>
          <w:lang w:eastAsia="es-ES"/>
        </w:rPr>
        <w:t xml:space="preserve">se han cumplido y, por tanto, </w:t>
      </w:r>
      <w:r w:rsidR="00C30199" w:rsidRPr="00163FA2">
        <w:rPr>
          <w:rFonts w:eastAsia="Calibri"/>
          <w:szCs w:val="26"/>
          <w:lang w:eastAsia="es-ES"/>
        </w:rPr>
        <w:t xml:space="preserve">no han dado lugar a ninguna penalización económica. </w:t>
      </w:r>
    </w:p>
    <w:p w14:paraId="0E5BEBDF" w14:textId="77777777" w:rsidR="00706FEF" w:rsidRDefault="00574071" w:rsidP="007A7E98">
      <w:pPr>
        <w:pStyle w:val="texto"/>
        <w:tabs>
          <w:tab w:val="clear" w:pos="2835"/>
          <w:tab w:val="clear" w:pos="3969"/>
          <w:tab w:val="clear" w:pos="5103"/>
          <w:tab w:val="clear" w:pos="6237"/>
          <w:tab w:val="clear" w:pos="7371"/>
        </w:tabs>
        <w:spacing w:after="240"/>
        <w:rPr>
          <w:rFonts w:eastAsia="Calibri"/>
          <w:szCs w:val="26"/>
          <w:lang w:eastAsia="es-ES"/>
        </w:rPr>
      </w:pPr>
      <w:r>
        <w:rPr>
          <w:rFonts w:eastAsia="Calibri"/>
          <w:szCs w:val="26"/>
          <w:lang w:eastAsia="es-ES"/>
        </w:rPr>
        <w:t>En la A</w:t>
      </w:r>
      <w:r w:rsidR="00C30199">
        <w:rPr>
          <w:rFonts w:eastAsia="Calibri"/>
          <w:szCs w:val="26"/>
          <w:lang w:eastAsia="es-ES"/>
        </w:rPr>
        <w:t>utovía del P</w:t>
      </w:r>
      <w:r w:rsidR="00C30199" w:rsidRPr="00017730">
        <w:rPr>
          <w:rFonts w:eastAsia="Calibri"/>
          <w:szCs w:val="26"/>
          <w:lang w:eastAsia="es-ES"/>
        </w:rPr>
        <w:t>irineo</w:t>
      </w:r>
      <w:r w:rsidR="00C30199">
        <w:rPr>
          <w:rFonts w:eastAsia="Calibri"/>
          <w:szCs w:val="26"/>
          <w:lang w:eastAsia="es-ES"/>
        </w:rPr>
        <w:t>,</w:t>
      </w:r>
      <w:r w:rsidR="00C30199" w:rsidRPr="00017730">
        <w:rPr>
          <w:rFonts w:eastAsia="Calibri"/>
          <w:szCs w:val="26"/>
          <w:lang w:eastAsia="es-ES"/>
        </w:rPr>
        <w:t xml:space="preserve"> el importe a percibir por el concesionario en concepto</w:t>
      </w:r>
      <w:r w:rsidR="00D84F41">
        <w:rPr>
          <w:rFonts w:eastAsia="Calibri"/>
          <w:szCs w:val="26"/>
          <w:lang w:eastAsia="es-ES"/>
        </w:rPr>
        <w:t xml:space="preserve"> de CEICS puede verse reducido </w:t>
      </w:r>
      <w:r w:rsidR="00706FEF">
        <w:rPr>
          <w:rFonts w:eastAsia="Calibri"/>
          <w:szCs w:val="26"/>
          <w:lang w:eastAsia="es-ES"/>
        </w:rPr>
        <w:t xml:space="preserve">en </w:t>
      </w:r>
      <w:r w:rsidR="00D84F41">
        <w:rPr>
          <w:rFonts w:eastAsia="Calibri"/>
          <w:szCs w:val="26"/>
          <w:lang w:eastAsia="es-ES"/>
        </w:rPr>
        <w:t>función</w:t>
      </w:r>
      <w:r w:rsidR="00C30199" w:rsidRPr="00017730">
        <w:rPr>
          <w:rFonts w:eastAsia="Calibri"/>
          <w:szCs w:val="26"/>
          <w:lang w:eastAsia="es-ES"/>
        </w:rPr>
        <w:t xml:space="preserve"> de nueve indicadores representativos del estado de la infraestructura y la calidad del servicio recogidos en el contrato. </w:t>
      </w:r>
    </w:p>
    <w:p w14:paraId="77747B03" w14:textId="77777777" w:rsidR="00C30199" w:rsidRPr="00017730" w:rsidRDefault="00C30199" w:rsidP="007A7E98">
      <w:pPr>
        <w:pStyle w:val="texto"/>
        <w:tabs>
          <w:tab w:val="clear" w:pos="2835"/>
          <w:tab w:val="clear" w:pos="3969"/>
          <w:tab w:val="clear" w:pos="5103"/>
          <w:tab w:val="clear" w:pos="6237"/>
          <w:tab w:val="clear" w:pos="7371"/>
        </w:tabs>
        <w:spacing w:after="240"/>
      </w:pPr>
      <w:r w:rsidRPr="00017730">
        <w:rPr>
          <w:rFonts w:eastAsia="Calibri"/>
          <w:szCs w:val="26"/>
          <w:lang w:eastAsia="es-ES"/>
        </w:rPr>
        <w:t xml:space="preserve">En el periodo concesional analizado existe una </w:t>
      </w:r>
      <w:r w:rsidRPr="00017730">
        <w:t>escasa incidencia de dichos indicadores de calidad. La corrección por la aplicación de los indicadores de calidad</w:t>
      </w:r>
      <w:r w:rsidR="008F7D98">
        <w:t xml:space="preserve"> en la A</w:t>
      </w:r>
      <w:r>
        <w:t xml:space="preserve">utovía del </w:t>
      </w:r>
      <w:r w:rsidRPr="00163FA2">
        <w:t>Pirineo ha supuesto</w:t>
      </w:r>
      <w:r w:rsidR="005F623B" w:rsidRPr="00163FA2">
        <w:t xml:space="preserve"> una reducción del importe a percibir por el concesionario de</w:t>
      </w:r>
      <w:r w:rsidRPr="00163FA2">
        <w:t xml:space="preserve"> 346.77</w:t>
      </w:r>
      <w:r>
        <w:t>4 euros</w:t>
      </w:r>
      <w:r w:rsidRPr="00017730">
        <w:t xml:space="preserve">.  </w:t>
      </w:r>
    </w:p>
    <w:tbl>
      <w:tblPr>
        <w:tblW w:w="8913" w:type="dxa"/>
        <w:tblInd w:w="142" w:type="dxa"/>
        <w:tblCellMar>
          <w:left w:w="70" w:type="dxa"/>
          <w:right w:w="70" w:type="dxa"/>
        </w:tblCellMar>
        <w:tblLook w:val="04A0" w:firstRow="1" w:lastRow="0" w:firstColumn="1" w:lastColumn="0" w:noHBand="0" w:noVBand="1"/>
      </w:tblPr>
      <w:tblGrid>
        <w:gridCol w:w="4394"/>
        <w:gridCol w:w="1009"/>
        <w:gridCol w:w="1525"/>
        <w:gridCol w:w="1985"/>
      </w:tblGrid>
      <w:tr w:rsidR="00C30199" w:rsidRPr="00A97C4A" w14:paraId="730DEBB9" w14:textId="77777777" w:rsidTr="005C0319">
        <w:trPr>
          <w:trHeight w:val="227"/>
        </w:trPr>
        <w:tc>
          <w:tcPr>
            <w:tcW w:w="4394" w:type="dxa"/>
            <w:tcBorders>
              <w:top w:val="single" w:sz="4" w:space="0" w:color="auto"/>
              <w:left w:val="nil"/>
              <w:bottom w:val="single" w:sz="4" w:space="0" w:color="auto"/>
              <w:right w:val="nil"/>
            </w:tcBorders>
            <w:shd w:val="clear" w:color="auto" w:fill="B8CCE4" w:themeFill="accent1" w:themeFillTint="66"/>
            <w:vAlign w:val="center"/>
            <w:hideMark/>
          </w:tcPr>
          <w:p w14:paraId="4AA01A59" w14:textId="77777777" w:rsidR="00C30199" w:rsidRPr="00A97C4A" w:rsidRDefault="00C30199" w:rsidP="007610EF">
            <w:pPr>
              <w:pStyle w:val="cuadroCabe"/>
              <w:spacing w:line="240" w:lineRule="auto"/>
              <w:rPr>
                <w:lang w:val="es-ES" w:eastAsia="es-ES"/>
              </w:rPr>
            </w:pPr>
            <w:r w:rsidRPr="00A97C4A">
              <w:rPr>
                <w:lang w:val="es-ES" w:eastAsia="es-ES"/>
              </w:rPr>
              <w:t>Año</w:t>
            </w:r>
          </w:p>
        </w:tc>
        <w:tc>
          <w:tcPr>
            <w:tcW w:w="1009" w:type="dxa"/>
            <w:tcBorders>
              <w:top w:val="single" w:sz="4" w:space="0" w:color="auto"/>
              <w:left w:val="nil"/>
              <w:bottom w:val="single" w:sz="4" w:space="0" w:color="auto"/>
              <w:right w:val="nil"/>
            </w:tcBorders>
            <w:shd w:val="clear" w:color="auto" w:fill="B8CCE4" w:themeFill="accent1" w:themeFillTint="66"/>
            <w:vAlign w:val="center"/>
            <w:hideMark/>
          </w:tcPr>
          <w:p w14:paraId="7B1FB6B3" w14:textId="77777777" w:rsidR="00C30199" w:rsidRPr="00A97C4A" w:rsidRDefault="003B288D" w:rsidP="007610EF">
            <w:pPr>
              <w:pStyle w:val="cuadroCabe"/>
              <w:spacing w:line="240" w:lineRule="auto"/>
              <w:ind w:left="494" w:hanging="566"/>
              <w:rPr>
                <w:lang w:val="es-ES" w:eastAsia="es-ES"/>
              </w:rPr>
            </w:pPr>
            <w:r>
              <w:rPr>
                <w:lang w:val="es-ES" w:eastAsia="es-ES"/>
              </w:rPr>
              <w:t>D</w:t>
            </w:r>
            <w:r w:rsidR="00C30199" w:rsidRPr="00A97C4A">
              <w:rPr>
                <w:lang w:val="es-ES" w:eastAsia="es-ES"/>
              </w:rPr>
              <w:t>educción</w:t>
            </w:r>
          </w:p>
        </w:tc>
        <w:tc>
          <w:tcPr>
            <w:tcW w:w="1525" w:type="dxa"/>
            <w:tcBorders>
              <w:top w:val="single" w:sz="4" w:space="0" w:color="auto"/>
              <w:left w:val="nil"/>
              <w:bottom w:val="single" w:sz="4" w:space="0" w:color="auto"/>
              <w:right w:val="nil"/>
            </w:tcBorders>
            <w:shd w:val="clear" w:color="auto" w:fill="B8CCE4" w:themeFill="accent1" w:themeFillTint="66"/>
            <w:vAlign w:val="center"/>
            <w:hideMark/>
          </w:tcPr>
          <w:p w14:paraId="0AB0E039" w14:textId="77777777" w:rsidR="000D3237" w:rsidRDefault="00C30199" w:rsidP="007610EF">
            <w:pPr>
              <w:pStyle w:val="cuadroCabe"/>
              <w:spacing w:line="240" w:lineRule="auto"/>
              <w:jc w:val="right"/>
              <w:rPr>
                <w:lang w:val="es-ES" w:eastAsia="es-ES"/>
              </w:rPr>
            </w:pPr>
            <w:r w:rsidRPr="00A97C4A">
              <w:rPr>
                <w:lang w:val="es-ES" w:eastAsia="es-ES"/>
              </w:rPr>
              <w:t>%</w:t>
            </w:r>
            <w:r w:rsidR="003373BA">
              <w:rPr>
                <w:lang w:val="es-ES" w:eastAsia="es-ES"/>
              </w:rPr>
              <w:t xml:space="preserve"> deducción s/</w:t>
            </w:r>
          </w:p>
          <w:p w14:paraId="3E96B376" w14:textId="77777777" w:rsidR="00C30199" w:rsidRPr="00A97C4A" w:rsidRDefault="003373BA" w:rsidP="007610EF">
            <w:pPr>
              <w:pStyle w:val="cuadroCabe"/>
              <w:spacing w:line="240" w:lineRule="auto"/>
              <w:jc w:val="right"/>
              <w:rPr>
                <w:lang w:val="es-ES" w:eastAsia="es-ES"/>
              </w:rPr>
            </w:pPr>
            <w:r>
              <w:rPr>
                <w:lang w:val="es-ES" w:eastAsia="es-ES"/>
              </w:rPr>
              <w:t xml:space="preserve"> devengo bruto</w:t>
            </w:r>
          </w:p>
        </w:tc>
        <w:tc>
          <w:tcPr>
            <w:tcW w:w="1985" w:type="dxa"/>
            <w:tcBorders>
              <w:top w:val="single" w:sz="4" w:space="0" w:color="auto"/>
              <w:left w:val="nil"/>
              <w:bottom w:val="single" w:sz="4" w:space="0" w:color="auto"/>
              <w:right w:val="nil"/>
            </w:tcBorders>
            <w:shd w:val="clear" w:color="auto" w:fill="B8CCE4" w:themeFill="accent1" w:themeFillTint="66"/>
            <w:vAlign w:val="center"/>
            <w:hideMark/>
          </w:tcPr>
          <w:p w14:paraId="366F9E05" w14:textId="77777777" w:rsidR="00C30199" w:rsidRPr="00A97C4A" w:rsidRDefault="00C30199" w:rsidP="007610EF">
            <w:pPr>
              <w:pStyle w:val="cuadroCabe"/>
              <w:spacing w:line="240" w:lineRule="auto"/>
              <w:jc w:val="right"/>
              <w:rPr>
                <w:lang w:val="es-ES" w:eastAsia="es-ES"/>
              </w:rPr>
            </w:pPr>
            <w:r w:rsidRPr="00A97C4A">
              <w:rPr>
                <w:lang w:val="es-ES" w:eastAsia="es-ES"/>
              </w:rPr>
              <w:t xml:space="preserve">Devengo </w:t>
            </w:r>
            <w:r w:rsidR="00E65CDA">
              <w:rPr>
                <w:lang w:val="es-ES" w:eastAsia="es-ES"/>
              </w:rPr>
              <w:t xml:space="preserve">neto </w:t>
            </w:r>
            <w:r w:rsidRPr="00A97C4A">
              <w:rPr>
                <w:lang w:val="es-ES" w:eastAsia="es-ES"/>
              </w:rPr>
              <w:t>CEICS</w:t>
            </w:r>
          </w:p>
        </w:tc>
      </w:tr>
      <w:tr w:rsidR="00C30199" w:rsidRPr="00880320" w14:paraId="4948C82F" w14:textId="77777777" w:rsidTr="005C0319">
        <w:trPr>
          <w:trHeight w:val="227"/>
        </w:trPr>
        <w:tc>
          <w:tcPr>
            <w:tcW w:w="4394" w:type="dxa"/>
            <w:tcBorders>
              <w:top w:val="nil"/>
              <w:left w:val="nil"/>
              <w:bottom w:val="single" w:sz="2" w:space="0" w:color="auto"/>
              <w:right w:val="nil"/>
            </w:tcBorders>
            <w:shd w:val="clear" w:color="auto" w:fill="auto"/>
            <w:noWrap/>
            <w:vAlign w:val="center"/>
            <w:hideMark/>
          </w:tcPr>
          <w:p w14:paraId="7819041A" w14:textId="77777777" w:rsidR="00C30199" w:rsidRPr="00A97C4A" w:rsidRDefault="00C30199" w:rsidP="007610EF">
            <w:pPr>
              <w:pStyle w:val="cuatexto"/>
              <w:spacing w:line="240" w:lineRule="auto"/>
              <w:rPr>
                <w:lang w:val="es-ES" w:eastAsia="es-ES"/>
              </w:rPr>
            </w:pPr>
            <w:r w:rsidRPr="00A97C4A">
              <w:rPr>
                <w:lang w:val="es-ES" w:eastAsia="es-ES"/>
              </w:rPr>
              <w:t>2012</w:t>
            </w:r>
          </w:p>
        </w:tc>
        <w:tc>
          <w:tcPr>
            <w:tcW w:w="1009" w:type="dxa"/>
            <w:tcBorders>
              <w:top w:val="nil"/>
              <w:left w:val="nil"/>
              <w:bottom w:val="single" w:sz="2" w:space="0" w:color="auto"/>
              <w:right w:val="nil"/>
            </w:tcBorders>
            <w:shd w:val="clear" w:color="auto" w:fill="auto"/>
            <w:noWrap/>
            <w:vAlign w:val="center"/>
            <w:hideMark/>
          </w:tcPr>
          <w:p w14:paraId="72BF48DC" w14:textId="77777777" w:rsidR="00C30199" w:rsidRPr="00A97C4A" w:rsidRDefault="00C30199" w:rsidP="007610EF">
            <w:pPr>
              <w:pStyle w:val="cuatexto"/>
              <w:spacing w:line="240" w:lineRule="auto"/>
              <w:rPr>
                <w:lang w:val="es-ES" w:eastAsia="es-ES"/>
              </w:rPr>
            </w:pPr>
            <w:r w:rsidRPr="00A97C4A">
              <w:rPr>
                <w:lang w:val="es-ES" w:eastAsia="es-ES"/>
              </w:rPr>
              <w:t>70.802</w:t>
            </w:r>
          </w:p>
        </w:tc>
        <w:tc>
          <w:tcPr>
            <w:tcW w:w="1525" w:type="dxa"/>
            <w:tcBorders>
              <w:top w:val="nil"/>
              <w:left w:val="nil"/>
              <w:bottom w:val="single" w:sz="2" w:space="0" w:color="auto"/>
              <w:right w:val="nil"/>
            </w:tcBorders>
            <w:shd w:val="clear" w:color="auto" w:fill="auto"/>
            <w:noWrap/>
            <w:vAlign w:val="center"/>
            <w:hideMark/>
          </w:tcPr>
          <w:p w14:paraId="2F5B2406" w14:textId="77777777" w:rsidR="00C30199" w:rsidRPr="00E65CDA" w:rsidRDefault="00C30199" w:rsidP="007610EF">
            <w:pPr>
              <w:pStyle w:val="cuatexto"/>
              <w:spacing w:line="240" w:lineRule="auto"/>
              <w:jc w:val="right"/>
              <w:rPr>
                <w:lang w:val="es-ES" w:eastAsia="es-ES"/>
              </w:rPr>
            </w:pPr>
            <w:r w:rsidRPr="00E65CDA">
              <w:rPr>
                <w:lang w:val="es-ES" w:eastAsia="es-ES"/>
              </w:rPr>
              <w:t>1,9</w:t>
            </w:r>
            <w:r w:rsidR="00337F6F" w:rsidRPr="00E65CDA">
              <w:rPr>
                <w:lang w:val="es-ES" w:eastAsia="es-ES"/>
              </w:rPr>
              <w:t>3</w:t>
            </w:r>
          </w:p>
        </w:tc>
        <w:tc>
          <w:tcPr>
            <w:tcW w:w="1985" w:type="dxa"/>
            <w:tcBorders>
              <w:top w:val="nil"/>
              <w:left w:val="nil"/>
              <w:bottom w:val="single" w:sz="2" w:space="0" w:color="auto"/>
              <w:right w:val="nil"/>
            </w:tcBorders>
            <w:shd w:val="clear" w:color="auto" w:fill="auto"/>
            <w:noWrap/>
            <w:vAlign w:val="center"/>
            <w:hideMark/>
          </w:tcPr>
          <w:p w14:paraId="5681B6A5" w14:textId="77777777" w:rsidR="00C30199" w:rsidRPr="00E65CDA" w:rsidRDefault="00337F6F" w:rsidP="007610EF">
            <w:pPr>
              <w:pStyle w:val="cuatexto"/>
              <w:spacing w:line="240" w:lineRule="auto"/>
              <w:jc w:val="right"/>
              <w:rPr>
                <w:lang w:val="es-ES" w:eastAsia="es-ES"/>
              </w:rPr>
            </w:pPr>
            <w:r w:rsidRPr="00E65CDA">
              <w:rPr>
                <w:lang w:val="es-ES" w:eastAsia="es-ES"/>
              </w:rPr>
              <w:t>3.602.312</w:t>
            </w:r>
          </w:p>
        </w:tc>
      </w:tr>
      <w:tr w:rsidR="00C30199" w:rsidRPr="00A97C4A" w14:paraId="45979030"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083490AA" w14:textId="77777777" w:rsidR="00C30199" w:rsidRPr="00A97C4A" w:rsidRDefault="00C30199" w:rsidP="007610EF">
            <w:pPr>
              <w:pStyle w:val="cuatexto"/>
              <w:spacing w:line="240" w:lineRule="auto"/>
              <w:rPr>
                <w:lang w:val="es-ES" w:eastAsia="es-ES"/>
              </w:rPr>
            </w:pPr>
            <w:r w:rsidRPr="00A97C4A">
              <w:rPr>
                <w:lang w:val="es-ES" w:eastAsia="es-ES"/>
              </w:rPr>
              <w:t>2013</w:t>
            </w:r>
          </w:p>
        </w:tc>
        <w:tc>
          <w:tcPr>
            <w:tcW w:w="1009" w:type="dxa"/>
            <w:tcBorders>
              <w:top w:val="single" w:sz="2" w:space="0" w:color="auto"/>
              <w:left w:val="nil"/>
              <w:bottom w:val="single" w:sz="2" w:space="0" w:color="auto"/>
              <w:right w:val="nil"/>
            </w:tcBorders>
            <w:shd w:val="clear" w:color="auto" w:fill="auto"/>
            <w:noWrap/>
            <w:vAlign w:val="center"/>
            <w:hideMark/>
          </w:tcPr>
          <w:p w14:paraId="639E7836" w14:textId="77777777" w:rsidR="00C30199" w:rsidRPr="00A97C4A" w:rsidRDefault="00C30199" w:rsidP="007610EF">
            <w:pPr>
              <w:pStyle w:val="cuatexto"/>
              <w:spacing w:line="240" w:lineRule="auto"/>
              <w:rPr>
                <w:lang w:val="es-ES" w:eastAsia="es-ES"/>
              </w:rPr>
            </w:pPr>
            <w:r w:rsidRPr="00A97C4A">
              <w:rPr>
                <w:lang w:val="es-ES" w:eastAsia="es-ES"/>
              </w:rPr>
              <w:t>21.271</w:t>
            </w:r>
          </w:p>
        </w:tc>
        <w:tc>
          <w:tcPr>
            <w:tcW w:w="1525" w:type="dxa"/>
            <w:tcBorders>
              <w:top w:val="single" w:sz="2" w:space="0" w:color="auto"/>
              <w:left w:val="nil"/>
              <w:bottom w:val="single" w:sz="2" w:space="0" w:color="auto"/>
              <w:right w:val="nil"/>
            </w:tcBorders>
            <w:shd w:val="clear" w:color="auto" w:fill="auto"/>
            <w:noWrap/>
            <w:vAlign w:val="center"/>
            <w:hideMark/>
          </w:tcPr>
          <w:p w14:paraId="5176A122" w14:textId="77777777" w:rsidR="00C30199" w:rsidRPr="00E65CDA" w:rsidRDefault="00C30199" w:rsidP="007610EF">
            <w:pPr>
              <w:pStyle w:val="cuatexto"/>
              <w:spacing w:line="240" w:lineRule="auto"/>
              <w:jc w:val="right"/>
              <w:rPr>
                <w:lang w:val="es-ES" w:eastAsia="es-ES"/>
              </w:rPr>
            </w:pPr>
            <w:r w:rsidRPr="00E65CDA">
              <w:rPr>
                <w:lang w:val="es-ES" w:eastAsia="es-ES"/>
              </w:rPr>
              <w:t>0,50</w:t>
            </w:r>
          </w:p>
        </w:tc>
        <w:tc>
          <w:tcPr>
            <w:tcW w:w="1985" w:type="dxa"/>
            <w:tcBorders>
              <w:top w:val="single" w:sz="2" w:space="0" w:color="auto"/>
              <w:left w:val="nil"/>
              <w:bottom w:val="single" w:sz="2" w:space="0" w:color="auto"/>
              <w:right w:val="nil"/>
            </w:tcBorders>
            <w:shd w:val="clear" w:color="auto" w:fill="auto"/>
            <w:noWrap/>
            <w:vAlign w:val="center"/>
            <w:hideMark/>
          </w:tcPr>
          <w:p w14:paraId="4F10764F" w14:textId="77777777" w:rsidR="00C30199" w:rsidRPr="00E65CDA" w:rsidRDefault="00C30199" w:rsidP="007610EF">
            <w:pPr>
              <w:pStyle w:val="cuatexto"/>
              <w:spacing w:line="240" w:lineRule="auto"/>
              <w:jc w:val="right"/>
              <w:rPr>
                <w:lang w:val="es-ES" w:eastAsia="es-ES"/>
              </w:rPr>
            </w:pPr>
            <w:r w:rsidRPr="00E65CDA">
              <w:rPr>
                <w:lang w:val="es-ES" w:eastAsia="es-ES"/>
              </w:rPr>
              <w:t>4.233.000</w:t>
            </w:r>
          </w:p>
        </w:tc>
      </w:tr>
      <w:tr w:rsidR="00C30199" w:rsidRPr="00A97C4A" w14:paraId="3BEE02B4"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628352F5" w14:textId="77777777" w:rsidR="00C30199" w:rsidRPr="00A97C4A" w:rsidRDefault="00C30199" w:rsidP="007610EF">
            <w:pPr>
              <w:pStyle w:val="cuatexto"/>
              <w:spacing w:line="240" w:lineRule="auto"/>
              <w:rPr>
                <w:lang w:val="es-ES" w:eastAsia="es-ES"/>
              </w:rPr>
            </w:pPr>
            <w:r w:rsidRPr="00A97C4A">
              <w:rPr>
                <w:lang w:val="es-ES" w:eastAsia="es-ES"/>
              </w:rPr>
              <w:t>2014</w:t>
            </w:r>
          </w:p>
        </w:tc>
        <w:tc>
          <w:tcPr>
            <w:tcW w:w="1009" w:type="dxa"/>
            <w:tcBorders>
              <w:top w:val="single" w:sz="2" w:space="0" w:color="auto"/>
              <w:left w:val="nil"/>
              <w:bottom w:val="single" w:sz="2" w:space="0" w:color="auto"/>
              <w:right w:val="nil"/>
            </w:tcBorders>
            <w:shd w:val="clear" w:color="auto" w:fill="auto"/>
            <w:noWrap/>
            <w:vAlign w:val="center"/>
            <w:hideMark/>
          </w:tcPr>
          <w:p w14:paraId="631272D1" w14:textId="77777777" w:rsidR="00C30199" w:rsidRPr="00A97C4A" w:rsidRDefault="00D07220" w:rsidP="007610EF">
            <w:pPr>
              <w:pStyle w:val="cuatexto"/>
              <w:spacing w:line="240" w:lineRule="auto"/>
              <w:rPr>
                <w:lang w:val="es-ES" w:eastAsia="es-ES"/>
              </w:rPr>
            </w:pPr>
            <w:r>
              <w:rPr>
                <w:lang w:val="es-ES" w:eastAsia="es-ES"/>
              </w:rPr>
              <w:t xml:space="preserve">        </w:t>
            </w:r>
            <w:r w:rsidR="00C30199" w:rsidRPr="00A97C4A">
              <w:rPr>
                <w:lang w:val="es-ES" w:eastAsia="es-ES"/>
              </w:rPr>
              <w:t>0</w:t>
            </w:r>
          </w:p>
        </w:tc>
        <w:tc>
          <w:tcPr>
            <w:tcW w:w="1525" w:type="dxa"/>
            <w:tcBorders>
              <w:top w:val="single" w:sz="2" w:space="0" w:color="auto"/>
              <w:left w:val="nil"/>
              <w:bottom w:val="single" w:sz="2" w:space="0" w:color="auto"/>
              <w:right w:val="nil"/>
            </w:tcBorders>
            <w:shd w:val="clear" w:color="auto" w:fill="auto"/>
            <w:noWrap/>
            <w:vAlign w:val="center"/>
            <w:hideMark/>
          </w:tcPr>
          <w:p w14:paraId="55CBB8C1" w14:textId="77777777" w:rsidR="00C30199" w:rsidRPr="00E65CDA" w:rsidRDefault="00C30199" w:rsidP="007610EF">
            <w:pPr>
              <w:pStyle w:val="cuatexto"/>
              <w:spacing w:line="240" w:lineRule="auto"/>
              <w:jc w:val="right"/>
              <w:rPr>
                <w:lang w:val="es-ES" w:eastAsia="es-ES"/>
              </w:rPr>
            </w:pPr>
            <w:r w:rsidRPr="00E65CDA">
              <w:rPr>
                <w:lang w:val="es-ES" w:eastAsia="es-ES"/>
              </w:rPr>
              <w:t>0,00</w:t>
            </w:r>
          </w:p>
        </w:tc>
        <w:tc>
          <w:tcPr>
            <w:tcW w:w="1985" w:type="dxa"/>
            <w:tcBorders>
              <w:top w:val="single" w:sz="2" w:space="0" w:color="auto"/>
              <w:left w:val="nil"/>
              <w:bottom w:val="single" w:sz="2" w:space="0" w:color="auto"/>
              <w:right w:val="nil"/>
            </w:tcBorders>
            <w:shd w:val="clear" w:color="auto" w:fill="auto"/>
            <w:noWrap/>
            <w:vAlign w:val="center"/>
            <w:hideMark/>
          </w:tcPr>
          <w:p w14:paraId="037BB57C" w14:textId="77777777" w:rsidR="00C30199" w:rsidRPr="00E65CDA" w:rsidRDefault="00C30199" w:rsidP="007610EF">
            <w:pPr>
              <w:pStyle w:val="cuatexto"/>
              <w:spacing w:line="240" w:lineRule="auto"/>
              <w:jc w:val="right"/>
              <w:rPr>
                <w:lang w:val="es-ES" w:eastAsia="es-ES"/>
              </w:rPr>
            </w:pPr>
            <w:r w:rsidRPr="00E65CDA">
              <w:rPr>
                <w:lang w:val="es-ES" w:eastAsia="es-ES"/>
              </w:rPr>
              <w:t>4.267.035</w:t>
            </w:r>
          </w:p>
        </w:tc>
      </w:tr>
      <w:tr w:rsidR="00C30199" w:rsidRPr="00A97C4A" w14:paraId="6A736592"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34EA971F" w14:textId="77777777" w:rsidR="00C30199" w:rsidRPr="00A97C4A" w:rsidRDefault="00C30199" w:rsidP="007610EF">
            <w:pPr>
              <w:pStyle w:val="cuatexto"/>
              <w:spacing w:line="240" w:lineRule="auto"/>
              <w:rPr>
                <w:lang w:val="es-ES" w:eastAsia="es-ES"/>
              </w:rPr>
            </w:pPr>
            <w:r w:rsidRPr="00A97C4A">
              <w:rPr>
                <w:lang w:val="es-ES" w:eastAsia="es-ES"/>
              </w:rPr>
              <w:t>2015</w:t>
            </w:r>
          </w:p>
        </w:tc>
        <w:tc>
          <w:tcPr>
            <w:tcW w:w="1009" w:type="dxa"/>
            <w:tcBorders>
              <w:top w:val="single" w:sz="2" w:space="0" w:color="auto"/>
              <w:left w:val="nil"/>
              <w:bottom w:val="single" w:sz="2" w:space="0" w:color="auto"/>
              <w:right w:val="nil"/>
            </w:tcBorders>
            <w:shd w:val="clear" w:color="auto" w:fill="auto"/>
            <w:noWrap/>
            <w:vAlign w:val="center"/>
            <w:hideMark/>
          </w:tcPr>
          <w:p w14:paraId="26B45109" w14:textId="77777777" w:rsidR="00C30199" w:rsidRPr="00A97C4A" w:rsidRDefault="00D07220" w:rsidP="007610EF">
            <w:pPr>
              <w:pStyle w:val="cuatexto"/>
              <w:spacing w:line="240" w:lineRule="auto"/>
              <w:rPr>
                <w:lang w:val="es-ES" w:eastAsia="es-ES"/>
              </w:rPr>
            </w:pPr>
            <w:r>
              <w:rPr>
                <w:lang w:val="es-ES" w:eastAsia="es-ES"/>
              </w:rPr>
              <w:t xml:space="preserve">  </w:t>
            </w:r>
            <w:r w:rsidR="00C30199" w:rsidRPr="00A97C4A">
              <w:rPr>
                <w:lang w:val="es-ES" w:eastAsia="es-ES"/>
              </w:rPr>
              <w:t>7.440</w:t>
            </w:r>
          </w:p>
        </w:tc>
        <w:tc>
          <w:tcPr>
            <w:tcW w:w="1525" w:type="dxa"/>
            <w:tcBorders>
              <w:top w:val="single" w:sz="2" w:space="0" w:color="auto"/>
              <w:left w:val="nil"/>
              <w:bottom w:val="single" w:sz="2" w:space="0" w:color="auto"/>
              <w:right w:val="nil"/>
            </w:tcBorders>
            <w:shd w:val="clear" w:color="auto" w:fill="auto"/>
            <w:noWrap/>
            <w:vAlign w:val="center"/>
            <w:hideMark/>
          </w:tcPr>
          <w:p w14:paraId="6E9598C3" w14:textId="77777777" w:rsidR="00C30199" w:rsidRPr="00E65CDA" w:rsidRDefault="00C30199" w:rsidP="007610EF">
            <w:pPr>
              <w:pStyle w:val="cuatexto"/>
              <w:spacing w:line="240" w:lineRule="auto"/>
              <w:jc w:val="right"/>
              <w:rPr>
                <w:lang w:val="es-ES" w:eastAsia="es-ES"/>
              </w:rPr>
            </w:pPr>
            <w:r w:rsidRPr="00E65CDA">
              <w:rPr>
                <w:lang w:val="es-ES" w:eastAsia="es-ES"/>
              </w:rPr>
              <w:t>0,18</w:t>
            </w:r>
          </w:p>
        </w:tc>
        <w:tc>
          <w:tcPr>
            <w:tcW w:w="1985" w:type="dxa"/>
            <w:tcBorders>
              <w:top w:val="single" w:sz="2" w:space="0" w:color="auto"/>
              <w:left w:val="nil"/>
              <w:bottom w:val="single" w:sz="2" w:space="0" w:color="auto"/>
              <w:right w:val="nil"/>
            </w:tcBorders>
            <w:shd w:val="clear" w:color="auto" w:fill="auto"/>
            <w:noWrap/>
            <w:vAlign w:val="center"/>
            <w:hideMark/>
          </w:tcPr>
          <w:p w14:paraId="7C127084" w14:textId="77777777" w:rsidR="00C30199" w:rsidRPr="00E65CDA" w:rsidRDefault="00C30199" w:rsidP="007610EF">
            <w:pPr>
              <w:pStyle w:val="cuatexto"/>
              <w:spacing w:line="240" w:lineRule="auto"/>
              <w:jc w:val="right"/>
              <w:rPr>
                <w:lang w:val="es-ES" w:eastAsia="es-ES"/>
              </w:rPr>
            </w:pPr>
            <w:r w:rsidRPr="00E65CDA">
              <w:rPr>
                <w:lang w:val="es-ES" w:eastAsia="es-ES"/>
              </w:rPr>
              <w:t>4.216.924</w:t>
            </w:r>
          </w:p>
        </w:tc>
      </w:tr>
      <w:tr w:rsidR="00C30199" w:rsidRPr="00A97C4A" w14:paraId="6D3F989B"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680C8859" w14:textId="77777777" w:rsidR="00C30199" w:rsidRPr="00A97C4A" w:rsidRDefault="00C30199" w:rsidP="007610EF">
            <w:pPr>
              <w:pStyle w:val="cuatexto"/>
              <w:spacing w:line="240" w:lineRule="auto"/>
              <w:rPr>
                <w:lang w:val="es-ES" w:eastAsia="es-ES"/>
              </w:rPr>
            </w:pPr>
            <w:r w:rsidRPr="00A97C4A">
              <w:rPr>
                <w:lang w:val="es-ES" w:eastAsia="es-ES"/>
              </w:rPr>
              <w:t>2016</w:t>
            </w:r>
          </w:p>
        </w:tc>
        <w:tc>
          <w:tcPr>
            <w:tcW w:w="1009" w:type="dxa"/>
            <w:tcBorders>
              <w:top w:val="single" w:sz="2" w:space="0" w:color="auto"/>
              <w:left w:val="nil"/>
              <w:bottom w:val="single" w:sz="2" w:space="0" w:color="auto"/>
              <w:right w:val="nil"/>
            </w:tcBorders>
            <w:shd w:val="clear" w:color="auto" w:fill="auto"/>
            <w:noWrap/>
            <w:vAlign w:val="center"/>
            <w:hideMark/>
          </w:tcPr>
          <w:p w14:paraId="43D7B744" w14:textId="77777777" w:rsidR="00C30199" w:rsidRPr="00A97C4A" w:rsidRDefault="00C30199" w:rsidP="007610EF">
            <w:pPr>
              <w:pStyle w:val="cuatexto"/>
              <w:spacing w:line="240" w:lineRule="auto"/>
              <w:rPr>
                <w:lang w:val="es-ES" w:eastAsia="es-ES"/>
              </w:rPr>
            </w:pPr>
            <w:r w:rsidRPr="00A97C4A">
              <w:rPr>
                <w:lang w:val="es-ES" w:eastAsia="es-ES"/>
              </w:rPr>
              <w:t>14.360</w:t>
            </w:r>
          </w:p>
        </w:tc>
        <w:tc>
          <w:tcPr>
            <w:tcW w:w="1525" w:type="dxa"/>
            <w:tcBorders>
              <w:top w:val="single" w:sz="2" w:space="0" w:color="auto"/>
              <w:left w:val="nil"/>
              <w:bottom w:val="single" w:sz="2" w:space="0" w:color="auto"/>
              <w:right w:val="nil"/>
            </w:tcBorders>
            <w:shd w:val="clear" w:color="auto" w:fill="auto"/>
            <w:noWrap/>
            <w:vAlign w:val="center"/>
            <w:hideMark/>
          </w:tcPr>
          <w:p w14:paraId="459E8BFC" w14:textId="77777777" w:rsidR="00C30199" w:rsidRPr="00E65CDA" w:rsidRDefault="00C30199" w:rsidP="007610EF">
            <w:pPr>
              <w:pStyle w:val="cuatexto"/>
              <w:spacing w:line="240" w:lineRule="auto"/>
              <w:jc w:val="right"/>
              <w:rPr>
                <w:lang w:val="es-ES" w:eastAsia="es-ES"/>
              </w:rPr>
            </w:pPr>
            <w:r w:rsidRPr="00E65CDA">
              <w:rPr>
                <w:lang w:val="es-ES" w:eastAsia="es-ES"/>
              </w:rPr>
              <w:t>0,34</w:t>
            </w:r>
          </w:p>
        </w:tc>
        <w:tc>
          <w:tcPr>
            <w:tcW w:w="1985" w:type="dxa"/>
            <w:tcBorders>
              <w:top w:val="single" w:sz="2" w:space="0" w:color="auto"/>
              <w:left w:val="nil"/>
              <w:bottom w:val="single" w:sz="2" w:space="0" w:color="auto"/>
              <w:right w:val="nil"/>
            </w:tcBorders>
            <w:shd w:val="clear" w:color="auto" w:fill="auto"/>
            <w:noWrap/>
            <w:vAlign w:val="center"/>
            <w:hideMark/>
          </w:tcPr>
          <w:p w14:paraId="6E6D2C0B" w14:textId="77777777" w:rsidR="00C30199" w:rsidRPr="00E65CDA" w:rsidRDefault="00C30199" w:rsidP="007610EF">
            <w:pPr>
              <w:pStyle w:val="cuatexto"/>
              <w:spacing w:line="240" w:lineRule="auto"/>
              <w:jc w:val="right"/>
              <w:rPr>
                <w:lang w:val="es-ES" w:eastAsia="es-ES"/>
              </w:rPr>
            </w:pPr>
            <w:r w:rsidRPr="00E65CDA">
              <w:rPr>
                <w:lang w:val="es-ES" w:eastAsia="es-ES"/>
              </w:rPr>
              <w:t>4.210.004</w:t>
            </w:r>
          </w:p>
        </w:tc>
      </w:tr>
      <w:tr w:rsidR="00C30199" w:rsidRPr="00A97C4A" w14:paraId="44DE0582"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3BCE60D4" w14:textId="77777777" w:rsidR="00C30199" w:rsidRPr="00A97C4A" w:rsidRDefault="00C30199" w:rsidP="007610EF">
            <w:pPr>
              <w:pStyle w:val="cuatexto"/>
              <w:spacing w:line="240" w:lineRule="auto"/>
              <w:rPr>
                <w:lang w:val="es-ES" w:eastAsia="es-ES"/>
              </w:rPr>
            </w:pPr>
            <w:r w:rsidRPr="00A97C4A">
              <w:rPr>
                <w:lang w:val="es-ES" w:eastAsia="es-ES"/>
              </w:rPr>
              <w:t>2017</w:t>
            </w:r>
          </w:p>
        </w:tc>
        <w:tc>
          <w:tcPr>
            <w:tcW w:w="1009" w:type="dxa"/>
            <w:tcBorders>
              <w:top w:val="single" w:sz="2" w:space="0" w:color="auto"/>
              <w:left w:val="nil"/>
              <w:bottom w:val="single" w:sz="2" w:space="0" w:color="auto"/>
              <w:right w:val="nil"/>
            </w:tcBorders>
            <w:shd w:val="clear" w:color="auto" w:fill="auto"/>
            <w:noWrap/>
            <w:vAlign w:val="center"/>
            <w:hideMark/>
          </w:tcPr>
          <w:p w14:paraId="77657BDB" w14:textId="77777777" w:rsidR="00C30199" w:rsidRPr="00A97C4A" w:rsidRDefault="00C30199" w:rsidP="007610EF">
            <w:pPr>
              <w:pStyle w:val="cuatexto"/>
              <w:spacing w:line="240" w:lineRule="auto"/>
              <w:rPr>
                <w:lang w:val="es-ES" w:eastAsia="es-ES"/>
              </w:rPr>
            </w:pPr>
            <w:r w:rsidRPr="00A97C4A">
              <w:rPr>
                <w:lang w:val="es-ES" w:eastAsia="es-ES"/>
              </w:rPr>
              <w:t>23.623</w:t>
            </w:r>
          </w:p>
        </w:tc>
        <w:tc>
          <w:tcPr>
            <w:tcW w:w="1525" w:type="dxa"/>
            <w:tcBorders>
              <w:top w:val="single" w:sz="2" w:space="0" w:color="auto"/>
              <w:left w:val="nil"/>
              <w:bottom w:val="single" w:sz="2" w:space="0" w:color="auto"/>
              <w:right w:val="nil"/>
            </w:tcBorders>
            <w:shd w:val="clear" w:color="auto" w:fill="auto"/>
            <w:noWrap/>
            <w:vAlign w:val="center"/>
            <w:hideMark/>
          </w:tcPr>
          <w:p w14:paraId="0B4D6E68" w14:textId="77777777" w:rsidR="00C30199" w:rsidRPr="00E65CDA" w:rsidRDefault="00C30199" w:rsidP="007610EF">
            <w:pPr>
              <w:pStyle w:val="cuatexto"/>
              <w:spacing w:line="240" w:lineRule="auto"/>
              <w:jc w:val="right"/>
              <w:rPr>
                <w:lang w:val="es-ES" w:eastAsia="es-ES"/>
              </w:rPr>
            </w:pPr>
            <w:r w:rsidRPr="00E65CDA">
              <w:rPr>
                <w:lang w:val="es-ES" w:eastAsia="es-ES"/>
              </w:rPr>
              <w:t>0,5</w:t>
            </w:r>
            <w:r w:rsidR="00337F6F" w:rsidRPr="00E65CDA">
              <w:rPr>
                <w:lang w:val="es-ES" w:eastAsia="es-ES"/>
              </w:rPr>
              <w:t>4</w:t>
            </w:r>
          </w:p>
        </w:tc>
        <w:tc>
          <w:tcPr>
            <w:tcW w:w="1985" w:type="dxa"/>
            <w:tcBorders>
              <w:top w:val="single" w:sz="2" w:space="0" w:color="auto"/>
              <w:left w:val="nil"/>
              <w:bottom w:val="single" w:sz="2" w:space="0" w:color="auto"/>
              <w:right w:val="nil"/>
            </w:tcBorders>
            <w:shd w:val="clear" w:color="auto" w:fill="auto"/>
            <w:noWrap/>
            <w:vAlign w:val="center"/>
            <w:hideMark/>
          </w:tcPr>
          <w:p w14:paraId="34914A59" w14:textId="77777777" w:rsidR="00C30199" w:rsidRPr="00E65CDA" w:rsidRDefault="00C30199" w:rsidP="007610EF">
            <w:pPr>
              <w:pStyle w:val="cuatexto"/>
              <w:spacing w:line="240" w:lineRule="auto"/>
              <w:jc w:val="right"/>
              <w:rPr>
                <w:lang w:val="es-ES" w:eastAsia="es-ES"/>
              </w:rPr>
            </w:pPr>
            <w:r w:rsidRPr="00E65CDA">
              <w:rPr>
                <w:lang w:val="es-ES" w:eastAsia="es-ES"/>
              </w:rPr>
              <w:t>4.332.208</w:t>
            </w:r>
          </w:p>
        </w:tc>
      </w:tr>
      <w:tr w:rsidR="00C30199" w:rsidRPr="00A97C4A" w14:paraId="6EB3CC6B"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14862984" w14:textId="77777777" w:rsidR="00C30199" w:rsidRPr="00A97C4A" w:rsidRDefault="00C30199" w:rsidP="007610EF">
            <w:pPr>
              <w:pStyle w:val="cuatexto"/>
              <w:spacing w:line="240" w:lineRule="auto"/>
              <w:rPr>
                <w:lang w:val="es-ES" w:eastAsia="es-ES"/>
              </w:rPr>
            </w:pPr>
            <w:r w:rsidRPr="00A97C4A">
              <w:rPr>
                <w:lang w:val="es-ES" w:eastAsia="es-ES"/>
              </w:rPr>
              <w:t>2018</w:t>
            </w:r>
          </w:p>
        </w:tc>
        <w:tc>
          <w:tcPr>
            <w:tcW w:w="1009" w:type="dxa"/>
            <w:tcBorders>
              <w:top w:val="single" w:sz="2" w:space="0" w:color="auto"/>
              <w:left w:val="nil"/>
              <w:bottom w:val="single" w:sz="2" w:space="0" w:color="auto"/>
              <w:right w:val="nil"/>
            </w:tcBorders>
            <w:shd w:val="clear" w:color="auto" w:fill="auto"/>
            <w:noWrap/>
            <w:vAlign w:val="center"/>
            <w:hideMark/>
          </w:tcPr>
          <w:p w14:paraId="79F365E5" w14:textId="77777777" w:rsidR="00C30199" w:rsidRPr="00A97C4A" w:rsidRDefault="00C30199" w:rsidP="007610EF">
            <w:pPr>
              <w:pStyle w:val="cuatexto"/>
              <w:spacing w:line="240" w:lineRule="auto"/>
              <w:rPr>
                <w:lang w:val="es-ES" w:eastAsia="es-ES"/>
              </w:rPr>
            </w:pPr>
            <w:r w:rsidRPr="00A97C4A">
              <w:rPr>
                <w:lang w:val="es-ES" w:eastAsia="es-ES"/>
              </w:rPr>
              <w:t>23.883</w:t>
            </w:r>
          </w:p>
        </w:tc>
        <w:tc>
          <w:tcPr>
            <w:tcW w:w="1525" w:type="dxa"/>
            <w:tcBorders>
              <w:top w:val="single" w:sz="2" w:space="0" w:color="auto"/>
              <w:left w:val="nil"/>
              <w:bottom w:val="single" w:sz="2" w:space="0" w:color="auto"/>
              <w:right w:val="nil"/>
            </w:tcBorders>
            <w:shd w:val="clear" w:color="auto" w:fill="auto"/>
            <w:noWrap/>
            <w:vAlign w:val="center"/>
            <w:hideMark/>
          </w:tcPr>
          <w:p w14:paraId="09990432" w14:textId="77777777" w:rsidR="00C30199" w:rsidRPr="00E65CDA" w:rsidRDefault="00C30199" w:rsidP="007610EF">
            <w:pPr>
              <w:pStyle w:val="cuatexto"/>
              <w:spacing w:line="240" w:lineRule="auto"/>
              <w:jc w:val="right"/>
              <w:rPr>
                <w:lang w:val="es-ES" w:eastAsia="es-ES"/>
              </w:rPr>
            </w:pPr>
            <w:r w:rsidRPr="00E65CDA">
              <w:rPr>
                <w:lang w:val="es-ES" w:eastAsia="es-ES"/>
              </w:rPr>
              <w:t>0,5</w:t>
            </w:r>
            <w:r w:rsidR="00337F6F" w:rsidRPr="00E65CDA">
              <w:rPr>
                <w:lang w:val="es-ES" w:eastAsia="es-ES"/>
              </w:rPr>
              <w:t>4</w:t>
            </w:r>
          </w:p>
        </w:tc>
        <w:tc>
          <w:tcPr>
            <w:tcW w:w="1985" w:type="dxa"/>
            <w:tcBorders>
              <w:top w:val="single" w:sz="2" w:space="0" w:color="auto"/>
              <w:left w:val="nil"/>
              <w:bottom w:val="single" w:sz="2" w:space="0" w:color="auto"/>
              <w:right w:val="nil"/>
            </w:tcBorders>
            <w:shd w:val="clear" w:color="auto" w:fill="auto"/>
            <w:noWrap/>
            <w:vAlign w:val="center"/>
            <w:hideMark/>
          </w:tcPr>
          <w:p w14:paraId="4E42AB55" w14:textId="77777777" w:rsidR="00C30199" w:rsidRPr="00E65CDA" w:rsidRDefault="00C30199" w:rsidP="007610EF">
            <w:pPr>
              <w:pStyle w:val="cuatexto"/>
              <w:spacing w:line="240" w:lineRule="auto"/>
              <w:jc w:val="right"/>
              <w:rPr>
                <w:lang w:val="es-ES" w:eastAsia="es-ES"/>
              </w:rPr>
            </w:pPr>
            <w:r w:rsidRPr="00E65CDA">
              <w:rPr>
                <w:lang w:val="es-ES" w:eastAsia="es-ES"/>
              </w:rPr>
              <w:t>4.379.862</w:t>
            </w:r>
          </w:p>
        </w:tc>
      </w:tr>
      <w:tr w:rsidR="00C30199" w:rsidRPr="00A97C4A" w14:paraId="46064980"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02B61E55" w14:textId="77777777" w:rsidR="00C30199" w:rsidRPr="00A97C4A" w:rsidRDefault="00C30199" w:rsidP="007610EF">
            <w:pPr>
              <w:pStyle w:val="cuatexto"/>
              <w:spacing w:line="240" w:lineRule="auto"/>
              <w:rPr>
                <w:lang w:val="es-ES" w:eastAsia="es-ES"/>
              </w:rPr>
            </w:pPr>
            <w:r w:rsidRPr="00A97C4A">
              <w:rPr>
                <w:lang w:val="es-ES" w:eastAsia="es-ES"/>
              </w:rPr>
              <w:t>2019</w:t>
            </w:r>
          </w:p>
        </w:tc>
        <w:tc>
          <w:tcPr>
            <w:tcW w:w="1009" w:type="dxa"/>
            <w:tcBorders>
              <w:top w:val="single" w:sz="2" w:space="0" w:color="auto"/>
              <w:left w:val="nil"/>
              <w:bottom w:val="single" w:sz="2" w:space="0" w:color="auto"/>
              <w:right w:val="nil"/>
            </w:tcBorders>
            <w:shd w:val="clear" w:color="auto" w:fill="auto"/>
            <w:noWrap/>
            <w:vAlign w:val="center"/>
            <w:hideMark/>
          </w:tcPr>
          <w:p w14:paraId="1FB6674A" w14:textId="77777777" w:rsidR="00C30199" w:rsidRPr="00A97C4A" w:rsidRDefault="00C30199" w:rsidP="007610EF">
            <w:pPr>
              <w:pStyle w:val="cuatexto"/>
              <w:spacing w:line="240" w:lineRule="auto"/>
              <w:rPr>
                <w:lang w:val="es-ES" w:eastAsia="es-ES"/>
              </w:rPr>
            </w:pPr>
            <w:r w:rsidRPr="00A97C4A">
              <w:rPr>
                <w:lang w:val="es-ES" w:eastAsia="es-ES"/>
              </w:rPr>
              <w:t>85.204</w:t>
            </w:r>
          </w:p>
        </w:tc>
        <w:tc>
          <w:tcPr>
            <w:tcW w:w="1525" w:type="dxa"/>
            <w:tcBorders>
              <w:top w:val="single" w:sz="2" w:space="0" w:color="auto"/>
              <w:left w:val="nil"/>
              <w:bottom w:val="single" w:sz="2" w:space="0" w:color="auto"/>
              <w:right w:val="nil"/>
            </w:tcBorders>
            <w:shd w:val="clear" w:color="auto" w:fill="auto"/>
            <w:noWrap/>
            <w:vAlign w:val="center"/>
            <w:hideMark/>
          </w:tcPr>
          <w:p w14:paraId="33A55582" w14:textId="77777777" w:rsidR="00C30199" w:rsidRPr="00E65CDA" w:rsidRDefault="00C30199" w:rsidP="007610EF">
            <w:pPr>
              <w:pStyle w:val="cuatexto"/>
              <w:spacing w:line="240" w:lineRule="auto"/>
              <w:jc w:val="right"/>
              <w:rPr>
                <w:lang w:val="es-ES" w:eastAsia="es-ES"/>
              </w:rPr>
            </w:pPr>
            <w:r w:rsidRPr="00E65CDA">
              <w:rPr>
                <w:lang w:val="es-ES" w:eastAsia="es-ES"/>
              </w:rPr>
              <w:t>1,9</w:t>
            </w:r>
            <w:r w:rsidR="00337F6F" w:rsidRPr="00E65CDA">
              <w:rPr>
                <w:lang w:val="es-ES" w:eastAsia="es-ES"/>
              </w:rPr>
              <w:t>3</w:t>
            </w:r>
          </w:p>
        </w:tc>
        <w:tc>
          <w:tcPr>
            <w:tcW w:w="1985" w:type="dxa"/>
            <w:tcBorders>
              <w:top w:val="single" w:sz="2" w:space="0" w:color="auto"/>
              <w:left w:val="nil"/>
              <w:bottom w:val="single" w:sz="2" w:space="0" w:color="auto"/>
              <w:right w:val="nil"/>
            </w:tcBorders>
            <w:shd w:val="clear" w:color="auto" w:fill="auto"/>
            <w:noWrap/>
            <w:vAlign w:val="center"/>
            <w:hideMark/>
          </w:tcPr>
          <w:p w14:paraId="68CE1B9D" w14:textId="77777777" w:rsidR="00C30199" w:rsidRPr="00E65CDA" w:rsidRDefault="00C30199" w:rsidP="007610EF">
            <w:pPr>
              <w:pStyle w:val="cuatexto"/>
              <w:spacing w:line="240" w:lineRule="auto"/>
              <w:jc w:val="right"/>
              <w:rPr>
                <w:lang w:val="es-ES" w:eastAsia="es-ES"/>
              </w:rPr>
            </w:pPr>
            <w:r w:rsidRPr="00E65CDA">
              <w:rPr>
                <w:lang w:val="es-ES" w:eastAsia="es-ES"/>
              </w:rPr>
              <w:t>4.371.386</w:t>
            </w:r>
          </w:p>
        </w:tc>
      </w:tr>
      <w:tr w:rsidR="00C30199" w:rsidRPr="00A97C4A" w14:paraId="4D629346" w14:textId="77777777" w:rsidTr="005C0319">
        <w:trPr>
          <w:trHeight w:val="227"/>
        </w:trPr>
        <w:tc>
          <w:tcPr>
            <w:tcW w:w="4394" w:type="dxa"/>
            <w:tcBorders>
              <w:top w:val="single" w:sz="2" w:space="0" w:color="auto"/>
              <w:left w:val="nil"/>
              <w:bottom w:val="single" w:sz="2" w:space="0" w:color="auto"/>
              <w:right w:val="nil"/>
            </w:tcBorders>
            <w:shd w:val="clear" w:color="auto" w:fill="auto"/>
            <w:noWrap/>
            <w:vAlign w:val="center"/>
            <w:hideMark/>
          </w:tcPr>
          <w:p w14:paraId="7A3E89D0" w14:textId="77777777" w:rsidR="00C30199" w:rsidRPr="00A97C4A" w:rsidRDefault="00C30199" w:rsidP="007610EF">
            <w:pPr>
              <w:pStyle w:val="cuatexto"/>
              <w:spacing w:line="240" w:lineRule="auto"/>
              <w:rPr>
                <w:lang w:val="es-ES" w:eastAsia="es-ES"/>
              </w:rPr>
            </w:pPr>
            <w:r w:rsidRPr="00A97C4A">
              <w:rPr>
                <w:lang w:val="es-ES" w:eastAsia="es-ES"/>
              </w:rPr>
              <w:t>2020</w:t>
            </w:r>
          </w:p>
        </w:tc>
        <w:tc>
          <w:tcPr>
            <w:tcW w:w="1009" w:type="dxa"/>
            <w:tcBorders>
              <w:top w:val="single" w:sz="2" w:space="0" w:color="auto"/>
              <w:left w:val="nil"/>
              <w:bottom w:val="single" w:sz="2" w:space="0" w:color="auto"/>
              <w:right w:val="nil"/>
            </w:tcBorders>
            <w:shd w:val="clear" w:color="auto" w:fill="auto"/>
            <w:noWrap/>
            <w:vAlign w:val="center"/>
            <w:hideMark/>
          </w:tcPr>
          <w:p w14:paraId="4C39FA5B" w14:textId="77777777" w:rsidR="00C30199" w:rsidRPr="00A97C4A" w:rsidRDefault="00C30199" w:rsidP="007610EF">
            <w:pPr>
              <w:pStyle w:val="cuatexto"/>
              <w:spacing w:line="240" w:lineRule="auto"/>
              <w:rPr>
                <w:lang w:val="es-ES" w:eastAsia="es-ES"/>
              </w:rPr>
            </w:pPr>
            <w:r w:rsidRPr="00A97C4A">
              <w:rPr>
                <w:lang w:val="es-ES" w:eastAsia="es-ES"/>
              </w:rPr>
              <w:t>25.386</w:t>
            </w:r>
          </w:p>
        </w:tc>
        <w:tc>
          <w:tcPr>
            <w:tcW w:w="1525" w:type="dxa"/>
            <w:tcBorders>
              <w:top w:val="single" w:sz="2" w:space="0" w:color="auto"/>
              <w:left w:val="nil"/>
              <w:bottom w:val="single" w:sz="2" w:space="0" w:color="auto"/>
              <w:right w:val="nil"/>
            </w:tcBorders>
            <w:shd w:val="clear" w:color="auto" w:fill="auto"/>
            <w:noWrap/>
            <w:vAlign w:val="center"/>
            <w:hideMark/>
          </w:tcPr>
          <w:p w14:paraId="67465065" w14:textId="77777777" w:rsidR="00C30199" w:rsidRPr="00E65CDA" w:rsidRDefault="00C30199" w:rsidP="007610EF">
            <w:pPr>
              <w:pStyle w:val="cuatexto"/>
              <w:spacing w:line="240" w:lineRule="auto"/>
              <w:jc w:val="right"/>
              <w:rPr>
                <w:lang w:val="es-ES" w:eastAsia="es-ES"/>
              </w:rPr>
            </w:pPr>
            <w:r w:rsidRPr="00E65CDA">
              <w:rPr>
                <w:lang w:val="es-ES" w:eastAsia="es-ES"/>
              </w:rPr>
              <w:t>0,57</w:t>
            </w:r>
          </w:p>
        </w:tc>
        <w:tc>
          <w:tcPr>
            <w:tcW w:w="1985" w:type="dxa"/>
            <w:tcBorders>
              <w:top w:val="single" w:sz="2" w:space="0" w:color="auto"/>
              <w:left w:val="nil"/>
              <w:bottom w:val="single" w:sz="2" w:space="0" w:color="auto"/>
              <w:right w:val="nil"/>
            </w:tcBorders>
            <w:shd w:val="clear" w:color="auto" w:fill="auto"/>
            <w:noWrap/>
            <w:vAlign w:val="center"/>
            <w:hideMark/>
          </w:tcPr>
          <w:p w14:paraId="0F871CA5" w14:textId="77777777" w:rsidR="00C30199" w:rsidRPr="00E65CDA" w:rsidRDefault="00C30199" w:rsidP="007610EF">
            <w:pPr>
              <w:pStyle w:val="cuatexto"/>
              <w:spacing w:line="240" w:lineRule="auto"/>
              <w:jc w:val="right"/>
              <w:rPr>
                <w:lang w:val="es-ES" w:eastAsia="es-ES"/>
              </w:rPr>
            </w:pPr>
            <w:r w:rsidRPr="00E65CDA">
              <w:rPr>
                <w:lang w:val="es-ES" w:eastAsia="es-ES"/>
              </w:rPr>
              <w:t>4.466.857</w:t>
            </w:r>
          </w:p>
        </w:tc>
      </w:tr>
      <w:tr w:rsidR="00C30199" w:rsidRPr="00A97C4A" w14:paraId="2B4722BD" w14:textId="77777777" w:rsidTr="005C0319">
        <w:trPr>
          <w:trHeight w:val="227"/>
        </w:trPr>
        <w:tc>
          <w:tcPr>
            <w:tcW w:w="4394" w:type="dxa"/>
            <w:tcBorders>
              <w:top w:val="single" w:sz="2" w:space="0" w:color="auto"/>
              <w:left w:val="nil"/>
              <w:bottom w:val="nil"/>
              <w:right w:val="nil"/>
            </w:tcBorders>
            <w:shd w:val="clear" w:color="auto" w:fill="auto"/>
            <w:noWrap/>
            <w:vAlign w:val="center"/>
            <w:hideMark/>
          </w:tcPr>
          <w:p w14:paraId="59B8BA25" w14:textId="77777777" w:rsidR="00C30199" w:rsidRPr="00A97C4A" w:rsidRDefault="00C30199" w:rsidP="007610EF">
            <w:pPr>
              <w:pStyle w:val="cuatexto"/>
              <w:spacing w:line="240" w:lineRule="auto"/>
              <w:rPr>
                <w:lang w:val="es-ES" w:eastAsia="es-ES"/>
              </w:rPr>
            </w:pPr>
            <w:r w:rsidRPr="00A97C4A">
              <w:rPr>
                <w:lang w:val="es-ES" w:eastAsia="es-ES"/>
              </w:rPr>
              <w:t>2021</w:t>
            </w:r>
          </w:p>
        </w:tc>
        <w:tc>
          <w:tcPr>
            <w:tcW w:w="1009" w:type="dxa"/>
            <w:tcBorders>
              <w:top w:val="single" w:sz="2" w:space="0" w:color="auto"/>
              <w:left w:val="nil"/>
              <w:bottom w:val="nil"/>
              <w:right w:val="nil"/>
            </w:tcBorders>
            <w:shd w:val="clear" w:color="auto" w:fill="auto"/>
            <w:noWrap/>
            <w:vAlign w:val="center"/>
            <w:hideMark/>
          </w:tcPr>
          <w:p w14:paraId="1ECA15DB" w14:textId="77777777" w:rsidR="00C30199" w:rsidRPr="00A97C4A" w:rsidRDefault="00C30199" w:rsidP="007610EF">
            <w:pPr>
              <w:pStyle w:val="cuatexto"/>
              <w:spacing w:line="240" w:lineRule="auto"/>
              <w:rPr>
                <w:lang w:val="es-ES" w:eastAsia="es-ES"/>
              </w:rPr>
            </w:pPr>
            <w:r w:rsidRPr="00A97C4A">
              <w:rPr>
                <w:lang w:val="es-ES" w:eastAsia="es-ES"/>
              </w:rPr>
              <w:t>74.804</w:t>
            </w:r>
          </w:p>
        </w:tc>
        <w:tc>
          <w:tcPr>
            <w:tcW w:w="1525" w:type="dxa"/>
            <w:tcBorders>
              <w:top w:val="single" w:sz="2" w:space="0" w:color="auto"/>
              <w:left w:val="nil"/>
              <w:bottom w:val="single" w:sz="4" w:space="0" w:color="auto"/>
              <w:right w:val="nil"/>
            </w:tcBorders>
            <w:shd w:val="clear" w:color="auto" w:fill="auto"/>
            <w:noWrap/>
            <w:vAlign w:val="center"/>
            <w:hideMark/>
          </w:tcPr>
          <w:p w14:paraId="49B52210" w14:textId="77777777" w:rsidR="00C30199" w:rsidRPr="00E65CDA" w:rsidRDefault="00337F6F" w:rsidP="007610EF">
            <w:pPr>
              <w:pStyle w:val="cuatexto"/>
              <w:spacing w:line="240" w:lineRule="auto"/>
              <w:jc w:val="right"/>
              <w:rPr>
                <w:lang w:val="es-ES" w:eastAsia="es-ES"/>
              </w:rPr>
            </w:pPr>
            <w:r w:rsidRPr="00E65CDA">
              <w:rPr>
                <w:lang w:val="es-ES" w:eastAsia="es-ES"/>
              </w:rPr>
              <w:t>1,67</w:t>
            </w:r>
          </w:p>
        </w:tc>
        <w:tc>
          <w:tcPr>
            <w:tcW w:w="1985" w:type="dxa"/>
            <w:tcBorders>
              <w:top w:val="single" w:sz="2" w:space="0" w:color="auto"/>
              <w:left w:val="nil"/>
              <w:bottom w:val="nil"/>
              <w:right w:val="nil"/>
            </w:tcBorders>
            <w:shd w:val="clear" w:color="auto" w:fill="auto"/>
            <w:noWrap/>
            <w:vAlign w:val="center"/>
            <w:hideMark/>
          </w:tcPr>
          <w:p w14:paraId="44E89FCC" w14:textId="77777777" w:rsidR="00C30199" w:rsidRPr="00E65CDA" w:rsidRDefault="00C30199" w:rsidP="007610EF">
            <w:pPr>
              <w:pStyle w:val="cuatexto"/>
              <w:spacing w:line="240" w:lineRule="auto"/>
              <w:jc w:val="right"/>
              <w:rPr>
                <w:lang w:val="es-ES" w:eastAsia="es-ES"/>
              </w:rPr>
            </w:pPr>
            <w:r w:rsidRPr="00E65CDA">
              <w:rPr>
                <w:lang w:val="es-ES" w:eastAsia="es-ES"/>
              </w:rPr>
              <w:t>4.394.978</w:t>
            </w:r>
          </w:p>
        </w:tc>
      </w:tr>
      <w:tr w:rsidR="00C30199" w:rsidRPr="00A97C4A" w14:paraId="37CD2617" w14:textId="77777777" w:rsidTr="005C0319">
        <w:trPr>
          <w:trHeight w:val="227"/>
        </w:trPr>
        <w:tc>
          <w:tcPr>
            <w:tcW w:w="4394" w:type="dxa"/>
            <w:tcBorders>
              <w:top w:val="single" w:sz="4" w:space="0" w:color="auto"/>
              <w:left w:val="nil"/>
              <w:bottom w:val="single" w:sz="4" w:space="0" w:color="auto"/>
              <w:right w:val="nil"/>
            </w:tcBorders>
            <w:shd w:val="clear" w:color="auto" w:fill="B8CCE4" w:themeFill="accent1" w:themeFillTint="66"/>
            <w:noWrap/>
            <w:vAlign w:val="center"/>
            <w:hideMark/>
          </w:tcPr>
          <w:p w14:paraId="630C6707" w14:textId="77777777" w:rsidR="00C30199" w:rsidRPr="00A97C4A" w:rsidRDefault="00C30199" w:rsidP="007610EF">
            <w:pPr>
              <w:pStyle w:val="cuadroCabe"/>
              <w:spacing w:line="240" w:lineRule="auto"/>
              <w:rPr>
                <w:lang w:val="es-ES" w:eastAsia="es-ES"/>
              </w:rPr>
            </w:pPr>
            <w:r w:rsidRPr="00A97C4A">
              <w:rPr>
                <w:lang w:val="es-ES" w:eastAsia="es-ES"/>
              </w:rPr>
              <w:t>Total</w:t>
            </w:r>
          </w:p>
        </w:tc>
        <w:tc>
          <w:tcPr>
            <w:tcW w:w="1009" w:type="dxa"/>
            <w:tcBorders>
              <w:top w:val="single" w:sz="4" w:space="0" w:color="auto"/>
              <w:left w:val="nil"/>
              <w:bottom w:val="single" w:sz="4" w:space="0" w:color="auto"/>
              <w:right w:val="nil"/>
            </w:tcBorders>
            <w:shd w:val="clear" w:color="auto" w:fill="B8CCE4" w:themeFill="accent1" w:themeFillTint="66"/>
            <w:noWrap/>
            <w:vAlign w:val="center"/>
            <w:hideMark/>
          </w:tcPr>
          <w:p w14:paraId="6DD9647C" w14:textId="77777777" w:rsidR="00C30199" w:rsidRPr="00A97C4A" w:rsidRDefault="00C30199" w:rsidP="007610EF">
            <w:pPr>
              <w:pStyle w:val="cuadroCabe"/>
              <w:spacing w:line="240" w:lineRule="auto"/>
              <w:rPr>
                <w:lang w:val="es-ES" w:eastAsia="es-ES"/>
              </w:rPr>
            </w:pPr>
            <w:r w:rsidRPr="00A97C4A">
              <w:rPr>
                <w:lang w:val="es-ES" w:eastAsia="es-ES"/>
              </w:rPr>
              <w:t>346.774</w:t>
            </w:r>
          </w:p>
        </w:tc>
        <w:tc>
          <w:tcPr>
            <w:tcW w:w="1525" w:type="dxa"/>
            <w:tcBorders>
              <w:top w:val="nil"/>
              <w:left w:val="nil"/>
              <w:bottom w:val="single" w:sz="4" w:space="0" w:color="auto"/>
              <w:right w:val="nil"/>
            </w:tcBorders>
            <w:shd w:val="clear" w:color="auto" w:fill="B8CCE4" w:themeFill="accent1" w:themeFillTint="66"/>
            <w:noWrap/>
            <w:vAlign w:val="center"/>
            <w:hideMark/>
          </w:tcPr>
          <w:p w14:paraId="47F0ED4C" w14:textId="77777777" w:rsidR="00C30199" w:rsidRPr="00E65CDA" w:rsidRDefault="00C30199" w:rsidP="007610EF">
            <w:pPr>
              <w:pStyle w:val="cuadroCabe"/>
              <w:spacing w:line="240" w:lineRule="auto"/>
              <w:jc w:val="right"/>
              <w:rPr>
                <w:lang w:val="es-ES" w:eastAsia="es-ES"/>
              </w:rPr>
            </w:pPr>
            <w:r w:rsidRPr="00E65CDA">
              <w:rPr>
                <w:lang w:val="es-ES" w:eastAsia="es-ES"/>
              </w:rPr>
              <w:t>0,8</w:t>
            </w:r>
            <w:r w:rsidR="00337F6F" w:rsidRPr="00E65CDA">
              <w:rPr>
                <w:lang w:val="es-ES" w:eastAsia="es-ES"/>
              </w:rPr>
              <w:t>1</w:t>
            </w:r>
          </w:p>
        </w:tc>
        <w:tc>
          <w:tcPr>
            <w:tcW w:w="1985" w:type="dxa"/>
            <w:tcBorders>
              <w:top w:val="single" w:sz="4" w:space="0" w:color="auto"/>
              <w:left w:val="nil"/>
              <w:bottom w:val="single" w:sz="4" w:space="0" w:color="auto"/>
              <w:right w:val="nil"/>
            </w:tcBorders>
            <w:shd w:val="clear" w:color="auto" w:fill="B8CCE4" w:themeFill="accent1" w:themeFillTint="66"/>
            <w:noWrap/>
            <w:vAlign w:val="center"/>
            <w:hideMark/>
          </w:tcPr>
          <w:p w14:paraId="00CC4704" w14:textId="77777777" w:rsidR="00C30199" w:rsidRPr="00E65CDA" w:rsidRDefault="00337F6F" w:rsidP="007610EF">
            <w:pPr>
              <w:pStyle w:val="cuadroCabe"/>
              <w:spacing w:line="240" w:lineRule="auto"/>
              <w:jc w:val="right"/>
              <w:rPr>
                <w:lang w:val="es-ES" w:eastAsia="es-ES"/>
              </w:rPr>
            </w:pPr>
            <w:r w:rsidRPr="00E65CDA">
              <w:rPr>
                <w:lang w:val="es-ES" w:eastAsia="es-ES"/>
              </w:rPr>
              <w:t>42.474.565</w:t>
            </w:r>
          </w:p>
        </w:tc>
      </w:tr>
    </w:tbl>
    <w:p w14:paraId="543B1EB1" w14:textId="77777777" w:rsidR="00C30199" w:rsidRDefault="00C30199" w:rsidP="007A7E98">
      <w:pPr>
        <w:pStyle w:val="texto"/>
        <w:tabs>
          <w:tab w:val="clear" w:pos="2835"/>
          <w:tab w:val="clear" w:pos="3969"/>
          <w:tab w:val="clear" w:pos="5103"/>
          <w:tab w:val="clear" w:pos="6237"/>
          <w:tab w:val="clear" w:pos="7371"/>
        </w:tabs>
        <w:spacing w:before="240"/>
      </w:pPr>
      <w:r>
        <w:t>Los porcentajes de deducción, considerados en el modelo financiero del PCAP en un cinco por ciento, no han superado el dos por ciento</w:t>
      </w:r>
      <w:r w:rsidR="00337F6F">
        <w:t xml:space="preserve"> </w:t>
      </w:r>
      <w:r w:rsidR="00337F6F" w:rsidRPr="00B13637">
        <w:t>en ningún año</w:t>
      </w:r>
      <w:r w:rsidRPr="00B13637">
        <w:t>.</w:t>
      </w:r>
    </w:p>
    <w:p w14:paraId="7B154589" w14:textId="77777777" w:rsidR="00C30199" w:rsidRPr="00AE550C" w:rsidRDefault="00C30199"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ind w:left="0" w:firstLine="289"/>
        <w:rPr>
          <w:rFonts w:eastAsia="Calibri"/>
          <w:szCs w:val="26"/>
          <w:lang w:eastAsia="es-ES"/>
        </w:rPr>
      </w:pPr>
      <w:r w:rsidRPr="00AE550C">
        <w:rPr>
          <w:rFonts w:eastAsia="Calibri"/>
          <w:szCs w:val="26"/>
          <w:lang w:eastAsia="es-ES"/>
        </w:rPr>
        <w:t xml:space="preserve">Las </w:t>
      </w:r>
      <w:r w:rsidR="00330EBD" w:rsidRPr="00AE550C">
        <w:rPr>
          <w:rFonts w:eastAsia="Calibri"/>
          <w:szCs w:val="26"/>
          <w:lang w:eastAsia="es-ES"/>
        </w:rPr>
        <w:t>concesionarias, en</w:t>
      </w:r>
      <w:r w:rsidRPr="00AE550C">
        <w:rPr>
          <w:rFonts w:eastAsia="Calibri"/>
          <w:szCs w:val="26"/>
          <w:lang w:eastAsia="es-ES"/>
        </w:rPr>
        <w:t xml:space="preserve"> cumplimiento de la exigencia de los pliegos</w:t>
      </w:r>
      <w:r w:rsidR="00330EBD">
        <w:rPr>
          <w:rFonts w:eastAsia="Calibri"/>
          <w:szCs w:val="26"/>
          <w:lang w:eastAsia="es-ES"/>
        </w:rPr>
        <w:t>,</w:t>
      </w:r>
      <w:r w:rsidRPr="00AE550C">
        <w:rPr>
          <w:rFonts w:eastAsia="Calibri"/>
          <w:szCs w:val="26"/>
          <w:lang w:eastAsia="es-ES"/>
        </w:rPr>
        <w:t xml:space="preserve"> entregan</w:t>
      </w:r>
      <w:r w:rsidR="00330EBD">
        <w:rPr>
          <w:rFonts w:eastAsia="Calibri"/>
          <w:szCs w:val="26"/>
          <w:lang w:eastAsia="es-ES"/>
        </w:rPr>
        <w:t xml:space="preserve"> a la ACFN la</w:t>
      </w:r>
      <w:r w:rsidR="00BA2AF5" w:rsidRPr="00AE550C">
        <w:rPr>
          <w:rFonts w:eastAsia="Calibri"/>
          <w:szCs w:val="26"/>
          <w:lang w:eastAsia="es-ES"/>
        </w:rPr>
        <w:t xml:space="preserve"> auditorí</w:t>
      </w:r>
      <w:r w:rsidR="00330EBD">
        <w:rPr>
          <w:rFonts w:eastAsia="Calibri"/>
          <w:szCs w:val="26"/>
          <w:lang w:eastAsia="es-ES"/>
        </w:rPr>
        <w:t>a</w:t>
      </w:r>
      <w:r w:rsidRPr="00AE550C">
        <w:rPr>
          <w:rFonts w:eastAsia="Calibri"/>
          <w:szCs w:val="26"/>
          <w:lang w:eastAsia="es-ES"/>
        </w:rPr>
        <w:t xml:space="preserve"> de las cuentas a</w:t>
      </w:r>
      <w:r w:rsidR="008F7D98">
        <w:rPr>
          <w:rFonts w:eastAsia="Calibri"/>
          <w:szCs w:val="26"/>
          <w:lang w:eastAsia="es-ES"/>
        </w:rPr>
        <w:t>nuales. El concesionario de la A</w:t>
      </w:r>
      <w:r w:rsidRPr="00AE550C">
        <w:rPr>
          <w:rFonts w:eastAsia="Calibri"/>
          <w:szCs w:val="26"/>
          <w:lang w:eastAsia="es-ES"/>
        </w:rPr>
        <w:t>utovía del Pirineo, además</w:t>
      </w:r>
      <w:r w:rsidR="001D2D4E" w:rsidRPr="008F7D98">
        <w:rPr>
          <w:rFonts w:eastAsia="Calibri"/>
          <w:szCs w:val="26"/>
          <w:lang w:eastAsia="es-ES"/>
        </w:rPr>
        <w:t>,</w:t>
      </w:r>
      <w:r w:rsidRPr="00AE550C">
        <w:rPr>
          <w:rFonts w:eastAsia="Calibri"/>
          <w:szCs w:val="26"/>
          <w:lang w:eastAsia="es-ES"/>
        </w:rPr>
        <w:t xml:space="preserve"> debe someterse a </w:t>
      </w:r>
      <w:r w:rsidR="00330EBD">
        <w:rPr>
          <w:rFonts w:eastAsia="Calibri"/>
          <w:szCs w:val="26"/>
          <w:lang w:eastAsia="es-ES"/>
        </w:rPr>
        <w:t>auditorías operativas bianuales</w:t>
      </w:r>
      <w:r w:rsidR="00330EBD" w:rsidRPr="00330EBD">
        <w:rPr>
          <w:rFonts w:eastAsia="Calibri"/>
          <w:color w:val="FF0000"/>
          <w:szCs w:val="26"/>
          <w:lang w:eastAsia="es-ES"/>
        </w:rPr>
        <w:t>.</w:t>
      </w:r>
      <w:r w:rsidR="00330EBD">
        <w:rPr>
          <w:rFonts w:eastAsia="Calibri"/>
          <w:szCs w:val="26"/>
          <w:lang w:eastAsia="es-ES"/>
        </w:rPr>
        <w:t xml:space="preserve"> C</w:t>
      </w:r>
      <w:r w:rsidRPr="00AE550C">
        <w:rPr>
          <w:rFonts w:eastAsia="Calibri"/>
          <w:szCs w:val="26"/>
          <w:lang w:eastAsia="es-ES"/>
        </w:rPr>
        <w:t>onsta también el cumplimiento de esta obligación</w:t>
      </w:r>
      <w:r w:rsidR="009C41BE" w:rsidRPr="00AE550C">
        <w:rPr>
          <w:rFonts w:eastAsia="Calibri"/>
          <w:szCs w:val="26"/>
          <w:lang w:eastAsia="es-ES"/>
        </w:rPr>
        <w:t xml:space="preserve"> </w:t>
      </w:r>
      <w:r w:rsidR="00226E99" w:rsidRPr="00AE550C">
        <w:rPr>
          <w:rFonts w:eastAsia="Calibri"/>
          <w:szCs w:val="26"/>
          <w:lang w:eastAsia="es-ES"/>
        </w:rPr>
        <w:t>desde 2020.</w:t>
      </w:r>
    </w:p>
    <w:p w14:paraId="7A19A5C8" w14:textId="77777777" w:rsidR="00C30199" w:rsidRDefault="00C30199" w:rsidP="00AE550C">
      <w:pPr>
        <w:pStyle w:val="texto"/>
        <w:numPr>
          <w:ilvl w:val="0"/>
          <w:numId w:val="16"/>
        </w:numPr>
        <w:tabs>
          <w:tab w:val="clear" w:pos="2835"/>
          <w:tab w:val="clear" w:pos="3969"/>
          <w:tab w:val="clear" w:pos="5103"/>
          <w:tab w:val="clear" w:pos="6237"/>
          <w:tab w:val="clear" w:pos="7371"/>
          <w:tab w:val="num" w:pos="360"/>
          <w:tab w:val="left" w:pos="480"/>
          <w:tab w:val="num" w:pos="600"/>
          <w:tab w:val="num" w:pos="644"/>
          <w:tab w:val="num" w:pos="720"/>
          <w:tab w:val="num" w:pos="1320"/>
          <w:tab w:val="num" w:pos="5606"/>
        </w:tabs>
        <w:spacing w:after="240"/>
        <w:ind w:left="0" w:firstLine="289"/>
      </w:pPr>
      <w:r w:rsidRPr="00AE550C">
        <w:rPr>
          <w:rFonts w:eastAsia="Calibri"/>
          <w:szCs w:val="26"/>
          <w:lang w:eastAsia="es-ES"/>
        </w:rPr>
        <w:t>La ACFN ha formalizado contratos de asistencia técnica con empresas externas para la inspección de la explotación. Existen dos contratos plurianuales de asistencia técnica a la dirección de explotac</w:t>
      </w:r>
      <w:r w:rsidR="008F7D98">
        <w:rPr>
          <w:rFonts w:eastAsia="Calibri"/>
          <w:szCs w:val="26"/>
          <w:lang w:eastAsia="es-ES"/>
        </w:rPr>
        <w:t>ión de la Autovía del Camino y de la A</w:t>
      </w:r>
      <w:r w:rsidRPr="00AE550C">
        <w:rPr>
          <w:rFonts w:eastAsia="Calibri"/>
          <w:szCs w:val="26"/>
          <w:lang w:eastAsia="es-ES"/>
        </w:rPr>
        <w:t>utovía del Pirineo. Los contratos tienen como objeto</w:t>
      </w:r>
      <w:r w:rsidR="00BA2AF5" w:rsidRPr="00AE550C">
        <w:rPr>
          <w:rFonts w:eastAsia="Calibri"/>
          <w:szCs w:val="26"/>
          <w:lang w:eastAsia="es-ES"/>
        </w:rPr>
        <w:t>, entre otros,</w:t>
      </w:r>
      <w:r w:rsidRPr="00AE550C">
        <w:rPr>
          <w:rFonts w:eastAsia="Calibri"/>
          <w:szCs w:val="26"/>
          <w:lang w:eastAsia="es-ES"/>
        </w:rPr>
        <w:t xml:space="preserve"> la comprobación de niveles de calidad, verificación del tráfico objeto de abono mediante el canon, redacción de informes, seguimi</w:t>
      </w:r>
      <w:r w:rsidR="0035593C">
        <w:rPr>
          <w:rFonts w:eastAsia="Calibri"/>
          <w:szCs w:val="26"/>
          <w:lang w:eastAsia="es-ES"/>
        </w:rPr>
        <w:t xml:space="preserve">ento de la </w:t>
      </w:r>
      <w:r w:rsidR="0035593C" w:rsidRPr="005C57BD">
        <w:rPr>
          <w:rFonts w:eastAsia="Calibri"/>
          <w:szCs w:val="26"/>
          <w:lang w:eastAsia="es-ES"/>
        </w:rPr>
        <w:t>via</w:t>
      </w:r>
      <w:r w:rsidR="00BA2AF5" w:rsidRPr="005C57BD">
        <w:rPr>
          <w:rFonts w:eastAsia="Calibri"/>
          <w:szCs w:val="26"/>
          <w:lang w:eastAsia="es-ES"/>
        </w:rPr>
        <w:t xml:space="preserve">lidad </w:t>
      </w:r>
      <w:r w:rsidR="00BA2AF5" w:rsidRPr="00AE550C">
        <w:rPr>
          <w:rFonts w:eastAsia="Calibri"/>
          <w:szCs w:val="26"/>
          <w:lang w:eastAsia="es-ES"/>
        </w:rPr>
        <w:t>invernal, así como la</w:t>
      </w:r>
      <w:r w:rsidRPr="00AE550C">
        <w:rPr>
          <w:rFonts w:eastAsia="Calibri"/>
          <w:szCs w:val="26"/>
          <w:lang w:eastAsia="es-ES"/>
        </w:rPr>
        <w:t xml:space="preserve"> realización de ensayos</w:t>
      </w:r>
      <w:r w:rsidR="008F7D98">
        <w:rPr>
          <w:rFonts w:eastAsia="Calibri"/>
          <w:szCs w:val="26"/>
          <w:lang w:eastAsia="es-ES"/>
        </w:rPr>
        <w:t xml:space="preserve"> que determinan el CEICS en la A</w:t>
      </w:r>
      <w:r w:rsidRPr="00AE550C">
        <w:rPr>
          <w:rFonts w:eastAsia="Calibri"/>
          <w:szCs w:val="26"/>
          <w:lang w:eastAsia="es-ES"/>
        </w:rPr>
        <w:t>utovía del Pirineo. Los</w:t>
      </w:r>
      <w:r>
        <w:t xml:space="preserve"> contratos en vigor son los siguientes:</w:t>
      </w:r>
    </w:p>
    <w:tbl>
      <w:tblPr>
        <w:tblW w:w="8935" w:type="dxa"/>
        <w:tblInd w:w="137"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1423"/>
        <w:gridCol w:w="1843"/>
        <w:gridCol w:w="2409"/>
        <w:gridCol w:w="1984"/>
        <w:gridCol w:w="1276"/>
      </w:tblGrid>
      <w:tr w:rsidR="00C30199" w:rsidRPr="003C641D" w14:paraId="18440029" w14:textId="77777777" w:rsidTr="00471A11">
        <w:trPr>
          <w:trHeight w:val="255"/>
        </w:trPr>
        <w:tc>
          <w:tcPr>
            <w:tcW w:w="1423" w:type="dxa"/>
            <w:shd w:val="clear" w:color="auto" w:fill="B8CCE4" w:themeFill="accent1" w:themeFillTint="66"/>
            <w:vAlign w:val="center"/>
            <w:hideMark/>
          </w:tcPr>
          <w:p w14:paraId="44F9E42A" w14:textId="77777777" w:rsidR="00C30199" w:rsidRPr="003C641D" w:rsidRDefault="00C30199" w:rsidP="007A7E98">
            <w:pPr>
              <w:pStyle w:val="cuadroCabe"/>
              <w:rPr>
                <w:lang w:val="es-ES" w:eastAsia="es-ES"/>
              </w:rPr>
            </w:pPr>
            <w:r w:rsidRPr="003C641D">
              <w:rPr>
                <w:lang w:val="es-ES" w:eastAsia="es-ES"/>
              </w:rPr>
              <w:t>Autovía</w:t>
            </w:r>
          </w:p>
        </w:tc>
        <w:tc>
          <w:tcPr>
            <w:tcW w:w="1843" w:type="dxa"/>
            <w:shd w:val="clear" w:color="auto" w:fill="B8CCE4" w:themeFill="accent1" w:themeFillTint="66"/>
            <w:vAlign w:val="center"/>
            <w:hideMark/>
          </w:tcPr>
          <w:p w14:paraId="41B2F87F" w14:textId="77777777" w:rsidR="00C30199" w:rsidRPr="003D0B68" w:rsidRDefault="00C30199" w:rsidP="00471A11">
            <w:pPr>
              <w:pStyle w:val="cuadroCabe"/>
              <w:jc w:val="right"/>
              <w:rPr>
                <w:lang w:val="es-ES" w:eastAsia="es-ES"/>
              </w:rPr>
            </w:pPr>
            <w:r w:rsidRPr="003D0B68">
              <w:rPr>
                <w:lang w:val="es-ES" w:eastAsia="es-ES"/>
              </w:rPr>
              <w:t>Fech</w:t>
            </w:r>
            <w:r w:rsidR="00337F6F" w:rsidRPr="003D0B68">
              <w:rPr>
                <w:lang w:val="es-ES" w:eastAsia="es-ES"/>
              </w:rPr>
              <w:t xml:space="preserve">a adjudicación </w:t>
            </w:r>
          </w:p>
        </w:tc>
        <w:tc>
          <w:tcPr>
            <w:tcW w:w="2409" w:type="dxa"/>
            <w:shd w:val="clear" w:color="auto" w:fill="B8CCE4" w:themeFill="accent1" w:themeFillTint="66"/>
            <w:vAlign w:val="center"/>
            <w:hideMark/>
          </w:tcPr>
          <w:p w14:paraId="09F406CB" w14:textId="77777777" w:rsidR="00C30199" w:rsidRPr="003D0B68" w:rsidRDefault="00C30199" w:rsidP="00AE550C">
            <w:pPr>
              <w:pStyle w:val="cuadroCabe"/>
              <w:jc w:val="right"/>
              <w:rPr>
                <w:lang w:val="es-ES" w:eastAsia="es-ES"/>
              </w:rPr>
            </w:pPr>
            <w:r w:rsidRPr="003D0B68">
              <w:rPr>
                <w:lang w:val="es-ES" w:eastAsia="es-ES"/>
              </w:rPr>
              <w:t>Adjudicatario</w:t>
            </w:r>
          </w:p>
        </w:tc>
        <w:tc>
          <w:tcPr>
            <w:tcW w:w="1984" w:type="dxa"/>
            <w:shd w:val="clear" w:color="auto" w:fill="B8CCE4" w:themeFill="accent1" w:themeFillTint="66"/>
            <w:vAlign w:val="center"/>
            <w:hideMark/>
          </w:tcPr>
          <w:p w14:paraId="71B54760" w14:textId="77777777" w:rsidR="00C30199" w:rsidRPr="003D0B68" w:rsidRDefault="007A7E98" w:rsidP="00AE550C">
            <w:pPr>
              <w:pStyle w:val="cuadroCabe"/>
              <w:jc w:val="right"/>
              <w:rPr>
                <w:lang w:val="es-ES" w:eastAsia="es-ES"/>
              </w:rPr>
            </w:pPr>
            <w:r w:rsidRPr="003D0B68">
              <w:rPr>
                <w:lang w:val="es-ES" w:eastAsia="es-ES"/>
              </w:rPr>
              <w:t>Importe</w:t>
            </w:r>
            <w:r w:rsidR="00337F6F" w:rsidRPr="003D0B68">
              <w:rPr>
                <w:lang w:val="es-ES" w:eastAsia="es-ES"/>
              </w:rPr>
              <w:t xml:space="preserve"> </w:t>
            </w:r>
            <w:proofErr w:type="gramStart"/>
            <w:r w:rsidR="00337F6F" w:rsidRPr="003D0B68">
              <w:rPr>
                <w:lang w:val="es-ES" w:eastAsia="es-ES"/>
              </w:rPr>
              <w:t xml:space="preserve">adjudicación </w:t>
            </w:r>
            <w:r w:rsidRPr="003D0B68">
              <w:rPr>
                <w:lang w:val="es-ES" w:eastAsia="es-ES"/>
              </w:rPr>
              <w:t xml:space="preserve"> IVA</w:t>
            </w:r>
            <w:proofErr w:type="gramEnd"/>
            <w:r w:rsidRPr="003D0B68">
              <w:rPr>
                <w:lang w:val="es-ES" w:eastAsia="es-ES"/>
              </w:rPr>
              <w:t xml:space="preserve"> </w:t>
            </w:r>
            <w:r w:rsidR="00C30199" w:rsidRPr="003D0B68">
              <w:rPr>
                <w:lang w:val="es-ES" w:eastAsia="es-ES"/>
              </w:rPr>
              <w:t>excluido</w:t>
            </w:r>
          </w:p>
        </w:tc>
        <w:tc>
          <w:tcPr>
            <w:tcW w:w="1276" w:type="dxa"/>
            <w:shd w:val="clear" w:color="auto" w:fill="B8CCE4" w:themeFill="accent1" w:themeFillTint="66"/>
            <w:vAlign w:val="center"/>
            <w:hideMark/>
          </w:tcPr>
          <w:p w14:paraId="52801F77" w14:textId="77777777" w:rsidR="00C30199" w:rsidRPr="003C641D" w:rsidRDefault="00C30199" w:rsidP="00AE550C">
            <w:pPr>
              <w:pStyle w:val="cuadroCabe"/>
              <w:jc w:val="right"/>
              <w:rPr>
                <w:lang w:val="es-ES" w:eastAsia="es-ES"/>
              </w:rPr>
            </w:pPr>
            <w:r w:rsidRPr="003C641D">
              <w:rPr>
                <w:lang w:val="es-ES" w:eastAsia="es-ES"/>
              </w:rPr>
              <w:t>Plazo</w:t>
            </w:r>
          </w:p>
        </w:tc>
      </w:tr>
      <w:tr w:rsidR="00C30199" w:rsidRPr="003C641D" w14:paraId="3DBB690B" w14:textId="77777777" w:rsidTr="00471A11">
        <w:trPr>
          <w:trHeight w:val="255"/>
        </w:trPr>
        <w:tc>
          <w:tcPr>
            <w:tcW w:w="1423" w:type="dxa"/>
            <w:shd w:val="clear" w:color="auto" w:fill="auto"/>
            <w:noWrap/>
            <w:vAlign w:val="center"/>
            <w:hideMark/>
          </w:tcPr>
          <w:p w14:paraId="03C6D5E7" w14:textId="77777777" w:rsidR="00C30199" w:rsidRPr="003C641D" w:rsidRDefault="00C30199" w:rsidP="007A7E98">
            <w:pPr>
              <w:pStyle w:val="cuatexto"/>
              <w:rPr>
                <w:lang w:val="es-ES" w:eastAsia="es-ES"/>
              </w:rPr>
            </w:pPr>
            <w:r w:rsidRPr="003C641D">
              <w:rPr>
                <w:lang w:val="es-ES" w:eastAsia="es-ES"/>
              </w:rPr>
              <w:t>Autovía Camino</w:t>
            </w:r>
          </w:p>
        </w:tc>
        <w:tc>
          <w:tcPr>
            <w:tcW w:w="1843" w:type="dxa"/>
            <w:shd w:val="clear" w:color="auto" w:fill="auto"/>
            <w:noWrap/>
            <w:vAlign w:val="center"/>
            <w:hideMark/>
          </w:tcPr>
          <w:p w14:paraId="7E08AA73" w14:textId="77777777" w:rsidR="00C30199" w:rsidRPr="003C641D" w:rsidRDefault="00C30199" w:rsidP="00AE550C">
            <w:pPr>
              <w:pStyle w:val="cuatexto"/>
              <w:jc w:val="right"/>
              <w:rPr>
                <w:lang w:val="es-ES" w:eastAsia="es-ES"/>
              </w:rPr>
            </w:pPr>
            <w:r w:rsidRPr="003C641D">
              <w:rPr>
                <w:lang w:val="es-ES" w:eastAsia="es-ES"/>
              </w:rPr>
              <w:t>14/01/2019</w:t>
            </w:r>
          </w:p>
        </w:tc>
        <w:tc>
          <w:tcPr>
            <w:tcW w:w="2409" w:type="dxa"/>
            <w:shd w:val="clear" w:color="auto" w:fill="auto"/>
            <w:noWrap/>
            <w:vAlign w:val="center"/>
            <w:hideMark/>
          </w:tcPr>
          <w:p w14:paraId="2D7FEC13" w14:textId="77777777" w:rsidR="00C30199" w:rsidRPr="003C641D" w:rsidRDefault="00337F6F" w:rsidP="00AE550C">
            <w:pPr>
              <w:pStyle w:val="cuatexto"/>
              <w:jc w:val="right"/>
              <w:rPr>
                <w:lang w:val="es-ES" w:eastAsia="es-ES"/>
              </w:rPr>
            </w:pPr>
            <w:r w:rsidRPr="003D0B68">
              <w:rPr>
                <w:lang w:val="es-ES" w:eastAsia="es-ES"/>
              </w:rPr>
              <w:t xml:space="preserve">LRA </w:t>
            </w:r>
            <w:proofErr w:type="spellStart"/>
            <w:r w:rsidRPr="003D0B68">
              <w:rPr>
                <w:lang w:val="es-ES" w:eastAsia="es-ES"/>
              </w:rPr>
              <w:t>Infraestructures</w:t>
            </w:r>
            <w:proofErr w:type="spellEnd"/>
            <w:r w:rsidRPr="003D0B68">
              <w:rPr>
                <w:lang w:val="es-ES" w:eastAsia="es-ES"/>
              </w:rPr>
              <w:t xml:space="preserve"> </w:t>
            </w:r>
            <w:proofErr w:type="spellStart"/>
            <w:r w:rsidRPr="003D0B68">
              <w:rPr>
                <w:lang w:val="es-ES" w:eastAsia="es-ES"/>
              </w:rPr>
              <w:t>Consulting</w:t>
            </w:r>
            <w:proofErr w:type="spellEnd"/>
            <w:r w:rsidRPr="003D0B68">
              <w:rPr>
                <w:lang w:val="es-ES" w:eastAsia="es-ES"/>
              </w:rPr>
              <w:t xml:space="preserve"> S.L./LCA </w:t>
            </w:r>
            <w:proofErr w:type="gramStart"/>
            <w:r w:rsidRPr="003D0B68">
              <w:rPr>
                <w:lang w:val="es-ES" w:eastAsia="es-ES"/>
              </w:rPr>
              <w:t>S.L</w:t>
            </w:r>
            <w:proofErr w:type="gramEnd"/>
          </w:p>
        </w:tc>
        <w:tc>
          <w:tcPr>
            <w:tcW w:w="1984" w:type="dxa"/>
            <w:shd w:val="clear" w:color="auto" w:fill="auto"/>
            <w:noWrap/>
            <w:vAlign w:val="center"/>
            <w:hideMark/>
          </w:tcPr>
          <w:p w14:paraId="1F9056C4" w14:textId="77777777" w:rsidR="00C30199" w:rsidRPr="003C641D" w:rsidRDefault="00C30199" w:rsidP="00AE550C">
            <w:pPr>
              <w:pStyle w:val="cuatexto"/>
              <w:jc w:val="right"/>
              <w:rPr>
                <w:lang w:val="es-ES" w:eastAsia="es-ES"/>
              </w:rPr>
            </w:pPr>
            <w:r w:rsidRPr="003C641D">
              <w:rPr>
                <w:lang w:val="es-ES" w:eastAsia="es-ES"/>
              </w:rPr>
              <w:t>297.520</w:t>
            </w:r>
          </w:p>
        </w:tc>
        <w:tc>
          <w:tcPr>
            <w:tcW w:w="1276" w:type="dxa"/>
            <w:shd w:val="clear" w:color="auto" w:fill="auto"/>
            <w:noWrap/>
            <w:vAlign w:val="center"/>
            <w:hideMark/>
          </w:tcPr>
          <w:p w14:paraId="7F5D6A13" w14:textId="77777777" w:rsidR="00C30199" w:rsidRPr="003C641D" w:rsidRDefault="00C30199" w:rsidP="00AE550C">
            <w:pPr>
              <w:pStyle w:val="cuatexto"/>
              <w:jc w:val="right"/>
              <w:rPr>
                <w:lang w:val="es-ES" w:eastAsia="es-ES"/>
              </w:rPr>
            </w:pPr>
            <w:r w:rsidRPr="003C641D">
              <w:rPr>
                <w:lang w:val="es-ES" w:eastAsia="es-ES"/>
              </w:rPr>
              <w:t>2019-2023</w:t>
            </w:r>
          </w:p>
        </w:tc>
      </w:tr>
      <w:tr w:rsidR="00C30199" w:rsidRPr="003C641D" w14:paraId="7BA5BD84" w14:textId="77777777" w:rsidTr="00471A11">
        <w:trPr>
          <w:trHeight w:val="156"/>
        </w:trPr>
        <w:tc>
          <w:tcPr>
            <w:tcW w:w="1423" w:type="dxa"/>
            <w:shd w:val="clear" w:color="auto" w:fill="auto"/>
            <w:noWrap/>
            <w:vAlign w:val="center"/>
            <w:hideMark/>
          </w:tcPr>
          <w:p w14:paraId="59B99480" w14:textId="77777777" w:rsidR="00C30199" w:rsidRPr="003C641D" w:rsidRDefault="00C30199" w:rsidP="007A7E98">
            <w:pPr>
              <w:pStyle w:val="cuatexto"/>
              <w:rPr>
                <w:lang w:val="es-ES" w:eastAsia="es-ES"/>
              </w:rPr>
            </w:pPr>
            <w:r w:rsidRPr="003C641D">
              <w:rPr>
                <w:lang w:val="es-ES" w:eastAsia="es-ES"/>
              </w:rPr>
              <w:t>Autovía Pirineo</w:t>
            </w:r>
          </w:p>
        </w:tc>
        <w:tc>
          <w:tcPr>
            <w:tcW w:w="1843" w:type="dxa"/>
            <w:shd w:val="clear" w:color="auto" w:fill="auto"/>
            <w:noWrap/>
            <w:vAlign w:val="center"/>
            <w:hideMark/>
          </w:tcPr>
          <w:p w14:paraId="3F82D39B" w14:textId="77777777" w:rsidR="00C30199" w:rsidRPr="003C641D" w:rsidRDefault="00C30199" w:rsidP="00AE550C">
            <w:pPr>
              <w:pStyle w:val="cuatexto"/>
              <w:jc w:val="right"/>
              <w:rPr>
                <w:lang w:val="es-ES" w:eastAsia="es-ES"/>
              </w:rPr>
            </w:pPr>
            <w:r w:rsidRPr="003C641D">
              <w:rPr>
                <w:lang w:val="es-ES" w:eastAsia="es-ES"/>
              </w:rPr>
              <w:t>14/01/2019</w:t>
            </w:r>
          </w:p>
        </w:tc>
        <w:tc>
          <w:tcPr>
            <w:tcW w:w="2409" w:type="dxa"/>
            <w:shd w:val="clear" w:color="auto" w:fill="auto"/>
            <w:noWrap/>
            <w:vAlign w:val="center"/>
            <w:hideMark/>
          </w:tcPr>
          <w:p w14:paraId="18FCCABC" w14:textId="77777777" w:rsidR="00C30199" w:rsidRPr="003C641D" w:rsidRDefault="00E65CDA" w:rsidP="00AE550C">
            <w:pPr>
              <w:pStyle w:val="cuatexto"/>
              <w:jc w:val="right"/>
              <w:rPr>
                <w:lang w:val="es-ES" w:eastAsia="es-ES"/>
              </w:rPr>
            </w:pPr>
            <w:r w:rsidRPr="003D0B68">
              <w:rPr>
                <w:lang w:val="es-ES" w:eastAsia="es-ES"/>
              </w:rPr>
              <w:t xml:space="preserve">LRA </w:t>
            </w:r>
            <w:proofErr w:type="spellStart"/>
            <w:r w:rsidRPr="003D0B68">
              <w:rPr>
                <w:lang w:val="es-ES" w:eastAsia="es-ES"/>
              </w:rPr>
              <w:t>Infraestructures</w:t>
            </w:r>
            <w:proofErr w:type="spellEnd"/>
            <w:r w:rsidRPr="003D0B68">
              <w:rPr>
                <w:lang w:val="es-ES" w:eastAsia="es-ES"/>
              </w:rPr>
              <w:t xml:space="preserve"> </w:t>
            </w:r>
            <w:proofErr w:type="spellStart"/>
            <w:r w:rsidRPr="003D0B68">
              <w:rPr>
                <w:lang w:val="es-ES" w:eastAsia="es-ES"/>
              </w:rPr>
              <w:t>Consulting</w:t>
            </w:r>
            <w:proofErr w:type="spellEnd"/>
            <w:r w:rsidRPr="003D0B68">
              <w:rPr>
                <w:lang w:val="es-ES" w:eastAsia="es-ES"/>
              </w:rPr>
              <w:t xml:space="preserve"> S.L./LCA </w:t>
            </w:r>
            <w:proofErr w:type="gramStart"/>
            <w:r w:rsidRPr="003D0B68">
              <w:rPr>
                <w:lang w:val="es-ES" w:eastAsia="es-ES"/>
              </w:rPr>
              <w:t>S.L</w:t>
            </w:r>
            <w:proofErr w:type="gramEnd"/>
          </w:p>
        </w:tc>
        <w:tc>
          <w:tcPr>
            <w:tcW w:w="1984" w:type="dxa"/>
            <w:shd w:val="clear" w:color="auto" w:fill="auto"/>
            <w:noWrap/>
            <w:vAlign w:val="center"/>
            <w:hideMark/>
          </w:tcPr>
          <w:p w14:paraId="34FA5794" w14:textId="77777777" w:rsidR="00C30199" w:rsidRPr="00E65CDA" w:rsidRDefault="00C30199" w:rsidP="00AE550C">
            <w:pPr>
              <w:pStyle w:val="cuatexto"/>
              <w:jc w:val="right"/>
              <w:rPr>
                <w:lang w:val="es-ES" w:eastAsia="es-ES"/>
              </w:rPr>
            </w:pPr>
            <w:r w:rsidRPr="00E65CDA">
              <w:rPr>
                <w:lang w:val="es-ES" w:eastAsia="es-ES"/>
              </w:rPr>
              <w:t>495.86</w:t>
            </w:r>
            <w:r w:rsidR="00337F6F" w:rsidRPr="00E65CDA">
              <w:rPr>
                <w:lang w:val="es-ES" w:eastAsia="es-ES"/>
              </w:rPr>
              <w:t>8</w:t>
            </w:r>
          </w:p>
        </w:tc>
        <w:tc>
          <w:tcPr>
            <w:tcW w:w="1276" w:type="dxa"/>
            <w:shd w:val="clear" w:color="auto" w:fill="auto"/>
            <w:noWrap/>
            <w:vAlign w:val="center"/>
            <w:hideMark/>
          </w:tcPr>
          <w:p w14:paraId="02FE94F9" w14:textId="77777777" w:rsidR="00C30199" w:rsidRPr="00E65CDA" w:rsidRDefault="00C30199" w:rsidP="00AE550C">
            <w:pPr>
              <w:pStyle w:val="cuatexto"/>
              <w:jc w:val="right"/>
              <w:rPr>
                <w:lang w:val="es-ES" w:eastAsia="es-ES"/>
              </w:rPr>
            </w:pPr>
            <w:r w:rsidRPr="00E65CDA">
              <w:rPr>
                <w:lang w:val="es-ES" w:eastAsia="es-ES"/>
              </w:rPr>
              <w:t>2019-2023</w:t>
            </w:r>
          </w:p>
        </w:tc>
      </w:tr>
    </w:tbl>
    <w:p w14:paraId="20645F7A" w14:textId="77777777" w:rsidR="007A7E98" w:rsidRDefault="007A7E98" w:rsidP="00C30199">
      <w:pPr>
        <w:pStyle w:val="texto"/>
        <w:tabs>
          <w:tab w:val="clear" w:pos="2835"/>
          <w:tab w:val="clear" w:pos="3969"/>
          <w:tab w:val="clear" w:pos="5103"/>
          <w:tab w:val="clear" w:pos="6237"/>
          <w:tab w:val="clear" w:pos="7371"/>
        </w:tabs>
        <w:spacing w:after="100"/>
        <w:ind w:firstLine="360"/>
      </w:pPr>
    </w:p>
    <w:p w14:paraId="45AF92BA" w14:textId="77777777" w:rsidR="000D3237" w:rsidRDefault="000D3237">
      <w:pPr>
        <w:spacing w:after="0"/>
        <w:ind w:firstLine="0"/>
        <w:jc w:val="left"/>
        <w:rPr>
          <w:spacing w:val="6"/>
          <w:sz w:val="26"/>
          <w:szCs w:val="24"/>
        </w:rPr>
      </w:pPr>
      <w:r>
        <w:br w:type="page"/>
      </w:r>
    </w:p>
    <w:p w14:paraId="7B9CC761" w14:textId="77777777" w:rsidR="00C30199" w:rsidRDefault="00C30199" w:rsidP="007A7E98">
      <w:pPr>
        <w:pStyle w:val="texto"/>
        <w:tabs>
          <w:tab w:val="clear" w:pos="2835"/>
          <w:tab w:val="clear" w:pos="3969"/>
          <w:tab w:val="clear" w:pos="5103"/>
          <w:tab w:val="clear" w:pos="6237"/>
          <w:tab w:val="clear" w:pos="7371"/>
        </w:tabs>
        <w:spacing w:after="240"/>
        <w:ind w:firstLine="357"/>
      </w:pPr>
      <w:r>
        <w:t>El gasto en asistencia técnica para las dos autovías, entre 2014</w:t>
      </w:r>
      <w:r>
        <w:rPr>
          <w:rStyle w:val="Refdenotaalpie"/>
        </w:rPr>
        <w:footnoteReference w:id="7"/>
      </w:r>
      <w:r>
        <w:t xml:space="preserve"> y 2021 </w:t>
      </w:r>
      <w:r w:rsidR="00024864" w:rsidRPr="004C6F50">
        <w:t xml:space="preserve">ha sido </w:t>
      </w:r>
      <w:r>
        <w:t xml:space="preserve">el siguiente: </w:t>
      </w:r>
    </w:p>
    <w:tbl>
      <w:tblPr>
        <w:tblW w:w="9072" w:type="dxa"/>
        <w:tblCellMar>
          <w:left w:w="0" w:type="dxa"/>
          <w:right w:w="0" w:type="dxa"/>
        </w:tblCellMar>
        <w:tblLook w:val="04A0" w:firstRow="1" w:lastRow="0" w:firstColumn="1" w:lastColumn="0" w:noHBand="0" w:noVBand="1"/>
      </w:tblPr>
      <w:tblGrid>
        <w:gridCol w:w="2835"/>
        <w:gridCol w:w="6237"/>
      </w:tblGrid>
      <w:tr w:rsidR="00C30199" w14:paraId="63418F44" w14:textId="77777777" w:rsidTr="000D3237">
        <w:trPr>
          <w:trHeight w:val="227"/>
        </w:trPr>
        <w:tc>
          <w:tcPr>
            <w:tcW w:w="2835" w:type="dxa"/>
            <w:tcBorders>
              <w:top w:val="single" w:sz="4" w:space="0" w:color="auto"/>
              <w:left w:val="nil"/>
              <w:bottom w:val="single" w:sz="4" w:space="0" w:color="auto"/>
              <w:right w:val="nil"/>
            </w:tcBorders>
            <w:shd w:val="clear" w:color="auto" w:fill="B8CCE4" w:themeFill="accent1" w:themeFillTint="66"/>
            <w:tcMar>
              <w:top w:w="15" w:type="dxa"/>
              <w:left w:w="15" w:type="dxa"/>
              <w:bottom w:w="0" w:type="dxa"/>
              <w:right w:w="15" w:type="dxa"/>
            </w:tcMar>
            <w:vAlign w:val="center"/>
            <w:hideMark/>
          </w:tcPr>
          <w:p w14:paraId="4899BDF6" w14:textId="77777777" w:rsidR="00C30199" w:rsidRDefault="00C30199" w:rsidP="00AE550C">
            <w:pPr>
              <w:pStyle w:val="cuadroCabe"/>
              <w:spacing w:line="240" w:lineRule="auto"/>
              <w:rPr>
                <w:lang w:val="es-ES" w:eastAsia="es-ES"/>
              </w:rPr>
            </w:pPr>
            <w:r>
              <w:t xml:space="preserve">Año </w:t>
            </w:r>
          </w:p>
        </w:tc>
        <w:tc>
          <w:tcPr>
            <w:tcW w:w="6237" w:type="dxa"/>
            <w:tcBorders>
              <w:top w:val="single" w:sz="4" w:space="0" w:color="auto"/>
              <w:left w:val="nil"/>
              <w:bottom w:val="single" w:sz="4" w:space="0" w:color="auto"/>
              <w:right w:val="nil"/>
            </w:tcBorders>
            <w:shd w:val="clear" w:color="auto" w:fill="B8CCE4" w:themeFill="accent1" w:themeFillTint="66"/>
            <w:tcMar>
              <w:top w:w="15" w:type="dxa"/>
              <w:left w:w="15" w:type="dxa"/>
              <w:bottom w:w="0" w:type="dxa"/>
              <w:right w:w="15" w:type="dxa"/>
            </w:tcMar>
            <w:vAlign w:val="center"/>
            <w:hideMark/>
          </w:tcPr>
          <w:p w14:paraId="4D196B98" w14:textId="77777777" w:rsidR="00C30199" w:rsidRDefault="00C30199" w:rsidP="00AE550C">
            <w:pPr>
              <w:pStyle w:val="cuadroCabe"/>
              <w:spacing w:line="240" w:lineRule="auto"/>
              <w:jc w:val="right"/>
            </w:pPr>
            <w:r>
              <w:t xml:space="preserve"> Gasto presupuestario </w:t>
            </w:r>
          </w:p>
        </w:tc>
      </w:tr>
      <w:tr w:rsidR="00C30199" w14:paraId="50610D0E" w14:textId="77777777" w:rsidTr="000D3237">
        <w:trPr>
          <w:trHeight w:val="227"/>
        </w:trPr>
        <w:tc>
          <w:tcPr>
            <w:tcW w:w="2835" w:type="dxa"/>
            <w:tcBorders>
              <w:top w:val="nil"/>
              <w:left w:val="nil"/>
              <w:bottom w:val="single" w:sz="2" w:space="0" w:color="auto"/>
              <w:right w:val="nil"/>
            </w:tcBorders>
            <w:shd w:val="clear" w:color="auto" w:fill="auto"/>
            <w:noWrap/>
            <w:tcMar>
              <w:top w:w="15" w:type="dxa"/>
              <w:left w:w="15" w:type="dxa"/>
              <w:bottom w:w="0" w:type="dxa"/>
              <w:right w:w="15" w:type="dxa"/>
            </w:tcMar>
            <w:vAlign w:val="center"/>
            <w:hideMark/>
          </w:tcPr>
          <w:p w14:paraId="652216DE" w14:textId="77777777" w:rsidR="00C30199" w:rsidRPr="00FA4A0B" w:rsidRDefault="00C30199" w:rsidP="00AE550C">
            <w:pPr>
              <w:pStyle w:val="cuatexto"/>
              <w:spacing w:line="240" w:lineRule="auto"/>
              <w:rPr>
                <w:lang w:val="es-ES" w:eastAsia="es-ES"/>
              </w:rPr>
            </w:pPr>
            <w:r w:rsidRPr="00FA4A0B">
              <w:rPr>
                <w:lang w:val="es-ES" w:eastAsia="es-ES"/>
              </w:rPr>
              <w:t>2015</w:t>
            </w:r>
          </w:p>
        </w:tc>
        <w:tc>
          <w:tcPr>
            <w:tcW w:w="6237" w:type="dxa"/>
            <w:tcBorders>
              <w:top w:val="nil"/>
              <w:left w:val="nil"/>
              <w:bottom w:val="single" w:sz="2" w:space="0" w:color="auto"/>
              <w:right w:val="nil"/>
            </w:tcBorders>
            <w:shd w:val="clear" w:color="auto" w:fill="auto"/>
            <w:noWrap/>
            <w:tcMar>
              <w:top w:w="15" w:type="dxa"/>
              <w:left w:w="15" w:type="dxa"/>
              <w:bottom w:w="0" w:type="dxa"/>
              <w:right w:w="15" w:type="dxa"/>
            </w:tcMar>
            <w:vAlign w:val="center"/>
            <w:hideMark/>
          </w:tcPr>
          <w:p w14:paraId="67D42374" w14:textId="77777777" w:rsidR="00C30199" w:rsidRPr="00FA4A0B" w:rsidRDefault="00C30199" w:rsidP="00AE550C">
            <w:pPr>
              <w:pStyle w:val="cuatexto"/>
              <w:spacing w:line="240" w:lineRule="auto"/>
              <w:jc w:val="right"/>
              <w:rPr>
                <w:lang w:val="es-ES" w:eastAsia="es-ES"/>
              </w:rPr>
            </w:pPr>
            <w:r w:rsidRPr="00FA4A0B">
              <w:rPr>
                <w:lang w:val="es-ES" w:eastAsia="es-ES"/>
              </w:rPr>
              <w:t xml:space="preserve">183.460 </w:t>
            </w:r>
          </w:p>
        </w:tc>
      </w:tr>
      <w:tr w:rsidR="00C30199" w14:paraId="2A841911" w14:textId="77777777" w:rsidTr="000D3237">
        <w:trPr>
          <w:trHeight w:val="227"/>
        </w:trPr>
        <w:tc>
          <w:tcPr>
            <w:tcW w:w="2835"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363EABDA" w14:textId="77777777" w:rsidR="00C30199" w:rsidRPr="00FA4A0B" w:rsidRDefault="00C30199" w:rsidP="00AE550C">
            <w:pPr>
              <w:pStyle w:val="cuatexto"/>
              <w:spacing w:line="240" w:lineRule="auto"/>
              <w:rPr>
                <w:lang w:val="es-ES" w:eastAsia="es-ES"/>
              </w:rPr>
            </w:pPr>
            <w:r w:rsidRPr="00FA4A0B">
              <w:rPr>
                <w:lang w:val="es-ES" w:eastAsia="es-ES"/>
              </w:rPr>
              <w:t>2016</w:t>
            </w:r>
          </w:p>
        </w:tc>
        <w:tc>
          <w:tcPr>
            <w:tcW w:w="6237"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1D5394E7" w14:textId="77777777" w:rsidR="00C30199" w:rsidRPr="00FA4A0B" w:rsidRDefault="00C30199" w:rsidP="00AE550C">
            <w:pPr>
              <w:pStyle w:val="cuatexto"/>
              <w:spacing w:line="240" w:lineRule="auto"/>
              <w:jc w:val="right"/>
              <w:rPr>
                <w:lang w:val="es-ES" w:eastAsia="es-ES"/>
              </w:rPr>
            </w:pPr>
            <w:r w:rsidRPr="00FA4A0B">
              <w:rPr>
                <w:lang w:val="es-ES" w:eastAsia="es-ES"/>
              </w:rPr>
              <w:t xml:space="preserve">183.499 </w:t>
            </w:r>
          </w:p>
        </w:tc>
      </w:tr>
      <w:tr w:rsidR="00C30199" w14:paraId="5B52E882" w14:textId="77777777" w:rsidTr="000D3237">
        <w:trPr>
          <w:trHeight w:val="227"/>
        </w:trPr>
        <w:tc>
          <w:tcPr>
            <w:tcW w:w="2835"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28C26F07" w14:textId="77777777" w:rsidR="00C30199" w:rsidRPr="00FA4A0B" w:rsidRDefault="00C30199" w:rsidP="00AE550C">
            <w:pPr>
              <w:pStyle w:val="cuatexto"/>
              <w:spacing w:line="240" w:lineRule="auto"/>
              <w:rPr>
                <w:lang w:val="es-ES" w:eastAsia="es-ES"/>
              </w:rPr>
            </w:pPr>
            <w:r w:rsidRPr="00FA4A0B">
              <w:rPr>
                <w:lang w:val="es-ES" w:eastAsia="es-ES"/>
              </w:rPr>
              <w:t>2017</w:t>
            </w:r>
          </w:p>
        </w:tc>
        <w:tc>
          <w:tcPr>
            <w:tcW w:w="6237"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462A2ED1" w14:textId="77777777" w:rsidR="00C30199" w:rsidRPr="00FA4A0B" w:rsidRDefault="00C30199" w:rsidP="00AE550C">
            <w:pPr>
              <w:pStyle w:val="cuatexto"/>
              <w:spacing w:line="240" w:lineRule="auto"/>
              <w:jc w:val="right"/>
              <w:rPr>
                <w:lang w:val="es-ES" w:eastAsia="es-ES"/>
              </w:rPr>
            </w:pPr>
            <w:r w:rsidRPr="00FA4A0B">
              <w:rPr>
                <w:lang w:val="es-ES" w:eastAsia="es-ES"/>
              </w:rPr>
              <w:t xml:space="preserve">183.301 </w:t>
            </w:r>
          </w:p>
        </w:tc>
      </w:tr>
      <w:tr w:rsidR="00C30199" w14:paraId="4C8CF6AD" w14:textId="77777777" w:rsidTr="000D3237">
        <w:trPr>
          <w:trHeight w:val="227"/>
        </w:trPr>
        <w:tc>
          <w:tcPr>
            <w:tcW w:w="2835"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16AEA23D" w14:textId="77777777" w:rsidR="00C30199" w:rsidRPr="00FA4A0B" w:rsidRDefault="00C30199" w:rsidP="00AE550C">
            <w:pPr>
              <w:pStyle w:val="cuatexto"/>
              <w:spacing w:line="240" w:lineRule="auto"/>
              <w:rPr>
                <w:lang w:val="es-ES" w:eastAsia="es-ES"/>
              </w:rPr>
            </w:pPr>
            <w:r w:rsidRPr="00FA4A0B">
              <w:rPr>
                <w:lang w:val="es-ES" w:eastAsia="es-ES"/>
              </w:rPr>
              <w:t>2018</w:t>
            </w:r>
          </w:p>
        </w:tc>
        <w:tc>
          <w:tcPr>
            <w:tcW w:w="6237"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4492BDED" w14:textId="77777777" w:rsidR="00C30199" w:rsidRPr="00FA4A0B" w:rsidRDefault="00C30199" w:rsidP="00AE550C">
            <w:pPr>
              <w:pStyle w:val="cuatexto"/>
              <w:spacing w:line="240" w:lineRule="auto"/>
              <w:jc w:val="right"/>
              <w:rPr>
                <w:lang w:val="es-ES" w:eastAsia="es-ES"/>
              </w:rPr>
            </w:pPr>
            <w:r w:rsidRPr="00FA4A0B">
              <w:rPr>
                <w:lang w:val="es-ES" w:eastAsia="es-ES"/>
              </w:rPr>
              <w:t xml:space="preserve">183.517 </w:t>
            </w:r>
          </w:p>
        </w:tc>
      </w:tr>
      <w:tr w:rsidR="00C30199" w14:paraId="2E79E24A" w14:textId="77777777" w:rsidTr="000D3237">
        <w:trPr>
          <w:trHeight w:val="227"/>
        </w:trPr>
        <w:tc>
          <w:tcPr>
            <w:tcW w:w="2835"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56E032EC" w14:textId="77777777" w:rsidR="00C30199" w:rsidRPr="00FA4A0B" w:rsidRDefault="00C30199" w:rsidP="00AE550C">
            <w:pPr>
              <w:pStyle w:val="cuatexto"/>
              <w:spacing w:line="240" w:lineRule="auto"/>
              <w:rPr>
                <w:lang w:val="es-ES" w:eastAsia="es-ES"/>
              </w:rPr>
            </w:pPr>
            <w:r w:rsidRPr="00FA4A0B">
              <w:rPr>
                <w:lang w:val="es-ES" w:eastAsia="es-ES"/>
              </w:rPr>
              <w:t>2019</w:t>
            </w:r>
          </w:p>
        </w:tc>
        <w:tc>
          <w:tcPr>
            <w:tcW w:w="6237"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720E6D09" w14:textId="77777777" w:rsidR="00C30199" w:rsidRPr="00FA4A0B" w:rsidRDefault="00C30199" w:rsidP="00AE550C">
            <w:pPr>
              <w:pStyle w:val="cuatexto"/>
              <w:spacing w:line="240" w:lineRule="auto"/>
              <w:jc w:val="right"/>
              <w:rPr>
                <w:lang w:val="es-ES" w:eastAsia="es-ES"/>
              </w:rPr>
            </w:pPr>
            <w:r w:rsidRPr="00FA4A0B">
              <w:rPr>
                <w:lang w:val="es-ES" w:eastAsia="es-ES"/>
              </w:rPr>
              <w:t xml:space="preserve">175.901 </w:t>
            </w:r>
          </w:p>
        </w:tc>
      </w:tr>
      <w:tr w:rsidR="00C30199" w14:paraId="2F9B3E0F" w14:textId="77777777" w:rsidTr="000D3237">
        <w:trPr>
          <w:trHeight w:val="227"/>
        </w:trPr>
        <w:tc>
          <w:tcPr>
            <w:tcW w:w="2835"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14EAF9A4" w14:textId="77777777" w:rsidR="00C30199" w:rsidRPr="00FA4A0B" w:rsidRDefault="00C30199" w:rsidP="00AE550C">
            <w:pPr>
              <w:pStyle w:val="cuatexto"/>
              <w:spacing w:line="240" w:lineRule="auto"/>
              <w:rPr>
                <w:lang w:val="es-ES" w:eastAsia="es-ES"/>
              </w:rPr>
            </w:pPr>
            <w:r w:rsidRPr="00FA4A0B">
              <w:rPr>
                <w:lang w:val="es-ES" w:eastAsia="es-ES"/>
              </w:rPr>
              <w:t>2020</w:t>
            </w:r>
          </w:p>
        </w:tc>
        <w:tc>
          <w:tcPr>
            <w:tcW w:w="6237" w:type="dxa"/>
            <w:tcBorders>
              <w:top w:val="single" w:sz="2" w:space="0" w:color="auto"/>
              <w:left w:val="nil"/>
              <w:bottom w:val="single" w:sz="2" w:space="0" w:color="auto"/>
              <w:right w:val="nil"/>
            </w:tcBorders>
            <w:shd w:val="clear" w:color="auto" w:fill="auto"/>
            <w:noWrap/>
            <w:tcMar>
              <w:top w:w="15" w:type="dxa"/>
              <w:left w:w="15" w:type="dxa"/>
              <w:bottom w:w="0" w:type="dxa"/>
              <w:right w:w="15" w:type="dxa"/>
            </w:tcMar>
            <w:vAlign w:val="center"/>
            <w:hideMark/>
          </w:tcPr>
          <w:p w14:paraId="1577CA5E" w14:textId="77777777" w:rsidR="00C30199" w:rsidRPr="00FA4A0B" w:rsidRDefault="00C30199" w:rsidP="00AE550C">
            <w:pPr>
              <w:pStyle w:val="cuatexto"/>
              <w:spacing w:line="240" w:lineRule="auto"/>
              <w:jc w:val="right"/>
              <w:rPr>
                <w:lang w:val="es-ES" w:eastAsia="es-ES"/>
              </w:rPr>
            </w:pPr>
            <w:r w:rsidRPr="00FA4A0B">
              <w:rPr>
                <w:lang w:val="es-ES" w:eastAsia="es-ES"/>
              </w:rPr>
              <w:t xml:space="preserve">191.831 </w:t>
            </w:r>
          </w:p>
        </w:tc>
      </w:tr>
      <w:tr w:rsidR="00C30199" w14:paraId="1E7F27AF" w14:textId="77777777" w:rsidTr="000D3237">
        <w:trPr>
          <w:trHeight w:val="227"/>
        </w:trPr>
        <w:tc>
          <w:tcPr>
            <w:tcW w:w="2835" w:type="dxa"/>
            <w:tcBorders>
              <w:top w:val="single" w:sz="2" w:space="0" w:color="auto"/>
              <w:left w:val="nil"/>
              <w:bottom w:val="nil"/>
              <w:right w:val="nil"/>
            </w:tcBorders>
            <w:shd w:val="clear" w:color="auto" w:fill="auto"/>
            <w:noWrap/>
            <w:tcMar>
              <w:top w:w="15" w:type="dxa"/>
              <w:left w:w="15" w:type="dxa"/>
              <w:bottom w:w="0" w:type="dxa"/>
              <w:right w:w="15" w:type="dxa"/>
            </w:tcMar>
            <w:vAlign w:val="center"/>
            <w:hideMark/>
          </w:tcPr>
          <w:p w14:paraId="71A88AFB" w14:textId="77777777" w:rsidR="00C30199" w:rsidRPr="00FA4A0B" w:rsidRDefault="00C30199" w:rsidP="00AE550C">
            <w:pPr>
              <w:pStyle w:val="cuatexto"/>
              <w:spacing w:line="240" w:lineRule="auto"/>
              <w:rPr>
                <w:lang w:val="es-ES" w:eastAsia="es-ES"/>
              </w:rPr>
            </w:pPr>
            <w:r w:rsidRPr="00FA4A0B">
              <w:rPr>
                <w:lang w:val="es-ES" w:eastAsia="es-ES"/>
              </w:rPr>
              <w:t>2021</w:t>
            </w:r>
          </w:p>
        </w:tc>
        <w:tc>
          <w:tcPr>
            <w:tcW w:w="6237" w:type="dxa"/>
            <w:tcBorders>
              <w:top w:val="single" w:sz="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9E8AE9A" w14:textId="77777777" w:rsidR="00C30199" w:rsidRPr="00FA4A0B" w:rsidRDefault="00C30199" w:rsidP="00AE550C">
            <w:pPr>
              <w:pStyle w:val="cuatexto"/>
              <w:spacing w:line="240" w:lineRule="auto"/>
              <w:jc w:val="right"/>
              <w:rPr>
                <w:lang w:val="es-ES" w:eastAsia="es-ES"/>
              </w:rPr>
            </w:pPr>
            <w:r w:rsidRPr="00FA4A0B">
              <w:rPr>
                <w:lang w:val="es-ES" w:eastAsia="es-ES"/>
              </w:rPr>
              <w:t xml:space="preserve">181.348 </w:t>
            </w:r>
          </w:p>
        </w:tc>
      </w:tr>
      <w:tr w:rsidR="00C30199" w14:paraId="58C94112" w14:textId="77777777" w:rsidTr="000D3237">
        <w:trPr>
          <w:trHeight w:val="227"/>
        </w:trPr>
        <w:tc>
          <w:tcPr>
            <w:tcW w:w="2835" w:type="dxa"/>
            <w:tcBorders>
              <w:top w:val="single" w:sz="4" w:space="0" w:color="auto"/>
              <w:left w:val="nil"/>
              <w:bottom w:val="single" w:sz="4" w:space="0" w:color="auto"/>
              <w:right w:val="nil"/>
            </w:tcBorders>
            <w:shd w:val="clear" w:color="auto" w:fill="B8CCE4" w:themeFill="accent1" w:themeFillTint="66"/>
            <w:noWrap/>
            <w:tcMar>
              <w:top w:w="15" w:type="dxa"/>
              <w:left w:w="15" w:type="dxa"/>
              <w:bottom w:w="0" w:type="dxa"/>
              <w:right w:w="15" w:type="dxa"/>
            </w:tcMar>
            <w:vAlign w:val="center"/>
            <w:hideMark/>
          </w:tcPr>
          <w:p w14:paraId="0F2220F8" w14:textId="77777777" w:rsidR="00C30199" w:rsidRPr="00FA4A0B" w:rsidRDefault="00C30199" w:rsidP="00AE550C">
            <w:pPr>
              <w:pStyle w:val="cuadroCabe"/>
              <w:spacing w:line="240" w:lineRule="auto"/>
              <w:rPr>
                <w:lang w:val="es-ES" w:eastAsia="es-ES"/>
              </w:rPr>
            </w:pPr>
            <w:r w:rsidRPr="00FA4A0B">
              <w:rPr>
                <w:lang w:val="es-ES" w:eastAsia="es-ES"/>
              </w:rPr>
              <w:t>Total</w:t>
            </w:r>
          </w:p>
        </w:tc>
        <w:tc>
          <w:tcPr>
            <w:tcW w:w="6237" w:type="dxa"/>
            <w:tcBorders>
              <w:top w:val="nil"/>
              <w:left w:val="nil"/>
              <w:bottom w:val="single" w:sz="4" w:space="0" w:color="auto"/>
              <w:right w:val="nil"/>
            </w:tcBorders>
            <w:shd w:val="clear" w:color="auto" w:fill="B8CCE4" w:themeFill="accent1" w:themeFillTint="66"/>
            <w:noWrap/>
            <w:tcMar>
              <w:top w:w="15" w:type="dxa"/>
              <w:left w:w="15" w:type="dxa"/>
              <w:bottom w:w="0" w:type="dxa"/>
              <w:right w:w="15" w:type="dxa"/>
            </w:tcMar>
            <w:vAlign w:val="center"/>
            <w:hideMark/>
          </w:tcPr>
          <w:p w14:paraId="2B578D02" w14:textId="77777777" w:rsidR="00C30199" w:rsidRPr="00FA4A0B" w:rsidRDefault="00C30199" w:rsidP="00AE550C">
            <w:pPr>
              <w:pStyle w:val="cuadroCabe"/>
              <w:spacing w:line="240" w:lineRule="auto"/>
              <w:jc w:val="right"/>
              <w:rPr>
                <w:lang w:val="es-ES" w:eastAsia="es-ES"/>
              </w:rPr>
            </w:pPr>
            <w:r w:rsidRPr="00FA4A0B">
              <w:rPr>
                <w:lang w:val="es-ES" w:eastAsia="es-ES"/>
              </w:rPr>
              <w:t xml:space="preserve">1.282.857 </w:t>
            </w:r>
          </w:p>
        </w:tc>
      </w:tr>
    </w:tbl>
    <w:p w14:paraId="3BD223FC" w14:textId="77777777" w:rsidR="00751941" w:rsidRDefault="00751941" w:rsidP="000D3237">
      <w:pPr>
        <w:pStyle w:val="texto"/>
        <w:spacing w:after="0"/>
      </w:pPr>
    </w:p>
    <w:p w14:paraId="07BB493A" w14:textId="77777777" w:rsidR="00751941" w:rsidRPr="006B1E89" w:rsidRDefault="00C51D97" w:rsidP="006B1E89">
      <w:pPr>
        <w:pStyle w:val="texto"/>
        <w:numPr>
          <w:ilvl w:val="0"/>
          <w:numId w:val="37"/>
        </w:numPr>
        <w:tabs>
          <w:tab w:val="clear" w:pos="2835"/>
          <w:tab w:val="clear" w:pos="3969"/>
          <w:tab w:val="clear" w:pos="5103"/>
          <w:tab w:val="clear" w:pos="6237"/>
          <w:tab w:val="clear" w:pos="7371"/>
        </w:tabs>
        <w:ind w:left="0" w:firstLine="284"/>
        <w:rPr>
          <w:rFonts w:eastAsia="Calibri"/>
          <w:lang w:eastAsia="es-ES"/>
        </w:rPr>
      </w:pPr>
      <w:r>
        <w:t>La A</w:t>
      </w:r>
      <w:r w:rsidR="00C30199">
        <w:t xml:space="preserve">utovía del </w:t>
      </w:r>
      <w:r w:rsidRPr="003D0B68">
        <w:t>Camino</w:t>
      </w:r>
      <w:r w:rsidR="00C30199">
        <w:t xml:space="preserve"> S.A.U., según contrato, se compromete a abonar a la </w:t>
      </w:r>
      <w:r>
        <w:t>Cuenta Especial de D</w:t>
      </w:r>
      <w:r w:rsidR="00C30199" w:rsidRPr="009951EF">
        <w:t>epósito</w:t>
      </w:r>
      <w:r w:rsidR="00C30199">
        <w:t xml:space="preserve"> </w:t>
      </w:r>
      <w:r w:rsidR="00C30199" w:rsidRPr="00CC5EA3">
        <w:t xml:space="preserve">(en adelante CED) </w:t>
      </w:r>
      <w:r w:rsidR="00C30199">
        <w:t xml:space="preserve">el 50 por ciento </w:t>
      </w:r>
      <w:r>
        <w:t>de los ingresos percibidos por Canon de D</w:t>
      </w:r>
      <w:r w:rsidR="00C30199">
        <w:t>emanda (IVA excluido</w:t>
      </w:r>
      <w:r w:rsidR="00C30199" w:rsidRPr="003D0B68">
        <w:t>)</w:t>
      </w:r>
      <w:r w:rsidRPr="003D0B68">
        <w:t xml:space="preserve"> y un importe equivalente al IVA de los citados ingresos</w:t>
      </w:r>
      <w:r w:rsidR="00C30199" w:rsidRPr="003D0B68">
        <w:t>.</w:t>
      </w:r>
      <w:r w:rsidR="007023F3" w:rsidRPr="007023F3">
        <w:rPr>
          <w:rFonts w:eastAsia="Calibri"/>
          <w:lang w:eastAsia="es-ES"/>
        </w:rPr>
        <w:t xml:space="preserve"> </w:t>
      </w:r>
      <w:r w:rsidR="00751941">
        <w:rPr>
          <w:lang w:val="es-ES"/>
        </w:rPr>
        <w:t xml:space="preserve">El contrato establece que el concesionario no podrá disponer de dicha cuenta excepto para los pagos derivados de la financiación </w:t>
      </w:r>
      <w:r w:rsidR="00751941" w:rsidRPr="00751941">
        <w:rPr>
          <w:lang w:val="es-ES"/>
        </w:rPr>
        <w:t xml:space="preserve">con </w:t>
      </w:r>
      <w:r w:rsidR="00751941">
        <w:rPr>
          <w:lang w:val="es-ES"/>
        </w:rPr>
        <w:t>recursos ajenos, es decir, interés y amortizaciones.</w:t>
      </w:r>
      <w:r w:rsidR="00751941" w:rsidRPr="007023F3">
        <w:rPr>
          <w:rFonts w:eastAsia="Calibri"/>
          <w:color w:val="FF0000"/>
          <w:lang w:eastAsia="es-ES"/>
        </w:rPr>
        <w:t xml:space="preserve"> </w:t>
      </w:r>
      <w:r w:rsidR="00751941" w:rsidRPr="006B1E89">
        <w:rPr>
          <w:rFonts w:eastAsia="Calibri"/>
          <w:lang w:eastAsia="es-ES"/>
        </w:rPr>
        <w:t>La</w:t>
      </w:r>
      <w:r w:rsidR="007023F3" w:rsidRPr="006B1E89">
        <w:rPr>
          <w:rFonts w:eastAsia="Calibri"/>
          <w:lang w:eastAsia="es-ES"/>
        </w:rPr>
        <w:t xml:space="preserve"> existencia de la CED es un mecanismo</w:t>
      </w:r>
      <w:r w:rsidR="006B1E89">
        <w:rPr>
          <w:rFonts w:eastAsia="Calibri"/>
          <w:lang w:eastAsia="es-ES"/>
        </w:rPr>
        <w:t xml:space="preserve"> de la Administración</w:t>
      </w:r>
      <w:r w:rsidR="007023F3" w:rsidRPr="006B1E89">
        <w:rPr>
          <w:rFonts w:eastAsia="Calibri"/>
          <w:lang w:eastAsia="es-ES"/>
        </w:rPr>
        <w:t xml:space="preserve"> para el </w:t>
      </w:r>
      <w:r w:rsidR="00751941" w:rsidRPr="006B1E89">
        <w:rPr>
          <w:rFonts w:eastAsia="Calibri"/>
          <w:lang w:eastAsia="es-ES"/>
        </w:rPr>
        <w:t>control y</w:t>
      </w:r>
      <w:r w:rsidR="007023F3" w:rsidRPr="006B1E89">
        <w:rPr>
          <w:rFonts w:eastAsia="Calibri"/>
          <w:lang w:eastAsia="es-ES"/>
        </w:rPr>
        <w:t xml:space="preserve"> seguimiento económico de la concesión</w:t>
      </w:r>
      <w:r w:rsidR="00751941" w:rsidRPr="006B1E89">
        <w:rPr>
          <w:rFonts w:eastAsia="Calibri"/>
          <w:lang w:eastAsia="es-ES"/>
        </w:rPr>
        <w:t>, ya que</w:t>
      </w:r>
      <w:r w:rsidR="006B1E89">
        <w:rPr>
          <w:rFonts w:eastAsia="Calibri"/>
          <w:lang w:eastAsia="es-ES"/>
        </w:rPr>
        <w:t xml:space="preserve"> esta puede concluir de forma anticipada</w:t>
      </w:r>
      <w:r w:rsidR="00751941" w:rsidRPr="006B1E89">
        <w:rPr>
          <w:rFonts w:eastAsia="Calibri"/>
          <w:lang w:eastAsia="es-ES"/>
        </w:rPr>
        <w:t xml:space="preserve"> si se produjera la amortización total de la financiación ajena y </w:t>
      </w:r>
      <w:r w:rsidR="006B1E89">
        <w:rPr>
          <w:rFonts w:eastAsia="Calibri"/>
          <w:lang w:eastAsia="es-ES"/>
        </w:rPr>
        <w:t>los gastos asociados a la misma.</w:t>
      </w:r>
      <w:r w:rsidR="00751941" w:rsidRPr="006B1E89">
        <w:rPr>
          <w:rFonts w:eastAsia="Calibri"/>
          <w:lang w:eastAsia="es-ES"/>
        </w:rPr>
        <w:t xml:space="preserve"> </w:t>
      </w:r>
    </w:p>
    <w:p w14:paraId="36F4DEE8" w14:textId="77777777" w:rsidR="00C30199" w:rsidRPr="006B1E89" w:rsidRDefault="00C30199" w:rsidP="00471A11">
      <w:pPr>
        <w:pStyle w:val="texto"/>
        <w:spacing w:after="240"/>
        <w:rPr>
          <w:rFonts w:eastAsia="Calibri"/>
          <w:lang w:eastAsia="es-ES"/>
        </w:rPr>
      </w:pPr>
      <w:r>
        <w:t>El contrato señala que</w:t>
      </w:r>
      <w:r w:rsidR="007023F3" w:rsidRPr="007023F3">
        <w:t xml:space="preserve"> </w:t>
      </w:r>
      <w:r w:rsidRPr="009951EF">
        <w:t>la concesionaria debe</w:t>
      </w:r>
      <w:r w:rsidR="00CC5EA3">
        <w:t>rá confeccionar y presentar al D</w:t>
      </w:r>
      <w:r w:rsidRPr="009951EF">
        <w:t xml:space="preserve">elegado </w:t>
      </w:r>
      <w:r w:rsidRPr="00CC5EA3">
        <w:t>de</w:t>
      </w:r>
      <w:r w:rsidR="005F5524" w:rsidRPr="00CC5EA3">
        <w:t>l</w:t>
      </w:r>
      <w:r w:rsidR="00CC5EA3">
        <w:t xml:space="preserve"> G</w:t>
      </w:r>
      <w:r w:rsidRPr="009951EF">
        <w:t>obierno un informe anual en el que se detallen y justifiquen todos los movimientos habidos en las CED del año anterior. Estos informes se presentan al</w:t>
      </w:r>
      <w:r w:rsidR="00BA2AF5">
        <w:t xml:space="preserve"> Servicio de Gestión </w:t>
      </w:r>
      <w:proofErr w:type="gramStart"/>
      <w:r w:rsidR="00BA2AF5">
        <w:t>Económico Presupuestaria</w:t>
      </w:r>
      <w:proofErr w:type="gramEnd"/>
      <w:r w:rsidR="00BA2AF5">
        <w:t xml:space="preserve"> y Control del G</w:t>
      </w:r>
      <w:r>
        <w:t>asto, y se aprueb</w:t>
      </w:r>
      <w:r w:rsidR="00564285">
        <w:t>an por resolución del Director General de Obras P</w:t>
      </w:r>
      <w:r>
        <w:t>úblicas</w:t>
      </w:r>
      <w:r w:rsidRPr="006B1E89">
        <w:t>. En la ac</w:t>
      </w:r>
      <w:r w:rsidR="006B1E89" w:rsidRPr="006B1E89">
        <w:t>tualidad el saldo</w:t>
      </w:r>
      <w:r w:rsidR="00EF4F2C">
        <w:t xml:space="preserve"> de la CED</w:t>
      </w:r>
      <w:r w:rsidR="006B1E89" w:rsidRPr="006B1E89">
        <w:t xml:space="preserve"> es de déficit y, por tanto,</w:t>
      </w:r>
      <w:r w:rsidRPr="006B1E89">
        <w:t xml:space="preserve"> no se prevé la extinción del plazo concesional de forma anticipada.</w:t>
      </w:r>
    </w:p>
    <w:p w14:paraId="6B1843E5" w14:textId="77777777" w:rsidR="00C30199" w:rsidRPr="00AE550C" w:rsidRDefault="00C30199" w:rsidP="00C30199">
      <w:pPr>
        <w:pStyle w:val="texto"/>
        <w:tabs>
          <w:tab w:val="clear" w:pos="2835"/>
          <w:tab w:val="clear" w:pos="3969"/>
          <w:tab w:val="clear" w:pos="5103"/>
          <w:tab w:val="clear" w:pos="6237"/>
          <w:tab w:val="clear" w:pos="7371"/>
        </w:tabs>
        <w:ind w:left="284" w:firstLine="0"/>
        <w:rPr>
          <w:b/>
          <w:szCs w:val="26"/>
        </w:rPr>
      </w:pPr>
      <w:r w:rsidRPr="00AE550C">
        <w:rPr>
          <w:b/>
          <w:szCs w:val="26"/>
        </w:rPr>
        <w:t>Restablecimientos del equil</w:t>
      </w:r>
      <w:r w:rsidR="00471A11">
        <w:rPr>
          <w:b/>
          <w:szCs w:val="26"/>
        </w:rPr>
        <w:t>ibrio económico de la concesión</w:t>
      </w:r>
    </w:p>
    <w:p w14:paraId="1CF18B53" w14:textId="77777777" w:rsidR="00C30199" w:rsidRPr="001D2D4E" w:rsidRDefault="001D2D4E" w:rsidP="001D2D4E">
      <w:pPr>
        <w:pStyle w:val="texto"/>
        <w:tabs>
          <w:tab w:val="clear" w:pos="2835"/>
          <w:tab w:val="clear" w:pos="3969"/>
          <w:tab w:val="clear" w:pos="5103"/>
          <w:tab w:val="clear" w:pos="6237"/>
          <w:tab w:val="clear" w:pos="7371"/>
        </w:tabs>
      </w:pPr>
      <w:r>
        <w:t>E</w:t>
      </w:r>
      <w:r w:rsidR="00C30199">
        <w:t>l concesionario es quien asume el riesgo y ventura de demand</w:t>
      </w:r>
      <w:r w:rsidR="00A6498C">
        <w:t>a, sin que pueda reclamar a la A</w:t>
      </w:r>
      <w:r w:rsidR="00C30199">
        <w:t xml:space="preserve">dministración compensación alguna por el hecho de que la evolución real del tráfico difiera de la prognosis realizada por el concesionario en la oferta. </w:t>
      </w:r>
      <w:r w:rsidRPr="00163FA2">
        <w:t xml:space="preserve">Los pliegos señalan las eventuales </w:t>
      </w:r>
      <w:r w:rsidR="009F48C2" w:rsidRPr="00163FA2">
        <w:t xml:space="preserve">causas </w:t>
      </w:r>
      <w:r w:rsidRPr="00163FA2">
        <w:t>de reequilibrio</w:t>
      </w:r>
      <w:r w:rsidR="00163FA2" w:rsidRPr="00163FA2">
        <w:t>.</w:t>
      </w:r>
    </w:p>
    <w:p w14:paraId="797AAE9D" w14:textId="77777777" w:rsidR="00C30199" w:rsidRDefault="00C30199" w:rsidP="00C30199">
      <w:pPr>
        <w:pStyle w:val="texto"/>
        <w:tabs>
          <w:tab w:val="clear" w:pos="2835"/>
          <w:tab w:val="clear" w:pos="3969"/>
          <w:tab w:val="clear" w:pos="5103"/>
          <w:tab w:val="clear" w:pos="6237"/>
          <w:tab w:val="clear" w:pos="7371"/>
        </w:tabs>
      </w:pPr>
      <w:r>
        <w:t>La situación a fecha del</w:t>
      </w:r>
      <w:r w:rsidRPr="00AB3CB9">
        <w:t xml:space="preserve"> </w:t>
      </w:r>
      <w:r w:rsidR="00044CBB" w:rsidRPr="00AB3CB9">
        <w:t xml:space="preserve">presente </w:t>
      </w:r>
      <w:r>
        <w:t xml:space="preserve">informe de los reequilibrios solicitados por las concesionarias es la siguiente: </w:t>
      </w:r>
    </w:p>
    <w:p w14:paraId="7289B777" w14:textId="77777777" w:rsidR="00471A11" w:rsidRDefault="00471A11" w:rsidP="00C30199">
      <w:pPr>
        <w:pStyle w:val="texto"/>
        <w:tabs>
          <w:tab w:val="clear" w:pos="2835"/>
          <w:tab w:val="clear" w:pos="3969"/>
          <w:tab w:val="clear" w:pos="5103"/>
          <w:tab w:val="clear" w:pos="6237"/>
          <w:tab w:val="clear" w:pos="7371"/>
        </w:tabs>
      </w:pPr>
    </w:p>
    <w:p w14:paraId="285048F1" w14:textId="77777777" w:rsidR="00471A11" w:rsidRDefault="00471A11" w:rsidP="00C30199">
      <w:pPr>
        <w:pStyle w:val="texto"/>
        <w:tabs>
          <w:tab w:val="clear" w:pos="2835"/>
          <w:tab w:val="clear" w:pos="3969"/>
          <w:tab w:val="clear" w:pos="5103"/>
          <w:tab w:val="clear" w:pos="6237"/>
          <w:tab w:val="clear" w:pos="7371"/>
        </w:tabs>
      </w:pPr>
    </w:p>
    <w:p w14:paraId="2B0B1101" w14:textId="77777777" w:rsidR="00471A11" w:rsidRDefault="00471A11">
      <w:pPr>
        <w:spacing w:after="0"/>
        <w:ind w:firstLine="0"/>
        <w:jc w:val="left"/>
        <w:rPr>
          <w:i/>
          <w:spacing w:val="6"/>
          <w:sz w:val="26"/>
          <w:szCs w:val="26"/>
        </w:rPr>
      </w:pPr>
      <w:r>
        <w:rPr>
          <w:i/>
          <w:szCs w:val="26"/>
        </w:rPr>
        <w:br w:type="page"/>
      </w:r>
    </w:p>
    <w:p w14:paraId="629829D4" w14:textId="77777777" w:rsidR="00C30199" w:rsidRPr="009C41BE" w:rsidRDefault="00C30199" w:rsidP="00471A11">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after="240"/>
        <w:ind w:left="0" w:firstLine="284"/>
        <w:rPr>
          <w:i/>
          <w:szCs w:val="26"/>
        </w:rPr>
      </w:pPr>
      <w:r w:rsidRPr="009C41BE">
        <w:rPr>
          <w:i/>
          <w:szCs w:val="26"/>
        </w:rPr>
        <w:t>Autovía del Camino</w:t>
      </w:r>
    </w:p>
    <w:p w14:paraId="02899B63" w14:textId="77777777" w:rsidR="00C30199" w:rsidRPr="00533325" w:rsidRDefault="00C30199" w:rsidP="00AE550C">
      <w:pPr>
        <w:pStyle w:val="texto"/>
        <w:spacing w:after="240"/>
        <w:rPr>
          <w:rFonts w:eastAsia="Calibri"/>
          <w:lang w:eastAsia="es-ES"/>
        </w:rPr>
      </w:pPr>
      <w:r w:rsidRPr="00F97119">
        <w:rPr>
          <w:rFonts w:eastAsia="Calibri"/>
          <w:lang w:eastAsia="es-ES"/>
        </w:rPr>
        <w:t>En el periodo 2014-2021, la concesionaria ha solicitado un restablecimiento del equilibrio económico</w:t>
      </w:r>
      <w:r>
        <w:rPr>
          <w:rFonts w:eastAsia="Calibri"/>
          <w:lang w:eastAsia="es-ES"/>
        </w:rPr>
        <w:t xml:space="preserve">. En abril de 2021, la sociedad concesionaria Autovía del Camino S.A.U, presenta </w:t>
      </w:r>
      <w:r w:rsidR="00F24011">
        <w:rPr>
          <w:rFonts w:eastAsia="Calibri"/>
          <w:lang w:eastAsia="es-ES"/>
        </w:rPr>
        <w:t>solicitud</w:t>
      </w:r>
      <w:r>
        <w:rPr>
          <w:rFonts w:eastAsia="Calibri"/>
          <w:lang w:eastAsia="es-ES"/>
        </w:rPr>
        <w:t xml:space="preserve"> de restablecimiento del equilibrio económico financiero del contrato</w:t>
      </w:r>
      <w:r w:rsidRPr="00F97119">
        <w:rPr>
          <w:rFonts w:eastAsia="Calibri"/>
          <w:lang w:eastAsia="es-ES"/>
        </w:rPr>
        <w:t xml:space="preserve"> </w:t>
      </w:r>
      <w:r>
        <w:rPr>
          <w:rFonts w:eastAsia="Calibri"/>
          <w:lang w:eastAsia="es-ES"/>
        </w:rPr>
        <w:t xml:space="preserve">por motivo de la pandemia COVID -19, debido al impacto directo en el tráfico de las restricciones de movilidad durante 2020 y que han </w:t>
      </w:r>
      <w:r w:rsidRPr="00F3011B">
        <w:rPr>
          <w:rFonts w:eastAsia="Calibri"/>
          <w:lang w:eastAsia="es-ES"/>
        </w:rPr>
        <w:t xml:space="preserve">afectado principalmente al tráfico de vehículos ligeros. </w:t>
      </w:r>
      <w:r>
        <w:rPr>
          <w:rFonts w:eastAsia="Calibri"/>
          <w:lang w:eastAsia="es-ES"/>
        </w:rPr>
        <w:t>Dicha reclamación fue desestimada por resolución del Director General de Obras Públicas de julio de 2021. Ante la desestimación se interpuso recurso de alzada, que fue d</w:t>
      </w:r>
      <w:r w:rsidR="000C0ED8">
        <w:rPr>
          <w:rFonts w:eastAsia="Calibri"/>
          <w:lang w:eastAsia="es-ES"/>
        </w:rPr>
        <w:t>esestimado por Orden Foral del C</w:t>
      </w:r>
      <w:r>
        <w:rPr>
          <w:rFonts w:eastAsia="Calibri"/>
          <w:lang w:eastAsia="es-ES"/>
        </w:rPr>
        <w:t>onsejero de Cohesión Territorial en marzo de 2022</w:t>
      </w:r>
      <w:r w:rsidRPr="00F97119">
        <w:rPr>
          <w:rFonts w:eastAsia="Calibri"/>
          <w:lang w:eastAsia="es-ES"/>
        </w:rPr>
        <w:t>.</w:t>
      </w:r>
      <w:r>
        <w:rPr>
          <w:rFonts w:eastAsia="Calibri"/>
          <w:lang w:eastAsia="es-ES"/>
        </w:rPr>
        <w:t xml:space="preserve"> </w:t>
      </w:r>
      <w:r w:rsidR="000469FB" w:rsidRPr="00163FA2">
        <w:rPr>
          <w:rFonts w:eastAsia="Calibri"/>
          <w:lang w:eastAsia="es-ES"/>
        </w:rPr>
        <w:t xml:space="preserve">La sociedad </w:t>
      </w:r>
      <w:r w:rsidRPr="00163FA2">
        <w:rPr>
          <w:rFonts w:eastAsia="Calibri"/>
          <w:lang w:eastAsia="es-ES"/>
        </w:rPr>
        <w:t>Autovía del Camino S.A.U. ha interpuesto recurso contencioso administrativo</w:t>
      </w:r>
      <w:r w:rsidR="008F433F">
        <w:rPr>
          <w:rFonts w:eastAsia="Calibri"/>
          <w:lang w:eastAsia="es-ES"/>
        </w:rPr>
        <w:t xml:space="preserve"> ante el</w:t>
      </w:r>
      <w:r w:rsidRPr="00163FA2">
        <w:rPr>
          <w:rFonts w:eastAsia="Calibri"/>
          <w:lang w:eastAsia="es-ES"/>
        </w:rPr>
        <w:t xml:space="preserve"> </w:t>
      </w:r>
      <w:r w:rsidR="000C0ED8" w:rsidRPr="00163FA2">
        <w:rPr>
          <w:rFonts w:eastAsia="Calibri"/>
          <w:lang w:eastAsia="es-ES"/>
        </w:rPr>
        <w:t>TSJN</w:t>
      </w:r>
      <w:r w:rsidRPr="00163FA2">
        <w:rPr>
          <w:rFonts w:eastAsia="Calibri"/>
          <w:lang w:eastAsia="es-ES"/>
        </w:rPr>
        <w:t xml:space="preserve"> contra dicha orden foral. </w:t>
      </w:r>
    </w:p>
    <w:p w14:paraId="741AD19F" w14:textId="77777777" w:rsidR="00C30199" w:rsidRPr="009C41BE" w:rsidRDefault="00C30199" w:rsidP="00471A11">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before="120" w:after="120"/>
        <w:ind w:left="0" w:firstLine="284"/>
        <w:rPr>
          <w:i/>
          <w:szCs w:val="26"/>
        </w:rPr>
      </w:pPr>
      <w:r w:rsidRPr="009C41BE">
        <w:rPr>
          <w:i/>
          <w:szCs w:val="26"/>
        </w:rPr>
        <w:t>Autovía del Pirineo</w:t>
      </w:r>
    </w:p>
    <w:p w14:paraId="43E8A47E" w14:textId="77777777" w:rsidR="00C30199" w:rsidRPr="00977F24" w:rsidRDefault="00C30199" w:rsidP="00AE550C">
      <w:pPr>
        <w:pStyle w:val="texto"/>
        <w:rPr>
          <w:rFonts w:eastAsia="Calibri"/>
          <w:lang w:eastAsia="es-ES"/>
        </w:rPr>
      </w:pPr>
      <w:r w:rsidRPr="00F97119">
        <w:rPr>
          <w:rFonts w:eastAsia="Calibri"/>
          <w:lang w:eastAsia="es-ES"/>
        </w:rPr>
        <w:t xml:space="preserve">La </w:t>
      </w:r>
      <w:r>
        <w:rPr>
          <w:rFonts w:eastAsia="Calibri"/>
          <w:lang w:eastAsia="es-ES"/>
        </w:rPr>
        <w:t>sociedad concesionaria Autovía del Pirineo S.A.U.</w:t>
      </w:r>
      <w:r w:rsidRPr="00F97119">
        <w:rPr>
          <w:rFonts w:eastAsia="Calibri"/>
          <w:lang w:eastAsia="es-ES"/>
        </w:rPr>
        <w:t xml:space="preserve"> </w:t>
      </w:r>
      <w:r w:rsidR="00AB3CB9">
        <w:rPr>
          <w:rFonts w:eastAsia="Calibri"/>
          <w:lang w:eastAsia="es-ES"/>
        </w:rPr>
        <w:t>ha solicitado</w:t>
      </w:r>
      <w:r w:rsidRPr="00F97119">
        <w:rPr>
          <w:rFonts w:eastAsia="Calibri"/>
          <w:lang w:eastAsia="es-ES"/>
        </w:rPr>
        <w:t xml:space="preserve"> desde 2014 hasta la actualidad tres restablecimientos del equilibrio.  </w:t>
      </w:r>
    </w:p>
    <w:p w14:paraId="4EFB5D8C" w14:textId="77777777" w:rsidR="00C30199" w:rsidRPr="00ED0886" w:rsidRDefault="001D7CF4" w:rsidP="00AE550C">
      <w:pPr>
        <w:pStyle w:val="texto"/>
        <w:rPr>
          <w:rFonts w:eastAsia="Calibri"/>
          <w:lang w:eastAsia="es-ES"/>
        </w:rPr>
      </w:pPr>
      <w:r>
        <w:rPr>
          <w:rFonts w:eastAsia="Calibri"/>
          <w:lang w:eastAsia="es-ES"/>
        </w:rPr>
        <w:t xml:space="preserve">a) </w:t>
      </w:r>
      <w:r w:rsidR="00A77991" w:rsidRPr="00AB3CB9">
        <w:rPr>
          <w:rFonts w:eastAsia="Calibri"/>
          <w:lang w:eastAsia="es-ES"/>
        </w:rPr>
        <w:t>El primero</w:t>
      </w:r>
      <w:r w:rsidR="00C30199" w:rsidRPr="00AB3CB9">
        <w:rPr>
          <w:rFonts w:eastAsia="Calibri"/>
          <w:lang w:eastAsia="es-ES"/>
        </w:rPr>
        <w:t xml:space="preserve">, en 2013, </w:t>
      </w:r>
      <w:r w:rsidR="000330DD" w:rsidRPr="00AB3CB9">
        <w:rPr>
          <w:rFonts w:eastAsia="Calibri"/>
          <w:lang w:eastAsia="es-ES"/>
        </w:rPr>
        <w:t xml:space="preserve">motivado </w:t>
      </w:r>
      <w:r w:rsidR="00C30199" w:rsidRPr="00ED0886">
        <w:rPr>
          <w:rFonts w:eastAsia="Calibri"/>
          <w:lang w:eastAsia="es-ES"/>
        </w:rPr>
        <w:t>por la no ejecución de obras por parte del Estado para la puesta en servicio del corredor pirenaico. La desestimación está confirmada por el Tribunal Supremo (en adelante TS).</w:t>
      </w:r>
    </w:p>
    <w:p w14:paraId="1C40B3A8" w14:textId="77777777" w:rsidR="00C30199" w:rsidRPr="000D3237" w:rsidRDefault="00EB3570" w:rsidP="00AE550C">
      <w:pPr>
        <w:pStyle w:val="texto"/>
        <w:rPr>
          <w:rFonts w:eastAsia="Calibri"/>
          <w:lang w:eastAsia="es-ES"/>
        </w:rPr>
      </w:pPr>
      <w:r>
        <w:rPr>
          <w:rFonts w:eastAsia="Calibri"/>
          <w:lang w:eastAsia="es-ES"/>
        </w:rPr>
        <w:t>b</w:t>
      </w:r>
      <w:r w:rsidR="001D7CF4">
        <w:rPr>
          <w:rFonts w:eastAsia="Calibri"/>
          <w:lang w:eastAsia="es-ES"/>
        </w:rPr>
        <w:t xml:space="preserve">) </w:t>
      </w:r>
      <w:r w:rsidR="00A77991" w:rsidRPr="00AB3CB9">
        <w:rPr>
          <w:rFonts w:eastAsia="Calibri"/>
          <w:lang w:eastAsia="es-ES"/>
        </w:rPr>
        <w:t>El segundo</w:t>
      </w:r>
      <w:r w:rsidR="00C30199" w:rsidRPr="00AB3CB9">
        <w:rPr>
          <w:rFonts w:eastAsia="Calibri"/>
          <w:lang w:eastAsia="es-ES"/>
        </w:rPr>
        <w:t>, en 2017</w:t>
      </w:r>
      <w:r w:rsidR="00163FA2" w:rsidRPr="00AB3CB9">
        <w:rPr>
          <w:rFonts w:eastAsia="Calibri"/>
          <w:lang w:eastAsia="es-ES"/>
        </w:rPr>
        <w:t>,</w:t>
      </w:r>
      <w:r w:rsidR="00C30199" w:rsidRPr="00AB3CB9">
        <w:rPr>
          <w:rFonts w:eastAsia="Calibri"/>
          <w:lang w:eastAsia="es-ES"/>
        </w:rPr>
        <w:t xml:space="preserve"> </w:t>
      </w:r>
      <w:r w:rsidR="000330DD" w:rsidRPr="00AB3CB9">
        <w:rPr>
          <w:rFonts w:eastAsia="Calibri"/>
          <w:lang w:eastAsia="es-ES"/>
        </w:rPr>
        <w:t xml:space="preserve">motivado </w:t>
      </w:r>
      <w:r w:rsidR="00C30199" w:rsidRPr="00F97119">
        <w:rPr>
          <w:rFonts w:eastAsia="Calibri"/>
          <w:lang w:eastAsia="es-ES"/>
        </w:rPr>
        <w:t xml:space="preserve">por </w:t>
      </w:r>
      <w:r w:rsidR="00C30199">
        <w:rPr>
          <w:rFonts w:eastAsia="Calibri"/>
          <w:lang w:eastAsia="es-ES"/>
        </w:rPr>
        <w:t>la obligatoriedad del pago</w:t>
      </w:r>
      <w:r w:rsidR="00C30199" w:rsidRPr="00F97119">
        <w:rPr>
          <w:rFonts w:eastAsia="Calibri"/>
          <w:lang w:eastAsia="es-ES"/>
        </w:rPr>
        <w:t xml:space="preserve"> de la contribución </w:t>
      </w:r>
      <w:r w:rsidR="00C30199" w:rsidRPr="00EB3570">
        <w:rPr>
          <w:rFonts w:eastAsia="Calibri"/>
        </w:rPr>
        <w:t>territorial</w:t>
      </w:r>
      <w:r w:rsidR="00C30199">
        <w:rPr>
          <w:rFonts w:eastAsia="Calibri"/>
          <w:lang w:eastAsia="es-ES"/>
        </w:rPr>
        <w:t xml:space="preserve"> a los ayuntamientos </w:t>
      </w:r>
      <w:r w:rsidR="00C30199" w:rsidRPr="000D3237">
        <w:rPr>
          <w:rFonts w:eastAsia="Calibri"/>
          <w:lang w:eastAsia="es-ES"/>
        </w:rPr>
        <w:t>por lo</w:t>
      </w:r>
      <w:r w:rsidR="00A77991" w:rsidRPr="000D3237">
        <w:rPr>
          <w:rFonts w:eastAsia="Calibri"/>
          <w:lang w:eastAsia="es-ES"/>
        </w:rPr>
        <w:t xml:space="preserve">s </w:t>
      </w:r>
      <w:r w:rsidR="00C30199" w:rsidRPr="000D3237">
        <w:rPr>
          <w:rFonts w:eastAsia="Calibri"/>
          <w:lang w:eastAsia="es-ES"/>
        </w:rPr>
        <w:t>que discurre la autovía. Está pendiente de resolución el recurso de casación al TS.</w:t>
      </w:r>
    </w:p>
    <w:p w14:paraId="7938E7CE" w14:textId="77777777" w:rsidR="00C30199" w:rsidRPr="002F265D" w:rsidRDefault="00EB3570" w:rsidP="00B14C9E">
      <w:pPr>
        <w:pStyle w:val="texto"/>
        <w:spacing w:after="240"/>
        <w:rPr>
          <w:rFonts w:eastAsia="Calibri"/>
          <w:lang w:eastAsia="es-ES"/>
        </w:rPr>
      </w:pPr>
      <w:r>
        <w:rPr>
          <w:rFonts w:eastAsia="Calibri"/>
          <w:lang w:eastAsia="es-ES"/>
        </w:rPr>
        <w:t>c</w:t>
      </w:r>
      <w:r w:rsidR="001D7CF4">
        <w:rPr>
          <w:rFonts w:eastAsia="Calibri"/>
          <w:lang w:eastAsia="es-ES"/>
        </w:rPr>
        <w:t>)</w:t>
      </w:r>
      <w:r>
        <w:rPr>
          <w:rFonts w:eastAsia="Calibri"/>
          <w:lang w:eastAsia="es-ES"/>
        </w:rPr>
        <w:t xml:space="preserve"> </w:t>
      </w:r>
      <w:r w:rsidR="00A77991" w:rsidRPr="00AB3CB9">
        <w:rPr>
          <w:rFonts w:eastAsia="Calibri"/>
          <w:lang w:eastAsia="es-ES"/>
        </w:rPr>
        <w:t>El tercero</w:t>
      </w:r>
      <w:r w:rsidR="00C30199" w:rsidRPr="00AB3CB9">
        <w:rPr>
          <w:rFonts w:eastAsia="Calibri"/>
          <w:lang w:eastAsia="es-ES"/>
        </w:rPr>
        <w:t xml:space="preserve">, en 2020, </w:t>
      </w:r>
      <w:r w:rsidR="000330DD" w:rsidRPr="00AB3CB9">
        <w:rPr>
          <w:rFonts w:eastAsia="Calibri"/>
          <w:lang w:eastAsia="es-ES"/>
        </w:rPr>
        <w:t xml:space="preserve">motivado </w:t>
      </w:r>
      <w:r w:rsidR="00C30199" w:rsidRPr="00F97119">
        <w:rPr>
          <w:rFonts w:eastAsia="Calibri"/>
          <w:lang w:eastAsia="es-ES"/>
        </w:rPr>
        <w:t>por la pandemia</w:t>
      </w:r>
      <w:r w:rsidR="00C30199">
        <w:rPr>
          <w:rFonts w:eastAsia="Calibri"/>
          <w:lang w:eastAsia="es-ES"/>
        </w:rPr>
        <w:t xml:space="preserve"> COVID-19</w:t>
      </w:r>
      <w:r w:rsidR="00C30199" w:rsidRPr="00F97119">
        <w:rPr>
          <w:rFonts w:eastAsia="Calibri"/>
          <w:lang w:eastAsia="es-ES"/>
        </w:rPr>
        <w:t xml:space="preserve">, </w:t>
      </w:r>
      <w:r w:rsidR="00C30199" w:rsidRPr="00A97C4A">
        <w:rPr>
          <w:rFonts w:eastAsia="Calibri"/>
          <w:lang w:eastAsia="es-ES"/>
        </w:rPr>
        <w:t>desestimado el recurso de alzada por Orden Foral</w:t>
      </w:r>
      <w:r w:rsidR="00C30199">
        <w:rPr>
          <w:rFonts w:eastAsia="Calibri"/>
          <w:lang w:eastAsia="es-ES"/>
        </w:rPr>
        <w:t xml:space="preserve"> </w:t>
      </w:r>
      <w:r w:rsidR="00527476" w:rsidRPr="002F265D">
        <w:rPr>
          <w:rFonts w:eastAsia="Calibri"/>
          <w:lang w:eastAsia="es-ES"/>
        </w:rPr>
        <w:t xml:space="preserve">29/2021, de 15 de abril, </w:t>
      </w:r>
      <w:r w:rsidR="00C30199">
        <w:rPr>
          <w:rFonts w:eastAsia="Calibri"/>
          <w:lang w:eastAsia="es-ES"/>
        </w:rPr>
        <w:t>del consejero de Cohesión Territorial. L</w:t>
      </w:r>
      <w:r w:rsidR="00C30199" w:rsidRPr="00A97C4A">
        <w:rPr>
          <w:rFonts w:eastAsia="Calibri"/>
          <w:lang w:eastAsia="es-ES"/>
        </w:rPr>
        <w:t xml:space="preserve">a concesionaria </w:t>
      </w:r>
      <w:r w:rsidR="000469FB" w:rsidRPr="002F265D">
        <w:rPr>
          <w:rFonts w:eastAsia="Calibri"/>
          <w:lang w:eastAsia="es-ES"/>
        </w:rPr>
        <w:t>interpuso</w:t>
      </w:r>
      <w:r w:rsidR="00C30199" w:rsidRPr="00A97C4A">
        <w:rPr>
          <w:rFonts w:eastAsia="Calibri"/>
          <w:lang w:eastAsia="es-ES"/>
        </w:rPr>
        <w:t xml:space="preserve"> recurso con</w:t>
      </w:r>
      <w:r w:rsidR="00C30199">
        <w:rPr>
          <w:rFonts w:eastAsia="Calibri"/>
          <w:lang w:eastAsia="es-ES"/>
        </w:rPr>
        <w:t xml:space="preserve">tencioso administrativo </w:t>
      </w:r>
      <w:r w:rsidR="00AC13E3" w:rsidRPr="003D0B68">
        <w:rPr>
          <w:rFonts w:eastAsia="Calibri"/>
          <w:lang w:eastAsia="es-ES"/>
        </w:rPr>
        <w:t>ante el</w:t>
      </w:r>
      <w:r w:rsidR="00C30199" w:rsidRPr="003D0B68">
        <w:rPr>
          <w:rFonts w:eastAsia="Calibri"/>
          <w:lang w:eastAsia="es-ES"/>
        </w:rPr>
        <w:t xml:space="preserve"> </w:t>
      </w:r>
      <w:r w:rsidR="00C30199">
        <w:rPr>
          <w:rFonts w:eastAsia="Calibri"/>
          <w:lang w:eastAsia="es-ES"/>
        </w:rPr>
        <w:t xml:space="preserve">TSJN, </w:t>
      </w:r>
      <w:r w:rsidR="005A2FD4">
        <w:rPr>
          <w:rFonts w:eastAsia="Calibri"/>
          <w:lang w:eastAsia="es-ES"/>
        </w:rPr>
        <w:t xml:space="preserve">que </w:t>
      </w:r>
      <w:r w:rsidR="00C30199" w:rsidRPr="009943AC">
        <w:rPr>
          <w:rFonts w:eastAsia="Calibri"/>
          <w:lang w:eastAsia="es-ES"/>
        </w:rPr>
        <w:t>en marzo de 2022</w:t>
      </w:r>
      <w:r w:rsidR="00C30199" w:rsidRPr="005A2FD4">
        <w:rPr>
          <w:rFonts w:eastAsia="Calibri"/>
          <w:color w:val="FF0000"/>
          <w:lang w:eastAsia="es-ES"/>
        </w:rPr>
        <w:t xml:space="preserve"> </w:t>
      </w:r>
      <w:r w:rsidR="00EF4F2C">
        <w:rPr>
          <w:rFonts w:eastAsia="Calibri"/>
          <w:lang w:eastAsia="es-ES"/>
        </w:rPr>
        <w:t>desestimó</w:t>
      </w:r>
      <w:r w:rsidR="00C30199" w:rsidRPr="005A2FD4">
        <w:rPr>
          <w:rFonts w:eastAsia="Calibri"/>
          <w:color w:val="FF0000"/>
          <w:lang w:eastAsia="es-ES"/>
        </w:rPr>
        <w:t xml:space="preserve"> </w:t>
      </w:r>
      <w:r w:rsidR="00C30199" w:rsidRPr="009943AC">
        <w:rPr>
          <w:rFonts w:eastAsia="Calibri"/>
          <w:lang w:eastAsia="es-ES"/>
        </w:rPr>
        <w:t>dicho recurso por considerar que no queda acreditado que se haya producido la ruptura del equilibrio del contrato de concesión que tiene una duración de 30 años</w:t>
      </w:r>
      <w:r w:rsidR="00C30199" w:rsidRPr="00610CA6">
        <w:rPr>
          <w:rFonts w:eastAsia="Calibri"/>
          <w:sz w:val="24"/>
          <w:lang w:eastAsia="es-ES"/>
        </w:rPr>
        <w:t>.</w:t>
      </w:r>
      <w:r w:rsidR="00C30199" w:rsidRPr="00610CA6">
        <w:rPr>
          <w:rFonts w:eastAsia="Calibri"/>
          <w:color w:val="FF0000"/>
          <w:lang w:eastAsia="es-ES"/>
        </w:rPr>
        <w:t xml:space="preserve"> </w:t>
      </w:r>
      <w:r w:rsidR="00610CA6" w:rsidRPr="002F265D">
        <w:rPr>
          <w:rFonts w:eastAsia="Calibri"/>
          <w:lang w:eastAsia="es-ES"/>
        </w:rPr>
        <w:t xml:space="preserve">La sociedad </w:t>
      </w:r>
      <w:r w:rsidR="00C30199" w:rsidRPr="002F265D">
        <w:rPr>
          <w:rFonts w:eastAsia="Calibri"/>
          <w:lang w:eastAsia="es-ES"/>
        </w:rPr>
        <w:t xml:space="preserve">Autovía del Pirineo S.A.U. no ha </w:t>
      </w:r>
      <w:r w:rsidR="00527476" w:rsidRPr="002F265D">
        <w:rPr>
          <w:rFonts w:eastAsia="Calibri"/>
          <w:lang w:eastAsia="es-ES"/>
        </w:rPr>
        <w:t xml:space="preserve">interpuesto recurso de casación, por lo que se declara firme la sentencia. </w:t>
      </w:r>
    </w:p>
    <w:p w14:paraId="1721B762" w14:textId="77777777" w:rsidR="00C30199" w:rsidRPr="00B14C9E" w:rsidRDefault="00C30199" w:rsidP="00B14C9E">
      <w:pPr>
        <w:pStyle w:val="texto"/>
        <w:tabs>
          <w:tab w:val="clear" w:pos="2835"/>
          <w:tab w:val="clear" w:pos="3969"/>
          <w:tab w:val="clear" w:pos="5103"/>
          <w:tab w:val="clear" w:pos="6237"/>
          <w:tab w:val="clear" w:pos="7371"/>
        </w:tabs>
        <w:spacing w:after="240"/>
        <w:ind w:left="284" w:firstLine="0"/>
        <w:rPr>
          <w:b/>
          <w:szCs w:val="26"/>
        </w:rPr>
      </w:pPr>
      <w:r w:rsidRPr="00B14C9E">
        <w:rPr>
          <w:b/>
          <w:szCs w:val="26"/>
        </w:rPr>
        <w:t xml:space="preserve">Análisis </w:t>
      </w:r>
      <w:r w:rsidR="00326D98" w:rsidRPr="00163FA2">
        <w:rPr>
          <w:b/>
          <w:szCs w:val="26"/>
        </w:rPr>
        <w:t xml:space="preserve">de las </w:t>
      </w:r>
      <w:r w:rsidRPr="00B14C9E">
        <w:rPr>
          <w:b/>
          <w:szCs w:val="26"/>
        </w:rPr>
        <w:t>desviaciones entre las previsiones y los pagos efectivo</w:t>
      </w:r>
      <w:r w:rsidR="00471A11">
        <w:rPr>
          <w:b/>
          <w:szCs w:val="26"/>
        </w:rPr>
        <w:t>s</w:t>
      </w:r>
    </w:p>
    <w:p w14:paraId="0384F3A9" w14:textId="77777777" w:rsidR="00C30199" w:rsidRDefault="00C30199" w:rsidP="00B14C9E">
      <w:pPr>
        <w:pStyle w:val="texto"/>
      </w:pPr>
      <w:r>
        <w:t xml:space="preserve">En este epígrafe analizamos, en </w:t>
      </w:r>
      <w:r w:rsidR="00326D98" w:rsidRPr="00163FA2">
        <w:t>euros</w:t>
      </w:r>
      <w:r w:rsidR="00326D98">
        <w:t xml:space="preserve"> </w:t>
      </w:r>
      <w:r>
        <w:t xml:space="preserve">corrientes, las desviaciones </w:t>
      </w:r>
      <w:r w:rsidR="00D84F41">
        <w:t xml:space="preserve">producidas </w:t>
      </w:r>
      <w:r w:rsidR="009C41BE">
        <w:t xml:space="preserve">desde el </w:t>
      </w:r>
      <w:r w:rsidR="009C41BE" w:rsidRPr="00B14C9E">
        <w:t>inicio</w:t>
      </w:r>
      <w:r w:rsidR="009C41BE">
        <w:t xml:space="preserve"> de</w:t>
      </w:r>
      <w:r>
        <w:t>l periodo de explotación de la concesión hasta 2021, entre los datos reales y las previsiones contenidas en</w:t>
      </w:r>
      <w:r w:rsidR="00BA2AF5">
        <w:t xml:space="preserve"> el</w:t>
      </w:r>
      <w:r>
        <w:t xml:space="preserve"> PEF de la oferta vigente a la fecha. </w:t>
      </w:r>
    </w:p>
    <w:p w14:paraId="1E8451B2" w14:textId="77777777" w:rsidR="00C30199" w:rsidRPr="009C41BE" w:rsidRDefault="00C30199" w:rsidP="00471A11">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before="240" w:after="240"/>
        <w:ind w:left="0" w:firstLine="284"/>
        <w:rPr>
          <w:i/>
          <w:szCs w:val="26"/>
        </w:rPr>
      </w:pPr>
      <w:r w:rsidRPr="009C41BE">
        <w:rPr>
          <w:i/>
          <w:szCs w:val="26"/>
        </w:rPr>
        <w:t>Desviaciones</w:t>
      </w:r>
      <w:r w:rsidR="00326D98">
        <w:rPr>
          <w:i/>
          <w:szCs w:val="26"/>
        </w:rPr>
        <w:t xml:space="preserve"> </w:t>
      </w:r>
      <w:r w:rsidR="00326D98" w:rsidRPr="00163FA2">
        <w:rPr>
          <w:i/>
          <w:szCs w:val="26"/>
        </w:rPr>
        <w:t>en la</w:t>
      </w:r>
      <w:r w:rsidRPr="00163FA2">
        <w:rPr>
          <w:i/>
          <w:szCs w:val="26"/>
        </w:rPr>
        <w:t xml:space="preserve"> </w:t>
      </w:r>
      <w:r w:rsidR="008F7D98">
        <w:rPr>
          <w:i/>
          <w:szCs w:val="26"/>
        </w:rPr>
        <w:t>A</w:t>
      </w:r>
      <w:r w:rsidRPr="009C41BE">
        <w:rPr>
          <w:i/>
          <w:szCs w:val="26"/>
        </w:rPr>
        <w:t>utovía del Camino</w:t>
      </w:r>
      <w:r w:rsidR="00650D1D">
        <w:rPr>
          <w:i/>
          <w:szCs w:val="26"/>
        </w:rPr>
        <w:t xml:space="preserve"> durante el periodo de explotación</w:t>
      </w:r>
    </w:p>
    <w:p w14:paraId="553ECF16" w14:textId="77777777" w:rsidR="00C30199" w:rsidRPr="005B06AB" w:rsidRDefault="00C30199" w:rsidP="00C30199">
      <w:pPr>
        <w:pStyle w:val="texto"/>
        <w:tabs>
          <w:tab w:val="clear" w:pos="2835"/>
          <w:tab w:val="clear" w:pos="3969"/>
          <w:tab w:val="clear" w:pos="5103"/>
          <w:tab w:val="clear" w:pos="6237"/>
          <w:tab w:val="clear" w:pos="7371"/>
        </w:tabs>
        <w:rPr>
          <w:rFonts w:eastAsia="Calibri"/>
          <w:szCs w:val="26"/>
          <w:lang w:eastAsia="es-ES"/>
        </w:rPr>
      </w:pPr>
      <w:r w:rsidRPr="006F52CF">
        <w:rPr>
          <w:szCs w:val="26"/>
        </w:rPr>
        <w:t>La comparativ</w:t>
      </w:r>
      <w:r w:rsidR="00083CBC">
        <w:rPr>
          <w:szCs w:val="26"/>
        </w:rPr>
        <w:t>a entre el tráfico real y el trá</w:t>
      </w:r>
      <w:r w:rsidRPr="006F52CF">
        <w:rPr>
          <w:szCs w:val="26"/>
        </w:rPr>
        <w:t xml:space="preserve">fico </w:t>
      </w:r>
      <w:r w:rsidR="00D655FF" w:rsidRPr="003D0B68">
        <w:rPr>
          <w:szCs w:val="26"/>
        </w:rPr>
        <w:t xml:space="preserve">incluido en el PEF </w:t>
      </w:r>
      <w:r>
        <w:rPr>
          <w:szCs w:val="26"/>
        </w:rPr>
        <w:t>desde el inicio de la explotación en 2007 hasta 2021, se refleja en el gráfico siguiente</w:t>
      </w:r>
      <w:r>
        <w:rPr>
          <w:rFonts w:eastAsia="Calibri"/>
          <w:szCs w:val="26"/>
          <w:lang w:eastAsia="es-ES"/>
        </w:rPr>
        <w:t>:</w:t>
      </w:r>
    </w:p>
    <w:p w14:paraId="659B6C63" w14:textId="77777777" w:rsidR="007A7107" w:rsidRDefault="007A7107" w:rsidP="00471A11">
      <w:pPr>
        <w:pStyle w:val="texto"/>
        <w:spacing w:before="240"/>
        <w:jc w:val="center"/>
        <w:rPr>
          <w:rFonts w:eastAsia="Calibri"/>
          <w:lang w:eastAsia="es-ES"/>
        </w:rPr>
      </w:pPr>
      <w:r>
        <w:rPr>
          <w:noProof/>
          <w:lang w:val="es-ES" w:eastAsia="es-ES"/>
        </w:rPr>
        <w:drawing>
          <wp:inline distT="0" distB="0" distL="0" distR="0" wp14:anchorId="70B3AC2C" wp14:editId="37E115E9">
            <wp:extent cx="5248275" cy="2533650"/>
            <wp:effectExtent l="0" t="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99F34D" w14:textId="77777777" w:rsidR="00C30199" w:rsidRPr="005B06AB" w:rsidRDefault="00C30199" w:rsidP="000D3237">
      <w:pPr>
        <w:pStyle w:val="texto"/>
        <w:spacing w:before="360"/>
        <w:rPr>
          <w:rFonts w:eastAsia="Calibri"/>
          <w:lang w:eastAsia="es-ES"/>
        </w:rPr>
      </w:pPr>
      <w:r>
        <w:rPr>
          <w:rFonts w:eastAsia="Calibri"/>
          <w:lang w:eastAsia="es-ES"/>
        </w:rPr>
        <w:t xml:space="preserve">El tráfico real ha </w:t>
      </w:r>
      <w:r w:rsidRPr="007A7E98">
        <w:rPr>
          <w:rFonts w:eastAsia="Calibri"/>
        </w:rPr>
        <w:t>sido</w:t>
      </w:r>
      <w:r>
        <w:rPr>
          <w:rFonts w:eastAsia="Calibri"/>
          <w:lang w:eastAsia="es-ES"/>
        </w:rPr>
        <w:t xml:space="preserve"> inferior </w:t>
      </w:r>
      <w:r w:rsidR="005457C4">
        <w:rPr>
          <w:rFonts w:eastAsia="Calibri"/>
          <w:lang w:eastAsia="es-ES"/>
        </w:rPr>
        <w:t>al previsto</w:t>
      </w:r>
      <w:r>
        <w:rPr>
          <w:rFonts w:eastAsia="Calibri"/>
          <w:lang w:eastAsia="es-ES"/>
        </w:rPr>
        <w:t xml:space="preserve">, </w:t>
      </w:r>
      <w:r w:rsidRPr="00A93CC5">
        <w:rPr>
          <w:rFonts w:eastAsia="Calibri"/>
          <w:lang w:eastAsia="es-ES"/>
        </w:rPr>
        <w:t>la diferencia es más significativa en el tráfico de ligeros, situándose en un 17</w:t>
      </w:r>
      <w:r>
        <w:rPr>
          <w:rFonts w:eastAsia="Calibri"/>
          <w:lang w:eastAsia="es-ES"/>
        </w:rPr>
        <w:t xml:space="preserve"> por ciento</w:t>
      </w:r>
      <w:r w:rsidRPr="00A93CC5">
        <w:rPr>
          <w:rFonts w:eastAsia="Calibri"/>
          <w:lang w:eastAsia="es-ES"/>
        </w:rPr>
        <w:t xml:space="preserve"> menos, y no tanto en el de pesados</w:t>
      </w:r>
      <w:r w:rsidR="009C41BE">
        <w:rPr>
          <w:rFonts w:eastAsia="Calibri"/>
          <w:lang w:eastAsia="es-ES"/>
        </w:rPr>
        <w:t>,</w:t>
      </w:r>
      <w:r w:rsidRPr="00A93CC5">
        <w:rPr>
          <w:rFonts w:eastAsia="Calibri"/>
          <w:lang w:eastAsia="es-ES"/>
        </w:rPr>
        <w:t xml:space="preserve"> que ha registrado un </w:t>
      </w:r>
      <w:r w:rsidR="00C50BEB" w:rsidRPr="00751941">
        <w:rPr>
          <w:rFonts w:eastAsia="Calibri"/>
          <w:lang w:eastAsia="es-ES"/>
        </w:rPr>
        <w:t>nueve</w:t>
      </w:r>
      <w:r w:rsidRPr="00751941">
        <w:rPr>
          <w:rFonts w:eastAsia="Calibri"/>
          <w:lang w:eastAsia="es-ES"/>
        </w:rPr>
        <w:t xml:space="preserve"> </w:t>
      </w:r>
      <w:r>
        <w:rPr>
          <w:rFonts w:eastAsia="Calibri"/>
          <w:lang w:eastAsia="es-ES"/>
        </w:rPr>
        <w:t>por ciento</w:t>
      </w:r>
      <w:r w:rsidRPr="00A93CC5">
        <w:rPr>
          <w:rFonts w:eastAsia="Calibri"/>
          <w:lang w:eastAsia="es-ES"/>
        </w:rPr>
        <w:t xml:space="preserve"> menos. </w:t>
      </w:r>
    </w:p>
    <w:p w14:paraId="2B178294" w14:textId="77777777" w:rsidR="00C30199" w:rsidRDefault="00C30199" w:rsidP="000D3237">
      <w:pPr>
        <w:pStyle w:val="texto"/>
        <w:spacing w:after="360"/>
      </w:pPr>
      <w:r>
        <w:t xml:space="preserve">La comparativa del canon anual devengado con las previsiones </w:t>
      </w:r>
      <w:proofErr w:type="gramStart"/>
      <w:r>
        <w:t>del mismo</w:t>
      </w:r>
      <w:proofErr w:type="gramEnd"/>
      <w:r>
        <w:t xml:space="preserve"> es la siguiente:</w:t>
      </w:r>
    </w:p>
    <w:p w14:paraId="3FF924AF" w14:textId="77777777" w:rsidR="00952419" w:rsidRDefault="00952419" w:rsidP="00471A11">
      <w:pPr>
        <w:pStyle w:val="texto"/>
        <w:jc w:val="center"/>
      </w:pPr>
      <w:r>
        <w:rPr>
          <w:noProof/>
          <w:lang w:val="es-ES" w:eastAsia="es-ES"/>
        </w:rPr>
        <w:drawing>
          <wp:inline distT="0" distB="0" distL="0" distR="0" wp14:anchorId="51126449" wp14:editId="499E19CA">
            <wp:extent cx="5162550" cy="2756535"/>
            <wp:effectExtent l="0" t="0" r="0" b="571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011AE6" w14:textId="77777777" w:rsidR="000D3237" w:rsidRDefault="000D3237" w:rsidP="000D3237">
      <w:pPr>
        <w:pStyle w:val="texto"/>
        <w:spacing w:after="0"/>
      </w:pPr>
    </w:p>
    <w:p w14:paraId="4971D4C7" w14:textId="77777777" w:rsidR="00C30199" w:rsidRDefault="00C30199" w:rsidP="000D3237">
      <w:pPr>
        <w:pStyle w:val="texto"/>
      </w:pPr>
      <w:r w:rsidRPr="009E13B4">
        <w:t>El canon anual devengado, desde 2007 hasta 2021, ha sido un 20 por ciento inferior al canon previsto en el PEF</w:t>
      </w:r>
      <w:r w:rsidR="007A7107">
        <w:t xml:space="preserve">, mismo porcentaje en el CD que en el canon de </w:t>
      </w:r>
      <w:proofErr w:type="gramStart"/>
      <w:r w:rsidR="007A7107">
        <w:t>Extra Conservación</w:t>
      </w:r>
      <w:proofErr w:type="gramEnd"/>
      <w:r w:rsidR="007A7107">
        <w:t>, debido a</w:t>
      </w:r>
      <w:r w:rsidR="001F0CAE" w:rsidRPr="009E13B4">
        <w:t xml:space="preserve"> los menores niveles de tráfico</w:t>
      </w:r>
      <w:r w:rsidRPr="009E13B4">
        <w:t>. El canon anual medio para el periodo analizado ha sido 34 millones.</w:t>
      </w:r>
    </w:p>
    <w:p w14:paraId="2EFCAD5C" w14:textId="77777777" w:rsidR="000D3237" w:rsidRDefault="000D3237" w:rsidP="00B14C9E">
      <w:pPr>
        <w:pStyle w:val="texto"/>
      </w:pPr>
    </w:p>
    <w:p w14:paraId="2E937ECF" w14:textId="77777777" w:rsidR="00C30199" w:rsidRPr="004C77BE" w:rsidRDefault="00C30199" w:rsidP="00471A11">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before="80" w:after="240"/>
        <w:ind w:left="0" w:firstLine="284"/>
        <w:rPr>
          <w:i/>
          <w:szCs w:val="26"/>
        </w:rPr>
      </w:pPr>
      <w:r w:rsidRPr="004C77BE">
        <w:rPr>
          <w:i/>
          <w:szCs w:val="26"/>
        </w:rPr>
        <w:t xml:space="preserve">Desviaciones </w:t>
      </w:r>
      <w:r w:rsidR="009302D6" w:rsidRPr="002F265D">
        <w:rPr>
          <w:i/>
          <w:szCs w:val="26"/>
        </w:rPr>
        <w:t xml:space="preserve">en la </w:t>
      </w:r>
      <w:r w:rsidR="008F7D98">
        <w:rPr>
          <w:i/>
          <w:szCs w:val="26"/>
        </w:rPr>
        <w:t>A</w:t>
      </w:r>
      <w:r w:rsidRPr="004C77BE">
        <w:rPr>
          <w:i/>
          <w:szCs w:val="26"/>
        </w:rPr>
        <w:t>utovía del Pirineo</w:t>
      </w:r>
      <w:r w:rsidR="00650D1D">
        <w:rPr>
          <w:i/>
          <w:szCs w:val="26"/>
        </w:rPr>
        <w:t xml:space="preserve"> durante el periodo de explotación</w:t>
      </w:r>
    </w:p>
    <w:p w14:paraId="6B74A39D" w14:textId="77777777" w:rsidR="00C30199" w:rsidRPr="00AD0582" w:rsidRDefault="00C30199" w:rsidP="000D3237">
      <w:pPr>
        <w:pStyle w:val="texto"/>
        <w:spacing w:after="120"/>
        <w:rPr>
          <w:rFonts w:eastAsia="Calibri"/>
          <w:strike/>
          <w:lang w:eastAsia="es-ES"/>
        </w:rPr>
      </w:pPr>
      <w:r>
        <w:rPr>
          <w:rFonts w:eastAsia="Calibri"/>
          <w:lang w:eastAsia="es-ES"/>
        </w:rPr>
        <w:t xml:space="preserve">El </w:t>
      </w:r>
      <w:r w:rsidRPr="00AD0582">
        <w:rPr>
          <w:rFonts w:eastAsia="Calibri"/>
          <w:lang w:eastAsia="es-ES"/>
        </w:rPr>
        <w:t>análisis comparativo de las desviaciones lo realizamos sobre el PEF de la oferta.</w:t>
      </w:r>
      <w:r w:rsidRPr="00AD0582">
        <w:t xml:space="preserve"> </w:t>
      </w:r>
    </w:p>
    <w:p w14:paraId="74B5A4C2" w14:textId="77777777" w:rsidR="00C30199" w:rsidRDefault="00C30199" w:rsidP="005C0319">
      <w:pPr>
        <w:pStyle w:val="texto"/>
        <w:spacing w:after="240"/>
        <w:rPr>
          <w:rFonts w:eastAsia="Calibri"/>
          <w:lang w:eastAsia="es-ES"/>
        </w:rPr>
      </w:pPr>
      <w:r>
        <w:t>La comparativ</w:t>
      </w:r>
      <w:r w:rsidR="009302D6">
        <w:t>a entre el tráfico real y el trá</w:t>
      </w:r>
      <w:r>
        <w:t xml:space="preserve">fico </w:t>
      </w:r>
      <w:r w:rsidR="00D655FF" w:rsidRPr="00650D1D">
        <w:t xml:space="preserve">incluido en el PEF </w:t>
      </w:r>
      <w:r>
        <w:t>desde el inicio de la explotación en 2012 hasta 2021, se refleja en el gráfico siguiente</w:t>
      </w:r>
      <w:r>
        <w:rPr>
          <w:rFonts w:eastAsia="Calibri"/>
          <w:lang w:eastAsia="es-ES"/>
        </w:rPr>
        <w:t xml:space="preserve">. </w:t>
      </w:r>
    </w:p>
    <w:p w14:paraId="777EA7E0" w14:textId="77777777" w:rsidR="007A7107" w:rsidRDefault="007A7107" w:rsidP="005C0319">
      <w:pPr>
        <w:pStyle w:val="texto"/>
        <w:spacing w:after="240"/>
        <w:ind w:firstLine="0"/>
        <w:jc w:val="center"/>
        <w:rPr>
          <w:rFonts w:eastAsia="Calibri"/>
          <w:lang w:eastAsia="es-ES"/>
        </w:rPr>
      </w:pPr>
      <w:r>
        <w:rPr>
          <w:noProof/>
          <w:lang w:val="es-ES" w:eastAsia="es-ES"/>
        </w:rPr>
        <w:drawing>
          <wp:inline distT="0" distB="0" distL="0" distR="0" wp14:anchorId="515028FB" wp14:editId="0B4113C8">
            <wp:extent cx="4967654" cy="2497015"/>
            <wp:effectExtent l="0" t="0" r="4445" b="1778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FB30E3" w14:textId="77777777" w:rsidR="00C30199" w:rsidRDefault="00C30199" w:rsidP="000D3237">
      <w:pPr>
        <w:pStyle w:val="texto"/>
        <w:spacing w:before="240"/>
        <w:rPr>
          <w:rFonts w:eastAsia="Calibri"/>
          <w:lang w:eastAsia="es-ES"/>
        </w:rPr>
      </w:pPr>
      <w:r w:rsidRPr="009E13B4">
        <w:rPr>
          <w:rFonts w:eastAsia="Calibri"/>
          <w:lang w:eastAsia="es-ES"/>
        </w:rPr>
        <w:t xml:space="preserve">El tráfico real ha sido significativamente inferior a las previsiones, en el tráfico de ligeros, un </w:t>
      </w:r>
      <w:r w:rsidR="00357CF3" w:rsidRPr="009E13B4">
        <w:rPr>
          <w:rFonts w:eastAsia="Calibri"/>
          <w:lang w:eastAsia="es-ES"/>
        </w:rPr>
        <w:t>43</w:t>
      </w:r>
      <w:r w:rsidRPr="009E13B4">
        <w:rPr>
          <w:rFonts w:eastAsia="Calibri"/>
          <w:color w:val="FF0000"/>
          <w:lang w:eastAsia="es-ES"/>
        </w:rPr>
        <w:t xml:space="preserve"> </w:t>
      </w:r>
      <w:r w:rsidRPr="009E13B4">
        <w:rPr>
          <w:rFonts w:eastAsia="Calibri"/>
          <w:lang w:eastAsia="es-ES"/>
        </w:rPr>
        <w:t>por ciento menos, y en el de pesados, un 73 por ciento menos.</w:t>
      </w:r>
    </w:p>
    <w:p w14:paraId="4F8F5FB0" w14:textId="77777777" w:rsidR="00C30199" w:rsidRDefault="00C30199" w:rsidP="000D3237">
      <w:pPr>
        <w:pStyle w:val="texto"/>
        <w:spacing w:after="240"/>
      </w:pPr>
      <w:r>
        <w:t xml:space="preserve">La comparativa del canon anual devengado con las previsiones </w:t>
      </w:r>
      <w:proofErr w:type="gramStart"/>
      <w:r>
        <w:t>del mismo</w:t>
      </w:r>
      <w:proofErr w:type="gramEnd"/>
      <w:r>
        <w:t xml:space="preserve"> es la siguiente:</w:t>
      </w:r>
    </w:p>
    <w:p w14:paraId="4A56BA01" w14:textId="77777777" w:rsidR="007A7107" w:rsidRDefault="007A7107" w:rsidP="005C0319">
      <w:pPr>
        <w:pStyle w:val="texto"/>
        <w:spacing w:after="240"/>
        <w:ind w:firstLine="0"/>
        <w:jc w:val="center"/>
      </w:pPr>
      <w:r>
        <w:rPr>
          <w:noProof/>
          <w:lang w:val="es-ES" w:eastAsia="es-ES"/>
        </w:rPr>
        <w:drawing>
          <wp:inline distT="0" distB="0" distL="0" distR="0" wp14:anchorId="5AA09707" wp14:editId="5DCECA4C">
            <wp:extent cx="5002823" cy="2461700"/>
            <wp:effectExtent l="0" t="0" r="7620" b="1524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bookmarkEnd w:id="28"/>
    <w:p w14:paraId="7C2A94BF" w14:textId="77777777" w:rsidR="00C30199" w:rsidRDefault="00C30199" w:rsidP="00B14C9E">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120"/>
        <w:rPr>
          <w:szCs w:val="26"/>
        </w:rPr>
      </w:pPr>
      <w:r>
        <w:rPr>
          <w:szCs w:val="26"/>
        </w:rPr>
        <w:t xml:space="preserve">El canon anual devengado, desde 2012 hasta 2021, </w:t>
      </w:r>
      <w:r w:rsidR="007A7107">
        <w:rPr>
          <w:szCs w:val="26"/>
        </w:rPr>
        <w:t xml:space="preserve">respecto al canon previsto en el PEF, </w:t>
      </w:r>
      <w:r w:rsidRPr="00A93CC5">
        <w:rPr>
          <w:szCs w:val="26"/>
        </w:rPr>
        <w:t>ha sido un</w:t>
      </w:r>
      <w:r>
        <w:rPr>
          <w:szCs w:val="26"/>
        </w:rPr>
        <w:t xml:space="preserve"> </w:t>
      </w:r>
      <w:r w:rsidR="007A7107">
        <w:rPr>
          <w:szCs w:val="26"/>
        </w:rPr>
        <w:t xml:space="preserve">51 </w:t>
      </w:r>
      <w:r>
        <w:rPr>
          <w:szCs w:val="26"/>
        </w:rPr>
        <w:t>por ciento</w:t>
      </w:r>
      <w:r w:rsidRPr="00A93CC5">
        <w:rPr>
          <w:szCs w:val="26"/>
        </w:rPr>
        <w:t xml:space="preserve"> inf</w:t>
      </w:r>
      <w:r>
        <w:rPr>
          <w:szCs w:val="26"/>
        </w:rPr>
        <w:t xml:space="preserve">erior </w:t>
      </w:r>
      <w:r w:rsidR="007A7107">
        <w:rPr>
          <w:szCs w:val="26"/>
        </w:rPr>
        <w:t>en el CD y un 4 por ciento en el CEICS</w:t>
      </w:r>
      <w:r>
        <w:rPr>
          <w:szCs w:val="26"/>
        </w:rPr>
        <w:t>. El canon anual medio</w:t>
      </w:r>
      <w:r w:rsidRPr="00A93CC5">
        <w:rPr>
          <w:szCs w:val="26"/>
        </w:rPr>
        <w:t xml:space="preserve"> para el periodo analizado </w:t>
      </w:r>
      <w:r w:rsidRPr="009E13B4">
        <w:rPr>
          <w:szCs w:val="26"/>
        </w:rPr>
        <w:t>ha sido 13,5 millones.</w:t>
      </w:r>
    </w:p>
    <w:p w14:paraId="0899622B" w14:textId="77777777" w:rsidR="00C30199" w:rsidRDefault="00C30199" w:rsidP="00C30199">
      <w:pPr>
        <w:pStyle w:val="texto"/>
        <w:tabs>
          <w:tab w:val="clear" w:pos="2835"/>
          <w:tab w:val="clear" w:pos="3969"/>
          <w:tab w:val="clear" w:pos="5103"/>
          <w:tab w:val="clear" w:pos="6237"/>
          <w:tab w:val="clear" w:pos="7371"/>
          <w:tab w:val="left" w:pos="480"/>
          <w:tab w:val="num" w:pos="600"/>
          <w:tab w:val="num" w:pos="720"/>
          <w:tab w:val="num" w:pos="1320"/>
          <w:tab w:val="num" w:pos="2062"/>
        </w:tabs>
      </w:pPr>
      <w:r>
        <w:t xml:space="preserve">Las principales diferencias entre el canon anual devengado y las previsiones son consecuencia de menores niveles de tráfico, </w:t>
      </w:r>
      <w:r w:rsidR="009C41BE">
        <w:t>debido al</w:t>
      </w:r>
      <w:r>
        <w:t xml:space="preserve"> retraso en la apertura del corredor pirenaico.</w:t>
      </w:r>
    </w:p>
    <w:p w14:paraId="7F57CBFB" w14:textId="77777777" w:rsidR="00C30199" w:rsidRPr="00BD02C1" w:rsidRDefault="00C878D6" w:rsidP="007A7E98">
      <w:pPr>
        <w:pStyle w:val="texto"/>
        <w:tabs>
          <w:tab w:val="clear" w:pos="2835"/>
          <w:tab w:val="clear" w:pos="3969"/>
          <w:tab w:val="clear" w:pos="5103"/>
          <w:tab w:val="clear" w:pos="6237"/>
          <w:tab w:val="clear" w:pos="7371"/>
          <w:tab w:val="left" w:pos="480"/>
          <w:tab w:val="num" w:pos="600"/>
          <w:tab w:val="num" w:pos="720"/>
          <w:tab w:val="num" w:pos="1320"/>
          <w:tab w:val="num" w:pos="2062"/>
        </w:tabs>
        <w:spacing w:after="240"/>
      </w:pPr>
      <w:r w:rsidRPr="00BD02C1">
        <w:t xml:space="preserve">Finalmente, y para las dos concesiones, </w:t>
      </w:r>
      <w:proofErr w:type="gramStart"/>
      <w:r w:rsidRPr="00BD02C1">
        <w:t>e</w:t>
      </w:r>
      <w:r w:rsidR="00C30199" w:rsidRPr="00BD02C1">
        <w:t>n relación a</w:t>
      </w:r>
      <w:proofErr w:type="gramEnd"/>
      <w:r w:rsidR="00C30199" w:rsidRPr="00BD02C1">
        <w:t xml:space="preserve"> las tarifas</w:t>
      </w:r>
      <w:r w:rsidR="00357CF3" w:rsidRPr="00BD02C1">
        <w:t xml:space="preserve"> </w:t>
      </w:r>
      <w:r w:rsidR="00C30199" w:rsidRPr="00BD02C1">
        <w:t xml:space="preserve">no existe variación significativa, el incremento previsto es del 2,5 por ciento anual. </w:t>
      </w:r>
      <w:r w:rsidR="00181EA4" w:rsidRPr="00BD02C1">
        <w:t>La</w:t>
      </w:r>
      <w:r w:rsidR="00A35A3C" w:rsidRPr="00BD02C1">
        <w:t xml:space="preserve"> </w:t>
      </w:r>
      <w:r w:rsidR="00C30199" w:rsidRPr="00BD02C1">
        <w:t xml:space="preserve">inflación promedio durante el periodo de explotación ha sido </w:t>
      </w:r>
      <w:r w:rsidR="00E64C27" w:rsidRPr="00BD02C1">
        <w:t xml:space="preserve">ligeramente </w:t>
      </w:r>
      <w:r w:rsidR="00C30199" w:rsidRPr="00BD02C1">
        <w:t>inferior a la prevista</w:t>
      </w:r>
      <w:r w:rsidR="00181EA4" w:rsidRPr="00BD02C1">
        <w:t xml:space="preserve">. </w:t>
      </w:r>
      <w:r w:rsidR="00B82EF4" w:rsidRPr="00BD02C1">
        <w:t>A</w:t>
      </w:r>
      <w:r w:rsidR="00A33C68" w:rsidRPr="00BD02C1">
        <w:t>unque</w:t>
      </w:r>
      <w:r w:rsidR="00C30199" w:rsidRPr="00BD02C1">
        <w:t xml:space="preserve"> los datos de IPC actuales</w:t>
      </w:r>
      <w:r w:rsidR="00357CF3" w:rsidRPr="00BD02C1">
        <w:t>, un 6,</w:t>
      </w:r>
      <w:r w:rsidR="00C30199" w:rsidRPr="00BD02C1">
        <w:t>5 por ciento</w:t>
      </w:r>
      <w:r w:rsidR="00C048FE" w:rsidRPr="00BD02C1">
        <w:t xml:space="preserve"> interanual en diciembre de 2021</w:t>
      </w:r>
      <w:r w:rsidR="00C30199" w:rsidRPr="00BD02C1">
        <w:t>,</w:t>
      </w:r>
      <w:r w:rsidR="00181EA4" w:rsidRPr="00BD02C1">
        <w:t xml:space="preserve"> prevén una </w:t>
      </w:r>
      <w:r w:rsidR="00D84F41">
        <w:t>inflación elevada a corto plazo,</w:t>
      </w:r>
      <w:r w:rsidR="00181EA4" w:rsidRPr="00BD02C1">
        <w:t xml:space="preserve"> </w:t>
      </w:r>
      <w:r w:rsidR="00B82EF4" w:rsidRPr="00BD02C1">
        <w:t>la previsión de evolución del I</w:t>
      </w:r>
      <w:r w:rsidR="005457C4" w:rsidRPr="00BD02C1">
        <w:t>PC a medio plazo se</w:t>
      </w:r>
      <w:r w:rsidR="00B82EF4" w:rsidRPr="00BD02C1">
        <w:t xml:space="preserve"> </w:t>
      </w:r>
      <w:r w:rsidR="005457C4" w:rsidRPr="00BD02C1">
        <w:t xml:space="preserve">sitúa </w:t>
      </w:r>
      <w:r w:rsidR="00181EA4" w:rsidRPr="00BD02C1">
        <w:t xml:space="preserve">en </w:t>
      </w:r>
      <w:r w:rsidR="00B82EF4" w:rsidRPr="00BD02C1">
        <w:t>el entorno</w:t>
      </w:r>
      <w:r w:rsidR="00181EA4" w:rsidRPr="00BD02C1">
        <w:t xml:space="preserve"> del dos por ciento. </w:t>
      </w:r>
    </w:p>
    <w:p w14:paraId="66395D82" w14:textId="77777777" w:rsidR="00C30199" w:rsidRPr="00DC5AFD" w:rsidRDefault="00474A7C" w:rsidP="002B161B">
      <w:pPr>
        <w:pStyle w:val="atitulo3"/>
        <w:spacing w:after="120"/>
      </w:pPr>
      <w:r>
        <w:t>2</w:t>
      </w:r>
      <w:r w:rsidR="00C30199">
        <w:t>.1.2</w:t>
      </w:r>
      <w:r w:rsidR="00C30199" w:rsidRPr="003456AD">
        <w:t xml:space="preserve">. </w:t>
      </w:r>
      <w:r w:rsidR="00C30199">
        <w:t>Información presupuestaria</w:t>
      </w:r>
    </w:p>
    <w:p w14:paraId="41C531D9" w14:textId="77777777" w:rsidR="00C30199" w:rsidRDefault="00C30199" w:rsidP="002B161B">
      <w:pPr>
        <w:pStyle w:val="texto"/>
      </w:pPr>
      <w:r w:rsidRPr="00E678BB">
        <w:t xml:space="preserve">Las obligaciones económicas derivadas de los contratos se obtienen de aplicar las tarifas al tráfico real. Los importes anuales del canon están registrados dentro del </w:t>
      </w:r>
      <w:r w:rsidRPr="002B161B">
        <w:t>capítulo</w:t>
      </w:r>
      <w:r w:rsidRPr="00E678BB">
        <w:t xml:space="preserve"> 2 del presupuesto (compra de bienes corrientes y servicios) en el concepto 209 canon de la autovía. </w:t>
      </w:r>
    </w:p>
    <w:p w14:paraId="451621B5" w14:textId="77777777" w:rsidR="00C30199" w:rsidRPr="00A2489F" w:rsidRDefault="00C30199" w:rsidP="002B161B">
      <w:pPr>
        <w:pStyle w:val="texto"/>
        <w:tabs>
          <w:tab w:val="clear" w:pos="2835"/>
          <w:tab w:val="clear" w:pos="3969"/>
          <w:tab w:val="clear" w:pos="5103"/>
          <w:tab w:val="clear" w:pos="6237"/>
          <w:tab w:val="clear" w:pos="7371"/>
          <w:tab w:val="left" w:pos="480"/>
          <w:tab w:val="num" w:pos="600"/>
          <w:tab w:val="num" w:pos="720"/>
          <w:tab w:val="num" w:pos="1320"/>
          <w:tab w:val="num" w:pos="2062"/>
        </w:tabs>
        <w:spacing w:after="120"/>
        <w:ind w:firstLine="289"/>
        <w:rPr>
          <w:szCs w:val="26"/>
        </w:rPr>
      </w:pPr>
      <w:r w:rsidRPr="00A2489F">
        <w:rPr>
          <w:szCs w:val="26"/>
        </w:rPr>
        <w:t xml:space="preserve">En definitiva, hasta 2021 se han reconocido en los presupuestos </w:t>
      </w:r>
      <w:r w:rsidR="000B617D" w:rsidRPr="00A2489F">
        <w:rPr>
          <w:szCs w:val="26"/>
        </w:rPr>
        <w:t>generales</w:t>
      </w:r>
      <w:r w:rsidR="000B617D" w:rsidRPr="00A2489F">
        <w:rPr>
          <w:color w:val="FF0000"/>
          <w:szCs w:val="26"/>
        </w:rPr>
        <w:t xml:space="preserve"> </w:t>
      </w:r>
      <w:r w:rsidRPr="00A2489F">
        <w:rPr>
          <w:szCs w:val="26"/>
        </w:rPr>
        <w:t xml:space="preserve">de Navarra 764 millones por concepto de pago a las </w:t>
      </w:r>
      <w:r w:rsidR="00F05FB3" w:rsidRPr="00A2489F">
        <w:rPr>
          <w:szCs w:val="26"/>
        </w:rPr>
        <w:t>sociedades concesionarias</w:t>
      </w:r>
      <w:r w:rsidRPr="00A2489F">
        <w:rPr>
          <w:szCs w:val="26"/>
        </w:rPr>
        <w:t>, con el siguiente desglose:</w:t>
      </w:r>
    </w:p>
    <w:p w14:paraId="7D17E85A" w14:textId="77777777" w:rsidR="002B161B" w:rsidRPr="002B161B" w:rsidRDefault="000D3237" w:rsidP="000D3237">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ind w:firstLine="289"/>
        <w:jc w:val="right"/>
        <w:rPr>
          <w:rFonts w:ascii="Arial Narrow" w:hAnsi="Arial Narrow"/>
          <w:sz w:val="16"/>
          <w:szCs w:val="16"/>
        </w:rPr>
      </w:pPr>
      <w:r>
        <w:rPr>
          <w:rFonts w:ascii="Arial Narrow" w:hAnsi="Arial Narrow"/>
          <w:sz w:val="16"/>
          <w:szCs w:val="16"/>
        </w:rPr>
        <w:t>(</w:t>
      </w:r>
      <w:r w:rsidR="002B161B" w:rsidRPr="002B161B">
        <w:rPr>
          <w:rFonts w:ascii="Arial Narrow" w:hAnsi="Arial Narrow"/>
          <w:sz w:val="16"/>
          <w:szCs w:val="16"/>
        </w:rPr>
        <w:t>Miles</w:t>
      </w:r>
      <w:r>
        <w:rPr>
          <w:rFonts w:ascii="Arial Narrow" w:hAnsi="Arial Narrow"/>
          <w:sz w:val="16"/>
          <w:szCs w:val="16"/>
        </w:rPr>
        <w:t>)</w:t>
      </w:r>
      <w:r w:rsidR="002B161B" w:rsidRPr="002B161B">
        <w:rPr>
          <w:rFonts w:ascii="Arial Narrow" w:hAnsi="Arial Narrow"/>
          <w:sz w:val="16"/>
          <w:szCs w:val="16"/>
        </w:rPr>
        <w:t xml:space="preserve"> </w:t>
      </w:r>
    </w:p>
    <w:tbl>
      <w:tblPr>
        <w:tblW w:w="9072" w:type="dxa"/>
        <w:tblCellMar>
          <w:left w:w="70" w:type="dxa"/>
          <w:right w:w="70" w:type="dxa"/>
        </w:tblCellMar>
        <w:tblLook w:val="04A0" w:firstRow="1" w:lastRow="0" w:firstColumn="1" w:lastColumn="0" w:noHBand="0" w:noVBand="1"/>
      </w:tblPr>
      <w:tblGrid>
        <w:gridCol w:w="4396"/>
        <w:gridCol w:w="4676"/>
      </w:tblGrid>
      <w:tr w:rsidR="00C30199" w:rsidRPr="004A3EE6" w14:paraId="6CF0460A" w14:textId="77777777" w:rsidTr="000D3237">
        <w:trPr>
          <w:trHeight w:val="227"/>
        </w:trPr>
        <w:tc>
          <w:tcPr>
            <w:tcW w:w="4396" w:type="dxa"/>
            <w:tcBorders>
              <w:top w:val="single" w:sz="4" w:space="0" w:color="auto"/>
              <w:left w:val="nil"/>
              <w:bottom w:val="single" w:sz="4" w:space="0" w:color="auto"/>
              <w:right w:val="nil"/>
            </w:tcBorders>
            <w:shd w:val="clear" w:color="auto" w:fill="B8CCE4" w:themeFill="accent1" w:themeFillTint="66"/>
            <w:noWrap/>
            <w:vAlign w:val="center"/>
            <w:hideMark/>
          </w:tcPr>
          <w:p w14:paraId="1939CF77" w14:textId="77777777" w:rsidR="00C30199" w:rsidRPr="004A3EE6" w:rsidRDefault="00C30199" w:rsidP="00471A11">
            <w:pPr>
              <w:pStyle w:val="cuadroCabe"/>
              <w:spacing w:line="240" w:lineRule="auto"/>
              <w:rPr>
                <w:lang w:val="es-ES" w:eastAsia="es-ES"/>
              </w:rPr>
            </w:pPr>
            <w:r w:rsidRPr="004A3EE6">
              <w:rPr>
                <w:lang w:val="es-ES" w:eastAsia="es-ES"/>
              </w:rPr>
              <w:t>Concepto</w:t>
            </w:r>
            <w:r w:rsidR="00357CF3">
              <w:rPr>
                <w:lang w:val="es-ES" w:eastAsia="es-ES"/>
              </w:rPr>
              <w:t xml:space="preserve"> </w:t>
            </w:r>
          </w:p>
        </w:tc>
        <w:tc>
          <w:tcPr>
            <w:tcW w:w="4676" w:type="dxa"/>
            <w:tcBorders>
              <w:top w:val="single" w:sz="4" w:space="0" w:color="auto"/>
              <w:left w:val="nil"/>
              <w:bottom w:val="single" w:sz="4" w:space="0" w:color="auto"/>
              <w:right w:val="nil"/>
            </w:tcBorders>
            <w:shd w:val="clear" w:color="auto" w:fill="B8CCE4" w:themeFill="accent1" w:themeFillTint="66"/>
            <w:noWrap/>
            <w:vAlign w:val="center"/>
            <w:hideMark/>
          </w:tcPr>
          <w:p w14:paraId="59D8CAFE" w14:textId="77777777" w:rsidR="00C30199" w:rsidRPr="004A3EE6" w:rsidRDefault="00C30199" w:rsidP="00471A11">
            <w:pPr>
              <w:pStyle w:val="cuadroCabe"/>
              <w:spacing w:line="240" w:lineRule="auto"/>
              <w:jc w:val="right"/>
              <w:rPr>
                <w:lang w:val="es-ES" w:eastAsia="es-ES"/>
              </w:rPr>
            </w:pPr>
            <w:r w:rsidRPr="004A3EE6">
              <w:rPr>
                <w:lang w:val="es-ES" w:eastAsia="es-ES"/>
              </w:rPr>
              <w:t>Importe</w:t>
            </w:r>
          </w:p>
        </w:tc>
      </w:tr>
      <w:tr w:rsidR="00C30199" w:rsidRPr="004A3EE6" w14:paraId="3F19DF9D" w14:textId="77777777" w:rsidTr="000D3237">
        <w:trPr>
          <w:trHeight w:val="227"/>
        </w:trPr>
        <w:tc>
          <w:tcPr>
            <w:tcW w:w="4396" w:type="dxa"/>
            <w:tcBorders>
              <w:top w:val="single" w:sz="2" w:space="0" w:color="auto"/>
              <w:left w:val="nil"/>
              <w:bottom w:val="single" w:sz="4" w:space="0" w:color="auto"/>
              <w:right w:val="nil"/>
            </w:tcBorders>
            <w:shd w:val="clear" w:color="auto" w:fill="auto"/>
            <w:noWrap/>
            <w:vAlign w:val="center"/>
            <w:hideMark/>
          </w:tcPr>
          <w:p w14:paraId="58BBF0AE" w14:textId="77777777" w:rsidR="00C30199" w:rsidRPr="004A3EE6" w:rsidRDefault="00C30199" w:rsidP="00471A11">
            <w:pPr>
              <w:pStyle w:val="cuatexto"/>
              <w:spacing w:line="240" w:lineRule="auto"/>
              <w:rPr>
                <w:lang w:val="es-ES" w:eastAsia="es-ES"/>
              </w:rPr>
            </w:pPr>
            <w:r w:rsidRPr="004A3EE6">
              <w:rPr>
                <w:lang w:val="es-ES" w:eastAsia="es-ES"/>
              </w:rPr>
              <w:t>Autovía del Camino</w:t>
            </w:r>
          </w:p>
        </w:tc>
        <w:tc>
          <w:tcPr>
            <w:tcW w:w="4676" w:type="dxa"/>
            <w:tcBorders>
              <w:top w:val="single" w:sz="2" w:space="0" w:color="auto"/>
              <w:left w:val="nil"/>
              <w:bottom w:val="single" w:sz="4" w:space="0" w:color="auto"/>
              <w:right w:val="nil"/>
            </w:tcBorders>
            <w:shd w:val="clear" w:color="auto" w:fill="auto"/>
            <w:noWrap/>
            <w:vAlign w:val="center"/>
            <w:hideMark/>
          </w:tcPr>
          <w:p w14:paraId="3D0D3793" w14:textId="77777777" w:rsidR="00C30199" w:rsidRPr="004A3EE6" w:rsidRDefault="00C30199" w:rsidP="00471A11">
            <w:pPr>
              <w:pStyle w:val="cuatexto"/>
              <w:spacing w:line="240" w:lineRule="auto"/>
              <w:jc w:val="right"/>
              <w:rPr>
                <w:lang w:val="es-ES" w:eastAsia="es-ES"/>
              </w:rPr>
            </w:pPr>
            <w:r w:rsidRPr="004A3EE6">
              <w:rPr>
                <w:lang w:val="es-ES" w:eastAsia="es-ES"/>
              </w:rPr>
              <w:t>603.653</w:t>
            </w:r>
          </w:p>
        </w:tc>
      </w:tr>
      <w:tr w:rsidR="00B6639A" w:rsidRPr="004A3EE6" w14:paraId="494311EF" w14:textId="77777777" w:rsidTr="000D3237">
        <w:trPr>
          <w:trHeight w:val="227"/>
        </w:trPr>
        <w:tc>
          <w:tcPr>
            <w:tcW w:w="4396" w:type="dxa"/>
            <w:tcBorders>
              <w:top w:val="nil"/>
              <w:left w:val="nil"/>
              <w:bottom w:val="single" w:sz="4" w:space="0" w:color="auto"/>
              <w:right w:val="nil"/>
            </w:tcBorders>
            <w:shd w:val="clear" w:color="auto" w:fill="auto"/>
            <w:noWrap/>
            <w:vAlign w:val="center"/>
            <w:hideMark/>
          </w:tcPr>
          <w:p w14:paraId="5EA46260" w14:textId="77777777" w:rsidR="00B6639A" w:rsidRPr="004A3EE6" w:rsidRDefault="00B6639A" w:rsidP="00471A11">
            <w:pPr>
              <w:pStyle w:val="cuatexto"/>
              <w:spacing w:line="240" w:lineRule="auto"/>
              <w:rPr>
                <w:lang w:val="es-ES" w:eastAsia="es-ES"/>
              </w:rPr>
            </w:pPr>
            <w:r w:rsidRPr="004A3EE6">
              <w:rPr>
                <w:lang w:val="es-ES" w:eastAsia="es-ES"/>
              </w:rPr>
              <w:t>Autovía del Pirineo</w:t>
            </w:r>
          </w:p>
        </w:tc>
        <w:tc>
          <w:tcPr>
            <w:tcW w:w="4676" w:type="dxa"/>
            <w:tcBorders>
              <w:top w:val="nil"/>
              <w:left w:val="nil"/>
              <w:bottom w:val="single" w:sz="4" w:space="0" w:color="auto"/>
              <w:right w:val="nil"/>
            </w:tcBorders>
            <w:shd w:val="clear" w:color="auto" w:fill="auto"/>
            <w:noWrap/>
            <w:vAlign w:val="center"/>
            <w:hideMark/>
          </w:tcPr>
          <w:p w14:paraId="635EDCA2" w14:textId="77777777" w:rsidR="00B6639A" w:rsidRPr="004A3EE6" w:rsidRDefault="00B6639A" w:rsidP="00471A11">
            <w:pPr>
              <w:pStyle w:val="cuatexto"/>
              <w:spacing w:line="240" w:lineRule="auto"/>
              <w:jc w:val="right"/>
              <w:rPr>
                <w:lang w:val="es-ES" w:eastAsia="es-ES"/>
              </w:rPr>
            </w:pPr>
            <w:r w:rsidRPr="004A3EE6">
              <w:rPr>
                <w:lang w:val="es-ES" w:eastAsia="es-ES"/>
              </w:rPr>
              <w:t>160.100</w:t>
            </w:r>
          </w:p>
        </w:tc>
      </w:tr>
      <w:tr w:rsidR="00C30199" w:rsidRPr="004A3EE6" w14:paraId="4F27B140" w14:textId="77777777" w:rsidTr="000D3237">
        <w:trPr>
          <w:trHeight w:val="227"/>
        </w:trPr>
        <w:tc>
          <w:tcPr>
            <w:tcW w:w="4396" w:type="dxa"/>
            <w:tcBorders>
              <w:top w:val="single" w:sz="4" w:space="0" w:color="auto"/>
              <w:left w:val="nil"/>
              <w:bottom w:val="single" w:sz="4" w:space="0" w:color="auto"/>
              <w:right w:val="nil"/>
            </w:tcBorders>
            <w:shd w:val="clear" w:color="auto" w:fill="B8CCE4" w:themeFill="accent1" w:themeFillTint="66"/>
            <w:noWrap/>
            <w:vAlign w:val="center"/>
            <w:hideMark/>
          </w:tcPr>
          <w:p w14:paraId="2D13EAEC" w14:textId="77777777" w:rsidR="00C30199" w:rsidRPr="004A3EE6" w:rsidRDefault="00C30199" w:rsidP="00471A11">
            <w:pPr>
              <w:pStyle w:val="cuadroCabe"/>
              <w:spacing w:line="240" w:lineRule="auto"/>
              <w:rPr>
                <w:lang w:val="es-ES" w:eastAsia="es-ES"/>
              </w:rPr>
            </w:pPr>
            <w:r w:rsidRPr="004A3EE6">
              <w:rPr>
                <w:lang w:val="es-ES" w:eastAsia="es-ES"/>
              </w:rPr>
              <w:t>Total</w:t>
            </w:r>
          </w:p>
        </w:tc>
        <w:tc>
          <w:tcPr>
            <w:tcW w:w="4676" w:type="dxa"/>
            <w:tcBorders>
              <w:top w:val="single" w:sz="4" w:space="0" w:color="auto"/>
              <w:left w:val="nil"/>
              <w:bottom w:val="single" w:sz="4" w:space="0" w:color="auto"/>
              <w:right w:val="nil"/>
            </w:tcBorders>
            <w:shd w:val="clear" w:color="auto" w:fill="B8CCE4" w:themeFill="accent1" w:themeFillTint="66"/>
            <w:noWrap/>
            <w:vAlign w:val="center"/>
            <w:hideMark/>
          </w:tcPr>
          <w:p w14:paraId="70282531" w14:textId="77777777" w:rsidR="00C30199" w:rsidRPr="004A3EE6" w:rsidRDefault="00C30199" w:rsidP="00471A11">
            <w:pPr>
              <w:pStyle w:val="cuadroCabe"/>
              <w:spacing w:line="240" w:lineRule="auto"/>
              <w:jc w:val="right"/>
              <w:rPr>
                <w:lang w:val="es-ES" w:eastAsia="es-ES"/>
              </w:rPr>
            </w:pPr>
            <w:r w:rsidRPr="004A3EE6">
              <w:rPr>
                <w:lang w:val="es-ES" w:eastAsia="es-ES"/>
              </w:rPr>
              <w:t>763.753</w:t>
            </w:r>
          </w:p>
        </w:tc>
      </w:tr>
    </w:tbl>
    <w:p w14:paraId="40C7C62E" w14:textId="77777777" w:rsidR="004C77BE" w:rsidRPr="004C77BE" w:rsidRDefault="004C77BE" w:rsidP="00BD02C1">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before="240" w:after="120"/>
        <w:ind w:left="0" w:firstLine="284"/>
        <w:rPr>
          <w:i/>
          <w:szCs w:val="26"/>
        </w:rPr>
      </w:pPr>
      <w:r w:rsidRPr="004C77BE">
        <w:rPr>
          <w:i/>
          <w:szCs w:val="26"/>
        </w:rPr>
        <w:t>Autovía del Camino</w:t>
      </w:r>
    </w:p>
    <w:p w14:paraId="4B0ABC0F" w14:textId="77777777" w:rsidR="00C30199" w:rsidRDefault="00C30199" w:rsidP="00966B96">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80" w:after="0"/>
        <w:rPr>
          <w:szCs w:val="26"/>
        </w:rPr>
      </w:pPr>
      <w:r>
        <w:rPr>
          <w:szCs w:val="26"/>
        </w:rPr>
        <w:t>Un análisis más detallado del devengo e imputación al presupuesto anual, así como la evolución del tráfico, d</w:t>
      </w:r>
      <w:r w:rsidR="001D3F2F">
        <w:rPr>
          <w:szCs w:val="26"/>
        </w:rPr>
        <w:t xml:space="preserve">esde el inicio de la concesión, </w:t>
      </w:r>
      <w:r w:rsidR="008F7D98">
        <w:rPr>
          <w:szCs w:val="26"/>
        </w:rPr>
        <w:t>para la A</w:t>
      </w:r>
      <w:r>
        <w:rPr>
          <w:szCs w:val="26"/>
        </w:rPr>
        <w:t xml:space="preserve">utovía del Camino sería el siguiente: </w:t>
      </w:r>
    </w:p>
    <w:p w14:paraId="75DD741F" w14:textId="77777777" w:rsidR="002B161B" w:rsidRPr="002B161B" w:rsidRDefault="000D3237" w:rsidP="002B161B">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ind w:firstLine="289"/>
        <w:jc w:val="right"/>
        <w:rPr>
          <w:rFonts w:ascii="Arial Narrow" w:hAnsi="Arial Narrow"/>
          <w:sz w:val="16"/>
          <w:szCs w:val="16"/>
        </w:rPr>
      </w:pPr>
      <w:r>
        <w:rPr>
          <w:rFonts w:ascii="Arial Narrow" w:hAnsi="Arial Narrow"/>
          <w:sz w:val="16"/>
          <w:szCs w:val="16"/>
        </w:rPr>
        <w:t>(</w:t>
      </w:r>
      <w:r w:rsidR="002B161B" w:rsidRPr="002B161B">
        <w:rPr>
          <w:rFonts w:ascii="Arial Narrow" w:hAnsi="Arial Narrow"/>
          <w:sz w:val="16"/>
          <w:szCs w:val="16"/>
        </w:rPr>
        <w:t>Miles</w:t>
      </w:r>
      <w:r w:rsidR="004C77BE">
        <w:rPr>
          <w:rFonts w:ascii="Arial Narrow" w:hAnsi="Arial Narrow"/>
          <w:sz w:val="16"/>
          <w:szCs w:val="16"/>
        </w:rPr>
        <w:t>, salvo número de vehículos</w:t>
      </w:r>
      <w:r>
        <w:rPr>
          <w:rFonts w:ascii="Arial Narrow" w:hAnsi="Arial Narrow"/>
          <w:sz w:val="16"/>
          <w:szCs w:val="16"/>
        </w:rPr>
        <w:t>)</w:t>
      </w:r>
    </w:p>
    <w:tbl>
      <w:tblPr>
        <w:tblW w:w="9072" w:type="dxa"/>
        <w:tblCellMar>
          <w:left w:w="70" w:type="dxa"/>
          <w:right w:w="70" w:type="dxa"/>
        </w:tblCellMar>
        <w:tblLook w:val="04A0" w:firstRow="1" w:lastRow="0" w:firstColumn="1" w:lastColumn="0" w:noHBand="0" w:noVBand="1"/>
      </w:tblPr>
      <w:tblGrid>
        <w:gridCol w:w="567"/>
        <w:gridCol w:w="1418"/>
        <w:gridCol w:w="1418"/>
        <w:gridCol w:w="1053"/>
        <w:gridCol w:w="1215"/>
        <w:gridCol w:w="1134"/>
        <w:gridCol w:w="1133"/>
        <w:gridCol w:w="1134"/>
      </w:tblGrid>
      <w:tr w:rsidR="002B161B" w:rsidRPr="002B161B" w14:paraId="5D7CB9DD" w14:textId="77777777" w:rsidTr="0021569A">
        <w:trPr>
          <w:trHeight w:val="227"/>
        </w:trPr>
        <w:tc>
          <w:tcPr>
            <w:tcW w:w="567" w:type="dxa"/>
            <w:tcBorders>
              <w:top w:val="single" w:sz="4" w:space="0" w:color="auto"/>
              <w:left w:val="nil"/>
              <w:bottom w:val="single" w:sz="4" w:space="0" w:color="auto"/>
              <w:right w:val="nil"/>
            </w:tcBorders>
            <w:shd w:val="clear" w:color="auto" w:fill="B8CCE4" w:themeFill="accent1" w:themeFillTint="66"/>
            <w:vAlign w:val="center"/>
            <w:hideMark/>
          </w:tcPr>
          <w:p w14:paraId="4BBCBFF3" w14:textId="77777777" w:rsidR="00C30199" w:rsidRPr="002B161B" w:rsidRDefault="00C30199" w:rsidP="002B161B">
            <w:pPr>
              <w:pStyle w:val="cuadroCabe"/>
              <w:spacing w:line="240" w:lineRule="auto"/>
              <w:rPr>
                <w:sz w:val="14"/>
                <w:szCs w:val="14"/>
                <w:lang w:val="es-ES" w:eastAsia="es-ES"/>
              </w:rPr>
            </w:pPr>
            <w:r w:rsidRPr="002B161B">
              <w:rPr>
                <w:sz w:val="14"/>
                <w:szCs w:val="14"/>
                <w:lang w:val="es-ES" w:eastAsia="es-ES"/>
              </w:rPr>
              <w:t>Año</w:t>
            </w:r>
          </w:p>
        </w:tc>
        <w:tc>
          <w:tcPr>
            <w:tcW w:w="1418" w:type="dxa"/>
            <w:tcBorders>
              <w:top w:val="single" w:sz="4" w:space="0" w:color="auto"/>
              <w:left w:val="nil"/>
              <w:bottom w:val="single" w:sz="4" w:space="0" w:color="auto"/>
              <w:right w:val="nil"/>
            </w:tcBorders>
            <w:shd w:val="clear" w:color="auto" w:fill="B8CCE4" w:themeFill="accent1" w:themeFillTint="66"/>
            <w:vAlign w:val="center"/>
            <w:hideMark/>
          </w:tcPr>
          <w:p w14:paraId="231C9C54" w14:textId="77777777" w:rsidR="000D3237" w:rsidRDefault="00C30199" w:rsidP="002B161B">
            <w:pPr>
              <w:pStyle w:val="cuadroCabe"/>
              <w:spacing w:line="240" w:lineRule="auto"/>
              <w:jc w:val="right"/>
              <w:rPr>
                <w:sz w:val="14"/>
                <w:szCs w:val="14"/>
                <w:lang w:val="es-ES" w:eastAsia="es-ES"/>
              </w:rPr>
            </w:pPr>
            <w:r w:rsidRPr="002B161B">
              <w:rPr>
                <w:sz w:val="14"/>
                <w:szCs w:val="14"/>
                <w:lang w:val="es-ES" w:eastAsia="es-ES"/>
              </w:rPr>
              <w:t>Vehículos</w:t>
            </w:r>
            <w:r w:rsidR="004C77BE">
              <w:rPr>
                <w:sz w:val="14"/>
                <w:szCs w:val="14"/>
                <w:lang w:val="es-ES" w:eastAsia="es-ES"/>
              </w:rPr>
              <w:t>-</w:t>
            </w:r>
            <w:r w:rsidRPr="002B161B">
              <w:rPr>
                <w:sz w:val="14"/>
                <w:szCs w:val="14"/>
                <w:lang w:val="es-ES" w:eastAsia="es-ES"/>
              </w:rPr>
              <w:t xml:space="preserve"> </w:t>
            </w:r>
          </w:p>
          <w:p w14:paraId="1BA60E32" w14:textId="77777777" w:rsidR="00C30199" w:rsidRPr="002B161B" w:rsidRDefault="00C30199" w:rsidP="000D3237">
            <w:pPr>
              <w:pStyle w:val="cuadroCabe"/>
              <w:spacing w:line="240" w:lineRule="auto"/>
              <w:jc w:val="right"/>
              <w:rPr>
                <w:sz w:val="14"/>
                <w:szCs w:val="14"/>
                <w:lang w:val="es-ES" w:eastAsia="es-ES"/>
              </w:rPr>
            </w:pPr>
            <w:r w:rsidRPr="002B161B">
              <w:rPr>
                <w:sz w:val="14"/>
                <w:szCs w:val="14"/>
                <w:lang w:val="es-ES" w:eastAsia="es-ES"/>
              </w:rPr>
              <w:t>k</w:t>
            </w:r>
            <w:r w:rsidR="002B161B" w:rsidRPr="002B161B">
              <w:rPr>
                <w:sz w:val="14"/>
                <w:szCs w:val="14"/>
                <w:lang w:val="es-ES" w:eastAsia="es-ES"/>
              </w:rPr>
              <w:t>m.</w:t>
            </w:r>
            <w:r w:rsidR="004C77BE">
              <w:rPr>
                <w:sz w:val="14"/>
                <w:szCs w:val="14"/>
                <w:lang w:val="es-ES" w:eastAsia="es-ES"/>
              </w:rPr>
              <w:t>/</w:t>
            </w:r>
            <w:proofErr w:type="gramStart"/>
            <w:r w:rsidR="004C77BE">
              <w:rPr>
                <w:sz w:val="14"/>
                <w:szCs w:val="14"/>
                <w:lang w:val="es-ES" w:eastAsia="es-ES"/>
              </w:rPr>
              <w:t>año</w:t>
            </w:r>
            <w:r w:rsidR="000D3237">
              <w:rPr>
                <w:sz w:val="14"/>
                <w:szCs w:val="14"/>
                <w:lang w:val="es-ES" w:eastAsia="es-ES"/>
              </w:rPr>
              <w:t xml:space="preserve"> </w:t>
            </w:r>
            <w:r w:rsidRPr="002B161B">
              <w:rPr>
                <w:sz w:val="14"/>
                <w:szCs w:val="14"/>
                <w:lang w:val="es-ES" w:eastAsia="es-ES"/>
              </w:rPr>
              <w:t>ligeros</w:t>
            </w:r>
            <w:proofErr w:type="gramEnd"/>
          </w:p>
        </w:tc>
        <w:tc>
          <w:tcPr>
            <w:tcW w:w="1418" w:type="dxa"/>
            <w:tcBorders>
              <w:top w:val="single" w:sz="4" w:space="0" w:color="auto"/>
              <w:left w:val="nil"/>
              <w:bottom w:val="single" w:sz="4" w:space="0" w:color="auto"/>
              <w:right w:val="nil"/>
            </w:tcBorders>
            <w:shd w:val="clear" w:color="auto" w:fill="B8CCE4" w:themeFill="accent1" w:themeFillTint="66"/>
            <w:vAlign w:val="center"/>
            <w:hideMark/>
          </w:tcPr>
          <w:p w14:paraId="4C7B592C" w14:textId="77777777" w:rsidR="0021569A" w:rsidRDefault="00C30199" w:rsidP="002B161B">
            <w:pPr>
              <w:pStyle w:val="cuadroCabe"/>
              <w:spacing w:line="240" w:lineRule="auto"/>
              <w:jc w:val="right"/>
              <w:rPr>
                <w:sz w:val="14"/>
                <w:szCs w:val="14"/>
                <w:lang w:val="es-ES" w:eastAsia="es-ES"/>
              </w:rPr>
            </w:pPr>
            <w:r w:rsidRPr="002B161B">
              <w:rPr>
                <w:sz w:val="14"/>
                <w:szCs w:val="14"/>
                <w:lang w:val="es-ES" w:eastAsia="es-ES"/>
              </w:rPr>
              <w:t>V</w:t>
            </w:r>
            <w:r w:rsidR="002B161B" w:rsidRPr="002B161B">
              <w:rPr>
                <w:sz w:val="14"/>
                <w:szCs w:val="14"/>
                <w:lang w:val="es-ES" w:eastAsia="es-ES"/>
              </w:rPr>
              <w:t xml:space="preserve">ehículos </w:t>
            </w:r>
          </w:p>
          <w:p w14:paraId="3318D1FD" w14:textId="77777777" w:rsidR="00C30199" w:rsidRPr="002B161B" w:rsidRDefault="002B161B" w:rsidP="0021569A">
            <w:pPr>
              <w:pStyle w:val="cuadroCabe"/>
              <w:spacing w:line="240" w:lineRule="auto"/>
              <w:jc w:val="right"/>
              <w:rPr>
                <w:sz w:val="14"/>
                <w:szCs w:val="14"/>
                <w:lang w:val="es-ES" w:eastAsia="es-ES"/>
              </w:rPr>
            </w:pPr>
            <w:r w:rsidRPr="002B161B">
              <w:rPr>
                <w:sz w:val="14"/>
                <w:szCs w:val="14"/>
                <w:lang w:val="es-ES" w:eastAsia="es-ES"/>
              </w:rPr>
              <w:t>km.</w:t>
            </w:r>
            <w:r w:rsidR="004C77BE">
              <w:rPr>
                <w:sz w:val="14"/>
                <w:szCs w:val="14"/>
                <w:lang w:val="es-ES" w:eastAsia="es-ES"/>
              </w:rPr>
              <w:t>/</w:t>
            </w:r>
            <w:proofErr w:type="gramStart"/>
            <w:r w:rsidR="004C77BE">
              <w:rPr>
                <w:sz w:val="14"/>
                <w:szCs w:val="14"/>
                <w:lang w:val="es-ES" w:eastAsia="es-ES"/>
              </w:rPr>
              <w:t>año</w:t>
            </w:r>
            <w:r w:rsidRPr="002B161B">
              <w:rPr>
                <w:sz w:val="14"/>
                <w:szCs w:val="14"/>
                <w:lang w:val="es-ES" w:eastAsia="es-ES"/>
              </w:rPr>
              <w:t xml:space="preserve"> </w:t>
            </w:r>
            <w:r w:rsidR="00C30199" w:rsidRPr="002B161B">
              <w:rPr>
                <w:sz w:val="14"/>
                <w:szCs w:val="14"/>
                <w:lang w:val="es-ES" w:eastAsia="es-ES"/>
              </w:rPr>
              <w:t>pesados</w:t>
            </w:r>
            <w:proofErr w:type="gramEnd"/>
          </w:p>
        </w:tc>
        <w:tc>
          <w:tcPr>
            <w:tcW w:w="1053" w:type="dxa"/>
            <w:tcBorders>
              <w:top w:val="single" w:sz="4" w:space="0" w:color="auto"/>
              <w:left w:val="nil"/>
              <w:bottom w:val="single" w:sz="4" w:space="0" w:color="auto"/>
              <w:right w:val="nil"/>
            </w:tcBorders>
            <w:shd w:val="clear" w:color="auto" w:fill="B8CCE4" w:themeFill="accent1" w:themeFillTint="66"/>
            <w:vAlign w:val="center"/>
            <w:hideMark/>
          </w:tcPr>
          <w:p w14:paraId="5A3CAB0E" w14:textId="77777777" w:rsidR="00C30199" w:rsidRPr="002B161B" w:rsidRDefault="00C30199" w:rsidP="00AD0582">
            <w:pPr>
              <w:pStyle w:val="cuadroCabe"/>
              <w:spacing w:line="240" w:lineRule="auto"/>
              <w:jc w:val="right"/>
              <w:rPr>
                <w:sz w:val="14"/>
                <w:szCs w:val="14"/>
                <w:lang w:val="es-ES" w:eastAsia="es-ES"/>
              </w:rPr>
            </w:pPr>
            <w:r w:rsidRPr="002B161B">
              <w:rPr>
                <w:sz w:val="14"/>
                <w:szCs w:val="14"/>
                <w:lang w:val="es-ES" w:eastAsia="es-ES"/>
              </w:rPr>
              <w:t>Total vehículos k</w:t>
            </w:r>
            <w:r w:rsidR="002B161B" w:rsidRPr="002B161B">
              <w:rPr>
                <w:sz w:val="14"/>
                <w:szCs w:val="14"/>
                <w:lang w:val="es-ES" w:eastAsia="es-ES"/>
              </w:rPr>
              <w:t>m.</w:t>
            </w:r>
            <w:r w:rsidR="004C77BE">
              <w:rPr>
                <w:sz w:val="14"/>
                <w:szCs w:val="14"/>
                <w:lang w:val="es-ES" w:eastAsia="es-ES"/>
              </w:rPr>
              <w:t>/</w:t>
            </w:r>
            <w:proofErr w:type="gramStart"/>
            <w:r w:rsidR="004C77BE">
              <w:rPr>
                <w:sz w:val="14"/>
                <w:szCs w:val="14"/>
                <w:lang w:val="es-ES" w:eastAsia="es-ES"/>
              </w:rPr>
              <w:t>año</w:t>
            </w:r>
            <w:r w:rsidR="00AD0582" w:rsidRPr="00AD0582">
              <w:rPr>
                <w:sz w:val="14"/>
                <w:szCs w:val="14"/>
                <w:vertAlign w:val="superscript"/>
                <w:lang w:val="es-ES" w:eastAsia="es-ES"/>
              </w:rPr>
              <w:t>(</w:t>
            </w:r>
            <w:proofErr w:type="gramEnd"/>
            <w:r w:rsidR="00AD0582" w:rsidRPr="00AD0582">
              <w:rPr>
                <w:sz w:val="14"/>
                <w:szCs w:val="14"/>
                <w:vertAlign w:val="superscript"/>
                <w:lang w:val="es-ES" w:eastAsia="es-ES"/>
              </w:rPr>
              <w:t>*)</w:t>
            </w:r>
          </w:p>
        </w:tc>
        <w:tc>
          <w:tcPr>
            <w:tcW w:w="1215" w:type="dxa"/>
            <w:tcBorders>
              <w:top w:val="single" w:sz="4" w:space="0" w:color="auto"/>
              <w:left w:val="nil"/>
              <w:bottom w:val="single" w:sz="4" w:space="0" w:color="auto"/>
              <w:right w:val="nil"/>
            </w:tcBorders>
            <w:shd w:val="clear" w:color="auto" w:fill="B8CCE4" w:themeFill="accent1" w:themeFillTint="66"/>
            <w:vAlign w:val="center"/>
            <w:hideMark/>
          </w:tcPr>
          <w:p w14:paraId="647B1140" w14:textId="77777777" w:rsidR="00C30199" w:rsidRPr="002B161B" w:rsidRDefault="00C30199" w:rsidP="002B161B">
            <w:pPr>
              <w:pStyle w:val="cuadroCabe"/>
              <w:spacing w:line="240" w:lineRule="auto"/>
              <w:jc w:val="right"/>
              <w:rPr>
                <w:sz w:val="14"/>
                <w:szCs w:val="14"/>
                <w:lang w:val="es-ES" w:eastAsia="es-ES"/>
              </w:rPr>
            </w:pPr>
            <w:r w:rsidRPr="002B161B">
              <w:rPr>
                <w:sz w:val="14"/>
                <w:szCs w:val="14"/>
                <w:lang w:val="es-ES" w:eastAsia="es-ES"/>
              </w:rPr>
              <w:t>Devengo canon demanda</w:t>
            </w:r>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6051A3EF" w14:textId="77777777" w:rsidR="00C30199" w:rsidRPr="002B161B" w:rsidRDefault="00C30199" w:rsidP="002B161B">
            <w:pPr>
              <w:pStyle w:val="cuadroCabe"/>
              <w:spacing w:line="240" w:lineRule="auto"/>
              <w:jc w:val="right"/>
              <w:rPr>
                <w:sz w:val="14"/>
                <w:szCs w:val="14"/>
                <w:lang w:val="es-ES" w:eastAsia="es-ES"/>
              </w:rPr>
            </w:pPr>
            <w:r w:rsidRPr="002B161B">
              <w:rPr>
                <w:sz w:val="14"/>
                <w:szCs w:val="14"/>
                <w:lang w:val="es-ES" w:eastAsia="es-ES"/>
              </w:rPr>
              <w:t xml:space="preserve">Devengo </w:t>
            </w:r>
            <w:proofErr w:type="gramStart"/>
            <w:r w:rsidRPr="002B161B">
              <w:rPr>
                <w:sz w:val="14"/>
                <w:szCs w:val="14"/>
                <w:lang w:val="es-ES" w:eastAsia="es-ES"/>
              </w:rPr>
              <w:t>extra conservación</w:t>
            </w:r>
            <w:proofErr w:type="gramEnd"/>
          </w:p>
        </w:tc>
        <w:tc>
          <w:tcPr>
            <w:tcW w:w="1133" w:type="dxa"/>
            <w:tcBorders>
              <w:top w:val="single" w:sz="4" w:space="0" w:color="auto"/>
              <w:left w:val="nil"/>
              <w:bottom w:val="single" w:sz="4" w:space="0" w:color="auto"/>
              <w:right w:val="nil"/>
            </w:tcBorders>
            <w:shd w:val="clear" w:color="auto" w:fill="B8CCE4" w:themeFill="accent1" w:themeFillTint="66"/>
            <w:vAlign w:val="center"/>
            <w:hideMark/>
          </w:tcPr>
          <w:p w14:paraId="370ADFF1" w14:textId="77777777" w:rsidR="00C30199" w:rsidRPr="002B161B" w:rsidRDefault="00C30199" w:rsidP="002B161B">
            <w:pPr>
              <w:pStyle w:val="cuadroCabe"/>
              <w:spacing w:line="240" w:lineRule="auto"/>
              <w:jc w:val="right"/>
              <w:rPr>
                <w:sz w:val="14"/>
                <w:szCs w:val="14"/>
                <w:lang w:val="es-ES" w:eastAsia="es-ES"/>
              </w:rPr>
            </w:pPr>
            <w:proofErr w:type="gramStart"/>
            <w:r w:rsidRPr="002B161B">
              <w:rPr>
                <w:sz w:val="14"/>
                <w:szCs w:val="14"/>
                <w:lang w:val="es-ES" w:eastAsia="es-ES"/>
              </w:rPr>
              <w:t>Total</w:t>
            </w:r>
            <w:proofErr w:type="gramEnd"/>
            <w:r w:rsidRPr="002B161B">
              <w:rPr>
                <w:sz w:val="14"/>
                <w:szCs w:val="14"/>
                <w:lang w:val="es-ES" w:eastAsia="es-ES"/>
              </w:rPr>
              <w:t xml:space="preserve"> devengo IVA incluido</w:t>
            </w:r>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373DEB68" w14:textId="77777777" w:rsidR="00C30199" w:rsidRPr="002B161B" w:rsidRDefault="00C30199" w:rsidP="002B161B">
            <w:pPr>
              <w:pStyle w:val="cuadroCabe"/>
              <w:spacing w:line="240" w:lineRule="auto"/>
              <w:jc w:val="right"/>
              <w:rPr>
                <w:sz w:val="14"/>
                <w:szCs w:val="14"/>
                <w:lang w:val="es-ES" w:eastAsia="es-ES"/>
              </w:rPr>
            </w:pPr>
            <w:r w:rsidRPr="002B161B">
              <w:rPr>
                <w:sz w:val="14"/>
                <w:szCs w:val="14"/>
                <w:lang w:val="es-ES" w:eastAsia="es-ES"/>
              </w:rPr>
              <w:t xml:space="preserve">Total </w:t>
            </w:r>
            <w:proofErr w:type="gramStart"/>
            <w:r w:rsidRPr="002B161B">
              <w:rPr>
                <w:sz w:val="14"/>
                <w:szCs w:val="14"/>
                <w:lang w:val="es-ES" w:eastAsia="es-ES"/>
              </w:rPr>
              <w:t>gasto  presupuesto</w:t>
            </w:r>
            <w:proofErr w:type="gramEnd"/>
          </w:p>
        </w:tc>
      </w:tr>
      <w:tr w:rsidR="00C30199" w:rsidRPr="002B161B" w14:paraId="60FE609F" w14:textId="77777777" w:rsidTr="0021569A">
        <w:trPr>
          <w:trHeight w:val="227"/>
        </w:trPr>
        <w:tc>
          <w:tcPr>
            <w:tcW w:w="567" w:type="dxa"/>
            <w:tcBorders>
              <w:top w:val="nil"/>
              <w:left w:val="nil"/>
              <w:bottom w:val="single" w:sz="2" w:space="0" w:color="auto"/>
              <w:right w:val="nil"/>
            </w:tcBorders>
            <w:shd w:val="clear" w:color="auto" w:fill="auto"/>
            <w:noWrap/>
            <w:vAlign w:val="center"/>
            <w:hideMark/>
          </w:tcPr>
          <w:p w14:paraId="14F33F43" w14:textId="77777777" w:rsidR="00C30199" w:rsidRPr="002B161B" w:rsidRDefault="00C30199" w:rsidP="002B161B">
            <w:pPr>
              <w:pStyle w:val="cuatexto"/>
              <w:spacing w:line="240" w:lineRule="auto"/>
              <w:rPr>
                <w:sz w:val="16"/>
                <w:szCs w:val="16"/>
                <w:lang w:val="es-ES" w:eastAsia="es-ES"/>
              </w:rPr>
            </w:pPr>
            <w:r w:rsidRPr="002B161B">
              <w:rPr>
                <w:sz w:val="16"/>
                <w:szCs w:val="16"/>
                <w:lang w:val="es-ES" w:eastAsia="es-ES"/>
              </w:rPr>
              <w:t>2007</w:t>
            </w:r>
          </w:p>
        </w:tc>
        <w:tc>
          <w:tcPr>
            <w:tcW w:w="1418" w:type="dxa"/>
            <w:tcBorders>
              <w:top w:val="nil"/>
              <w:left w:val="nil"/>
              <w:bottom w:val="single" w:sz="2" w:space="0" w:color="auto"/>
              <w:right w:val="nil"/>
            </w:tcBorders>
            <w:shd w:val="clear" w:color="auto" w:fill="auto"/>
            <w:noWrap/>
            <w:vAlign w:val="center"/>
            <w:hideMark/>
          </w:tcPr>
          <w:p w14:paraId="52CE9700" w14:textId="77777777" w:rsidR="00C30199" w:rsidRPr="002B161B" w:rsidRDefault="00C30199" w:rsidP="002B161B">
            <w:pPr>
              <w:pStyle w:val="cuatexto"/>
              <w:spacing w:line="240" w:lineRule="auto"/>
              <w:jc w:val="right"/>
              <w:rPr>
                <w:sz w:val="16"/>
                <w:szCs w:val="16"/>
                <w:lang w:val="es-ES" w:eastAsia="es-ES"/>
              </w:rPr>
            </w:pPr>
            <w:r w:rsidRPr="002B161B">
              <w:rPr>
                <w:sz w:val="16"/>
                <w:szCs w:val="16"/>
                <w:lang w:val="es-ES" w:eastAsia="es-ES"/>
              </w:rPr>
              <w:t>262.277.747</w:t>
            </w:r>
          </w:p>
        </w:tc>
        <w:tc>
          <w:tcPr>
            <w:tcW w:w="1418" w:type="dxa"/>
            <w:tcBorders>
              <w:top w:val="nil"/>
              <w:left w:val="nil"/>
              <w:bottom w:val="single" w:sz="2" w:space="0" w:color="auto"/>
              <w:right w:val="nil"/>
            </w:tcBorders>
            <w:shd w:val="clear" w:color="auto" w:fill="auto"/>
            <w:noWrap/>
            <w:vAlign w:val="center"/>
            <w:hideMark/>
          </w:tcPr>
          <w:p w14:paraId="5A83B48A" w14:textId="77777777" w:rsidR="00C30199" w:rsidRPr="002B161B" w:rsidRDefault="00C30199" w:rsidP="002B161B">
            <w:pPr>
              <w:pStyle w:val="cuatexto"/>
              <w:spacing w:line="240" w:lineRule="auto"/>
              <w:jc w:val="right"/>
              <w:rPr>
                <w:sz w:val="16"/>
                <w:szCs w:val="16"/>
                <w:lang w:val="es-ES" w:eastAsia="es-ES"/>
              </w:rPr>
            </w:pPr>
            <w:r w:rsidRPr="002B161B">
              <w:rPr>
                <w:sz w:val="16"/>
                <w:szCs w:val="16"/>
                <w:lang w:val="es-ES" w:eastAsia="es-ES"/>
              </w:rPr>
              <w:t>32.258.326</w:t>
            </w:r>
          </w:p>
        </w:tc>
        <w:tc>
          <w:tcPr>
            <w:tcW w:w="1053" w:type="dxa"/>
            <w:tcBorders>
              <w:top w:val="nil"/>
              <w:left w:val="nil"/>
              <w:bottom w:val="single" w:sz="2" w:space="0" w:color="auto"/>
              <w:right w:val="nil"/>
            </w:tcBorders>
            <w:shd w:val="clear" w:color="auto" w:fill="auto"/>
            <w:noWrap/>
            <w:vAlign w:val="center"/>
            <w:hideMark/>
          </w:tcPr>
          <w:p w14:paraId="09B1EE4C" w14:textId="77777777" w:rsidR="00C30199" w:rsidRPr="002B161B" w:rsidRDefault="00C30199" w:rsidP="002B161B">
            <w:pPr>
              <w:pStyle w:val="cuatexto"/>
              <w:spacing w:line="240" w:lineRule="auto"/>
              <w:jc w:val="right"/>
              <w:rPr>
                <w:sz w:val="16"/>
                <w:szCs w:val="16"/>
                <w:lang w:val="es-ES" w:eastAsia="es-ES"/>
              </w:rPr>
            </w:pPr>
            <w:r w:rsidRPr="002B161B">
              <w:rPr>
                <w:sz w:val="16"/>
                <w:szCs w:val="16"/>
                <w:lang w:val="es-ES" w:eastAsia="es-ES"/>
              </w:rPr>
              <w:t>294.536.073</w:t>
            </w:r>
          </w:p>
        </w:tc>
        <w:tc>
          <w:tcPr>
            <w:tcW w:w="1215" w:type="dxa"/>
            <w:tcBorders>
              <w:top w:val="nil"/>
              <w:left w:val="nil"/>
              <w:bottom w:val="single" w:sz="2" w:space="0" w:color="auto"/>
              <w:right w:val="nil"/>
            </w:tcBorders>
            <w:shd w:val="clear" w:color="auto" w:fill="auto"/>
            <w:noWrap/>
            <w:vAlign w:val="center"/>
            <w:hideMark/>
          </w:tcPr>
          <w:p w14:paraId="0A0F9D20" w14:textId="77777777" w:rsidR="00C30199" w:rsidRPr="002B161B" w:rsidRDefault="004C77BE" w:rsidP="002B161B">
            <w:pPr>
              <w:pStyle w:val="cuatexto"/>
              <w:spacing w:line="240" w:lineRule="auto"/>
              <w:jc w:val="right"/>
              <w:rPr>
                <w:sz w:val="16"/>
                <w:szCs w:val="16"/>
                <w:lang w:val="es-ES" w:eastAsia="es-ES"/>
              </w:rPr>
            </w:pPr>
            <w:r>
              <w:rPr>
                <w:sz w:val="16"/>
                <w:szCs w:val="16"/>
                <w:lang w:val="es-ES" w:eastAsia="es-ES"/>
              </w:rPr>
              <w:t>27.542</w:t>
            </w:r>
          </w:p>
        </w:tc>
        <w:tc>
          <w:tcPr>
            <w:tcW w:w="1134" w:type="dxa"/>
            <w:tcBorders>
              <w:top w:val="nil"/>
              <w:left w:val="nil"/>
              <w:bottom w:val="single" w:sz="2" w:space="0" w:color="auto"/>
              <w:right w:val="nil"/>
            </w:tcBorders>
            <w:shd w:val="clear" w:color="auto" w:fill="auto"/>
            <w:noWrap/>
            <w:vAlign w:val="center"/>
            <w:hideMark/>
          </w:tcPr>
          <w:p w14:paraId="140B7AFE" w14:textId="77777777" w:rsidR="00C30199" w:rsidRPr="002B161B" w:rsidRDefault="001A75E2" w:rsidP="002B161B">
            <w:pPr>
              <w:pStyle w:val="cuatexto"/>
              <w:spacing w:line="240" w:lineRule="auto"/>
              <w:jc w:val="right"/>
              <w:rPr>
                <w:sz w:val="16"/>
                <w:szCs w:val="16"/>
                <w:lang w:val="es-ES" w:eastAsia="es-ES"/>
              </w:rPr>
            </w:pPr>
            <w:r>
              <w:rPr>
                <w:sz w:val="16"/>
                <w:szCs w:val="16"/>
                <w:lang w:val="es-ES" w:eastAsia="es-ES"/>
              </w:rPr>
              <w:t>1.697</w:t>
            </w:r>
          </w:p>
        </w:tc>
        <w:tc>
          <w:tcPr>
            <w:tcW w:w="1133" w:type="dxa"/>
            <w:tcBorders>
              <w:top w:val="nil"/>
              <w:left w:val="nil"/>
              <w:bottom w:val="single" w:sz="2" w:space="0" w:color="auto"/>
              <w:right w:val="nil"/>
            </w:tcBorders>
            <w:shd w:val="clear" w:color="auto" w:fill="auto"/>
            <w:noWrap/>
            <w:vAlign w:val="center"/>
            <w:hideMark/>
          </w:tcPr>
          <w:p w14:paraId="177A15C1" w14:textId="77777777" w:rsidR="00C30199" w:rsidRPr="002B161B" w:rsidRDefault="00C30199" w:rsidP="002B161B">
            <w:pPr>
              <w:pStyle w:val="cuatexto"/>
              <w:spacing w:line="240" w:lineRule="auto"/>
              <w:jc w:val="right"/>
              <w:rPr>
                <w:sz w:val="16"/>
                <w:szCs w:val="16"/>
                <w:lang w:val="es-ES" w:eastAsia="es-ES"/>
              </w:rPr>
            </w:pPr>
            <w:r w:rsidRPr="002B161B">
              <w:rPr>
                <w:sz w:val="16"/>
                <w:szCs w:val="16"/>
                <w:lang w:val="es-ES" w:eastAsia="es-ES"/>
              </w:rPr>
              <w:t>33.917</w:t>
            </w:r>
          </w:p>
        </w:tc>
        <w:tc>
          <w:tcPr>
            <w:tcW w:w="1134" w:type="dxa"/>
            <w:tcBorders>
              <w:top w:val="nil"/>
              <w:left w:val="nil"/>
              <w:bottom w:val="single" w:sz="2" w:space="0" w:color="auto"/>
              <w:right w:val="nil"/>
            </w:tcBorders>
            <w:shd w:val="clear" w:color="auto" w:fill="auto"/>
            <w:noWrap/>
            <w:vAlign w:val="center"/>
            <w:hideMark/>
          </w:tcPr>
          <w:p w14:paraId="41A1386C" w14:textId="77777777" w:rsidR="00C30199" w:rsidRPr="002B161B" w:rsidRDefault="00C30199" w:rsidP="002B161B">
            <w:pPr>
              <w:pStyle w:val="cuatexto"/>
              <w:spacing w:line="240" w:lineRule="auto"/>
              <w:jc w:val="right"/>
              <w:rPr>
                <w:sz w:val="16"/>
                <w:szCs w:val="16"/>
                <w:lang w:val="es-ES" w:eastAsia="es-ES"/>
              </w:rPr>
            </w:pPr>
            <w:r w:rsidRPr="002B161B">
              <w:rPr>
                <w:sz w:val="16"/>
                <w:szCs w:val="16"/>
                <w:lang w:val="es-ES" w:eastAsia="es-ES"/>
              </w:rPr>
              <w:t>27.527</w:t>
            </w:r>
          </w:p>
        </w:tc>
      </w:tr>
      <w:tr w:rsidR="00C30199" w:rsidRPr="002B161B" w14:paraId="680FCE95"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9CDA85A"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2008</w:t>
            </w:r>
          </w:p>
        </w:tc>
        <w:tc>
          <w:tcPr>
            <w:tcW w:w="1418" w:type="dxa"/>
            <w:tcBorders>
              <w:top w:val="single" w:sz="2" w:space="0" w:color="auto"/>
              <w:left w:val="nil"/>
              <w:bottom w:val="single" w:sz="2" w:space="0" w:color="auto"/>
              <w:right w:val="nil"/>
            </w:tcBorders>
            <w:shd w:val="clear" w:color="auto" w:fill="auto"/>
            <w:noWrap/>
            <w:vAlign w:val="center"/>
            <w:hideMark/>
          </w:tcPr>
          <w:p w14:paraId="01C05074"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270.003.855</w:t>
            </w:r>
          </w:p>
        </w:tc>
        <w:tc>
          <w:tcPr>
            <w:tcW w:w="1418" w:type="dxa"/>
            <w:tcBorders>
              <w:top w:val="single" w:sz="2" w:space="0" w:color="auto"/>
              <w:left w:val="nil"/>
              <w:bottom w:val="single" w:sz="2" w:space="0" w:color="auto"/>
              <w:right w:val="nil"/>
            </w:tcBorders>
            <w:shd w:val="clear" w:color="auto" w:fill="auto"/>
            <w:noWrap/>
            <w:vAlign w:val="center"/>
            <w:hideMark/>
          </w:tcPr>
          <w:p w14:paraId="49DB17C1"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33.255.072</w:t>
            </w:r>
          </w:p>
        </w:tc>
        <w:tc>
          <w:tcPr>
            <w:tcW w:w="1053" w:type="dxa"/>
            <w:tcBorders>
              <w:top w:val="single" w:sz="2" w:space="0" w:color="auto"/>
              <w:left w:val="nil"/>
              <w:bottom w:val="single" w:sz="2" w:space="0" w:color="auto"/>
              <w:right w:val="nil"/>
            </w:tcBorders>
            <w:shd w:val="clear" w:color="auto" w:fill="auto"/>
            <w:noWrap/>
            <w:vAlign w:val="center"/>
            <w:hideMark/>
          </w:tcPr>
          <w:p w14:paraId="752B27FF"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303.258.927</w:t>
            </w:r>
          </w:p>
        </w:tc>
        <w:tc>
          <w:tcPr>
            <w:tcW w:w="1215" w:type="dxa"/>
            <w:tcBorders>
              <w:top w:val="single" w:sz="2" w:space="0" w:color="auto"/>
              <w:left w:val="nil"/>
              <w:bottom w:val="single" w:sz="2" w:space="0" w:color="auto"/>
              <w:right w:val="nil"/>
            </w:tcBorders>
            <w:shd w:val="clear" w:color="auto" w:fill="auto"/>
            <w:noWrap/>
            <w:vAlign w:val="center"/>
            <w:hideMark/>
          </w:tcPr>
          <w:p w14:paraId="13AA4D29"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29.062</w:t>
            </w:r>
          </w:p>
        </w:tc>
        <w:tc>
          <w:tcPr>
            <w:tcW w:w="1134" w:type="dxa"/>
            <w:tcBorders>
              <w:top w:val="single" w:sz="2" w:space="0" w:color="auto"/>
              <w:left w:val="nil"/>
              <w:bottom w:val="single" w:sz="2" w:space="0" w:color="auto"/>
              <w:right w:val="nil"/>
            </w:tcBorders>
            <w:shd w:val="clear" w:color="auto" w:fill="auto"/>
            <w:noWrap/>
            <w:vAlign w:val="center"/>
            <w:hideMark/>
          </w:tcPr>
          <w:p w14:paraId="075EEA8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1.785</w:t>
            </w:r>
          </w:p>
        </w:tc>
        <w:tc>
          <w:tcPr>
            <w:tcW w:w="1133" w:type="dxa"/>
            <w:tcBorders>
              <w:top w:val="single" w:sz="2" w:space="0" w:color="auto"/>
              <w:left w:val="nil"/>
              <w:bottom w:val="single" w:sz="2" w:space="0" w:color="auto"/>
              <w:right w:val="nil"/>
            </w:tcBorders>
            <w:shd w:val="clear" w:color="auto" w:fill="auto"/>
            <w:noWrap/>
            <w:vAlign w:val="center"/>
            <w:hideMark/>
          </w:tcPr>
          <w:p w14:paraId="5F58CFBA"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35.782</w:t>
            </w:r>
          </w:p>
        </w:tc>
        <w:tc>
          <w:tcPr>
            <w:tcW w:w="1134" w:type="dxa"/>
            <w:tcBorders>
              <w:top w:val="single" w:sz="2" w:space="0" w:color="auto"/>
              <w:left w:val="nil"/>
              <w:bottom w:val="single" w:sz="2" w:space="0" w:color="auto"/>
              <w:right w:val="nil"/>
            </w:tcBorders>
            <w:shd w:val="clear" w:color="auto" w:fill="auto"/>
            <w:noWrap/>
            <w:vAlign w:val="center"/>
            <w:hideMark/>
          </w:tcPr>
          <w:p w14:paraId="6D260EB9"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40.200</w:t>
            </w:r>
          </w:p>
        </w:tc>
      </w:tr>
      <w:tr w:rsidR="00C30199" w:rsidRPr="002B161B" w14:paraId="2FCE29B8"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4175223D"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2009</w:t>
            </w:r>
          </w:p>
        </w:tc>
        <w:tc>
          <w:tcPr>
            <w:tcW w:w="1418" w:type="dxa"/>
            <w:tcBorders>
              <w:top w:val="single" w:sz="2" w:space="0" w:color="auto"/>
              <w:left w:val="nil"/>
              <w:bottom w:val="single" w:sz="2" w:space="0" w:color="auto"/>
              <w:right w:val="nil"/>
            </w:tcBorders>
            <w:shd w:val="clear" w:color="auto" w:fill="auto"/>
            <w:noWrap/>
            <w:vAlign w:val="center"/>
            <w:hideMark/>
          </w:tcPr>
          <w:p w14:paraId="45AF5E85"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273.478.310</w:t>
            </w:r>
          </w:p>
        </w:tc>
        <w:tc>
          <w:tcPr>
            <w:tcW w:w="1418" w:type="dxa"/>
            <w:tcBorders>
              <w:top w:val="single" w:sz="2" w:space="0" w:color="auto"/>
              <w:left w:val="nil"/>
              <w:bottom w:val="single" w:sz="2" w:space="0" w:color="auto"/>
              <w:right w:val="nil"/>
            </w:tcBorders>
            <w:shd w:val="clear" w:color="auto" w:fill="auto"/>
            <w:noWrap/>
            <w:vAlign w:val="center"/>
            <w:hideMark/>
          </w:tcPr>
          <w:p w14:paraId="73C9DE6B"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30.986.103</w:t>
            </w:r>
          </w:p>
        </w:tc>
        <w:tc>
          <w:tcPr>
            <w:tcW w:w="1053" w:type="dxa"/>
            <w:tcBorders>
              <w:top w:val="single" w:sz="2" w:space="0" w:color="auto"/>
              <w:left w:val="nil"/>
              <w:bottom w:val="single" w:sz="2" w:space="0" w:color="auto"/>
              <w:right w:val="nil"/>
            </w:tcBorders>
            <w:shd w:val="clear" w:color="auto" w:fill="auto"/>
            <w:noWrap/>
            <w:vAlign w:val="center"/>
            <w:hideMark/>
          </w:tcPr>
          <w:p w14:paraId="2266A15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304.464.413</w:t>
            </w:r>
          </w:p>
        </w:tc>
        <w:tc>
          <w:tcPr>
            <w:tcW w:w="1215" w:type="dxa"/>
            <w:tcBorders>
              <w:top w:val="single" w:sz="2" w:space="0" w:color="auto"/>
              <w:left w:val="nil"/>
              <w:bottom w:val="single" w:sz="2" w:space="0" w:color="auto"/>
              <w:right w:val="nil"/>
            </w:tcBorders>
            <w:shd w:val="clear" w:color="auto" w:fill="auto"/>
            <w:noWrap/>
            <w:vAlign w:val="center"/>
            <w:hideMark/>
          </w:tcPr>
          <w:p w14:paraId="5649353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30.519</w:t>
            </w:r>
          </w:p>
        </w:tc>
        <w:tc>
          <w:tcPr>
            <w:tcW w:w="1134" w:type="dxa"/>
            <w:tcBorders>
              <w:top w:val="single" w:sz="2" w:space="0" w:color="auto"/>
              <w:left w:val="nil"/>
              <w:bottom w:val="single" w:sz="2" w:space="0" w:color="auto"/>
              <w:right w:val="nil"/>
            </w:tcBorders>
            <w:shd w:val="clear" w:color="auto" w:fill="auto"/>
            <w:noWrap/>
            <w:vAlign w:val="center"/>
            <w:hideMark/>
          </w:tcPr>
          <w:p w14:paraId="518C57C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1.875</w:t>
            </w:r>
          </w:p>
        </w:tc>
        <w:tc>
          <w:tcPr>
            <w:tcW w:w="1133" w:type="dxa"/>
            <w:tcBorders>
              <w:top w:val="single" w:sz="2" w:space="0" w:color="auto"/>
              <w:left w:val="nil"/>
              <w:bottom w:val="single" w:sz="2" w:space="0" w:color="auto"/>
              <w:right w:val="nil"/>
            </w:tcBorders>
            <w:shd w:val="clear" w:color="auto" w:fill="auto"/>
            <w:noWrap/>
            <w:vAlign w:val="center"/>
            <w:hideMark/>
          </w:tcPr>
          <w:p w14:paraId="101129DE"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37.578</w:t>
            </w:r>
          </w:p>
        </w:tc>
        <w:tc>
          <w:tcPr>
            <w:tcW w:w="1134" w:type="dxa"/>
            <w:tcBorders>
              <w:top w:val="single" w:sz="2" w:space="0" w:color="auto"/>
              <w:left w:val="nil"/>
              <w:bottom w:val="single" w:sz="2" w:space="0" w:color="auto"/>
              <w:right w:val="nil"/>
            </w:tcBorders>
            <w:shd w:val="clear" w:color="auto" w:fill="auto"/>
            <w:noWrap/>
            <w:vAlign w:val="center"/>
            <w:hideMark/>
          </w:tcPr>
          <w:p w14:paraId="7D7FEDAE"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39.501</w:t>
            </w:r>
          </w:p>
        </w:tc>
      </w:tr>
      <w:tr w:rsidR="00C30199" w:rsidRPr="002B161B" w14:paraId="2C37ECE7"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32334EA"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2010</w:t>
            </w:r>
          </w:p>
        </w:tc>
        <w:tc>
          <w:tcPr>
            <w:tcW w:w="1418" w:type="dxa"/>
            <w:tcBorders>
              <w:top w:val="single" w:sz="2" w:space="0" w:color="auto"/>
              <w:left w:val="nil"/>
              <w:bottom w:val="single" w:sz="2" w:space="0" w:color="auto"/>
              <w:right w:val="nil"/>
            </w:tcBorders>
            <w:shd w:val="clear" w:color="auto" w:fill="auto"/>
            <w:noWrap/>
            <w:vAlign w:val="center"/>
            <w:hideMark/>
          </w:tcPr>
          <w:p w14:paraId="48B1A9E8"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276.945.551</w:t>
            </w:r>
          </w:p>
        </w:tc>
        <w:tc>
          <w:tcPr>
            <w:tcW w:w="1418" w:type="dxa"/>
            <w:tcBorders>
              <w:top w:val="single" w:sz="2" w:space="0" w:color="auto"/>
              <w:left w:val="nil"/>
              <w:bottom w:val="single" w:sz="2" w:space="0" w:color="auto"/>
              <w:right w:val="nil"/>
            </w:tcBorders>
            <w:shd w:val="clear" w:color="auto" w:fill="auto"/>
            <w:noWrap/>
            <w:vAlign w:val="center"/>
            <w:hideMark/>
          </w:tcPr>
          <w:p w14:paraId="62D00C42"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32.430.992</w:t>
            </w:r>
          </w:p>
        </w:tc>
        <w:tc>
          <w:tcPr>
            <w:tcW w:w="1053" w:type="dxa"/>
            <w:tcBorders>
              <w:top w:val="single" w:sz="2" w:space="0" w:color="auto"/>
              <w:left w:val="nil"/>
              <w:bottom w:val="single" w:sz="2" w:space="0" w:color="auto"/>
              <w:right w:val="nil"/>
            </w:tcBorders>
            <w:shd w:val="clear" w:color="auto" w:fill="auto"/>
            <w:noWrap/>
            <w:vAlign w:val="center"/>
            <w:hideMark/>
          </w:tcPr>
          <w:p w14:paraId="62733E27"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309.376.543</w:t>
            </w:r>
          </w:p>
        </w:tc>
        <w:tc>
          <w:tcPr>
            <w:tcW w:w="1215" w:type="dxa"/>
            <w:tcBorders>
              <w:top w:val="single" w:sz="2" w:space="0" w:color="auto"/>
              <w:left w:val="nil"/>
              <w:bottom w:val="single" w:sz="2" w:space="0" w:color="auto"/>
              <w:right w:val="nil"/>
            </w:tcBorders>
            <w:shd w:val="clear" w:color="auto" w:fill="auto"/>
            <w:noWrap/>
            <w:vAlign w:val="center"/>
            <w:hideMark/>
          </w:tcPr>
          <w:p w14:paraId="7A2459DF"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30.790</w:t>
            </w:r>
          </w:p>
        </w:tc>
        <w:tc>
          <w:tcPr>
            <w:tcW w:w="1134" w:type="dxa"/>
            <w:tcBorders>
              <w:top w:val="single" w:sz="2" w:space="0" w:color="auto"/>
              <w:left w:val="nil"/>
              <w:bottom w:val="single" w:sz="2" w:space="0" w:color="auto"/>
              <w:right w:val="nil"/>
            </w:tcBorders>
            <w:shd w:val="clear" w:color="auto" w:fill="auto"/>
            <w:noWrap/>
            <w:vAlign w:val="center"/>
            <w:hideMark/>
          </w:tcPr>
          <w:p w14:paraId="5F98BBF1"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1.892</w:t>
            </w:r>
          </w:p>
        </w:tc>
        <w:tc>
          <w:tcPr>
            <w:tcW w:w="1133" w:type="dxa"/>
            <w:tcBorders>
              <w:top w:val="single" w:sz="2" w:space="0" w:color="auto"/>
              <w:left w:val="nil"/>
              <w:bottom w:val="single" w:sz="2" w:space="0" w:color="auto"/>
              <w:right w:val="nil"/>
            </w:tcBorders>
            <w:shd w:val="clear" w:color="auto" w:fill="auto"/>
            <w:noWrap/>
            <w:vAlign w:val="center"/>
            <w:hideMark/>
          </w:tcPr>
          <w:p w14:paraId="016EF72E"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38.564</w:t>
            </w:r>
          </w:p>
        </w:tc>
        <w:tc>
          <w:tcPr>
            <w:tcW w:w="1134" w:type="dxa"/>
            <w:tcBorders>
              <w:top w:val="single" w:sz="2" w:space="0" w:color="auto"/>
              <w:left w:val="nil"/>
              <w:bottom w:val="single" w:sz="2" w:space="0" w:color="auto"/>
              <w:right w:val="nil"/>
            </w:tcBorders>
            <w:shd w:val="clear" w:color="auto" w:fill="auto"/>
            <w:noWrap/>
            <w:vAlign w:val="center"/>
            <w:hideMark/>
          </w:tcPr>
          <w:p w14:paraId="190D3F09"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37.694</w:t>
            </w:r>
          </w:p>
        </w:tc>
      </w:tr>
      <w:tr w:rsidR="00C30199" w:rsidRPr="002B161B" w14:paraId="20EF5D13"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78881479"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2011</w:t>
            </w:r>
          </w:p>
        </w:tc>
        <w:tc>
          <w:tcPr>
            <w:tcW w:w="1418" w:type="dxa"/>
            <w:tcBorders>
              <w:top w:val="single" w:sz="2" w:space="0" w:color="auto"/>
              <w:left w:val="nil"/>
              <w:bottom w:val="single" w:sz="2" w:space="0" w:color="auto"/>
              <w:right w:val="nil"/>
            </w:tcBorders>
            <w:shd w:val="clear" w:color="auto" w:fill="auto"/>
            <w:noWrap/>
            <w:vAlign w:val="center"/>
            <w:hideMark/>
          </w:tcPr>
          <w:p w14:paraId="17865125"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275.225.500</w:t>
            </w:r>
          </w:p>
        </w:tc>
        <w:tc>
          <w:tcPr>
            <w:tcW w:w="1418" w:type="dxa"/>
            <w:tcBorders>
              <w:top w:val="single" w:sz="2" w:space="0" w:color="auto"/>
              <w:left w:val="nil"/>
              <w:bottom w:val="single" w:sz="2" w:space="0" w:color="auto"/>
              <w:right w:val="nil"/>
            </w:tcBorders>
            <w:shd w:val="clear" w:color="auto" w:fill="auto"/>
            <w:noWrap/>
            <w:vAlign w:val="center"/>
            <w:hideMark/>
          </w:tcPr>
          <w:p w14:paraId="16E3B8F5"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31.551.861</w:t>
            </w:r>
          </w:p>
        </w:tc>
        <w:tc>
          <w:tcPr>
            <w:tcW w:w="1053" w:type="dxa"/>
            <w:tcBorders>
              <w:top w:val="single" w:sz="2" w:space="0" w:color="auto"/>
              <w:left w:val="nil"/>
              <w:bottom w:val="single" w:sz="2" w:space="0" w:color="auto"/>
              <w:right w:val="nil"/>
            </w:tcBorders>
            <w:shd w:val="clear" w:color="auto" w:fill="auto"/>
            <w:noWrap/>
            <w:vAlign w:val="center"/>
            <w:hideMark/>
          </w:tcPr>
          <w:p w14:paraId="393B518A"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306.777.361</w:t>
            </w:r>
          </w:p>
        </w:tc>
        <w:tc>
          <w:tcPr>
            <w:tcW w:w="1215" w:type="dxa"/>
            <w:tcBorders>
              <w:top w:val="single" w:sz="2" w:space="0" w:color="auto"/>
              <w:left w:val="nil"/>
              <w:bottom w:val="single" w:sz="2" w:space="0" w:color="auto"/>
              <w:right w:val="nil"/>
            </w:tcBorders>
            <w:shd w:val="clear" w:color="auto" w:fill="auto"/>
            <w:noWrap/>
            <w:vAlign w:val="center"/>
            <w:hideMark/>
          </w:tcPr>
          <w:p w14:paraId="33B4005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31.051</w:t>
            </w:r>
          </w:p>
        </w:tc>
        <w:tc>
          <w:tcPr>
            <w:tcW w:w="1134" w:type="dxa"/>
            <w:tcBorders>
              <w:top w:val="single" w:sz="2" w:space="0" w:color="auto"/>
              <w:left w:val="nil"/>
              <w:bottom w:val="single" w:sz="2" w:space="0" w:color="auto"/>
              <w:right w:val="nil"/>
            </w:tcBorders>
            <w:shd w:val="clear" w:color="auto" w:fill="auto"/>
            <w:noWrap/>
            <w:vAlign w:val="center"/>
            <w:hideMark/>
          </w:tcPr>
          <w:p w14:paraId="1B7EB279"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1.909</w:t>
            </w:r>
          </w:p>
        </w:tc>
        <w:tc>
          <w:tcPr>
            <w:tcW w:w="1133" w:type="dxa"/>
            <w:tcBorders>
              <w:top w:val="single" w:sz="2" w:space="0" w:color="auto"/>
              <w:left w:val="nil"/>
              <w:bottom w:val="single" w:sz="2" w:space="0" w:color="auto"/>
              <w:right w:val="nil"/>
            </w:tcBorders>
            <w:shd w:val="clear" w:color="auto" w:fill="auto"/>
            <w:noWrap/>
            <w:vAlign w:val="center"/>
            <w:hideMark/>
          </w:tcPr>
          <w:p w14:paraId="669198C2"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38.893</w:t>
            </w:r>
          </w:p>
        </w:tc>
        <w:tc>
          <w:tcPr>
            <w:tcW w:w="1134" w:type="dxa"/>
            <w:tcBorders>
              <w:top w:val="single" w:sz="2" w:space="0" w:color="auto"/>
              <w:left w:val="nil"/>
              <w:bottom w:val="single" w:sz="2" w:space="0" w:color="auto"/>
              <w:right w:val="nil"/>
            </w:tcBorders>
            <w:shd w:val="clear" w:color="auto" w:fill="auto"/>
            <w:noWrap/>
            <w:vAlign w:val="center"/>
            <w:hideMark/>
          </w:tcPr>
          <w:p w14:paraId="7A9E2B48"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39.901</w:t>
            </w:r>
          </w:p>
        </w:tc>
      </w:tr>
      <w:tr w:rsidR="00C30199" w:rsidRPr="002B161B" w14:paraId="11154E6E"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9D25561"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2012</w:t>
            </w:r>
          </w:p>
        </w:tc>
        <w:tc>
          <w:tcPr>
            <w:tcW w:w="1418" w:type="dxa"/>
            <w:tcBorders>
              <w:top w:val="single" w:sz="2" w:space="0" w:color="auto"/>
              <w:left w:val="nil"/>
              <w:bottom w:val="single" w:sz="2" w:space="0" w:color="auto"/>
              <w:right w:val="nil"/>
            </w:tcBorders>
            <w:shd w:val="clear" w:color="auto" w:fill="auto"/>
            <w:noWrap/>
            <w:vAlign w:val="center"/>
            <w:hideMark/>
          </w:tcPr>
          <w:p w14:paraId="35223BE9"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261.794.171</w:t>
            </w:r>
          </w:p>
        </w:tc>
        <w:tc>
          <w:tcPr>
            <w:tcW w:w="1418" w:type="dxa"/>
            <w:tcBorders>
              <w:top w:val="single" w:sz="2" w:space="0" w:color="auto"/>
              <w:left w:val="nil"/>
              <w:bottom w:val="single" w:sz="2" w:space="0" w:color="auto"/>
              <w:right w:val="nil"/>
            </w:tcBorders>
            <w:shd w:val="clear" w:color="auto" w:fill="auto"/>
            <w:noWrap/>
            <w:vAlign w:val="center"/>
            <w:hideMark/>
          </w:tcPr>
          <w:p w14:paraId="7D613308"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29.715.571</w:t>
            </w:r>
          </w:p>
        </w:tc>
        <w:tc>
          <w:tcPr>
            <w:tcW w:w="1053" w:type="dxa"/>
            <w:tcBorders>
              <w:top w:val="single" w:sz="2" w:space="0" w:color="auto"/>
              <w:left w:val="nil"/>
              <w:bottom w:val="single" w:sz="2" w:space="0" w:color="auto"/>
              <w:right w:val="nil"/>
            </w:tcBorders>
            <w:shd w:val="clear" w:color="auto" w:fill="auto"/>
            <w:noWrap/>
            <w:vAlign w:val="center"/>
            <w:hideMark/>
          </w:tcPr>
          <w:p w14:paraId="14EFAE7F"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291.509.742</w:t>
            </w:r>
          </w:p>
        </w:tc>
        <w:tc>
          <w:tcPr>
            <w:tcW w:w="1215" w:type="dxa"/>
            <w:tcBorders>
              <w:top w:val="single" w:sz="2" w:space="0" w:color="auto"/>
              <w:left w:val="nil"/>
              <w:bottom w:val="single" w:sz="2" w:space="0" w:color="auto"/>
              <w:right w:val="nil"/>
            </w:tcBorders>
            <w:shd w:val="clear" w:color="auto" w:fill="auto"/>
            <w:noWrap/>
            <w:vAlign w:val="center"/>
            <w:hideMark/>
          </w:tcPr>
          <w:p w14:paraId="4A0609E4"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30.375</w:t>
            </w:r>
          </w:p>
        </w:tc>
        <w:tc>
          <w:tcPr>
            <w:tcW w:w="1134" w:type="dxa"/>
            <w:tcBorders>
              <w:top w:val="single" w:sz="2" w:space="0" w:color="auto"/>
              <w:left w:val="nil"/>
              <w:bottom w:val="single" w:sz="2" w:space="0" w:color="auto"/>
              <w:right w:val="nil"/>
            </w:tcBorders>
            <w:shd w:val="clear" w:color="auto" w:fill="auto"/>
            <w:noWrap/>
            <w:vAlign w:val="center"/>
            <w:hideMark/>
          </w:tcPr>
          <w:p w14:paraId="64B63BCE"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1.868</w:t>
            </w:r>
          </w:p>
        </w:tc>
        <w:tc>
          <w:tcPr>
            <w:tcW w:w="1133" w:type="dxa"/>
            <w:tcBorders>
              <w:top w:val="single" w:sz="2" w:space="0" w:color="auto"/>
              <w:left w:val="nil"/>
              <w:bottom w:val="single" w:sz="2" w:space="0" w:color="auto"/>
              <w:right w:val="nil"/>
            </w:tcBorders>
            <w:shd w:val="clear" w:color="auto" w:fill="auto"/>
            <w:noWrap/>
            <w:vAlign w:val="center"/>
            <w:hideMark/>
          </w:tcPr>
          <w:p w14:paraId="3E212EB8"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38.369</w:t>
            </w:r>
          </w:p>
        </w:tc>
        <w:tc>
          <w:tcPr>
            <w:tcW w:w="1134" w:type="dxa"/>
            <w:tcBorders>
              <w:top w:val="single" w:sz="2" w:space="0" w:color="auto"/>
              <w:left w:val="nil"/>
              <w:bottom w:val="single" w:sz="2" w:space="0" w:color="auto"/>
              <w:right w:val="nil"/>
            </w:tcBorders>
            <w:shd w:val="clear" w:color="auto" w:fill="auto"/>
            <w:noWrap/>
            <w:vAlign w:val="center"/>
            <w:hideMark/>
          </w:tcPr>
          <w:p w14:paraId="1A0A1D5E"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40.120</w:t>
            </w:r>
          </w:p>
        </w:tc>
      </w:tr>
      <w:tr w:rsidR="00C30199" w:rsidRPr="002B161B" w14:paraId="7676B254"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796E9D09"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2013</w:t>
            </w:r>
          </w:p>
        </w:tc>
        <w:tc>
          <w:tcPr>
            <w:tcW w:w="1418" w:type="dxa"/>
            <w:tcBorders>
              <w:top w:val="single" w:sz="2" w:space="0" w:color="auto"/>
              <w:left w:val="nil"/>
              <w:bottom w:val="single" w:sz="2" w:space="0" w:color="auto"/>
              <w:right w:val="nil"/>
            </w:tcBorders>
            <w:shd w:val="clear" w:color="auto" w:fill="auto"/>
            <w:noWrap/>
            <w:vAlign w:val="center"/>
            <w:hideMark/>
          </w:tcPr>
          <w:p w14:paraId="238B62A0"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256.966.508</w:t>
            </w:r>
          </w:p>
        </w:tc>
        <w:tc>
          <w:tcPr>
            <w:tcW w:w="1418" w:type="dxa"/>
            <w:tcBorders>
              <w:top w:val="single" w:sz="2" w:space="0" w:color="auto"/>
              <w:left w:val="nil"/>
              <w:bottom w:val="single" w:sz="2" w:space="0" w:color="auto"/>
              <w:right w:val="nil"/>
            </w:tcBorders>
            <w:shd w:val="clear" w:color="auto" w:fill="auto"/>
            <w:noWrap/>
            <w:vAlign w:val="center"/>
            <w:hideMark/>
          </w:tcPr>
          <w:p w14:paraId="35534D72"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30.014.280</w:t>
            </w:r>
          </w:p>
        </w:tc>
        <w:tc>
          <w:tcPr>
            <w:tcW w:w="1053" w:type="dxa"/>
            <w:tcBorders>
              <w:top w:val="single" w:sz="2" w:space="0" w:color="auto"/>
              <w:left w:val="nil"/>
              <w:bottom w:val="single" w:sz="2" w:space="0" w:color="auto"/>
              <w:right w:val="nil"/>
            </w:tcBorders>
            <w:shd w:val="clear" w:color="auto" w:fill="auto"/>
            <w:noWrap/>
            <w:vAlign w:val="center"/>
            <w:hideMark/>
          </w:tcPr>
          <w:p w14:paraId="57CEE687"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286.980.788</w:t>
            </w:r>
          </w:p>
        </w:tc>
        <w:tc>
          <w:tcPr>
            <w:tcW w:w="1215" w:type="dxa"/>
            <w:tcBorders>
              <w:top w:val="single" w:sz="2" w:space="0" w:color="auto"/>
              <w:left w:val="nil"/>
              <w:bottom w:val="single" w:sz="2" w:space="0" w:color="auto"/>
              <w:right w:val="nil"/>
            </w:tcBorders>
            <w:shd w:val="clear" w:color="auto" w:fill="auto"/>
            <w:noWrap/>
            <w:vAlign w:val="center"/>
            <w:hideMark/>
          </w:tcPr>
          <w:p w14:paraId="376EBA43"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30.735</w:t>
            </w:r>
          </w:p>
        </w:tc>
        <w:tc>
          <w:tcPr>
            <w:tcW w:w="1134" w:type="dxa"/>
            <w:tcBorders>
              <w:top w:val="single" w:sz="2" w:space="0" w:color="auto"/>
              <w:left w:val="nil"/>
              <w:bottom w:val="single" w:sz="2" w:space="0" w:color="auto"/>
              <w:right w:val="nil"/>
            </w:tcBorders>
            <w:shd w:val="clear" w:color="auto" w:fill="auto"/>
            <w:noWrap/>
            <w:vAlign w:val="center"/>
            <w:hideMark/>
          </w:tcPr>
          <w:p w14:paraId="2DEC616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1.891</w:t>
            </w:r>
          </w:p>
        </w:tc>
        <w:tc>
          <w:tcPr>
            <w:tcW w:w="1133" w:type="dxa"/>
            <w:tcBorders>
              <w:top w:val="single" w:sz="2" w:space="0" w:color="auto"/>
              <w:left w:val="nil"/>
              <w:bottom w:val="single" w:sz="2" w:space="0" w:color="auto"/>
              <w:right w:val="nil"/>
            </w:tcBorders>
            <w:shd w:val="clear" w:color="auto" w:fill="auto"/>
            <w:noWrap/>
            <w:vAlign w:val="center"/>
            <w:hideMark/>
          </w:tcPr>
          <w:p w14:paraId="60625834"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39.477</w:t>
            </w:r>
          </w:p>
        </w:tc>
        <w:tc>
          <w:tcPr>
            <w:tcW w:w="1134" w:type="dxa"/>
            <w:tcBorders>
              <w:top w:val="single" w:sz="2" w:space="0" w:color="auto"/>
              <w:left w:val="nil"/>
              <w:bottom w:val="single" w:sz="2" w:space="0" w:color="auto"/>
              <w:right w:val="nil"/>
            </w:tcBorders>
            <w:shd w:val="clear" w:color="auto" w:fill="auto"/>
            <w:noWrap/>
            <w:vAlign w:val="center"/>
            <w:hideMark/>
          </w:tcPr>
          <w:p w14:paraId="37DEB947"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38.008</w:t>
            </w:r>
          </w:p>
        </w:tc>
      </w:tr>
      <w:tr w:rsidR="00C30199" w:rsidRPr="002B161B" w14:paraId="3F49E5B9"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42A4430A"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2014</w:t>
            </w:r>
          </w:p>
        </w:tc>
        <w:tc>
          <w:tcPr>
            <w:tcW w:w="1418" w:type="dxa"/>
            <w:tcBorders>
              <w:top w:val="single" w:sz="2" w:space="0" w:color="auto"/>
              <w:left w:val="nil"/>
              <w:bottom w:val="single" w:sz="2" w:space="0" w:color="auto"/>
              <w:right w:val="nil"/>
            </w:tcBorders>
            <w:shd w:val="clear" w:color="auto" w:fill="auto"/>
            <w:noWrap/>
            <w:vAlign w:val="center"/>
            <w:hideMark/>
          </w:tcPr>
          <w:p w14:paraId="32ACC0A8"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263.619.512</w:t>
            </w:r>
          </w:p>
        </w:tc>
        <w:tc>
          <w:tcPr>
            <w:tcW w:w="1418" w:type="dxa"/>
            <w:tcBorders>
              <w:top w:val="single" w:sz="2" w:space="0" w:color="auto"/>
              <w:left w:val="nil"/>
              <w:bottom w:val="single" w:sz="2" w:space="0" w:color="auto"/>
              <w:right w:val="nil"/>
            </w:tcBorders>
            <w:shd w:val="clear" w:color="auto" w:fill="auto"/>
            <w:noWrap/>
            <w:vAlign w:val="center"/>
            <w:hideMark/>
          </w:tcPr>
          <w:p w14:paraId="2867C7B2"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30.855.866</w:t>
            </w:r>
          </w:p>
        </w:tc>
        <w:tc>
          <w:tcPr>
            <w:tcW w:w="1053" w:type="dxa"/>
            <w:tcBorders>
              <w:top w:val="single" w:sz="2" w:space="0" w:color="auto"/>
              <w:left w:val="nil"/>
              <w:bottom w:val="single" w:sz="2" w:space="0" w:color="auto"/>
              <w:right w:val="nil"/>
            </w:tcBorders>
            <w:shd w:val="clear" w:color="auto" w:fill="auto"/>
            <w:noWrap/>
            <w:vAlign w:val="center"/>
            <w:hideMark/>
          </w:tcPr>
          <w:p w14:paraId="3064C943"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294.475.378</w:t>
            </w:r>
          </w:p>
        </w:tc>
        <w:tc>
          <w:tcPr>
            <w:tcW w:w="1215" w:type="dxa"/>
            <w:tcBorders>
              <w:top w:val="single" w:sz="2" w:space="0" w:color="auto"/>
              <w:left w:val="nil"/>
              <w:bottom w:val="single" w:sz="2" w:space="0" w:color="auto"/>
              <w:right w:val="nil"/>
            </w:tcBorders>
            <w:shd w:val="clear" w:color="auto" w:fill="auto"/>
            <w:noWrap/>
            <w:vAlign w:val="center"/>
            <w:hideMark/>
          </w:tcPr>
          <w:p w14:paraId="2589E1C3"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32.000</w:t>
            </w:r>
          </w:p>
        </w:tc>
        <w:tc>
          <w:tcPr>
            <w:tcW w:w="1134" w:type="dxa"/>
            <w:tcBorders>
              <w:top w:val="single" w:sz="2" w:space="0" w:color="auto"/>
              <w:left w:val="nil"/>
              <w:bottom w:val="single" w:sz="2" w:space="0" w:color="auto"/>
              <w:right w:val="nil"/>
            </w:tcBorders>
            <w:shd w:val="clear" w:color="auto" w:fill="auto"/>
            <w:noWrap/>
            <w:vAlign w:val="center"/>
            <w:hideMark/>
          </w:tcPr>
          <w:p w14:paraId="35A6C830"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1.971</w:t>
            </w:r>
          </w:p>
        </w:tc>
        <w:tc>
          <w:tcPr>
            <w:tcW w:w="1133" w:type="dxa"/>
            <w:tcBorders>
              <w:top w:val="single" w:sz="2" w:space="0" w:color="auto"/>
              <w:left w:val="nil"/>
              <w:bottom w:val="single" w:sz="2" w:space="0" w:color="auto"/>
              <w:right w:val="nil"/>
            </w:tcBorders>
            <w:shd w:val="clear" w:color="auto" w:fill="auto"/>
            <w:noWrap/>
            <w:vAlign w:val="center"/>
            <w:hideMark/>
          </w:tcPr>
          <w:p w14:paraId="5A5AA4D0"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41.104</w:t>
            </w:r>
          </w:p>
        </w:tc>
        <w:tc>
          <w:tcPr>
            <w:tcW w:w="1134" w:type="dxa"/>
            <w:tcBorders>
              <w:top w:val="single" w:sz="2" w:space="0" w:color="auto"/>
              <w:left w:val="nil"/>
              <w:bottom w:val="single" w:sz="2" w:space="0" w:color="auto"/>
              <w:right w:val="nil"/>
            </w:tcBorders>
            <w:shd w:val="clear" w:color="auto" w:fill="auto"/>
            <w:noWrap/>
            <w:vAlign w:val="center"/>
            <w:hideMark/>
          </w:tcPr>
          <w:p w14:paraId="6271B56C"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36.323</w:t>
            </w:r>
          </w:p>
        </w:tc>
      </w:tr>
      <w:tr w:rsidR="00C30199" w:rsidRPr="002B161B" w14:paraId="0D040362"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0FEBCDB"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2015</w:t>
            </w:r>
          </w:p>
        </w:tc>
        <w:tc>
          <w:tcPr>
            <w:tcW w:w="1418" w:type="dxa"/>
            <w:tcBorders>
              <w:top w:val="single" w:sz="2" w:space="0" w:color="auto"/>
              <w:left w:val="nil"/>
              <w:bottom w:val="single" w:sz="2" w:space="0" w:color="auto"/>
              <w:right w:val="nil"/>
            </w:tcBorders>
            <w:shd w:val="clear" w:color="auto" w:fill="auto"/>
            <w:noWrap/>
            <w:vAlign w:val="center"/>
            <w:hideMark/>
          </w:tcPr>
          <w:p w14:paraId="179FDE73"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272.080.170</w:t>
            </w:r>
          </w:p>
        </w:tc>
        <w:tc>
          <w:tcPr>
            <w:tcW w:w="1418" w:type="dxa"/>
            <w:tcBorders>
              <w:top w:val="single" w:sz="2" w:space="0" w:color="auto"/>
              <w:left w:val="nil"/>
              <w:bottom w:val="single" w:sz="2" w:space="0" w:color="auto"/>
              <w:right w:val="nil"/>
            </w:tcBorders>
            <w:shd w:val="clear" w:color="auto" w:fill="auto"/>
            <w:noWrap/>
            <w:vAlign w:val="center"/>
            <w:hideMark/>
          </w:tcPr>
          <w:p w14:paraId="6B25A0CA"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33.202.019</w:t>
            </w:r>
          </w:p>
        </w:tc>
        <w:tc>
          <w:tcPr>
            <w:tcW w:w="1053" w:type="dxa"/>
            <w:tcBorders>
              <w:top w:val="single" w:sz="2" w:space="0" w:color="auto"/>
              <w:left w:val="nil"/>
              <w:bottom w:val="single" w:sz="2" w:space="0" w:color="auto"/>
              <w:right w:val="nil"/>
            </w:tcBorders>
            <w:shd w:val="clear" w:color="auto" w:fill="auto"/>
            <w:noWrap/>
            <w:vAlign w:val="center"/>
            <w:hideMark/>
          </w:tcPr>
          <w:p w14:paraId="1D965C5F"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305.282.189</w:t>
            </w:r>
          </w:p>
        </w:tc>
        <w:tc>
          <w:tcPr>
            <w:tcW w:w="1215" w:type="dxa"/>
            <w:tcBorders>
              <w:top w:val="single" w:sz="2" w:space="0" w:color="auto"/>
              <w:left w:val="nil"/>
              <w:bottom w:val="single" w:sz="2" w:space="0" w:color="auto"/>
              <w:right w:val="nil"/>
            </w:tcBorders>
            <w:shd w:val="clear" w:color="auto" w:fill="auto"/>
            <w:noWrap/>
            <w:vAlign w:val="center"/>
            <w:hideMark/>
          </w:tcPr>
          <w:p w14:paraId="2C626D13"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33.059</w:t>
            </w:r>
          </w:p>
        </w:tc>
        <w:tc>
          <w:tcPr>
            <w:tcW w:w="1134" w:type="dxa"/>
            <w:tcBorders>
              <w:top w:val="single" w:sz="2" w:space="0" w:color="auto"/>
              <w:left w:val="nil"/>
              <w:bottom w:val="single" w:sz="2" w:space="0" w:color="auto"/>
              <w:right w:val="nil"/>
            </w:tcBorders>
            <w:shd w:val="clear" w:color="auto" w:fill="auto"/>
            <w:noWrap/>
            <w:vAlign w:val="center"/>
            <w:hideMark/>
          </w:tcPr>
          <w:p w14:paraId="56FF2D18"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2.036</w:t>
            </w:r>
          </w:p>
        </w:tc>
        <w:tc>
          <w:tcPr>
            <w:tcW w:w="1133" w:type="dxa"/>
            <w:tcBorders>
              <w:top w:val="single" w:sz="2" w:space="0" w:color="auto"/>
              <w:left w:val="nil"/>
              <w:bottom w:val="single" w:sz="2" w:space="0" w:color="auto"/>
              <w:right w:val="nil"/>
            </w:tcBorders>
            <w:shd w:val="clear" w:color="auto" w:fill="auto"/>
            <w:noWrap/>
            <w:vAlign w:val="center"/>
            <w:hideMark/>
          </w:tcPr>
          <w:p w14:paraId="1671DE98"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42.466</w:t>
            </w:r>
          </w:p>
        </w:tc>
        <w:tc>
          <w:tcPr>
            <w:tcW w:w="1134" w:type="dxa"/>
            <w:tcBorders>
              <w:top w:val="single" w:sz="2" w:space="0" w:color="auto"/>
              <w:left w:val="nil"/>
              <w:bottom w:val="single" w:sz="2" w:space="0" w:color="auto"/>
              <w:right w:val="nil"/>
            </w:tcBorders>
            <w:shd w:val="clear" w:color="auto" w:fill="auto"/>
            <w:noWrap/>
            <w:vAlign w:val="center"/>
            <w:hideMark/>
          </w:tcPr>
          <w:p w14:paraId="29751DC6"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38.547</w:t>
            </w:r>
          </w:p>
        </w:tc>
      </w:tr>
      <w:tr w:rsidR="00C30199" w:rsidRPr="002B161B" w14:paraId="7E0F1DAA"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6E0280E5"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2016</w:t>
            </w:r>
          </w:p>
        </w:tc>
        <w:tc>
          <w:tcPr>
            <w:tcW w:w="1418" w:type="dxa"/>
            <w:tcBorders>
              <w:top w:val="single" w:sz="2" w:space="0" w:color="auto"/>
              <w:left w:val="nil"/>
              <w:bottom w:val="single" w:sz="2" w:space="0" w:color="auto"/>
              <w:right w:val="nil"/>
            </w:tcBorders>
            <w:shd w:val="clear" w:color="auto" w:fill="auto"/>
            <w:noWrap/>
            <w:vAlign w:val="center"/>
            <w:hideMark/>
          </w:tcPr>
          <w:p w14:paraId="7117B72B"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284.904.646</w:t>
            </w:r>
          </w:p>
        </w:tc>
        <w:tc>
          <w:tcPr>
            <w:tcW w:w="1418" w:type="dxa"/>
            <w:tcBorders>
              <w:top w:val="single" w:sz="2" w:space="0" w:color="auto"/>
              <w:left w:val="nil"/>
              <w:bottom w:val="single" w:sz="2" w:space="0" w:color="auto"/>
              <w:right w:val="nil"/>
            </w:tcBorders>
            <w:shd w:val="clear" w:color="auto" w:fill="auto"/>
            <w:noWrap/>
            <w:vAlign w:val="center"/>
            <w:hideMark/>
          </w:tcPr>
          <w:p w14:paraId="35DACEB4"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35.097.208</w:t>
            </w:r>
          </w:p>
        </w:tc>
        <w:tc>
          <w:tcPr>
            <w:tcW w:w="1053" w:type="dxa"/>
            <w:tcBorders>
              <w:top w:val="single" w:sz="2" w:space="0" w:color="auto"/>
              <w:left w:val="nil"/>
              <w:bottom w:val="single" w:sz="2" w:space="0" w:color="auto"/>
              <w:right w:val="nil"/>
            </w:tcBorders>
            <w:shd w:val="clear" w:color="auto" w:fill="auto"/>
            <w:noWrap/>
            <w:vAlign w:val="center"/>
            <w:hideMark/>
          </w:tcPr>
          <w:p w14:paraId="2638A064"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320.001.854</w:t>
            </w:r>
          </w:p>
        </w:tc>
        <w:tc>
          <w:tcPr>
            <w:tcW w:w="1215" w:type="dxa"/>
            <w:tcBorders>
              <w:top w:val="single" w:sz="2" w:space="0" w:color="auto"/>
              <w:left w:val="nil"/>
              <w:bottom w:val="single" w:sz="2" w:space="0" w:color="auto"/>
              <w:right w:val="nil"/>
            </w:tcBorders>
            <w:shd w:val="clear" w:color="auto" w:fill="auto"/>
            <w:noWrap/>
            <w:vAlign w:val="center"/>
            <w:hideMark/>
          </w:tcPr>
          <w:p w14:paraId="656DDD5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34.529</w:t>
            </w:r>
          </w:p>
        </w:tc>
        <w:tc>
          <w:tcPr>
            <w:tcW w:w="1134" w:type="dxa"/>
            <w:tcBorders>
              <w:top w:val="single" w:sz="2" w:space="0" w:color="auto"/>
              <w:left w:val="nil"/>
              <w:bottom w:val="single" w:sz="2" w:space="0" w:color="auto"/>
              <w:right w:val="nil"/>
            </w:tcBorders>
            <w:shd w:val="clear" w:color="auto" w:fill="auto"/>
            <w:noWrap/>
            <w:vAlign w:val="center"/>
            <w:hideMark/>
          </w:tcPr>
          <w:p w14:paraId="42D22C1A"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2.126</w:t>
            </w:r>
          </w:p>
        </w:tc>
        <w:tc>
          <w:tcPr>
            <w:tcW w:w="1133" w:type="dxa"/>
            <w:tcBorders>
              <w:top w:val="single" w:sz="2" w:space="0" w:color="auto"/>
              <w:left w:val="nil"/>
              <w:bottom w:val="single" w:sz="2" w:space="0" w:color="auto"/>
              <w:right w:val="nil"/>
            </w:tcBorders>
            <w:shd w:val="clear" w:color="auto" w:fill="auto"/>
            <w:noWrap/>
            <w:vAlign w:val="center"/>
            <w:hideMark/>
          </w:tcPr>
          <w:p w14:paraId="13F2A9D4"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44.352</w:t>
            </w:r>
          </w:p>
        </w:tc>
        <w:tc>
          <w:tcPr>
            <w:tcW w:w="1134" w:type="dxa"/>
            <w:tcBorders>
              <w:top w:val="single" w:sz="2" w:space="0" w:color="auto"/>
              <w:left w:val="nil"/>
              <w:bottom w:val="single" w:sz="2" w:space="0" w:color="auto"/>
              <w:right w:val="nil"/>
            </w:tcBorders>
            <w:shd w:val="clear" w:color="auto" w:fill="auto"/>
            <w:noWrap/>
            <w:vAlign w:val="center"/>
            <w:hideMark/>
          </w:tcPr>
          <w:p w14:paraId="5F69EF53"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43.741</w:t>
            </w:r>
          </w:p>
        </w:tc>
      </w:tr>
      <w:tr w:rsidR="00C30199" w:rsidRPr="002B161B" w14:paraId="4CFFF98D"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24F1ECC9"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2017</w:t>
            </w:r>
          </w:p>
        </w:tc>
        <w:tc>
          <w:tcPr>
            <w:tcW w:w="1418" w:type="dxa"/>
            <w:tcBorders>
              <w:top w:val="single" w:sz="2" w:space="0" w:color="auto"/>
              <w:left w:val="nil"/>
              <w:bottom w:val="single" w:sz="2" w:space="0" w:color="auto"/>
              <w:right w:val="nil"/>
            </w:tcBorders>
            <w:shd w:val="clear" w:color="auto" w:fill="auto"/>
            <w:noWrap/>
            <w:vAlign w:val="center"/>
            <w:hideMark/>
          </w:tcPr>
          <w:p w14:paraId="70158F64"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294.260.429</w:t>
            </w:r>
          </w:p>
        </w:tc>
        <w:tc>
          <w:tcPr>
            <w:tcW w:w="1418" w:type="dxa"/>
            <w:tcBorders>
              <w:top w:val="single" w:sz="2" w:space="0" w:color="auto"/>
              <w:left w:val="nil"/>
              <w:bottom w:val="single" w:sz="2" w:space="0" w:color="auto"/>
              <w:right w:val="nil"/>
            </w:tcBorders>
            <w:shd w:val="clear" w:color="auto" w:fill="auto"/>
            <w:noWrap/>
            <w:vAlign w:val="center"/>
            <w:hideMark/>
          </w:tcPr>
          <w:p w14:paraId="062AEE43"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36.278.635</w:t>
            </w:r>
          </w:p>
        </w:tc>
        <w:tc>
          <w:tcPr>
            <w:tcW w:w="1053" w:type="dxa"/>
            <w:tcBorders>
              <w:top w:val="single" w:sz="2" w:space="0" w:color="auto"/>
              <w:left w:val="nil"/>
              <w:bottom w:val="single" w:sz="2" w:space="0" w:color="auto"/>
              <w:right w:val="nil"/>
            </w:tcBorders>
            <w:shd w:val="clear" w:color="auto" w:fill="auto"/>
            <w:noWrap/>
            <w:vAlign w:val="center"/>
            <w:hideMark/>
          </w:tcPr>
          <w:p w14:paraId="3803286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330.539.064</w:t>
            </w:r>
          </w:p>
        </w:tc>
        <w:tc>
          <w:tcPr>
            <w:tcW w:w="1215" w:type="dxa"/>
            <w:tcBorders>
              <w:top w:val="single" w:sz="2" w:space="0" w:color="auto"/>
              <w:left w:val="nil"/>
              <w:bottom w:val="single" w:sz="2" w:space="0" w:color="auto"/>
              <w:right w:val="nil"/>
            </w:tcBorders>
            <w:shd w:val="clear" w:color="auto" w:fill="auto"/>
            <w:noWrap/>
            <w:vAlign w:val="center"/>
            <w:hideMark/>
          </w:tcPr>
          <w:p w14:paraId="6C32BE41"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35.634</w:t>
            </w:r>
          </w:p>
        </w:tc>
        <w:tc>
          <w:tcPr>
            <w:tcW w:w="1134" w:type="dxa"/>
            <w:tcBorders>
              <w:top w:val="single" w:sz="2" w:space="0" w:color="auto"/>
              <w:left w:val="nil"/>
              <w:bottom w:val="single" w:sz="2" w:space="0" w:color="auto"/>
              <w:right w:val="nil"/>
            </w:tcBorders>
            <w:shd w:val="clear" w:color="auto" w:fill="auto"/>
            <w:noWrap/>
            <w:vAlign w:val="center"/>
            <w:hideMark/>
          </w:tcPr>
          <w:p w14:paraId="71B9A997"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2.192</w:t>
            </w:r>
          </w:p>
        </w:tc>
        <w:tc>
          <w:tcPr>
            <w:tcW w:w="1133" w:type="dxa"/>
            <w:tcBorders>
              <w:top w:val="single" w:sz="2" w:space="0" w:color="auto"/>
              <w:left w:val="nil"/>
              <w:bottom w:val="single" w:sz="2" w:space="0" w:color="auto"/>
              <w:right w:val="nil"/>
            </w:tcBorders>
            <w:shd w:val="clear" w:color="auto" w:fill="auto"/>
            <w:noWrap/>
            <w:vAlign w:val="center"/>
            <w:hideMark/>
          </w:tcPr>
          <w:p w14:paraId="7AABE7EF"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45.770</w:t>
            </w:r>
          </w:p>
        </w:tc>
        <w:tc>
          <w:tcPr>
            <w:tcW w:w="1134" w:type="dxa"/>
            <w:tcBorders>
              <w:top w:val="single" w:sz="2" w:space="0" w:color="auto"/>
              <w:left w:val="nil"/>
              <w:bottom w:val="single" w:sz="2" w:space="0" w:color="auto"/>
              <w:right w:val="nil"/>
            </w:tcBorders>
            <w:shd w:val="clear" w:color="auto" w:fill="auto"/>
            <w:noWrap/>
            <w:vAlign w:val="center"/>
            <w:hideMark/>
          </w:tcPr>
          <w:p w14:paraId="2FEDB330"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46.195</w:t>
            </w:r>
          </w:p>
        </w:tc>
      </w:tr>
      <w:tr w:rsidR="00C30199" w:rsidRPr="002B161B" w14:paraId="65F8D488"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3156A25"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2018</w:t>
            </w:r>
          </w:p>
        </w:tc>
        <w:tc>
          <w:tcPr>
            <w:tcW w:w="1418" w:type="dxa"/>
            <w:tcBorders>
              <w:top w:val="single" w:sz="2" w:space="0" w:color="auto"/>
              <w:left w:val="nil"/>
              <w:bottom w:val="single" w:sz="2" w:space="0" w:color="auto"/>
              <w:right w:val="nil"/>
            </w:tcBorders>
            <w:shd w:val="clear" w:color="auto" w:fill="auto"/>
            <w:noWrap/>
            <w:vAlign w:val="center"/>
            <w:hideMark/>
          </w:tcPr>
          <w:p w14:paraId="3795D1B4"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300.250.787</w:t>
            </w:r>
          </w:p>
        </w:tc>
        <w:tc>
          <w:tcPr>
            <w:tcW w:w="1418" w:type="dxa"/>
            <w:tcBorders>
              <w:top w:val="single" w:sz="2" w:space="0" w:color="auto"/>
              <w:left w:val="nil"/>
              <w:bottom w:val="single" w:sz="2" w:space="0" w:color="auto"/>
              <w:right w:val="nil"/>
            </w:tcBorders>
            <w:shd w:val="clear" w:color="auto" w:fill="auto"/>
            <w:noWrap/>
            <w:vAlign w:val="center"/>
            <w:hideMark/>
          </w:tcPr>
          <w:p w14:paraId="099AAC14"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37.537.460</w:t>
            </w:r>
          </w:p>
        </w:tc>
        <w:tc>
          <w:tcPr>
            <w:tcW w:w="1053" w:type="dxa"/>
            <w:tcBorders>
              <w:top w:val="single" w:sz="2" w:space="0" w:color="auto"/>
              <w:left w:val="nil"/>
              <w:bottom w:val="single" w:sz="2" w:space="0" w:color="auto"/>
              <w:right w:val="nil"/>
            </w:tcBorders>
            <w:shd w:val="clear" w:color="auto" w:fill="auto"/>
            <w:noWrap/>
            <w:vAlign w:val="center"/>
            <w:hideMark/>
          </w:tcPr>
          <w:p w14:paraId="0DC82BE6"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337.788.247</w:t>
            </w:r>
          </w:p>
        </w:tc>
        <w:tc>
          <w:tcPr>
            <w:tcW w:w="1215" w:type="dxa"/>
            <w:tcBorders>
              <w:top w:val="single" w:sz="2" w:space="0" w:color="auto"/>
              <w:left w:val="nil"/>
              <w:bottom w:val="single" w:sz="2" w:space="0" w:color="auto"/>
              <w:right w:val="nil"/>
            </w:tcBorders>
            <w:shd w:val="clear" w:color="auto" w:fill="auto"/>
            <w:noWrap/>
            <w:vAlign w:val="center"/>
            <w:hideMark/>
          </w:tcPr>
          <w:p w14:paraId="5348C59C"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37.026</w:t>
            </w:r>
          </w:p>
        </w:tc>
        <w:tc>
          <w:tcPr>
            <w:tcW w:w="1134" w:type="dxa"/>
            <w:tcBorders>
              <w:top w:val="single" w:sz="2" w:space="0" w:color="auto"/>
              <w:left w:val="nil"/>
              <w:bottom w:val="single" w:sz="2" w:space="0" w:color="auto"/>
              <w:right w:val="nil"/>
            </w:tcBorders>
            <w:shd w:val="clear" w:color="auto" w:fill="auto"/>
            <w:noWrap/>
            <w:vAlign w:val="center"/>
            <w:hideMark/>
          </w:tcPr>
          <w:p w14:paraId="29D1CE36"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2.277</w:t>
            </w:r>
          </w:p>
        </w:tc>
        <w:tc>
          <w:tcPr>
            <w:tcW w:w="1133" w:type="dxa"/>
            <w:tcBorders>
              <w:top w:val="single" w:sz="2" w:space="0" w:color="auto"/>
              <w:left w:val="nil"/>
              <w:bottom w:val="single" w:sz="2" w:space="0" w:color="auto"/>
              <w:right w:val="nil"/>
            </w:tcBorders>
            <w:shd w:val="clear" w:color="auto" w:fill="auto"/>
            <w:noWrap/>
            <w:vAlign w:val="center"/>
            <w:hideMark/>
          </w:tcPr>
          <w:p w14:paraId="70E0AD9A"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47.556</w:t>
            </w:r>
          </w:p>
        </w:tc>
        <w:tc>
          <w:tcPr>
            <w:tcW w:w="1134" w:type="dxa"/>
            <w:tcBorders>
              <w:top w:val="single" w:sz="2" w:space="0" w:color="auto"/>
              <w:left w:val="nil"/>
              <w:bottom w:val="single" w:sz="2" w:space="0" w:color="auto"/>
              <w:right w:val="nil"/>
            </w:tcBorders>
            <w:shd w:val="clear" w:color="auto" w:fill="auto"/>
            <w:noWrap/>
            <w:vAlign w:val="center"/>
            <w:hideMark/>
          </w:tcPr>
          <w:p w14:paraId="7670F1CA"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47.790</w:t>
            </w:r>
          </w:p>
        </w:tc>
      </w:tr>
      <w:tr w:rsidR="00C30199" w:rsidRPr="002B161B" w14:paraId="5547E23A"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15FE52E1"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2019</w:t>
            </w:r>
          </w:p>
        </w:tc>
        <w:tc>
          <w:tcPr>
            <w:tcW w:w="1418" w:type="dxa"/>
            <w:tcBorders>
              <w:top w:val="single" w:sz="2" w:space="0" w:color="auto"/>
              <w:left w:val="nil"/>
              <w:bottom w:val="single" w:sz="2" w:space="0" w:color="auto"/>
              <w:right w:val="nil"/>
            </w:tcBorders>
            <w:shd w:val="clear" w:color="auto" w:fill="auto"/>
            <w:noWrap/>
            <w:vAlign w:val="center"/>
            <w:hideMark/>
          </w:tcPr>
          <w:p w14:paraId="58BE43A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304.116.825</w:t>
            </w:r>
          </w:p>
        </w:tc>
        <w:tc>
          <w:tcPr>
            <w:tcW w:w="1418" w:type="dxa"/>
            <w:tcBorders>
              <w:top w:val="single" w:sz="2" w:space="0" w:color="auto"/>
              <w:left w:val="nil"/>
              <w:bottom w:val="single" w:sz="2" w:space="0" w:color="auto"/>
              <w:right w:val="nil"/>
            </w:tcBorders>
            <w:shd w:val="clear" w:color="auto" w:fill="auto"/>
            <w:noWrap/>
            <w:vAlign w:val="center"/>
            <w:hideMark/>
          </w:tcPr>
          <w:p w14:paraId="163717B2"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37.771.087</w:t>
            </w:r>
          </w:p>
        </w:tc>
        <w:tc>
          <w:tcPr>
            <w:tcW w:w="1053" w:type="dxa"/>
            <w:tcBorders>
              <w:top w:val="single" w:sz="2" w:space="0" w:color="auto"/>
              <w:left w:val="nil"/>
              <w:bottom w:val="single" w:sz="2" w:space="0" w:color="auto"/>
              <w:right w:val="nil"/>
            </w:tcBorders>
            <w:shd w:val="clear" w:color="auto" w:fill="auto"/>
            <w:noWrap/>
            <w:vAlign w:val="center"/>
            <w:hideMark/>
          </w:tcPr>
          <w:p w14:paraId="5A94C4F4"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341.887.912</w:t>
            </w:r>
          </w:p>
        </w:tc>
        <w:tc>
          <w:tcPr>
            <w:tcW w:w="1215" w:type="dxa"/>
            <w:tcBorders>
              <w:top w:val="single" w:sz="2" w:space="0" w:color="auto"/>
              <w:left w:val="nil"/>
              <w:bottom w:val="single" w:sz="2" w:space="0" w:color="auto"/>
              <w:right w:val="nil"/>
            </w:tcBorders>
            <w:shd w:val="clear" w:color="auto" w:fill="auto"/>
            <w:noWrap/>
            <w:vAlign w:val="center"/>
            <w:hideMark/>
          </w:tcPr>
          <w:p w14:paraId="1854B4D0"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38.283</w:t>
            </w:r>
          </w:p>
        </w:tc>
        <w:tc>
          <w:tcPr>
            <w:tcW w:w="1134" w:type="dxa"/>
            <w:tcBorders>
              <w:top w:val="single" w:sz="2" w:space="0" w:color="auto"/>
              <w:left w:val="nil"/>
              <w:bottom w:val="single" w:sz="2" w:space="0" w:color="auto"/>
              <w:right w:val="nil"/>
            </w:tcBorders>
            <w:shd w:val="clear" w:color="auto" w:fill="auto"/>
            <w:noWrap/>
            <w:vAlign w:val="center"/>
            <w:hideMark/>
          </w:tcPr>
          <w:p w14:paraId="04A93FD2"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2.354</w:t>
            </w:r>
          </w:p>
        </w:tc>
        <w:tc>
          <w:tcPr>
            <w:tcW w:w="1133" w:type="dxa"/>
            <w:tcBorders>
              <w:top w:val="single" w:sz="2" w:space="0" w:color="auto"/>
              <w:left w:val="nil"/>
              <w:bottom w:val="single" w:sz="2" w:space="0" w:color="auto"/>
              <w:right w:val="nil"/>
            </w:tcBorders>
            <w:shd w:val="clear" w:color="auto" w:fill="auto"/>
            <w:noWrap/>
            <w:vAlign w:val="center"/>
            <w:hideMark/>
          </w:tcPr>
          <w:p w14:paraId="6C020DD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49.171</w:t>
            </w:r>
          </w:p>
        </w:tc>
        <w:tc>
          <w:tcPr>
            <w:tcW w:w="1134" w:type="dxa"/>
            <w:tcBorders>
              <w:top w:val="single" w:sz="2" w:space="0" w:color="auto"/>
              <w:left w:val="nil"/>
              <w:bottom w:val="single" w:sz="2" w:space="0" w:color="auto"/>
              <w:right w:val="nil"/>
            </w:tcBorders>
            <w:shd w:val="clear" w:color="auto" w:fill="auto"/>
            <w:noWrap/>
            <w:vAlign w:val="center"/>
            <w:hideMark/>
          </w:tcPr>
          <w:p w14:paraId="25DAC86E"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49.461</w:t>
            </w:r>
          </w:p>
        </w:tc>
      </w:tr>
      <w:tr w:rsidR="00C30199" w:rsidRPr="002B161B" w14:paraId="6B900AD2" w14:textId="77777777" w:rsidTr="0021569A">
        <w:trPr>
          <w:trHeight w:val="227"/>
        </w:trPr>
        <w:tc>
          <w:tcPr>
            <w:tcW w:w="567" w:type="dxa"/>
            <w:tcBorders>
              <w:top w:val="single" w:sz="2" w:space="0" w:color="auto"/>
              <w:left w:val="nil"/>
              <w:bottom w:val="single" w:sz="2" w:space="0" w:color="auto"/>
              <w:right w:val="nil"/>
            </w:tcBorders>
            <w:shd w:val="clear" w:color="auto" w:fill="auto"/>
            <w:noWrap/>
            <w:vAlign w:val="center"/>
            <w:hideMark/>
          </w:tcPr>
          <w:p w14:paraId="41BEA2BD"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2020</w:t>
            </w:r>
          </w:p>
        </w:tc>
        <w:tc>
          <w:tcPr>
            <w:tcW w:w="1418" w:type="dxa"/>
            <w:tcBorders>
              <w:top w:val="single" w:sz="2" w:space="0" w:color="auto"/>
              <w:left w:val="nil"/>
              <w:bottom w:val="single" w:sz="2" w:space="0" w:color="auto"/>
              <w:right w:val="nil"/>
            </w:tcBorders>
            <w:shd w:val="clear" w:color="auto" w:fill="auto"/>
            <w:noWrap/>
            <w:vAlign w:val="center"/>
            <w:hideMark/>
          </w:tcPr>
          <w:p w14:paraId="4975F411"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235.070.244</w:t>
            </w:r>
          </w:p>
        </w:tc>
        <w:tc>
          <w:tcPr>
            <w:tcW w:w="1418" w:type="dxa"/>
            <w:tcBorders>
              <w:top w:val="single" w:sz="2" w:space="0" w:color="auto"/>
              <w:left w:val="nil"/>
              <w:bottom w:val="single" w:sz="2" w:space="0" w:color="auto"/>
              <w:right w:val="nil"/>
            </w:tcBorders>
            <w:shd w:val="clear" w:color="auto" w:fill="auto"/>
            <w:noWrap/>
            <w:vAlign w:val="center"/>
            <w:hideMark/>
          </w:tcPr>
          <w:p w14:paraId="4D210DFC"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33.697.612</w:t>
            </w:r>
          </w:p>
        </w:tc>
        <w:tc>
          <w:tcPr>
            <w:tcW w:w="1053" w:type="dxa"/>
            <w:tcBorders>
              <w:top w:val="single" w:sz="2" w:space="0" w:color="auto"/>
              <w:left w:val="nil"/>
              <w:bottom w:val="single" w:sz="2" w:space="0" w:color="auto"/>
              <w:right w:val="nil"/>
            </w:tcBorders>
            <w:shd w:val="clear" w:color="auto" w:fill="auto"/>
            <w:noWrap/>
            <w:vAlign w:val="center"/>
            <w:hideMark/>
          </w:tcPr>
          <w:p w14:paraId="08226646"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268.767.856</w:t>
            </w:r>
          </w:p>
        </w:tc>
        <w:tc>
          <w:tcPr>
            <w:tcW w:w="1215" w:type="dxa"/>
            <w:tcBorders>
              <w:top w:val="single" w:sz="2" w:space="0" w:color="auto"/>
              <w:left w:val="nil"/>
              <w:bottom w:val="single" w:sz="2" w:space="0" w:color="auto"/>
              <w:right w:val="nil"/>
            </w:tcBorders>
            <w:shd w:val="clear" w:color="auto" w:fill="auto"/>
            <w:noWrap/>
            <w:vAlign w:val="center"/>
            <w:hideMark/>
          </w:tcPr>
          <w:p w14:paraId="2ABA4A39"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30.331</w:t>
            </w:r>
          </w:p>
        </w:tc>
        <w:tc>
          <w:tcPr>
            <w:tcW w:w="1134" w:type="dxa"/>
            <w:tcBorders>
              <w:top w:val="single" w:sz="2" w:space="0" w:color="auto"/>
              <w:left w:val="nil"/>
              <w:bottom w:val="single" w:sz="2" w:space="0" w:color="auto"/>
              <w:right w:val="nil"/>
            </w:tcBorders>
            <w:shd w:val="clear" w:color="auto" w:fill="auto"/>
            <w:noWrap/>
            <w:vAlign w:val="center"/>
            <w:hideMark/>
          </w:tcPr>
          <w:p w14:paraId="47BE286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1.865</w:t>
            </w:r>
          </w:p>
        </w:tc>
        <w:tc>
          <w:tcPr>
            <w:tcW w:w="1133" w:type="dxa"/>
            <w:tcBorders>
              <w:top w:val="single" w:sz="2" w:space="0" w:color="auto"/>
              <w:left w:val="nil"/>
              <w:bottom w:val="single" w:sz="2" w:space="0" w:color="auto"/>
              <w:right w:val="nil"/>
            </w:tcBorders>
            <w:shd w:val="clear" w:color="auto" w:fill="auto"/>
            <w:noWrap/>
            <w:vAlign w:val="center"/>
            <w:hideMark/>
          </w:tcPr>
          <w:p w14:paraId="6521AE85"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38.957</w:t>
            </w:r>
          </w:p>
        </w:tc>
        <w:tc>
          <w:tcPr>
            <w:tcW w:w="1134" w:type="dxa"/>
            <w:tcBorders>
              <w:top w:val="single" w:sz="2" w:space="0" w:color="auto"/>
              <w:left w:val="nil"/>
              <w:bottom w:val="single" w:sz="2" w:space="0" w:color="auto"/>
              <w:right w:val="nil"/>
            </w:tcBorders>
            <w:shd w:val="clear" w:color="auto" w:fill="auto"/>
            <w:noWrap/>
            <w:vAlign w:val="center"/>
            <w:hideMark/>
          </w:tcPr>
          <w:p w14:paraId="583104BF"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49.523</w:t>
            </w:r>
          </w:p>
        </w:tc>
      </w:tr>
      <w:tr w:rsidR="00C30199" w:rsidRPr="002B161B" w14:paraId="4E71C6B5" w14:textId="77777777" w:rsidTr="0021569A">
        <w:trPr>
          <w:trHeight w:val="227"/>
        </w:trPr>
        <w:tc>
          <w:tcPr>
            <w:tcW w:w="567" w:type="dxa"/>
            <w:tcBorders>
              <w:top w:val="single" w:sz="2" w:space="0" w:color="auto"/>
              <w:left w:val="nil"/>
              <w:bottom w:val="nil"/>
              <w:right w:val="nil"/>
            </w:tcBorders>
            <w:shd w:val="clear" w:color="auto" w:fill="auto"/>
            <w:noWrap/>
            <w:vAlign w:val="center"/>
            <w:hideMark/>
          </w:tcPr>
          <w:p w14:paraId="0FFC08A9" w14:textId="77777777" w:rsidR="00C30199" w:rsidRPr="002B161B" w:rsidRDefault="00C30199" w:rsidP="002B161B">
            <w:pPr>
              <w:pStyle w:val="cuatexto"/>
              <w:spacing w:line="240" w:lineRule="auto"/>
              <w:rPr>
                <w:color w:val="000000"/>
                <w:sz w:val="16"/>
                <w:szCs w:val="16"/>
                <w:lang w:val="es-ES" w:eastAsia="es-ES"/>
              </w:rPr>
            </w:pPr>
            <w:r w:rsidRPr="002B161B">
              <w:rPr>
                <w:color w:val="000000"/>
                <w:sz w:val="16"/>
                <w:szCs w:val="16"/>
                <w:lang w:val="es-ES" w:eastAsia="es-ES"/>
              </w:rPr>
              <w:t>2021</w:t>
            </w:r>
          </w:p>
        </w:tc>
        <w:tc>
          <w:tcPr>
            <w:tcW w:w="1418" w:type="dxa"/>
            <w:tcBorders>
              <w:top w:val="single" w:sz="2" w:space="0" w:color="auto"/>
              <w:left w:val="nil"/>
              <w:bottom w:val="nil"/>
              <w:right w:val="nil"/>
            </w:tcBorders>
            <w:shd w:val="clear" w:color="auto" w:fill="auto"/>
            <w:noWrap/>
            <w:vAlign w:val="center"/>
            <w:hideMark/>
          </w:tcPr>
          <w:p w14:paraId="52E5044D"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285.113.798</w:t>
            </w:r>
          </w:p>
        </w:tc>
        <w:tc>
          <w:tcPr>
            <w:tcW w:w="1418" w:type="dxa"/>
            <w:tcBorders>
              <w:top w:val="single" w:sz="2" w:space="0" w:color="auto"/>
              <w:left w:val="nil"/>
              <w:bottom w:val="nil"/>
              <w:right w:val="nil"/>
            </w:tcBorders>
            <w:shd w:val="clear" w:color="auto" w:fill="auto"/>
            <w:noWrap/>
            <w:vAlign w:val="center"/>
            <w:hideMark/>
          </w:tcPr>
          <w:p w14:paraId="36E2CDB2"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37.256.789</w:t>
            </w:r>
          </w:p>
        </w:tc>
        <w:tc>
          <w:tcPr>
            <w:tcW w:w="1053" w:type="dxa"/>
            <w:tcBorders>
              <w:top w:val="single" w:sz="2" w:space="0" w:color="auto"/>
              <w:left w:val="nil"/>
              <w:bottom w:val="nil"/>
              <w:right w:val="nil"/>
            </w:tcBorders>
            <w:shd w:val="clear" w:color="auto" w:fill="auto"/>
            <w:noWrap/>
            <w:vAlign w:val="center"/>
            <w:hideMark/>
          </w:tcPr>
          <w:p w14:paraId="35FA09B2"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322.370.587</w:t>
            </w:r>
          </w:p>
        </w:tc>
        <w:tc>
          <w:tcPr>
            <w:tcW w:w="1215" w:type="dxa"/>
            <w:tcBorders>
              <w:top w:val="single" w:sz="2" w:space="0" w:color="auto"/>
              <w:left w:val="nil"/>
              <w:bottom w:val="nil"/>
              <w:right w:val="nil"/>
            </w:tcBorders>
            <w:shd w:val="clear" w:color="auto" w:fill="auto"/>
            <w:noWrap/>
            <w:vAlign w:val="center"/>
            <w:hideMark/>
          </w:tcPr>
          <w:p w14:paraId="5452B7F2"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36.092</w:t>
            </w:r>
          </w:p>
        </w:tc>
        <w:tc>
          <w:tcPr>
            <w:tcW w:w="1134" w:type="dxa"/>
            <w:tcBorders>
              <w:top w:val="single" w:sz="2" w:space="0" w:color="auto"/>
              <w:left w:val="nil"/>
              <w:bottom w:val="nil"/>
              <w:right w:val="nil"/>
            </w:tcBorders>
            <w:shd w:val="clear" w:color="auto" w:fill="auto"/>
            <w:noWrap/>
            <w:vAlign w:val="center"/>
            <w:hideMark/>
          </w:tcPr>
          <w:p w14:paraId="0467A74B"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2.220</w:t>
            </w:r>
          </w:p>
        </w:tc>
        <w:tc>
          <w:tcPr>
            <w:tcW w:w="1133" w:type="dxa"/>
            <w:tcBorders>
              <w:top w:val="single" w:sz="2" w:space="0" w:color="auto"/>
              <w:left w:val="nil"/>
              <w:bottom w:val="nil"/>
              <w:right w:val="nil"/>
            </w:tcBorders>
            <w:shd w:val="clear" w:color="auto" w:fill="auto"/>
            <w:noWrap/>
            <w:vAlign w:val="center"/>
            <w:hideMark/>
          </w:tcPr>
          <w:p w14:paraId="17899CB3"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46.357</w:t>
            </w:r>
          </w:p>
        </w:tc>
        <w:tc>
          <w:tcPr>
            <w:tcW w:w="1134" w:type="dxa"/>
            <w:tcBorders>
              <w:top w:val="single" w:sz="2" w:space="0" w:color="auto"/>
              <w:left w:val="nil"/>
              <w:bottom w:val="nil"/>
              <w:right w:val="nil"/>
            </w:tcBorders>
            <w:shd w:val="clear" w:color="auto" w:fill="auto"/>
            <w:noWrap/>
            <w:vAlign w:val="center"/>
            <w:hideMark/>
          </w:tcPr>
          <w:p w14:paraId="154D3833" w14:textId="77777777" w:rsidR="00C30199" w:rsidRPr="002B161B" w:rsidRDefault="00C30199" w:rsidP="002B161B">
            <w:pPr>
              <w:pStyle w:val="cuatexto"/>
              <w:spacing w:line="240" w:lineRule="auto"/>
              <w:jc w:val="right"/>
              <w:rPr>
                <w:color w:val="000000"/>
                <w:sz w:val="16"/>
                <w:szCs w:val="16"/>
                <w:lang w:val="es-ES" w:eastAsia="es-ES"/>
              </w:rPr>
            </w:pPr>
            <w:r w:rsidRPr="002B161B">
              <w:rPr>
                <w:color w:val="000000"/>
                <w:sz w:val="16"/>
                <w:szCs w:val="16"/>
                <w:lang w:val="es-ES" w:eastAsia="es-ES"/>
              </w:rPr>
              <w:t>29.121</w:t>
            </w:r>
          </w:p>
        </w:tc>
      </w:tr>
      <w:tr w:rsidR="002B161B" w:rsidRPr="002B161B" w14:paraId="3713E137" w14:textId="77777777" w:rsidTr="0021569A">
        <w:trPr>
          <w:trHeight w:val="227"/>
        </w:trPr>
        <w:tc>
          <w:tcPr>
            <w:tcW w:w="567" w:type="dxa"/>
            <w:tcBorders>
              <w:top w:val="single" w:sz="4" w:space="0" w:color="auto"/>
              <w:left w:val="nil"/>
              <w:bottom w:val="single" w:sz="4" w:space="0" w:color="auto"/>
              <w:right w:val="nil"/>
            </w:tcBorders>
            <w:shd w:val="clear" w:color="auto" w:fill="B8CCE4" w:themeFill="accent1" w:themeFillTint="66"/>
            <w:noWrap/>
            <w:vAlign w:val="center"/>
            <w:hideMark/>
          </w:tcPr>
          <w:p w14:paraId="7DE0E0D9" w14:textId="77777777" w:rsidR="00C30199" w:rsidRPr="002B161B" w:rsidRDefault="00C30199" w:rsidP="002B161B">
            <w:pPr>
              <w:pStyle w:val="cuadroCabe"/>
              <w:spacing w:line="240" w:lineRule="auto"/>
              <w:rPr>
                <w:sz w:val="16"/>
                <w:szCs w:val="16"/>
                <w:lang w:val="es-ES" w:eastAsia="es-ES"/>
              </w:rPr>
            </w:pPr>
            <w:r w:rsidRPr="002B161B">
              <w:rPr>
                <w:sz w:val="16"/>
                <w:szCs w:val="16"/>
                <w:lang w:val="es-ES" w:eastAsia="es-ES"/>
              </w:rPr>
              <w:t>Total</w:t>
            </w:r>
          </w:p>
        </w:tc>
        <w:tc>
          <w:tcPr>
            <w:tcW w:w="1418" w:type="dxa"/>
            <w:tcBorders>
              <w:top w:val="single" w:sz="4" w:space="0" w:color="auto"/>
              <w:left w:val="nil"/>
              <w:bottom w:val="single" w:sz="4" w:space="0" w:color="auto"/>
              <w:right w:val="nil"/>
            </w:tcBorders>
            <w:shd w:val="clear" w:color="auto" w:fill="B8CCE4" w:themeFill="accent1" w:themeFillTint="66"/>
            <w:noWrap/>
            <w:vAlign w:val="center"/>
            <w:hideMark/>
          </w:tcPr>
          <w:p w14:paraId="371ECF88" w14:textId="77777777" w:rsidR="00C30199" w:rsidRPr="002B161B" w:rsidRDefault="00C30199" w:rsidP="002B161B">
            <w:pPr>
              <w:pStyle w:val="cuadroCabe"/>
              <w:spacing w:line="240" w:lineRule="auto"/>
              <w:jc w:val="right"/>
              <w:rPr>
                <w:sz w:val="16"/>
                <w:szCs w:val="16"/>
                <w:lang w:val="es-ES" w:eastAsia="es-ES"/>
              </w:rPr>
            </w:pPr>
            <w:r w:rsidRPr="002B161B">
              <w:rPr>
                <w:sz w:val="16"/>
                <w:szCs w:val="16"/>
                <w:lang w:val="es-ES" w:eastAsia="es-ES"/>
              </w:rPr>
              <w:t> </w:t>
            </w:r>
          </w:p>
        </w:tc>
        <w:tc>
          <w:tcPr>
            <w:tcW w:w="1418" w:type="dxa"/>
            <w:tcBorders>
              <w:top w:val="single" w:sz="4" w:space="0" w:color="auto"/>
              <w:left w:val="nil"/>
              <w:bottom w:val="single" w:sz="4" w:space="0" w:color="auto"/>
              <w:right w:val="nil"/>
            </w:tcBorders>
            <w:shd w:val="clear" w:color="auto" w:fill="B8CCE4" w:themeFill="accent1" w:themeFillTint="66"/>
            <w:noWrap/>
            <w:vAlign w:val="center"/>
            <w:hideMark/>
          </w:tcPr>
          <w:p w14:paraId="340C610F" w14:textId="77777777" w:rsidR="00C30199" w:rsidRPr="002B161B" w:rsidRDefault="00C30199" w:rsidP="002B161B">
            <w:pPr>
              <w:pStyle w:val="cuadroCabe"/>
              <w:spacing w:line="240" w:lineRule="auto"/>
              <w:jc w:val="right"/>
              <w:rPr>
                <w:sz w:val="16"/>
                <w:szCs w:val="16"/>
                <w:lang w:val="es-ES" w:eastAsia="es-ES"/>
              </w:rPr>
            </w:pPr>
            <w:r w:rsidRPr="002B161B">
              <w:rPr>
                <w:sz w:val="16"/>
                <w:szCs w:val="16"/>
                <w:lang w:val="es-ES" w:eastAsia="es-ES"/>
              </w:rPr>
              <w:t> </w:t>
            </w:r>
          </w:p>
        </w:tc>
        <w:tc>
          <w:tcPr>
            <w:tcW w:w="1053" w:type="dxa"/>
            <w:tcBorders>
              <w:top w:val="single" w:sz="4" w:space="0" w:color="auto"/>
              <w:left w:val="nil"/>
              <w:bottom w:val="single" w:sz="4" w:space="0" w:color="auto"/>
              <w:right w:val="nil"/>
            </w:tcBorders>
            <w:shd w:val="clear" w:color="auto" w:fill="B8CCE4" w:themeFill="accent1" w:themeFillTint="66"/>
            <w:noWrap/>
            <w:vAlign w:val="center"/>
            <w:hideMark/>
          </w:tcPr>
          <w:p w14:paraId="59F44F52" w14:textId="77777777" w:rsidR="00C30199" w:rsidRPr="002B161B" w:rsidRDefault="00C30199" w:rsidP="002B161B">
            <w:pPr>
              <w:pStyle w:val="cuadroCabe"/>
              <w:spacing w:line="240" w:lineRule="auto"/>
              <w:jc w:val="right"/>
              <w:rPr>
                <w:sz w:val="16"/>
                <w:szCs w:val="16"/>
                <w:lang w:val="es-ES" w:eastAsia="es-ES"/>
              </w:rPr>
            </w:pPr>
            <w:r w:rsidRPr="002B161B">
              <w:rPr>
                <w:sz w:val="16"/>
                <w:szCs w:val="16"/>
                <w:lang w:val="es-ES" w:eastAsia="es-ES"/>
              </w:rPr>
              <w:t> </w:t>
            </w:r>
          </w:p>
        </w:tc>
        <w:tc>
          <w:tcPr>
            <w:tcW w:w="1215" w:type="dxa"/>
            <w:tcBorders>
              <w:top w:val="single" w:sz="4" w:space="0" w:color="auto"/>
              <w:left w:val="nil"/>
              <w:bottom w:val="single" w:sz="4" w:space="0" w:color="auto"/>
              <w:right w:val="nil"/>
            </w:tcBorders>
            <w:shd w:val="clear" w:color="auto" w:fill="B8CCE4" w:themeFill="accent1" w:themeFillTint="66"/>
            <w:noWrap/>
            <w:vAlign w:val="center"/>
            <w:hideMark/>
          </w:tcPr>
          <w:p w14:paraId="0C93D296" w14:textId="77777777" w:rsidR="00C30199" w:rsidRPr="002B161B" w:rsidRDefault="001A75E2" w:rsidP="002B161B">
            <w:pPr>
              <w:pStyle w:val="cuadroCabe"/>
              <w:spacing w:line="240" w:lineRule="auto"/>
              <w:jc w:val="right"/>
              <w:rPr>
                <w:sz w:val="16"/>
                <w:szCs w:val="16"/>
                <w:lang w:val="es-ES" w:eastAsia="es-ES"/>
              </w:rPr>
            </w:pPr>
            <w:r>
              <w:rPr>
                <w:sz w:val="16"/>
                <w:szCs w:val="16"/>
                <w:lang w:val="es-ES" w:eastAsia="es-ES"/>
              </w:rPr>
              <w:t>487.027</w:t>
            </w:r>
          </w:p>
        </w:tc>
        <w:tc>
          <w:tcPr>
            <w:tcW w:w="1134" w:type="dxa"/>
            <w:tcBorders>
              <w:top w:val="single" w:sz="4" w:space="0" w:color="auto"/>
              <w:left w:val="nil"/>
              <w:bottom w:val="single" w:sz="4" w:space="0" w:color="auto"/>
              <w:right w:val="nil"/>
            </w:tcBorders>
            <w:shd w:val="clear" w:color="auto" w:fill="B8CCE4" w:themeFill="accent1" w:themeFillTint="66"/>
            <w:noWrap/>
            <w:vAlign w:val="center"/>
            <w:hideMark/>
          </w:tcPr>
          <w:p w14:paraId="1E027725" w14:textId="77777777" w:rsidR="00C30199" w:rsidRPr="002B161B" w:rsidRDefault="001A75E2" w:rsidP="002B161B">
            <w:pPr>
              <w:pStyle w:val="cuadroCabe"/>
              <w:spacing w:line="240" w:lineRule="auto"/>
              <w:jc w:val="right"/>
              <w:rPr>
                <w:sz w:val="16"/>
                <w:szCs w:val="16"/>
                <w:lang w:val="es-ES" w:eastAsia="es-ES"/>
              </w:rPr>
            </w:pPr>
            <w:r>
              <w:rPr>
                <w:sz w:val="16"/>
                <w:szCs w:val="16"/>
                <w:lang w:val="es-ES" w:eastAsia="es-ES"/>
              </w:rPr>
              <w:t>29.958</w:t>
            </w:r>
          </w:p>
        </w:tc>
        <w:tc>
          <w:tcPr>
            <w:tcW w:w="1133" w:type="dxa"/>
            <w:tcBorders>
              <w:top w:val="single" w:sz="4" w:space="0" w:color="auto"/>
              <w:left w:val="nil"/>
              <w:bottom w:val="single" w:sz="4" w:space="0" w:color="auto"/>
              <w:right w:val="nil"/>
            </w:tcBorders>
            <w:shd w:val="clear" w:color="auto" w:fill="B8CCE4" w:themeFill="accent1" w:themeFillTint="66"/>
            <w:noWrap/>
            <w:vAlign w:val="center"/>
            <w:hideMark/>
          </w:tcPr>
          <w:p w14:paraId="5FA19830" w14:textId="77777777" w:rsidR="00C30199" w:rsidRPr="002B161B" w:rsidRDefault="00C30199" w:rsidP="002B161B">
            <w:pPr>
              <w:pStyle w:val="cuadroCabe"/>
              <w:spacing w:line="240" w:lineRule="auto"/>
              <w:jc w:val="right"/>
              <w:rPr>
                <w:b/>
                <w:bCs/>
                <w:sz w:val="16"/>
                <w:szCs w:val="16"/>
                <w:lang w:val="es-ES" w:eastAsia="es-ES"/>
              </w:rPr>
            </w:pPr>
            <w:r w:rsidRPr="002B161B">
              <w:rPr>
                <w:b/>
                <w:bCs/>
                <w:sz w:val="16"/>
                <w:szCs w:val="16"/>
                <w:lang w:val="es-ES" w:eastAsia="es-ES"/>
              </w:rPr>
              <w:t>618.314</w:t>
            </w:r>
          </w:p>
        </w:tc>
        <w:tc>
          <w:tcPr>
            <w:tcW w:w="1134" w:type="dxa"/>
            <w:tcBorders>
              <w:top w:val="single" w:sz="4" w:space="0" w:color="auto"/>
              <w:left w:val="nil"/>
              <w:bottom w:val="single" w:sz="4" w:space="0" w:color="auto"/>
              <w:right w:val="nil"/>
            </w:tcBorders>
            <w:shd w:val="clear" w:color="auto" w:fill="B8CCE4" w:themeFill="accent1" w:themeFillTint="66"/>
            <w:noWrap/>
            <w:vAlign w:val="center"/>
            <w:hideMark/>
          </w:tcPr>
          <w:p w14:paraId="555849CB" w14:textId="77777777" w:rsidR="00C30199" w:rsidRPr="002B161B" w:rsidRDefault="00C30199" w:rsidP="002B161B">
            <w:pPr>
              <w:pStyle w:val="cuadroCabe"/>
              <w:spacing w:line="240" w:lineRule="auto"/>
              <w:jc w:val="right"/>
              <w:rPr>
                <w:b/>
                <w:bCs/>
                <w:sz w:val="16"/>
                <w:szCs w:val="16"/>
                <w:lang w:val="es-ES" w:eastAsia="es-ES"/>
              </w:rPr>
            </w:pPr>
            <w:r w:rsidRPr="002B161B">
              <w:rPr>
                <w:b/>
                <w:bCs/>
                <w:sz w:val="16"/>
                <w:szCs w:val="16"/>
                <w:lang w:val="es-ES" w:eastAsia="es-ES"/>
              </w:rPr>
              <w:t>603.653</w:t>
            </w:r>
          </w:p>
        </w:tc>
      </w:tr>
    </w:tbl>
    <w:p w14:paraId="10B3C71C" w14:textId="77777777" w:rsidR="00AD0582" w:rsidRPr="00AD0582" w:rsidRDefault="00AD0582" w:rsidP="00686011">
      <w:pPr>
        <w:pStyle w:val="texto"/>
        <w:spacing w:before="60"/>
        <w:ind w:firstLine="0"/>
        <w:rPr>
          <w:rFonts w:ascii="Arial" w:hAnsi="Arial" w:cs="Arial"/>
          <w:sz w:val="14"/>
          <w:szCs w:val="14"/>
        </w:rPr>
      </w:pPr>
      <w:r w:rsidRPr="00686011">
        <w:rPr>
          <w:rFonts w:ascii="Arial" w:hAnsi="Arial" w:cs="Arial"/>
          <w:sz w:val="14"/>
          <w:szCs w:val="14"/>
          <w:vertAlign w:val="superscript"/>
        </w:rPr>
        <w:t>(*)</w:t>
      </w:r>
      <w:r w:rsidR="00686011">
        <w:rPr>
          <w:rFonts w:ascii="Arial" w:hAnsi="Arial" w:cs="Arial"/>
          <w:sz w:val="14"/>
          <w:szCs w:val="14"/>
        </w:rPr>
        <w:t xml:space="preserve"> </w:t>
      </w:r>
      <w:r>
        <w:rPr>
          <w:rFonts w:ascii="Arial" w:hAnsi="Arial" w:cs="Arial"/>
          <w:sz w:val="14"/>
          <w:szCs w:val="14"/>
        </w:rPr>
        <w:t>IMD (intensidad media diaria) por la longitud total de la autovía (70 km) para todo el año natural.</w:t>
      </w:r>
    </w:p>
    <w:p w14:paraId="5BEA45A0" w14:textId="77777777" w:rsidR="00C30199" w:rsidRPr="002B161B" w:rsidRDefault="00C30199" w:rsidP="002B161B">
      <w:pPr>
        <w:pStyle w:val="texto"/>
      </w:pPr>
      <w:r w:rsidRPr="00EC7AF8">
        <w:t xml:space="preserve">De los </w:t>
      </w:r>
      <w:r w:rsidR="001A75E2">
        <w:t>517</w:t>
      </w:r>
      <w:r w:rsidRPr="00EC7AF8">
        <w:t xml:space="preserve"> millones </w:t>
      </w:r>
      <w:r w:rsidRPr="002F265D">
        <w:t xml:space="preserve">(IVA excluido) </w:t>
      </w:r>
      <w:r w:rsidRPr="00EC7AF8">
        <w:t xml:space="preserve">que </w:t>
      </w:r>
      <w:r w:rsidR="002F265D">
        <w:t>cobró</w:t>
      </w:r>
      <w:r w:rsidRPr="00EC7AF8">
        <w:t xml:space="preserve"> la concesionaria hasta </w:t>
      </w:r>
      <w:r w:rsidRPr="002B161B">
        <w:t xml:space="preserve">diciembre de 2021, el 94 por ciento de los ingresos corresponde al canon por demanda. </w:t>
      </w:r>
    </w:p>
    <w:p w14:paraId="457DFDC4" w14:textId="77777777" w:rsidR="00C30199" w:rsidRDefault="00C30199" w:rsidP="002B161B">
      <w:pPr>
        <w:pStyle w:val="texto"/>
      </w:pPr>
      <w:r w:rsidRPr="002B161B">
        <w:t xml:space="preserve">Durante el año se abona mensualmente un importe a cuenta calculado en función del tráfico del año anterior. </w:t>
      </w:r>
      <w:r w:rsidRPr="002B161B">
        <w:rPr>
          <w:rFonts w:eastAsia="Calibri"/>
        </w:rPr>
        <w:t>Una vez concluido el año natural, a comienzos del año siguiente, con los datos de los volúmenes de tráfico definitivos de dicho año se calcula la</w:t>
      </w:r>
      <w:r>
        <w:rPr>
          <w:rFonts w:eastAsia="Calibri"/>
          <w:lang w:eastAsia="es-ES"/>
        </w:rPr>
        <w:t xml:space="preserve"> liquidación final y se compensa en los pagos del año siguiente</w:t>
      </w:r>
      <w:r>
        <w:t xml:space="preserve">. Por ese motivo se producen diferencias entre el devengo anual y los apuntes presupuestarios. </w:t>
      </w:r>
      <w:r w:rsidRPr="00F933B3">
        <w:t xml:space="preserve">Los </w:t>
      </w:r>
      <w:r w:rsidR="00942EB5" w:rsidRPr="00596D8B">
        <w:t>14,</w:t>
      </w:r>
      <w:r w:rsidRPr="00596D8B">
        <w:t>66</w:t>
      </w:r>
      <w:r w:rsidR="00942EB5" w:rsidRPr="00596D8B">
        <w:t xml:space="preserve"> millones </w:t>
      </w:r>
      <w:r w:rsidRPr="00F933B3">
        <w:t>de diferencia,</w:t>
      </w:r>
      <w:r>
        <w:t xml:space="preserve"> devengados y no reflejados en presupuesto, </w:t>
      </w:r>
      <w:r w:rsidRPr="00F933B3">
        <w:t>correspond</w:t>
      </w:r>
      <w:r>
        <w:t>en a los siguientes hechos:</w:t>
      </w:r>
    </w:p>
    <w:p w14:paraId="0D7D1E99" w14:textId="77777777" w:rsidR="00C30199" w:rsidRDefault="0021569A" w:rsidP="0021569A">
      <w:pPr>
        <w:pStyle w:val="texto"/>
      </w:pPr>
      <w:r>
        <w:t xml:space="preserve">a) </w:t>
      </w:r>
      <w:r w:rsidR="00C30199">
        <w:t>La</w:t>
      </w:r>
      <w:r w:rsidR="00C30199" w:rsidRPr="00F933B3">
        <w:t xml:space="preserve"> liquidación anual económica de 2021</w:t>
      </w:r>
      <w:r w:rsidR="00C30199">
        <w:t>,</w:t>
      </w:r>
      <w:r w:rsidR="00C30199" w:rsidRPr="00F933B3">
        <w:t xml:space="preserve"> que se </w:t>
      </w:r>
      <w:r w:rsidR="00C30199" w:rsidRPr="00650D1D">
        <w:t xml:space="preserve">aprueba </w:t>
      </w:r>
      <w:r w:rsidR="00051432" w:rsidRPr="00650D1D">
        <w:t>el 31 de enero</w:t>
      </w:r>
      <w:r w:rsidR="00C30199" w:rsidRPr="00650D1D">
        <w:t xml:space="preserve"> </w:t>
      </w:r>
      <w:r w:rsidR="00C30199" w:rsidRPr="00F933B3">
        <w:t>de 2022</w:t>
      </w:r>
      <w:r w:rsidR="00C30199">
        <w:t>,</w:t>
      </w:r>
      <w:r w:rsidR="00C30199" w:rsidRPr="00F933B3">
        <w:t xml:space="preserve"> po</w:t>
      </w:r>
      <w:r w:rsidR="00C30199">
        <w:t xml:space="preserve">r valor de </w:t>
      </w:r>
      <w:r w:rsidR="00942EB5" w:rsidRPr="00596D8B">
        <w:t>7,58</w:t>
      </w:r>
      <w:r w:rsidR="00C30199" w:rsidRPr="00596D8B">
        <w:t xml:space="preserve"> </w:t>
      </w:r>
      <w:r w:rsidR="00942EB5" w:rsidRPr="00596D8B">
        <w:t>millones</w:t>
      </w:r>
      <w:r w:rsidR="00C30199" w:rsidRPr="00596D8B">
        <w:t xml:space="preserve">. </w:t>
      </w:r>
    </w:p>
    <w:p w14:paraId="140B979F" w14:textId="77777777" w:rsidR="00C30199" w:rsidRDefault="0021569A" w:rsidP="0021569A">
      <w:pPr>
        <w:pStyle w:val="texto"/>
        <w:rPr>
          <w:szCs w:val="26"/>
        </w:rPr>
      </w:pPr>
      <w:r>
        <w:rPr>
          <w:szCs w:val="26"/>
        </w:rPr>
        <w:t xml:space="preserve">b) </w:t>
      </w:r>
      <w:r w:rsidR="00C30199">
        <w:rPr>
          <w:szCs w:val="26"/>
        </w:rPr>
        <w:t xml:space="preserve">El canon </w:t>
      </w:r>
      <w:r w:rsidR="00C30199" w:rsidRPr="0021569A">
        <w:t>correspondiente</w:t>
      </w:r>
      <w:r w:rsidR="00C30199">
        <w:rPr>
          <w:szCs w:val="26"/>
        </w:rPr>
        <w:t xml:space="preserve"> al mes de diciembre de 2021, </w:t>
      </w:r>
      <w:r w:rsidR="00C30199" w:rsidRPr="00F933B3">
        <w:rPr>
          <w:szCs w:val="26"/>
        </w:rPr>
        <w:t>que se imputa al presupuesto de 2022</w:t>
      </w:r>
      <w:r w:rsidR="00C30199">
        <w:rPr>
          <w:szCs w:val="26"/>
        </w:rPr>
        <w:t>,</w:t>
      </w:r>
      <w:r w:rsidR="00C30199" w:rsidRPr="00F933B3">
        <w:rPr>
          <w:szCs w:val="26"/>
        </w:rPr>
        <w:t xml:space="preserve"> p</w:t>
      </w:r>
      <w:r w:rsidR="00C30199">
        <w:rPr>
          <w:szCs w:val="26"/>
        </w:rPr>
        <w:t>or valor d</w:t>
      </w:r>
      <w:r w:rsidR="00C30199" w:rsidRPr="00596D8B">
        <w:rPr>
          <w:szCs w:val="26"/>
        </w:rPr>
        <w:t xml:space="preserve">e </w:t>
      </w:r>
      <w:r w:rsidR="00942EB5" w:rsidRPr="00596D8B">
        <w:rPr>
          <w:szCs w:val="26"/>
        </w:rPr>
        <w:t>3,23</w:t>
      </w:r>
      <w:r w:rsidR="00C30199" w:rsidRPr="00596D8B">
        <w:rPr>
          <w:szCs w:val="26"/>
        </w:rPr>
        <w:t xml:space="preserve"> </w:t>
      </w:r>
      <w:r w:rsidR="00942EB5" w:rsidRPr="00596D8B">
        <w:rPr>
          <w:szCs w:val="26"/>
        </w:rPr>
        <w:t>millones</w:t>
      </w:r>
      <w:r w:rsidR="00C30199" w:rsidRPr="00596D8B">
        <w:rPr>
          <w:szCs w:val="26"/>
        </w:rPr>
        <w:t xml:space="preserve">. </w:t>
      </w:r>
    </w:p>
    <w:p w14:paraId="1BC45F8B" w14:textId="77777777" w:rsidR="00C30199" w:rsidRDefault="0021569A" w:rsidP="0021569A">
      <w:pPr>
        <w:pStyle w:val="texto"/>
        <w:spacing w:after="240"/>
        <w:rPr>
          <w:szCs w:val="26"/>
        </w:rPr>
      </w:pPr>
      <w:r>
        <w:rPr>
          <w:szCs w:val="26"/>
        </w:rPr>
        <w:t xml:space="preserve">c) </w:t>
      </w:r>
      <w:r w:rsidR="00C30199">
        <w:rPr>
          <w:szCs w:val="26"/>
        </w:rPr>
        <w:t>Al</w:t>
      </w:r>
      <w:r w:rsidR="00C30199" w:rsidRPr="00F933B3">
        <w:rPr>
          <w:szCs w:val="26"/>
        </w:rPr>
        <w:t xml:space="preserve"> </w:t>
      </w:r>
      <w:r w:rsidR="00C30199" w:rsidRPr="0021569A">
        <w:t>ahorro</w:t>
      </w:r>
      <w:r w:rsidR="00C30199" w:rsidRPr="00F933B3">
        <w:rPr>
          <w:szCs w:val="26"/>
        </w:rPr>
        <w:t xml:space="preserve"> </w:t>
      </w:r>
      <w:r w:rsidR="00C30199">
        <w:rPr>
          <w:szCs w:val="26"/>
        </w:rPr>
        <w:t xml:space="preserve">que ha supuesto a la ACFN </w:t>
      </w:r>
      <w:r w:rsidR="00C30199" w:rsidRPr="00F933B3">
        <w:rPr>
          <w:szCs w:val="26"/>
        </w:rPr>
        <w:t>la no ejecución del refuerzo del firme</w:t>
      </w:r>
      <w:r w:rsidR="00C30199">
        <w:rPr>
          <w:szCs w:val="26"/>
        </w:rPr>
        <w:t xml:space="preserve"> para dos tramos de la autovía</w:t>
      </w:r>
      <w:r w:rsidR="00C30199" w:rsidRPr="00F933B3">
        <w:rPr>
          <w:szCs w:val="26"/>
        </w:rPr>
        <w:t xml:space="preserve">, al cual la concesionaria estaba obligada por contrato, por </w:t>
      </w:r>
      <w:r w:rsidR="00C30199">
        <w:rPr>
          <w:szCs w:val="26"/>
        </w:rPr>
        <w:t>un total</w:t>
      </w:r>
      <w:r w:rsidR="00C30199" w:rsidRPr="00F933B3">
        <w:rPr>
          <w:szCs w:val="26"/>
        </w:rPr>
        <w:t xml:space="preserve"> </w:t>
      </w:r>
      <w:r w:rsidR="00C30199" w:rsidRPr="00596D8B">
        <w:rPr>
          <w:szCs w:val="26"/>
        </w:rPr>
        <w:t xml:space="preserve">de </w:t>
      </w:r>
      <w:r w:rsidR="00942EB5" w:rsidRPr="00596D8B">
        <w:rPr>
          <w:szCs w:val="26"/>
        </w:rPr>
        <w:t>3,</w:t>
      </w:r>
      <w:r w:rsidR="00C30199" w:rsidRPr="00596D8B">
        <w:rPr>
          <w:szCs w:val="26"/>
        </w:rPr>
        <w:t>63</w:t>
      </w:r>
      <w:r w:rsidR="00942EB5" w:rsidRPr="00596D8B">
        <w:rPr>
          <w:szCs w:val="26"/>
        </w:rPr>
        <w:t xml:space="preserve"> millones</w:t>
      </w:r>
      <w:r w:rsidR="00C30199" w:rsidRPr="00596D8B">
        <w:rPr>
          <w:szCs w:val="26"/>
        </w:rPr>
        <w:t xml:space="preserve">. </w:t>
      </w:r>
      <w:r w:rsidR="00C30199">
        <w:rPr>
          <w:szCs w:val="26"/>
        </w:rPr>
        <w:t xml:space="preserve">La imputación del ahorro provocó una modificación del contrato y </w:t>
      </w:r>
      <w:r w:rsidR="00C30199" w:rsidRPr="00F933B3">
        <w:rPr>
          <w:szCs w:val="26"/>
        </w:rPr>
        <w:t>se ha compensado en los pagos del canon</w:t>
      </w:r>
      <w:r w:rsidR="00C30199">
        <w:rPr>
          <w:szCs w:val="26"/>
        </w:rPr>
        <w:t xml:space="preserve"> o con la realización de reparaciones puntuales</w:t>
      </w:r>
      <w:r w:rsidR="00C30199" w:rsidRPr="00F933B3">
        <w:rPr>
          <w:szCs w:val="26"/>
        </w:rPr>
        <w:t>.</w:t>
      </w:r>
    </w:p>
    <w:p w14:paraId="5792147D" w14:textId="77777777" w:rsidR="00B9204A" w:rsidRPr="00B9204A" w:rsidRDefault="00B9204A" w:rsidP="00B9204A">
      <w:pPr>
        <w:pStyle w:val="texto"/>
        <w:numPr>
          <w:ilvl w:val="0"/>
          <w:numId w:val="33"/>
        </w:numPr>
        <w:tabs>
          <w:tab w:val="clear" w:pos="2835"/>
          <w:tab w:val="clear" w:pos="3969"/>
          <w:tab w:val="clear" w:pos="5103"/>
          <w:tab w:val="clear" w:pos="6237"/>
          <w:tab w:val="clear" w:pos="7371"/>
          <w:tab w:val="left" w:pos="480"/>
          <w:tab w:val="num" w:pos="720"/>
          <w:tab w:val="num" w:pos="1320"/>
          <w:tab w:val="num" w:pos="2062"/>
        </w:tabs>
        <w:spacing w:before="80" w:after="80"/>
        <w:ind w:left="0" w:firstLine="284"/>
        <w:rPr>
          <w:i/>
          <w:szCs w:val="26"/>
        </w:rPr>
      </w:pPr>
      <w:r w:rsidRPr="004C77BE">
        <w:rPr>
          <w:i/>
          <w:szCs w:val="26"/>
        </w:rPr>
        <w:t xml:space="preserve">Autovía del </w:t>
      </w:r>
      <w:r>
        <w:rPr>
          <w:i/>
          <w:szCs w:val="26"/>
        </w:rPr>
        <w:t>Pirineo</w:t>
      </w:r>
    </w:p>
    <w:p w14:paraId="1A28D3B5" w14:textId="77777777" w:rsidR="00C30199" w:rsidRDefault="00C30199" w:rsidP="00A2489F">
      <w:pPr>
        <w:pStyle w:val="texto"/>
        <w:tabs>
          <w:tab w:val="clear" w:pos="2835"/>
          <w:tab w:val="clear" w:pos="3969"/>
          <w:tab w:val="clear" w:pos="5103"/>
          <w:tab w:val="clear" w:pos="6237"/>
          <w:tab w:val="clear" w:pos="7371"/>
          <w:tab w:val="left" w:pos="480"/>
          <w:tab w:val="num" w:pos="600"/>
          <w:tab w:val="num" w:pos="720"/>
          <w:tab w:val="num" w:pos="1320"/>
          <w:tab w:val="num" w:pos="2062"/>
        </w:tabs>
        <w:spacing w:after="120"/>
        <w:ind w:firstLine="289"/>
        <w:rPr>
          <w:szCs w:val="26"/>
        </w:rPr>
      </w:pPr>
      <w:r>
        <w:rPr>
          <w:szCs w:val="26"/>
        </w:rPr>
        <w:t xml:space="preserve">Un análisis más detallado del devengo e imputación al presupuesto anual, así como </w:t>
      </w:r>
      <w:r w:rsidR="00C74184" w:rsidRPr="00B525BB">
        <w:rPr>
          <w:szCs w:val="26"/>
        </w:rPr>
        <w:t>de</w:t>
      </w:r>
      <w:r w:rsidR="00C74184">
        <w:rPr>
          <w:szCs w:val="26"/>
        </w:rPr>
        <w:t xml:space="preserve"> </w:t>
      </w:r>
      <w:r>
        <w:rPr>
          <w:szCs w:val="26"/>
        </w:rPr>
        <w:t>la evolución del tráfico, desde el inicio de la concesión para la</w:t>
      </w:r>
      <w:r w:rsidR="009E2D0A">
        <w:rPr>
          <w:szCs w:val="26"/>
        </w:rPr>
        <w:t xml:space="preserve"> A</w:t>
      </w:r>
      <w:r>
        <w:rPr>
          <w:szCs w:val="26"/>
        </w:rPr>
        <w:t xml:space="preserve">utovía del Pirineo </w:t>
      </w:r>
      <w:r w:rsidR="00C7359D" w:rsidRPr="002F265D">
        <w:rPr>
          <w:szCs w:val="26"/>
        </w:rPr>
        <w:t>es</w:t>
      </w:r>
      <w:r w:rsidR="00C7359D">
        <w:rPr>
          <w:szCs w:val="26"/>
        </w:rPr>
        <w:t xml:space="preserve"> </w:t>
      </w:r>
      <w:r>
        <w:rPr>
          <w:szCs w:val="26"/>
        </w:rPr>
        <w:t xml:space="preserve">el siguiente: </w:t>
      </w:r>
    </w:p>
    <w:p w14:paraId="2B4E877E" w14:textId="77777777" w:rsidR="002B161B" w:rsidRPr="002B161B" w:rsidRDefault="0021569A" w:rsidP="00A2489F">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ind w:firstLine="289"/>
        <w:jc w:val="right"/>
        <w:rPr>
          <w:rFonts w:ascii="Arial Narrow" w:hAnsi="Arial Narrow"/>
          <w:sz w:val="16"/>
          <w:szCs w:val="16"/>
        </w:rPr>
      </w:pPr>
      <w:r>
        <w:rPr>
          <w:rFonts w:ascii="Arial Narrow" w:hAnsi="Arial Narrow"/>
          <w:sz w:val="16"/>
          <w:szCs w:val="16"/>
        </w:rPr>
        <w:t>(</w:t>
      </w:r>
      <w:r w:rsidR="002B161B" w:rsidRPr="002B161B">
        <w:rPr>
          <w:rFonts w:ascii="Arial Narrow" w:hAnsi="Arial Narrow"/>
          <w:sz w:val="16"/>
          <w:szCs w:val="16"/>
        </w:rPr>
        <w:t>Miles</w:t>
      </w:r>
      <w:r w:rsidR="00F554E0">
        <w:rPr>
          <w:rFonts w:ascii="Arial Narrow" w:hAnsi="Arial Narrow"/>
          <w:sz w:val="16"/>
          <w:szCs w:val="16"/>
        </w:rPr>
        <w:t>, salvo número de vehículos</w:t>
      </w:r>
      <w:r>
        <w:rPr>
          <w:rFonts w:ascii="Arial Narrow" w:hAnsi="Arial Narrow"/>
          <w:sz w:val="16"/>
          <w:szCs w:val="16"/>
        </w:rPr>
        <w:t>)</w:t>
      </w:r>
    </w:p>
    <w:tbl>
      <w:tblPr>
        <w:tblW w:w="9072" w:type="dxa"/>
        <w:tblCellMar>
          <w:left w:w="70" w:type="dxa"/>
          <w:right w:w="70" w:type="dxa"/>
        </w:tblCellMar>
        <w:tblLook w:val="04A0" w:firstRow="1" w:lastRow="0" w:firstColumn="1" w:lastColumn="0" w:noHBand="0" w:noVBand="1"/>
      </w:tblPr>
      <w:tblGrid>
        <w:gridCol w:w="851"/>
        <w:gridCol w:w="1053"/>
        <w:gridCol w:w="1256"/>
        <w:gridCol w:w="1236"/>
        <w:gridCol w:w="1274"/>
        <w:gridCol w:w="877"/>
        <w:gridCol w:w="1235"/>
        <w:gridCol w:w="1290"/>
      </w:tblGrid>
      <w:tr w:rsidR="00444AC9" w:rsidRPr="00444AC9" w14:paraId="22D137BC" w14:textId="77777777" w:rsidTr="0021569A">
        <w:trPr>
          <w:trHeight w:val="227"/>
        </w:trPr>
        <w:tc>
          <w:tcPr>
            <w:tcW w:w="851" w:type="dxa"/>
            <w:tcBorders>
              <w:top w:val="single" w:sz="4" w:space="0" w:color="auto"/>
              <w:left w:val="nil"/>
              <w:bottom w:val="single" w:sz="4" w:space="0" w:color="auto"/>
              <w:right w:val="nil"/>
            </w:tcBorders>
            <w:shd w:val="clear" w:color="auto" w:fill="B8CCE4" w:themeFill="accent1" w:themeFillTint="66"/>
            <w:vAlign w:val="center"/>
            <w:hideMark/>
          </w:tcPr>
          <w:p w14:paraId="7EB0C436" w14:textId="77777777" w:rsidR="00C30199" w:rsidRPr="00444AC9" w:rsidRDefault="00C30199" w:rsidP="00B14C9E">
            <w:pPr>
              <w:pStyle w:val="cuadroCabe"/>
              <w:spacing w:line="240" w:lineRule="auto"/>
              <w:jc w:val="left"/>
              <w:rPr>
                <w:sz w:val="16"/>
                <w:szCs w:val="16"/>
                <w:lang w:val="es-ES" w:eastAsia="es-ES"/>
              </w:rPr>
            </w:pPr>
            <w:r w:rsidRPr="00444AC9">
              <w:rPr>
                <w:sz w:val="16"/>
                <w:szCs w:val="16"/>
                <w:lang w:val="es-ES" w:eastAsia="es-ES"/>
              </w:rPr>
              <w:t>Año</w:t>
            </w:r>
          </w:p>
        </w:tc>
        <w:tc>
          <w:tcPr>
            <w:tcW w:w="1053" w:type="dxa"/>
            <w:tcBorders>
              <w:top w:val="single" w:sz="4" w:space="0" w:color="auto"/>
              <w:left w:val="nil"/>
              <w:bottom w:val="single" w:sz="4" w:space="0" w:color="auto"/>
              <w:right w:val="nil"/>
            </w:tcBorders>
            <w:shd w:val="clear" w:color="auto" w:fill="B8CCE4" w:themeFill="accent1" w:themeFillTint="66"/>
            <w:vAlign w:val="center"/>
            <w:hideMark/>
          </w:tcPr>
          <w:p w14:paraId="5E644AD8" w14:textId="77777777" w:rsidR="001B5CCE" w:rsidRPr="001B5CCE" w:rsidRDefault="001B5CCE" w:rsidP="00B14C9E">
            <w:pPr>
              <w:pStyle w:val="cuadroCabe"/>
              <w:spacing w:line="240" w:lineRule="auto"/>
              <w:jc w:val="right"/>
              <w:rPr>
                <w:sz w:val="16"/>
                <w:szCs w:val="16"/>
                <w:lang w:val="es-ES" w:eastAsia="es-ES"/>
              </w:rPr>
            </w:pPr>
            <w:r w:rsidRPr="001B5CCE">
              <w:rPr>
                <w:sz w:val="16"/>
                <w:szCs w:val="16"/>
                <w:lang w:val="es-ES" w:eastAsia="es-ES"/>
              </w:rPr>
              <w:t>Vehículos km./año</w:t>
            </w:r>
          </w:p>
          <w:p w14:paraId="48982ACB" w14:textId="77777777" w:rsidR="00C30199" w:rsidRPr="00444AC9" w:rsidRDefault="001B5CCE" w:rsidP="00B14C9E">
            <w:pPr>
              <w:pStyle w:val="cuadroCabe"/>
              <w:spacing w:line="240" w:lineRule="auto"/>
              <w:jc w:val="right"/>
              <w:rPr>
                <w:sz w:val="16"/>
                <w:szCs w:val="16"/>
                <w:lang w:val="es-ES" w:eastAsia="es-ES"/>
              </w:rPr>
            </w:pPr>
            <w:r w:rsidRPr="001B5CCE">
              <w:rPr>
                <w:sz w:val="16"/>
                <w:szCs w:val="16"/>
                <w:lang w:val="es-ES" w:eastAsia="es-ES"/>
              </w:rPr>
              <w:t>ligeros</w:t>
            </w:r>
          </w:p>
        </w:tc>
        <w:tc>
          <w:tcPr>
            <w:tcW w:w="1256" w:type="dxa"/>
            <w:tcBorders>
              <w:top w:val="single" w:sz="4" w:space="0" w:color="auto"/>
              <w:left w:val="nil"/>
              <w:bottom w:val="single" w:sz="4" w:space="0" w:color="auto"/>
              <w:right w:val="nil"/>
            </w:tcBorders>
            <w:shd w:val="clear" w:color="auto" w:fill="B8CCE4" w:themeFill="accent1" w:themeFillTint="66"/>
            <w:vAlign w:val="center"/>
            <w:hideMark/>
          </w:tcPr>
          <w:p w14:paraId="10AE7DEC" w14:textId="77777777" w:rsidR="001B5CCE" w:rsidRPr="001B5CCE" w:rsidRDefault="001B5CCE" w:rsidP="00B14C9E">
            <w:pPr>
              <w:pStyle w:val="cuadroCabe"/>
              <w:spacing w:line="240" w:lineRule="auto"/>
              <w:jc w:val="right"/>
              <w:rPr>
                <w:sz w:val="16"/>
                <w:szCs w:val="16"/>
                <w:lang w:val="es-ES" w:eastAsia="es-ES"/>
              </w:rPr>
            </w:pPr>
            <w:r w:rsidRPr="001B5CCE">
              <w:rPr>
                <w:sz w:val="16"/>
                <w:szCs w:val="16"/>
                <w:lang w:val="es-ES" w:eastAsia="es-ES"/>
              </w:rPr>
              <w:t>Vehículos km./año</w:t>
            </w:r>
          </w:p>
          <w:p w14:paraId="112187DA" w14:textId="77777777" w:rsidR="00C30199" w:rsidRPr="00444AC9" w:rsidRDefault="001B5CCE" w:rsidP="00B14C9E">
            <w:pPr>
              <w:pStyle w:val="cuadroCabe"/>
              <w:spacing w:line="240" w:lineRule="auto"/>
              <w:jc w:val="right"/>
              <w:rPr>
                <w:sz w:val="16"/>
                <w:szCs w:val="16"/>
                <w:lang w:val="es-ES" w:eastAsia="es-ES"/>
              </w:rPr>
            </w:pPr>
            <w:r>
              <w:rPr>
                <w:sz w:val="16"/>
                <w:szCs w:val="16"/>
                <w:lang w:val="es-ES" w:eastAsia="es-ES"/>
              </w:rPr>
              <w:t>pesados</w:t>
            </w:r>
          </w:p>
        </w:tc>
        <w:tc>
          <w:tcPr>
            <w:tcW w:w="1236" w:type="dxa"/>
            <w:tcBorders>
              <w:top w:val="single" w:sz="4" w:space="0" w:color="auto"/>
              <w:left w:val="nil"/>
              <w:bottom w:val="single" w:sz="4" w:space="0" w:color="auto"/>
              <w:right w:val="nil"/>
            </w:tcBorders>
            <w:shd w:val="clear" w:color="auto" w:fill="B8CCE4" w:themeFill="accent1" w:themeFillTint="66"/>
            <w:vAlign w:val="center"/>
            <w:hideMark/>
          </w:tcPr>
          <w:p w14:paraId="4E6563C0" w14:textId="77777777" w:rsidR="00444AC9" w:rsidRDefault="00C30199" w:rsidP="00B14C9E">
            <w:pPr>
              <w:pStyle w:val="cuadroCabe"/>
              <w:spacing w:line="240" w:lineRule="auto"/>
              <w:jc w:val="right"/>
              <w:rPr>
                <w:sz w:val="16"/>
                <w:szCs w:val="16"/>
                <w:lang w:val="es-ES" w:eastAsia="es-ES"/>
              </w:rPr>
            </w:pPr>
            <w:r w:rsidRPr="00444AC9">
              <w:rPr>
                <w:sz w:val="16"/>
                <w:szCs w:val="16"/>
                <w:lang w:val="es-ES" w:eastAsia="es-ES"/>
              </w:rPr>
              <w:t xml:space="preserve">Total </w:t>
            </w:r>
          </w:p>
          <w:p w14:paraId="22B0A760" w14:textId="77777777" w:rsidR="00C30199" w:rsidRPr="00444AC9" w:rsidRDefault="00F554E0" w:rsidP="00686011">
            <w:pPr>
              <w:pStyle w:val="cuadroCabe"/>
              <w:spacing w:line="240" w:lineRule="auto"/>
              <w:jc w:val="right"/>
              <w:rPr>
                <w:sz w:val="16"/>
                <w:szCs w:val="16"/>
                <w:lang w:val="es-ES" w:eastAsia="es-ES"/>
              </w:rPr>
            </w:pPr>
            <w:r w:rsidRPr="00444AC9">
              <w:rPr>
                <w:sz w:val="16"/>
                <w:szCs w:val="16"/>
                <w:lang w:val="es-ES" w:eastAsia="es-ES"/>
              </w:rPr>
              <w:t>V</w:t>
            </w:r>
            <w:r w:rsidR="00C30199" w:rsidRPr="00444AC9">
              <w:rPr>
                <w:sz w:val="16"/>
                <w:szCs w:val="16"/>
                <w:lang w:val="es-ES" w:eastAsia="es-ES"/>
              </w:rPr>
              <w:t>ehículos</w:t>
            </w:r>
            <w:r w:rsidR="00686011">
              <w:rPr>
                <w:sz w:val="16"/>
                <w:szCs w:val="16"/>
                <w:lang w:val="es-ES" w:eastAsia="es-ES"/>
              </w:rPr>
              <w:t xml:space="preserve"> </w:t>
            </w:r>
            <w:r w:rsidR="00C30199" w:rsidRPr="00444AC9">
              <w:rPr>
                <w:sz w:val="16"/>
                <w:szCs w:val="16"/>
                <w:lang w:val="es-ES" w:eastAsia="es-ES"/>
              </w:rPr>
              <w:t>k</w:t>
            </w:r>
            <w:r w:rsidR="00444AC9">
              <w:rPr>
                <w:sz w:val="16"/>
                <w:szCs w:val="16"/>
                <w:lang w:val="es-ES" w:eastAsia="es-ES"/>
              </w:rPr>
              <w:t>m.</w:t>
            </w:r>
            <w:r>
              <w:rPr>
                <w:sz w:val="16"/>
                <w:szCs w:val="16"/>
                <w:lang w:val="es-ES" w:eastAsia="es-ES"/>
              </w:rPr>
              <w:t>/</w:t>
            </w:r>
            <w:proofErr w:type="gramStart"/>
            <w:r>
              <w:rPr>
                <w:sz w:val="16"/>
                <w:szCs w:val="16"/>
                <w:lang w:val="es-ES" w:eastAsia="es-ES"/>
              </w:rPr>
              <w:t>año</w:t>
            </w:r>
            <w:r w:rsidR="00686011" w:rsidRPr="00686011">
              <w:rPr>
                <w:sz w:val="16"/>
                <w:szCs w:val="16"/>
                <w:vertAlign w:val="superscript"/>
                <w:lang w:val="es-ES" w:eastAsia="es-ES"/>
              </w:rPr>
              <w:t>(</w:t>
            </w:r>
            <w:proofErr w:type="gramEnd"/>
            <w:r w:rsidR="00686011" w:rsidRPr="00686011">
              <w:rPr>
                <w:sz w:val="16"/>
                <w:szCs w:val="16"/>
                <w:vertAlign w:val="superscript"/>
                <w:lang w:val="es-ES" w:eastAsia="es-ES"/>
              </w:rPr>
              <w:t>*)</w:t>
            </w:r>
          </w:p>
        </w:tc>
        <w:tc>
          <w:tcPr>
            <w:tcW w:w="1274" w:type="dxa"/>
            <w:tcBorders>
              <w:top w:val="single" w:sz="4" w:space="0" w:color="auto"/>
              <w:left w:val="nil"/>
              <w:bottom w:val="single" w:sz="4" w:space="0" w:color="auto"/>
              <w:right w:val="nil"/>
            </w:tcBorders>
            <w:shd w:val="clear" w:color="auto" w:fill="B8CCE4" w:themeFill="accent1" w:themeFillTint="66"/>
            <w:vAlign w:val="center"/>
            <w:hideMark/>
          </w:tcPr>
          <w:p w14:paraId="6E11D38E" w14:textId="77777777" w:rsidR="00C30199" w:rsidRPr="00444AC9" w:rsidRDefault="00C30199" w:rsidP="00B14C9E">
            <w:pPr>
              <w:pStyle w:val="cuadroCabe"/>
              <w:spacing w:line="240" w:lineRule="auto"/>
              <w:jc w:val="right"/>
              <w:rPr>
                <w:sz w:val="16"/>
                <w:szCs w:val="16"/>
                <w:lang w:val="es-ES" w:eastAsia="es-ES"/>
              </w:rPr>
            </w:pPr>
            <w:r w:rsidRPr="00444AC9">
              <w:rPr>
                <w:sz w:val="16"/>
                <w:szCs w:val="16"/>
                <w:lang w:val="es-ES" w:eastAsia="es-ES"/>
              </w:rPr>
              <w:t xml:space="preserve">Devengo canon </w:t>
            </w:r>
            <w:r w:rsidR="00444AC9">
              <w:rPr>
                <w:sz w:val="16"/>
                <w:szCs w:val="16"/>
                <w:lang w:val="es-ES" w:eastAsia="es-ES"/>
              </w:rPr>
              <w:t>de</w:t>
            </w:r>
            <w:r w:rsidRPr="00444AC9">
              <w:rPr>
                <w:sz w:val="16"/>
                <w:szCs w:val="16"/>
                <w:lang w:val="es-ES" w:eastAsia="es-ES"/>
              </w:rPr>
              <w:t>manda</w:t>
            </w:r>
          </w:p>
        </w:tc>
        <w:tc>
          <w:tcPr>
            <w:tcW w:w="877" w:type="dxa"/>
            <w:tcBorders>
              <w:top w:val="single" w:sz="4" w:space="0" w:color="auto"/>
              <w:left w:val="nil"/>
              <w:bottom w:val="single" w:sz="4" w:space="0" w:color="auto"/>
              <w:right w:val="nil"/>
            </w:tcBorders>
            <w:shd w:val="clear" w:color="auto" w:fill="B8CCE4" w:themeFill="accent1" w:themeFillTint="66"/>
            <w:vAlign w:val="center"/>
            <w:hideMark/>
          </w:tcPr>
          <w:p w14:paraId="3CEDEBF1" w14:textId="77777777" w:rsidR="00C30199" w:rsidRPr="00444AC9" w:rsidRDefault="00C30199" w:rsidP="00B14C9E">
            <w:pPr>
              <w:pStyle w:val="cuadroCabe"/>
              <w:spacing w:line="240" w:lineRule="auto"/>
              <w:jc w:val="right"/>
              <w:rPr>
                <w:sz w:val="16"/>
                <w:szCs w:val="16"/>
                <w:lang w:val="es-ES" w:eastAsia="es-ES"/>
              </w:rPr>
            </w:pPr>
            <w:r w:rsidRPr="00444AC9">
              <w:rPr>
                <w:sz w:val="16"/>
                <w:szCs w:val="16"/>
                <w:lang w:val="es-ES" w:eastAsia="es-ES"/>
              </w:rPr>
              <w:t>Devengo CEICS</w:t>
            </w:r>
          </w:p>
        </w:tc>
        <w:tc>
          <w:tcPr>
            <w:tcW w:w="1235" w:type="dxa"/>
            <w:tcBorders>
              <w:top w:val="single" w:sz="4" w:space="0" w:color="auto"/>
              <w:left w:val="nil"/>
              <w:bottom w:val="single" w:sz="4" w:space="0" w:color="auto"/>
              <w:right w:val="nil"/>
            </w:tcBorders>
            <w:shd w:val="clear" w:color="auto" w:fill="B8CCE4" w:themeFill="accent1" w:themeFillTint="66"/>
            <w:vAlign w:val="center"/>
            <w:hideMark/>
          </w:tcPr>
          <w:p w14:paraId="0E81520C" w14:textId="77777777" w:rsidR="00C30199" w:rsidRPr="00444AC9" w:rsidRDefault="00C30199" w:rsidP="00B14C9E">
            <w:pPr>
              <w:pStyle w:val="cuadroCabe"/>
              <w:spacing w:line="240" w:lineRule="auto"/>
              <w:jc w:val="right"/>
              <w:rPr>
                <w:sz w:val="16"/>
                <w:szCs w:val="16"/>
                <w:lang w:val="es-ES" w:eastAsia="es-ES"/>
              </w:rPr>
            </w:pPr>
            <w:proofErr w:type="gramStart"/>
            <w:r w:rsidRPr="00444AC9">
              <w:rPr>
                <w:sz w:val="16"/>
                <w:szCs w:val="16"/>
                <w:lang w:val="es-ES" w:eastAsia="es-ES"/>
              </w:rPr>
              <w:t>Total</w:t>
            </w:r>
            <w:proofErr w:type="gramEnd"/>
            <w:r w:rsidRPr="00444AC9">
              <w:rPr>
                <w:sz w:val="16"/>
                <w:szCs w:val="16"/>
                <w:lang w:val="es-ES" w:eastAsia="es-ES"/>
              </w:rPr>
              <w:t xml:space="preserve"> devengo IVA incluido</w:t>
            </w:r>
          </w:p>
        </w:tc>
        <w:tc>
          <w:tcPr>
            <w:tcW w:w="1290" w:type="dxa"/>
            <w:tcBorders>
              <w:top w:val="single" w:sz="4" w:space="0" w:color="auto"/>
              <w:left w:val="nil"/>
              <w:bottom w:val="single" w:sz="4" w:space="0" w:color="auto"/>
              <w:right w:val="nil"/>
            </w:tcBorders>
            <w:shd w:val="clear" w:color="auto" w:fill="B8CCE4" w:themeFill="accent1" w:themeFillTint="66"/>
            <w:vAlign w:val="center"/>
            <w:hideMark/>
          </w:tcPr>
          <w:p w14:paraId="12355381" w14:textId="77777777" w:rsidR="00C30199" w:rsidRPr="00444AC9" w:rsidRDefault="00444AC9" w:rsidP="00B14C9E">
            <w:pPr>
              <w:pStyle w:val="cuadroCabe"/>
              <w:spacing w:line="240" w:lineRule="auto"/>
              <w:jc w:val="right"/>
              <w:rPr>
                <w:sz w:val="16"/>
                <w:szCs w:val="16"/>
                <w:lang w:val="es-ES" w:eastAsia="es-ES"/>
              </w:rPr>
            </w:pPr>
            <w:proofErr w:type="gramStart"/>
            <w:r>
              <w:rPr>
                <w:sz w:val="16"/>
                <w:szCs w:val="16"/>
                <w:lang w:val="es-ES" w:eastAsia="es-ES"/>
              </w:rPr>
              <w:t>Total</w:t>
            </w:r>
            <w:proofErr w:type="gramEnd"/>
            <w:r>
              <w:rPr>
                <w:sz w:val="16"/>
                <w:szCs w:val="16"/>
                <w:lang w:val="es-ES" w:eastAsia="es-ES"/>
              </w:rPr>
              <w:t xml:space="preserve"> gasto </w:t>
            </w:r>
            <w:r w:rsidR="00C30199" w:rsidRPr="00444AC9">
              <w:rPr>
                <w:sz w:val="16"/>
                <w:szCs w:val="16"/>
                <w:lang w:val="es-ES" w:eastAsia="es-ES"/>
              </w:rPr>
              <w:t>presupuesto</w:t>
            </w:r>
          </w:p>
        </w:tc>
      </w:tr>
      <w:tr w:rsidR="00C30199" w:rsidRPr="002348E8" w14:paraId="022566C6" w14:textId="77777777" w:rsidTr="0021569A">
        <w:trPr>
          <w:trHeight w:val="227"/>
        </w:trPr>
        <w:tc>
          <w:tcPr>
            <w:tcW w:w="851" w:type="dxa"/>
            <w:tcBorders>
              <w:top w:val="nil"/>
              <w:left w:val="nil"/>
              <w:bottom w:val="single" w:sz="2" w:space="0" w:color="auto"/>
              <w:right w:val="nil"/>
            </w:tcBorders>
            <w:shd w:val="clear" w:color="auto" w:fill="auto"/>
            <w:noWrap/>
            <w:vAlign w:val="center"/>
            <w:hideMark/>
          </w:tcPr>
          <w:p w14:paraId="4F53DFCB" w14:textId="77777777" w:rsidR="00C30199" w:rsidRPr="002348E8" w:rsidRDefault="00C30199" w:rsidP="00B14C9E">
            <w:pPr>
              <w:spacing w:after="0"/>
              <w:ind w:firstLine="0"/>
              <w:jc w:val="left"/>
              <w:rPr>
                <w:rFonts w:ascii="Arial Narrow" w:hAnsi="Arial Narrow" w:cs="Calibri"/>
                <w:color w:val="000000"/>
                <w:lang w:val="es-ES" w:eastAsia="es-ES"/>
              </w:rPr>
            </w:pPr>
            <w:r w:rsidRPr="002348E8">
              <w:rPr>
                <w:rFonts w:ascii="Arial Narrow" w:hAnsi="Arial Narrow" w:cs="Calibri"/>
                <w:color w:val="000000"/>
                <w:lang w:val="es-ES" w:eastAsia="es-ES"/>
              </w:rPr>
              <w:t>2012</w:t>
            </w:r>
          </w:p>
        </w:tc>
        <w:tc>
          <w:tcPr>
            <w:tcW w:w="1053" w:type="dxa"/>
            <w:tcBorders>
              <w:top w:val="nil"/>
              <w:left w:val="nil"/>
              <w:bottom w:val="single" w:sz="2" w:space="0" w:color="auto"/>
              <w:right w:val="nil"/>
            </w:tcBorders>
            <w:shd w:val="clear" w:color="auto" w:fill="auto"/>
            <w:noWrap/>
            <w:vAlign w:val="center"/>
            <w:hideMark/>
          </w:tcPr>
          <w:p w14:paraId="5FBD46EF"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104.200.551</w:t>
            </w:r>
          </w:p>
        </w:tc>
        <w:tc>
          <w:tcPr>
            <w:tcW w:w="1256" w:type="dxa"/>
            <w:tcBorders>
              <w:top w:val="nil"/>
              <w:left w:val="nil"/>
              <w:bottom w:val="single" w:sz="2" w:space="0" w:color="auto"/>
              <w:right w:val="nil"/>
            </w:tcBorders>
            <w:shd w:val="clear" w:color="auto" w:fill="auto"/>
            <w:noWrap/>
            <w:vAlign w:val="center"/>
            <w:hideMark/>
          </w:tcPr>
          <w:p w14:paraId="7B573702"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5.488.913</w:t>
            </w:r>
          </w:p>
        </w:tc>
        <w:tc>
          <w:tcPr>
            <w:tcW w:w="1236" w:type="dxa"/>
            <w:tcBorders>
              <w:top w:val="nil"/>
              <w:left w:val="nil"/>
              <w:bottom w:val="single" w:sz="2" w:space="0" w:color="auto"/>
              <w:right w:val="nil"/>
            </w:tcBorders>
            <w:shd w:val="clear" w:color="auto" w:fill="auto"/>
            <w:noWrap/>
            <w:vAlign w:val="center"/>
            <w:hideMark/>
          </w:tcPr>
          <w:p w14:paraId="5BE62F0D"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109.689.464</w:t>
            </w:r>
          </w:p>
        </w:tc>
        <w:tc>
          <w:tcPr>
            <w:tcW w:w="1274" w:type="dxa"/>
            <w:tcBorders>
              <w:top w:val="nil"/>
              <w:left w:val="nil"/>
              <w:bottom w:val="single" w:sz="2" w:space="0" w:color="auto"/>
              <w:right w:val="nil"/>
            </w:tcBorders>
            <w:shd w:val="clear" w:color="auto" w:fill="auto"/>
            <w:noWrap/>
            <w:vAlign w:val="center"/>
            <w:hideMark/>
          </w:tcPr>
          <w:p w14:paraId="28A7F225"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7.183</w:t>
            </w:r>
          </w:p>
        </w:tc>
        <w:tc>
          <w:tcPr>
            <w:tcW w:w="877" w:type="dxa"/>
            <w:tcBorders>
              <w:top w:val="nil"/>
              <w:left w:val="nil"/>
              <w:bottom w:val="single" w:sz="2" w:space="0" w:color="auto"/>
              <w:right w:val="nil"/>
            </w:tcBorders>
            <w:shd w:val="clear" w:color="auto" w:fill="auto"/>
            <w:noWrap/>
            <w:vAlign w:val="center"/>
            <w:hideMark/>
          </w:tcPr>
          <w:p w14:paraId="4E0148E9"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3.673</w:t>
            </w:r>
          </w:p>
        </w:tc>
        <w:tc>
          <w:tcPr>
            <w:tcW w:w="1235" w:type="dxa"/>
            <w:tcBorders>
              <w:top w:val="nil"/>
              <w:left w:val="nil"/>
              <w:bottom w:val="single" w:sz="2" w:space="0" w:color="auto"/>
              <w:right w:val="nil"/>
            </w:tcBorders>
            <w:shd w:val="clear" w:color="auto" w:fill="auto"/>
            <w:noWrap/>
            <w:vAlign w:val="center"/>
            <w:hideMark/>
          </w:tcPr>
          <w:p w14:paraId="2256F9D3" w14:textId="77777777" w:rsidR="00C30199" w:rsidRPr="002348E8" w:rsidRDefault="00C30199" w:rsidP="00B14C9E">
            <w:pPr>
              <w:spacing w:after="0"/>
              <w:ind w:firstLine="0"/>
              <w:jc w:val="right"/>
              <w:rPr>
                <w:rFonts w:ascii="Arial Narrow" w:hAnsi="Arial Narrow" w:cs="Calibri"/>
                <w:lang w:val="es-ES" w:eastAsia="es-ES"/>
              </w:rPr>
            </w:pPr>
            <w:r w:rsidRPr="002348E8">
              <w:rPr>
                <w:rFonts w:ascii="Arial Narrow" w:hAnsi="Arial Narrow" w:cs="Calibri"/>
                <w:lang w:val="es-ES" w:eastAsia="es-ES"/>
              </w:rPr>
              <w:t>12.879</w:t>
            </w:r>
          </w:p>
        </w:tc>
        <w:tc>
          <w:tcPr>
            <w:tcW w:w="1290" w:type="dxa"/>
            <w:tcBorders>
              <w:top w:val="nil"/>
              <w:left w:val="nil"/>
              <w:bottom w:val="single" w:sz="2" w:space="0" w:color="auto"/>
              <w:right w:val="nil"/>
            </w:tcBorders>
            <w:shd w:val="clear" w:color="auto" w:fill="auto"/>
            <w:noWrap/>
            <w:vAlign w:val="center"/>
            <w:hideMark/>
          </w:tcPr>
          <w:p w14:paraId="7DBACBB2"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13.140</w:t>
            </w:r>
          </w:p>
        </w:tc>
      </w:tr>
      <w:tr w:rsidR="00C30199" w:rsidRPr="002348E8" w14:paraId="01FE4F37"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6FE47E30" w14:textId="77777777" w:rsidR="00C30199" w:rsidRPr="002348E8" w:rsidRDefault="00C30199" w:rsidP="00B14C9E">
            <w:pPr>
              <w:spacing w:after="0"/>
              <w:ind w:firstLine="0"/>
              <w:jc w:val="left"/>
              <w:rPr>
                <w:rFonts w:ascii="Arial Narrow" w:hAnsi="Arial Narrow" w:cs="Calibri"/>
                <w:color w:val="000000"/>
                <w:lang w:val="es-ES" w:eastAsia="es-ES"/>
              </w:rPr>
            </w:pPr>
            <w:r w:rsidRPr="002348E8">
              <w:rPr>
                <w:rFonts w:ascii="Arial Narrow" w:hAnsi="Arial Narrow" w:cs="Calibri"/>
                <w:color w:val="000000"/>
                <w:lang w:val="es-ES" w:eastAsia="es-ES"/>
              </w:rPr>
              <w:t>2013</w:t>
            </w:r>
          </w:p>
        </w:tc>
        <w:tc>
          <w:tcPr>
            <w:tcW w:w="1053" w:type="dxa"/>
            <w:tcBorders>
              <w:top w:val="single" w:sz="2" w:space="0" w:color="auto"/>
              <w:left w:val="nil"/>
              <w:bottom w:val="single" w:sz="2" w:space="0" w:color="auto"/>
              <w:right w:val="nil"/>
            </w:tcBorders>
            <w:shd w:val="clear" w:color="auto" w:fill="auto"/>
            <w:noWrap/>
            <w:vAlign w:val="center"/>
            <w:hideMark/>
          </w:tcPr>
          <w:p w14:paraId="2BC9E37D"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113.229.715</w:t>
            </w:r>
          </w:p>
        </w:tc>
        <w:tc>
          <w:tcPr>
            <w:tcW w:w="1256" w:type="dxa"/>
            <w:tcBorders>
              <w:top w:val="single" w:sz="2" w:space="0" w:color="auto"/>
              <w:left w:val="nil"/>
              <w:bottom w:val="single" w:sz="2" w:space="0" w:color="auto"/>
              <w:right w:val="nil"/>
            </w:tcBorders>
            <w:shd w:val="clear" w:color="auto" w:fill="auto"/>
            <w:noWrap/>
            <w:vAlign w:val="center"/>
            <w:hideMark/>
          </w:tcPr>
          <w:p w14:paraId="7B28FA1D"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6.150.979</w:t>
            </w:r>
          </w:p>
        </w:tc>
        <w:tc>
          <w:tcPr>
            <w:tcW w:w="1236" w:type="dxa"/>
            <w:tcBorders>
              <w:top w:val="single" w:sz="2" w:space="0" w:color="auto"/>
              <w:left w:val="nil"/>
              <w:bottom w:val="single" w:sz="2" w:space="0" w:color="auto"/>
              <w:right w:val="nil"/>
            </w:tcBorders>
            <w:shd w:val="clear" w:color="auto" w:fill="auto"/>
            <w:noWrap/>
            <w:vAlign w:val="center"/>
            <w:hideMark/>
          </w:tcPr>
          <w:p w14:paraId="6E102437"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119.380.694</w:t>
            </w:r>
          </w:p>
        </w:tc>
        <w:tc>
          <w:tcPr>
            <w:tcW w:w="1274" w:type="dxa"/>
            <w:tcBorders>
              <w:top w:val="single" w:sz="2" w:space="0" w:color="auto"/>
              <w:left w:val="nil"/>
              <w:bottom w:val="single" w:sz="2" w:space="0" w:color="auto"/>
              <w:right w:val="nil"/>
            </w:tcBorders>
            <w:shd w:val="clear" w:color="auto" w:fill="auto"/>
            <w:noWrap/>
            <w:vAlign w:val="center"/>
            <w:hideMark/>
          </w:tcPr>
          <w:p w14:paraId="7C4A5194"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8.301</w:t>
            </w:r>
          </w:p>
        </w:tc>
        <w:tc>
          <w:tcPr>
            <w:tcW w:w="877" w:type="dxa"/>
            <w:tcBorders>
              <w:top w:val="single" w:sz="2" w:space="0" w:color="auto"/>
              <w:left w:val="nil"/>
              <w:bottom w:val="single" w:sz="2" w:space="0" w:color="auto"/>
              <w:right w:val="nil"/>
            </w:tcBorders>
            <w:shd w:val="clear" w:color="auto" w:fill="auto"/>
            <w:noWrap/>
            <w:vAlign w:val="center"/>
            <w:hideMark/>
          </w:tcPr>
          <w:p w14:paraId="4A28A7DB"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4.233</w:t>
            </w:r>
          </w:p>
        </w:tc>
        <w:tc>
          <w:tcPr>
            <w:tcW w:w="1235" w:type="dxa"/>
            <w:tcBorders>
              <w:top w:val="single" w:sz="2" w:space="0" w:color="auto"/>
              <w:left w:val="nil"/>
              <w:bottom w:val="single" w:sz="2" w:space="0" w:color="auto"/>
              <w:right w:val="nil"/>
            </w:tcBorders>
            <w:shd w:val="clear" w:color="auto" w:fill="auto"/>
            <w:noWrap/>
            <w:vAlign w:val="center"/>
            <w:hideMark/>
          </w:tcPr>
          <w:p w14:paraId="14BC5799" w14:textId="77777777" w:rsidR="00C30199" w:rsidRPr="002348E8" w:rsidRDefault="00C30199" w:rsidP="00B14C9E">
            <w:pPr>
              <w:spacing w:after="0"/>
              <w:ind w:firstLine="0"/>
              <w:jc w:val="right"/>
              <w:rPr>
                <w:rFonts w:ascii="Arial Narrow" w:hAnsi="Arial Narrow" w:cs="Calibri"/>
                <w:lang w:val="es-ES" w:eastAsia="es-ES"/>
              </w:rPr>
            </w:pPr>
            <w:r w:rsidRPr="002348E8">
              <w:rPr>
                <w:rFonts w:ascii="Arial Narrow" w:hAnsi="Arial Narrow" w:cs="Calibri"/>
                <w:lang w:val="es-ES" w:eastAsia="es-ES"/>
              </w:rPr>
              <w:t>15.166</w:t>
            </w:r>
          </w:p>
        </w:tc>
        <w:tc>
          <w:tcPr>
            <w:tcW w:w="1290" w:type="dxa"/>
            <w:tcBorders>
              <w:top w:val="single" w:sz="2" w:space="0" w:color="auto"/>
              <w:left w:val="nil"/>
              <w:bottom w:val="single" w:sz="2" w:space="0" w:color="auto"/>
              <w:right w:val="nil"/>
            </w:tcBorders>
            <w:shd w:val="clear" w:color="auto" w:fill="auto"/>
            <w:noWrap/>
            <w:vAlign w:val="center"/>
            <w:hideMark/>
          </w:tcPr>
          <w:p w14:paraId="187956A9"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14.985</w:t>
            </w:r>
          </w:p>
        </w:tc>
      </w:tr>
      <w:tr w:rsidR="00C30199" w:rsidRPr="002348E8" w14:paraId="525E0696"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14319ED7" w14:textId="77777777" w:rsidR="00C30199" w:rsidRPr="002348E8" w:rsidRDefault="00C30199" w:rsidP="00B14C9E">
            <w:pPr>
              <w:spacing w:after="0"/>
              <w:ind w:firstLine="0"/>
              <w:jc w:val="left"/>
              <w:rPr>
                <w:rFonts w:ascii="Arial Narrow" w:hAnsi="Arial Narrow" w:cs="Calibri"/>
                <w:color w:val="000000"/>
                <w:lang w:val="es-ES" w:eastAsia="es-ES"/>
              </w:rPr>
            </w:pPr>
            <w:r w:rsidRPr="002348E8">
              <w:rPr>
                <w:rFonts w:ascii="Arial Narrow" w:hAnsi="Arial Narrow" w:cs="Calibri"/>
                <w:color w:val="000000"/>
                <w:lang w:val="es-ES" w:eastAsia="es-ES"/>
              </w:rPr>
              <w:t>2014</w:t>
            </w:r>
          </w:p>
        </w:tc>
        <w:tc>
          <w:tcPr>
            <w:tcW w:w="1053" w:type="dxa"/>
            <w:tcBorders>
              <w:top w:val="single" w:sz="2" w:space="0" w:color="auto"/>
              <w:left w:val="nil"/>
              <w:bottom w:val="single" w:sz="2" w:space="0" w:color="auto"/>
              <w:right w:val="nil"/>
            </w:tcBorders>
            <w:shd w:val="clear" w:color="auto" w:fill="auto"/>
            <w:noWrap/>
            <w:vAlign w:val="center"/>
            <w:hideMark/>
          </w:tcPr>
          <w:p w14:paraId="4EA757E1"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117.435.362</w:t>
            </w:r>
          </w:p>
        </w:tc>
        <w:tc>
          <w:tcPr>
            <w:tcW w:w="1256" w:type="dxa"/>
            <w:tcBorders>
              <w:top w:val="single" w:sz="2" w:space="0" w:color="auto"/>
              <w:left w:val="nil"/>
              <w:bottom w:val="single" w:sz="2" w:space="0" w:color="auto"/>
              <w:right w:val="nil"/>
            </w:tcBorders>
            <w:shd w:val="clear" w:color="auto" w:fill="auto"/>
            <w:noWrap/>
            <w:vAlign w:val="center"/>
            <w:hideMark/>
          </w:tcPr>
          <w:p w14:paraId="04E31EF2"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6.036.105</w:t>
            </w:r>
          </w:p>
        </w:tc>
        <w:tc>
          <w:tcPr>
            <w:tcW w:w="1236" w:type="dxa"/>
            <w:tcBorders>
              <w:top w:val="single" w:sz="2" w:space="0" w:color="auto"/>
              <w:left w:val="nil"/>
              <w:bottom w:val="single" w:sz="2" w:space="0" w:color="auto"/>
              <w:right w:val="nil"/>
            </w:tcBorders>
            <w:shd w:val="clear" w:color="auto" w:fill="auto"/>
            <w:noWrap/>
            <w:vAlign w:val="center"/>
            <w:hideMark/>
          </w:tcPr>
          <w:p w14:paraId="1826D2FA"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123.471.467</w:t>
            </w:r>
          </w:p>
        </w:tc>
        <w:tc>
          <w:tcPr>
            <w:tcW w:w="1274" w:type="dxa"/>
            <w:tcBorders>
              <w:top w:val="single" w:sz="2" w:space="0" w:color="auto"/>
              <w:left w:val="nil"/>
              <w:bottom w:val="single" w:sz="2" w:space="0" w:color="auto"/>
              <w:right w:val="nil"/>
            </w:tcBorders>
            <w:shd w:val="clear" w:color="auto" w:fill="auto"/>
            <w:noWrap/>
            <w:vAlign w:val="center"/>
            <w:hideMark/>
          </w:tcPr>
          <w:p w14:paraId="247888FA"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8.603</w:t>
            </w:r>
          </w:p>
        </w:tc>
        <w:tc>
          <w:tcPr>
            <w:tcW w:w="877" w:type="dxa"/>
            <w:tcBorders>
              <w:top w:val="single" w:sz="2" w:space="0" w:color="auto"/>
              <w:left w:val="nil"/>
              <w:bottom w:val="single" w:sz="2" w:space="0" w:color="auto"/>
              <w:right w:val="nil"/>
            </w:tcBorders>
            <w:shd w:val="clear" w:color="auto" w:fill="auto"/>
            <w:noWrap/>
            <w:vAlign w:val="center"/>
            <w:hideMark/>
          </w:tcPr>
          <w:p w14:paraId="3F2BB596"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4.267</w:t>
            </w:r>
          </w:p>
        </w:tc>
        <w:tc>
          <w:tcPr>
            <w:tcW w:w="1235" w:type="dxa"/>
            <w:tcBorders>
              <w:top w:val="single" w:sz="2" w:space="0" w:color="auto"/>
              <w:left w:val="nil"/>
              <w:bottom w:val="single" w:sz="2" w:space="0" w:color="auto"/>
              <w:right w:val="nil"/>
            </w:tcBorders>
            <w:shd w:val="clear" w:color="auto" w:fill="auto"/>
            <w:noWrap/>
            <w:vAlign w:val="center"/>
            <w:hideMark/>
          </w:tcPr>
          <w:p w14:paraId="0AE2225F" w14:textId="77777777" w:rsidR="00C30199" w:rsidRPr="002348E8" w:rsidRDefault="00C30199" w:rsidP="00B14C9E">
            <w:pPr>
              <w:spacing w:after="0"/>
              <w:ind w:firstLine="0"/>
              <w:jc w:val="right"/>
              <w:rPr>
                <w:rFonts w:ascii="Arial Narrow" w:hAnsi="Arial Narrow" w:cs="Calibri"/>
                <w:lang w:val="es-ES" w:eastAsia="es-ES"/>
              </w:rPr>
            </w:pPr>
            <w:r w:rsidRPr="002348E8">
              <w:rPr>
                <w:rFonts w:ascii="Arial Narrow" w:hAnsi="Arial Narrow" w:cs="Calibri"/>
                <w:lang w:val="es-ES" w:eastAsia="es-ES"/>
              </w:rPr>
              <w:t>15.572</w:t>
            </w:r>
          </w:p>
        </w:tc>
        <w:tc>
          <w:tcPr>
            <w:tcW w:w="1290" w:type="dxa"/>
            <w:tcBorders>
              <w:top w:val="single" w:sz="2" w:space="0" w:color="auto"/>
              <w:left w:val="nil"/>
              <w:bottom w:val="single" w:sz="2" w:space="0" w:color="auto"/>
              <w:right w:val="nil"/>
            </w:tcBorders>
            <w:shd w:val="clear" w:color="auto" w:fill="auto"/>
            <w:noWrap/>
            <w:vAlign w:val="center"/>
            <w:hideMark/>
          </w:tcPr>
          <w:p w14:paraId="204D590D"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15.122</w:t>
            </w:r>
          </w:p>
        </w:tc>
      </w:tr>
      <w:tr w:rsidR="00C30199" w:rsidRPr="002348E8" w14:paraId="052F6D00"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7C2F918A" w14:textId="77777777" w:rsidR="00C30199" w:rsidRPr="002348E8" w:rsidRDefault="00C30199" w:rsidP="00B14C9E">
            <w:pPr>
              <w:spacing w:after="0"/>
              <w:ind w:firstLine="0"/>
              <w:jc w:val="left"/>
              <w:rPr>
                <w:rFonts w:ascii="Arial Narrow" w:hAnsi="Arial Narrow" w:cs="Calibri"/>
                <w:color w:val="000000"/>
                <w:lang w:val="es-ES" w:eastAsia="es-ES"/>
              </w:rPr>
            </w:pPr>
            <w:r w:rsidRPr="002348E8">
              <w:rPr>
                <w:rFonts w:ascii="Arial Narrow" w:hAnsi="Arial Narrow" w:cs="Calibri"/>
                <w:color w:val="000000"/>
                <w:lang w:val="es-ES" w:eastAsia="es-ES"/>
              </w:rPr>
              <w:t>2015</w:t>
            </w:r>
          </w:p>
        </w:tc>
        <w:tc>
          <w:tcPr>
            <w:tcW w:w="1053" w:type="dxa"/>
            <w:tcBorders>
              <w:top w:val="single" w:sz="2" w:space="0" w:color="auto"/>
              <w:left w:val="nil"/>
              <w:bottom w:val="single" w:sz="2" w:space="0" w:color="auto"/>
              <w:right w:val="nil"/>
            </w:tcBorders>
            <w:shd w:val="clear" w:color="auto" w:fill="auto"/>
            <w:noWrap/>
            <w:vAlign w:val="center"/>
            <w:hideMark/>
          </w:tcPr>
          <w:p w14:paraId="47EF4E4C"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123.369.401</w:t>
            </w:r>
          </w:p>
        </w:tc>
        <w:tc>
          <w:tcPr>
            <w:tcW w:w="1256" w:type="dxa"/>
            <w:tcBorders>
              <w:top w:val="single" w:sz="2" w:space="0" w:color="auto"/>
              <w:left w:val="nil"/>
              <w:bottom w:val="single" w:sz="2" w:space="0" w:color="auto"/>
              <w:right w:val="nil"/>
            </w:tcBorders>
            <w:shd w:val="clear" w:color="auto" w:fill="auto"/>
            <w:noWrap/>
            <w:vAlign w:val="center"/>
            <w:hideMark/>
          </w:tcPr>
          <w:p w14:paraId="429B9A7E"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6.270.753</w:t>
            </w:r>
          </w:p>
        </w:tc>
        <w:tc>
          <w:tcPr>
            <w:tcW w:w="1236" w:type="dxa"/>
            <w:tcBorders>
              <w:top w:val="single" w:sz="2" w:space="0" w:color="auto"/>
              <w:left w:val="nil"/>
              <w:bottom w:val="single" w:sz="2" w:space="0" w:color="auto"/>
              <w:right w:val="nil"/>
            </w:tcBorders>
            <w:shd w:val="clear" w:color="auto" w:fill="auto"/>
            <w:noWrap/>
            <w:vAlign w:val="center"/>
            <w:hideMark/>
          </w:tcPr>
          <w:p w14:paraId="6682A84A"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129.640.154</w:t>
            </w:r>
          </w:p>
        </w:tc>
        <w:tc>
          <w:tcPr>
            <w:tcW w:w="1274" w:type="dxa"/>
            <w:tcBorders>
              <w:top w:val="single" w:sz="2" w:space="0" w:color="auto"/>
              <w:left w:val="nil"/>
              <w:bottom w:val="single" w:sz="2" w:space="0" w:color="auto"/>
              <w:right w:val="nil"/>
            </w:tcBorders>
            <w:shd w:val="clear" w:color="auto" w:fill="auto"/>
            <w:noWrap/>
            <w:vAlign w:val="center"/>
            <w:hideMark/>
          </w:tcPr>
          <w:p w14:paraId="3D7F1AE4"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8.939</w:t>
            </w:r>
          </w:p>
        </w:tc>
        <w:tc>
          <w:tcPr>
            <w:tcW w:w="877" w:type="dxa"/>
            <w:tcBorders>
              <w:top w:val="single" w:sz="2" w:space="0" w:color="auto"/>
              <w:left w:val="nil"/>
              <w:bottom w:val="single" w:sz="2" w:space="0" w:color="auto"/>
              <w:right w:val="nil"/>
            </w:tcBorders>
            <w:shd w:val="clear" w:color="auto" w:fill="auto"/>
            <w:noWrap/>
            <w:vAlign w:val="center"/>
            <w:hideMark/>
          </w:tcPr>
          <w:p w14:paraId="503767E8"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4.217</w:t>
            </w:r>
          </w:p>
        </w:tc>
        <w:tc>
          <w:tcPr>
            <w:tcW w:w="1235" w:type="dxa"/>
            <w:tcBorders>
              <w:top w:val="single" w:sz="2" w:space="0" w:color="auto"/>
              <w:left w:val="nil"/>
              <w:bottom w:val="single" w:sz="2" w:space="0" w:color="auto"/>
              <w:right w:val="nil"/>
            </w:tcBorders>
            <w:shd w:val="clear" w:color="auto" w:fill="auto"/>
            <w:noWrap/>
            <w:vAlign w:val="center"/>
            <w:hideMark/>
          </w:tcPr>
          <w:p w14:paraId="789A0944" w14:textId="77777777" w:rsidR="00C30199" w:rsidRPr="002348E8" w:rsidRDefault="00C30199" w:rsidP="00B14C9E">
            <w:pPr>
              <w:spacing w:after="0"/>
              <w:ind w:firstLine="0"/>
              <w:jc w:val="right"/>
              <w:rPr>
                <w:rFonts w:ascii="Arial Narrow" w:hAnsi="Arial Narrow" w:cs="Calibri"/>
                <w:lang w:val="es-ES" w:eastAsia="es-ES"/>
              </w:rPr>
            </w:pPr>
            <w:r w:rsidRPr="002348E8">
              <w:rPr>
                <w:rFonts w:ascii="Arial Narrow" w:hAnsi="Arial Narrow" w:cs="Calibri"/>
                <w:lang w:val="es-ES" w:eastAsia="es-ES"/>
              </w:rPr>
              <w:t>15.918</w:t>
            </w:r>
          </w:p>
        </w:tc>
        <w:tc>
          <w:tcPr>
            <w:tcW w:w="1290" w:type="dxa"/>
            <w:tcBorders>
              <w:top w:val="single" w:sz="2" w:space="0" w:color="auto"/>
              <w:left w:val="nil"/>
              <w:bottom w:val="single" w:sz="2" w:space="0" w:color="auto"/>
              <w:right w:val="nil"/>
            </w:tcBorders>
            <w:shd w:val="clear" w:color="auto" w:fill="auto"/>
            <w:noWrap/>
            <w:vAlign w:val="center"/>
            <w:hideMark/>
          </w:tcPr>
          <w:p w14:paraId="48627BAD"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14.492</w:t>
            </w:r>
          </w:p>
        </w:tc>
      </w:tr>
      <w:tr w:rsidR="00C30199" w:rsidRPr="002348E8" w14:paraId="0F37EDBE"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0775419D" w14:textId="77777777" w:rsidR="00C30199" w:rsidRPr="002348E8" w:rsidRDefault="00C30199" w:rsidP="00B14C9E">
            <w:pPr>
              <w:spacing w:after="0"/>
              <w:ind w:firstLine="0"/>
              <w:jc w:val="left"/>
              <w:rPr>
                <w:rFonts w:ascii="Arial Narrow" w:hAnsi="Arial Narrow" w:cs="Calibri"/>
                <w:color w:val="000000"/>
                <w:lang w:val="es-ES" w:eastAsia="es-ES"/>
              </w:rPr>
            </w:pPr>
            <w:r w:rsidRPr="002348E8">
              <w:rPr>
                <w:rFonts w:ascii="Arial Narrow" w:hAnsi="Arial Narrow" w:cs="Calibri"/>
                <w:color w:val="000000"/>
                <w:lang w:val="es-ES" w:eastAsia="es-ES"/>
              </w:rPr>
              <w:t>2016</w:t>
            </w:r>
          </w:p>
        </w:tc>
        <w:tc>
          <w:tcPr>
            <w:tcW w:w="1053" w:type="dxa"/>
            <w:tcBorders>
              <w:top w:val="single" w:sz="2" w:space="0" w:color="auto"/>
              <w:left w:val="nil"/>
              <w:bottom w:val="single" w:sz="2" w:space="0" w:color="auto"/>
              <w:right w:val="nil"/>
            </w:tcBorders>
            <w:shd w:val="clear" w:color="auto" w:fill="auto"/>
            <w:noWrap/>
            <w:vAlign w:val="center"/>
            <w:hideMark/>
          </w:tcPr>
          <w:p w14:paraId="3862E8BF"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129.831.779</w:t>
            </w:r>
          </w:p>
        </w:tc>
        <w:tc>
          <w:tcPr>
            <w:tcW w:w="1256" w:type="dxa"/>
            <w:tcBorders>
              <w:top w:val="single" w:sz="2" w:space="0" w:color="auto"/>
              <w:left w:val="nil"/>
              <w:bottom w:val="single" w:sz="2" w:space="0" w:color="auto"/>
              <w:right w:val="nil"/>
            </w:tcBorders>
            <w:shd w:val="clear" w:color="auto" w:fill="auto"/>
            <w:noWrap/>
            <w:vAlign w:val="center"/>
            <w:hideMark/>
          </w:tcPr>
          <w:p w14:paraId="4587B084"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6.143.789</w:t>
            </w:r>
          </w:p>
        </w:tc>
        <w:tc>
          <w:tcPr>
            <w:tcW w:w="1236" w:type="dxa"/>
            <w:tcBorders>
              <w:top w:val="single" w:sz="2" w:space="0" w:color="auto"/>
              <w:left w:val="nil"/>
              <w:bottom w:val="single" w:sz="2" w:space="0" w:color="auto"/>
              <w:right w:val="nil"/>
            </w:tcBorders>
            <w:shd w:val="clear" w:color="auto" w:fill="auto"/>
            <w:noWrap/>
            <w:vAlign w:val="center"/>
            <w:hideMark/>
          </w:tcPr>
          <w:p w14:paraId="018B9C96"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135.975.568</w:t>
            </w:r>
          </w:p>
        </w:tc>
        <w:tc>
          <w:tcPr>
            <w:tcW w:w="1274" w:type="dxa"/>
            <w:tcBorders>
              <w:top w:val="single" w:sz="2" w:space="0" w:color="auto"/>
              <w:left w:val="nil"/>
              <w:bottom w:val="single" w:sz="2" w:space="0" w:color="auto"/>
              <w:right w:val="nil"/>
            </w:tcBorders>
            <w:shd w:val="clear" w:color="auto" w:fill="auto"/>
            <w:noWrap/>
            <w:vAlign w:val="center"/>
            <w:hideMark/>
          </w:tcPr>
          <w:p w14:paraId="6402D7CB"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9.365</w:t>
            </w:r>
          </w:p>
        </w:tc>
        <w:tc>
          <w:tcPr>
            <w:tcW w:w="877" w:type="dxa"/>
            <w:tcBorders>
              <w:top w:val="single" w:sz="2" w:space="0" w:color="auto"/>
              <w:left w:val="nil"/>
              <w:bottom w:val="single" w:sz="2" w:space="0" w:color="auto"/>
              <w:right w:val="nil"/>
            </w:tcBorders>
            <w:shd w:val="clear" w:color="auto" w:fill="auto"/>
            <w:noWrap/>
            <w:vAlign w:val="center"/>
            <w:hideMark/>
          </w:tcPr>
          <w:p w14:paraId="5C1D7484"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4.210</w:t>
            </w:r>
          </w:p>
        </w:tc>
        <w:tc>
          <w:tcPr>
            <w:tcW w:w="1235" w:type="dxa"/>
            <w:tcBorders>
              <w:top w:val="single" w:sz="2" w:space="0" w:color="auto"/>
              <w:left w:val="nil"/>
              <w:bottom w:val="single" w:sz="2" w:space="0" w:color="auto"/>
              <w:right w:val="nil"/>
            </w:tcBorders>
            <w:shd w:val="clear" w:color="auto" w:fill="auto"/>
            <w:noWrap/>
            <w:vAlign w:val="center"/>
            <w:hideMark/>
          </w:tcPr>
          <w:p w14:paraId="710BD53A" w14:textId="77777777" w:rsidR="00C30199" w:rsidRPr="002348E8" w:rsidRDefault="00C30199" w:rsidP="00B14C9E">
            <w:pPr>
              <w:spacing w:after="0"/>
              <w:ind w:firstLine="0"/>
              <w:jc w:val="right"/>
              <w:rPr>
                <w:rFonts w:ascii="Arial Narrow" w:hAnsi="Arial Narrow" w:cs="Calibri"/>
                <w:lang w:val="es-ES" w:eastAsia="es-ES"/>
              </w:rPr>
            </w:pPr>
            <w:r w:rsidRPr="002348E8">
              <w:rPr>
                <w:rFonts w:ascii="Arial Narrow" w:hAnsi="Arial Narrow" w:cs="Calibri"/>
                <w:lang w:val="es-ES" w:eastAsia="es-ES"/>
              </w:rPr>
              <w:t>16.426</w:t>
            </w:r>
          </w:p>
        </w:tc>
        <w:tc>
          <w:tcPr>
            <w:tcW w:w="1290" w:type="dxa"/>
            <w:tcBorders>
              <w:top w:val="single" w:sz="2" w:space="0" w:color="auto"/>
              <w:left w:val="nil"/>
              <w:bottom w:val="single" w:sz="2" w:space="0" w:color="auto"/>
              <w:right w:val="nil"/>
            </w:tcBorders>
            <w:shd w:val="clear" w:color="auto" w:fill="auto"/>
            <w:noWrap/>
            <w:vAlign w:val="center"/>
            <w:hideMark/>
          </w:tcPr>
          <w:p w14:paraId="6DFFF3C6"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16.380</w:t>
            </w:r>
          </w:p>
        </w:tc>
      </w:tr>
      <w:tr w:rsidR="00C30199" w:rsidRPr="002348E8" w14:paraId="2B772028"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6FA83A68" w14:textId="77777777" w:rsidR="00C30199" w:rsidRPr="002348E8" w:rsidRDefault="00C30199" w:rsidP="00B14C9E">
            <w:pPr>
              <w:spacing w:after="0"/>
              <w:ind w:firstLine="0"/>
              <w:jc w:val="left"/>
              <w:rPr>
                <w:rFonts w:ascii="Arial Narrow" w:hAnsi="Arial Narrow" w:cs="Calibri"/>
                <w:color w:val="000000"/>
                <w:lang w:val="es-ES" w:eastAsia="es-ES"/>
              </w:rPr>
            </w:pPr>
            <w:r w:rsidRPr="002348E8">
              <w:rPr>
                <w:rFonts w:ascii="Arial Narrow" w:hAnsi="Arial Narrow" w:cs="Calibri"/>
                <w:color w:val="000000"/>
                <w:lang w:val="es-ES" w:eastAsia="es-ES"/>
              </w:rPr>
              <w:t>2017</w:t>
            </w:r>
          </w:p>
        </w:tc>
        <w:tc>
          <w:tcPr>
            <w:tcW w:w="1053" w:type="dxa"/>
            <w:tcBorders>
              <w:top w:val="single" w:sz="2" w:space="0" w:color="auto"/>
              <w:left w:val="nil"/>
              <w:bottom w:val="single" w:sz="2" w:space="0" w:color="auto"/>
              <w:right w:val="nil"/>
            </w:tcBorders>
            <w:shd w:val="clear" w:color="auto" w:fill="auto"/>
            <w:noWrap/>
            <w:vAlign w:val="center"/>
            <w:hideMark/>
          </w:tcPr>
          <w:p w14:paraId="23D5A450"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136.173.561</w:t>
            </w:r>
          </w:p>
        </w:tc>
        <w:tc>
          <w:tcPr>
            <w:tcW w:w="1256" w:type="dxa"/>
            <w:tcBorders>
              <w:top w:val="single" w:sz="2" w:space="0" w:color="auto"/>
              <w:left w:val="nil"/>
              <w:bottom w:val="single" w:sz="2" w:space="0" w:color="auto"/>
              <w:right w:val="nil"/>
            </w:tcBorders>
            <w:shd w:val="clear" w:color="auto" w:fill="auto"/>
            <w:noWrap/>
            <w:vAlign w:val="center"/>
            <w:hideMark/>
          </w:tcPr>
          <w:p w14:paraId="560D66B4"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6.436.225</w:t>
            </w:r>
          </w:p>
        </w:tc>
        <w:tc>
          <w:tcPr>
            <w:tcW w:w="1236" w:type="dxa"/>
            <w:tcBorders>
              <w:top w:val="single" w:sz="2" w:space="0" w:color="auto"/>
              <w:left w:val="nil"/>
              <w:bottom w:val="single" w:sz="2" w:space="0" w:color="auto"/>
              <w:right w:val="nil"/>
            </w:tcBorders>
            <w:shd w:val="clear" w:color="auto" w:fill="auto"/>
            <w:noWrap/>
            <w:vAlign w:val="center"/>
            <w:hideMark/>
          </w:tcPr>
          <w:p w14:paraId="5B29F8D5"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142.609.786</w:t>
            </w:r>
          </w:p>
        </w:tc>
        <w:tc>
          <w:tcPr>
            <w:tcW w:w="1274" w:type="dxa"/>
            <w:tcBorders>
              <w:top w:val="single" w:sz="2" w:space="0" w:color="auto"/>
              <w:left w:val="nil"/>
              <w:bottom w:val="single" w:sz="2" w:space="0" w:color="auto"/>
              <w:right w:val="nil"/>
            </w:tcBorders>
            <w:shd w:val="clear" w:color="auto" w:fill="auto"/>
            <w:noWrap/>
            <w:vAlign w:val="center"/>
            <w:hideMark/>
          </w:tcPr>
          <w:p w14:paraId="743BDD5D"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9.982</w:t>
            </w:r>
          </w:p>
        </w:tc>
        <w:tc>
          <w:tcPr>
            <w:tcW w:w="877" w:type="dxa"/>
            <w:tcBorders>
              <w:top w:val="single" w:sz="2" w:space="0" w:color="auto"/>
              <w:left w:val="nil"/>
              <w:bottom w:val="single" w:sz="2" w:space="0" w:color="auto"/>
              <w:right w:val="nil"/>
            </w:tcBorders>
            <w:shd w:val="clear" w:color="auto" w:fill="auto"/>
            <w:noWrap/>
            <w:vAlign w:val="center"/>
            <w:hideMark/>
          </w:tcPr>
          <w:p w14:paraId="37A83EC2"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4.332</w:t>
            </w:r>
          </w:p>
        </w:tc>
        <w:tc>
          <w:tcPr>
            <w:tcW w:w="1235" w:type="dxa"/>
            <w:tcBorders>
              <w:top w:val="single" w:sz="2" w:space="0" w:color="auto"/>
              <w:left w:val="nil"/>
              <w:bottom w:val="single" w:sz="2" w:space="0" w:color="auto"/>
              <w:right w:val="nil"/>
            </w:tcBorders>
            <w:shd w:val="clear" w:color="auto" w:fill="auto"/>
            <w:noWrap/>
            <w:vAlign w:val="center"/>
            <w:hideMark/>
          </w:tcPr>
          <w:p w14:paraId="4C7C69A0" w14:textId="77777777" w:rsidR="00C30199" w:rsidRPr="002348E8" w:rsidRDefault="00C30199" w:rsidP="00B14C9E">
            <w:pPr>
              <w:spacing w:after="0"/>
              <w:ind w:firstLine="0"/>
              <w:jc w:val="right"/>
              <w:rPr>
                <w:rFonts w:ascii="Arial Narrow" w:hAnsi="Arial Narrow" w:cs="Calibri"/>
                <w:lang w:val="es-ES" w:eastAsia="es-ES"/>
              </w:rPr>
            </w:pPr>
            <w:r w:rsidRPr="002348E8">
              <w:rPr>
                <w:rFonts w:ascii="Arial Narrow" w:hAnsi="Arial Narrow" w:cs="Calibri"/>
                <w:lang w:val="es-ES" w:eastAsia="es-ES"/>
              </w:rPr>
              <w:t>17.711</w:t>
            </w:r>
          </w:p>
        </w:tc>
        <w:tc>
          <w:tcPr>
            <w:tcW w:w="1290" w:type="dxa"/>
            <w:tcBorders>
              <w:top w:val="single" w:sz="2" w:space="0" w:color="auto"/>
              <w:left w:val="nil"/>
              <w:bottom w:val="single" w:sz="2" w:space="0" w:color="auto"/>
              <w:right w:val="nil"/>
            </w:tcBorders>
            <w:shd w:val="clear" w:color="auto" w:fill="auto"/>
            <w:noWrap/>
            <w:vAlign w:val="center"/>
            <w:hideMark/>
          </w:tcPr>
          <w:p w14:paraId="5BECEE19"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17.597</w:t>
            </w:r>
          </w:p>
        </w:tc>
      </w:tr>
      <w:tr w:rsidR="00C30199" w:rsidRPr="002348E8" w14:paraId="30BA7341"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141967AA" w14:textId="77777777" w:rsidR="00C30199" w:rsidRPr="002348E8" w:rsidRDefault="00C30199" w:rsidP="00B14C9E">
            <w:pPr>
              <w:spacing w:after="0"/>
              <w:ind w:firstLine="0"/>
              <w:jc w:val="left"/>
              <w:rPr>
                <w:rFonts w:ascii="Arial Narrow" w:hAnsi="Arial Narrow" w:cs="Calibri"/>
                <w:color w:val="000000"/>
                <w:lang w:val="es-ES" w:eastAsia="es-ES"/>
              </w:rPr>
            </w:pPr>
            <w:r w:rsidRPr="002348E8">
              <w:rPr>
                <w:rFonts w:ascii="Arial Narrow" w:hAnsi="Arial Narrow" w:cs="Calibri"/>
                <w:color w:val="000000"/>
                <w:lang w:val="es-ES" w:eastAsia="es-ES"/>
              </w:rPr>
              <w:t>2018</w:t>
            </w:r>
          </w:p>
        </w:tc>
        <w:tc>
          <w:tcPr>
            <w:tcW w:w="1053" w:type="dxa"/>
            <w:tcBorders>
              <w:top w:val="single" w:sz="2" w:space="0" w:color="auto"/>
              <w:left w:val="nil"/>
              <w:bottom w:val="single" w:sz="2" w:space="0" w:color="auto"/>
              <w:right w:val="nil"/>
            </w:tcBorders>
            <w:shd w:val="clear" w:color="auto" w:fill="auto"/>
            <w:noWrap/>
            <w:vAlign w:val="center"/>
            <w:hideMark/>
          </w:tcPr>
          <w:p w14:paraId="2DAAA306"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135.406.220</w:t>
            </w:r>
          </w:p>
        </w:tc>
        <w:tc>
          <w:tcPr>
            <w:tcW w:w="1256" w:type="dxa"/>
            <w:tcBorders>
              <w:top w:val="single" w:sz="2" w:space="0" w:color="auto"/>
              <w:left w:val="nil"/>
              <w:bottom w:val="single" w:sz="2" w:space="0" w:color="auto"/>
              <w:right w:val="nil"/>
            </w:tcBorders>
            <w:shd w:val="clear" w:color="auto" w:fill="auto"/>
            <w:noWrap/>
            <w:vAlign w:val="center"/>
            <w:hideMark/>
          </w:tcPr>
          <w:p w14:paraId="063CF4DA"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6.507.838</w:t>
            </w:r>
          </w:p>
        </w:tc>
        <w:tc>
          <w:tcPr>
            <w:tcW w:w="1236" w:type="dxa"/>
            <w:tcBorders>
              <w:top w:val="single" w:sz="2" w:space="0" w:color="auto"/>
              <w:left w:val="nil"/>
              <w:bottom w:val="single" w:sz="2" w:space="0" w:color="auto"/>
              <w:right w:val="nil"/>
            </w:tcBorders>
            <w:shd w:val="clear" w:color="auto" w:fill="auto"/>
            <w:noWrap/>
            <w:vAlign w:val="center"/>
            <w:hideMark/>
          </w:tcPr>
          <w:p w14:paraId="6B89F03D"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141.914.058</w:t>
            </w:r>
          </w:p>
        </w:tc>
        <w:tc>
          <w:tcPr>
            <w:tcW w:w="1274" w:type="dxa"/>
            <w:tcBorders>
              <w:top w:val="single" w:sz="2" w:space="0" w:color="auto"/>
              <w:left w:val="nil"/>
              <w:bottom w:val="single" w:sz="2" w:space="0" w:color="auto"/>
              <w:right w:val="nil"/>
            </w:tcBorders>
            <w:shd w:val="clear" w:color="auto" w:fill="auto"/>
            <w:noWrap/>
            <w:vAlign w:val="center"/>
            <w:hideMark/>
          </w:tcPr>
          <w:p w14:paraId="25D231F9"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10.050</w:t>
            </w:r>
          </w:p>
        </w:tc>
        <w:tc>
          <w:tcPr>
            <w:tcW w:w="877" w:type="dxa"/>
            <w:tcBorders>
              <w:top w:val="single" w:sz="2" w:space="0" w:color="auto"/>
              <w:left w:val="nil"/>
              <w:bottom w:val="single" w:sz="2" w:space="0" w:color="auto"/>
              <w:right w:val="nil"/>
            </w:tcBorders>
            <w:shd w:val="clear" w:color="auto" w:fill="auto"/>
            <w:noWrap/>
            <w:vAlign w:val="center"/>
            <w:hideMark/>
          </w:tcPr>
          <w:p w14:paraId="0BD3E0D2"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4.380</w:t>
            </w:r>
          </w:p>
        </w:tc>
        <w:tc>
          <w:tcPr>
            <w:tcW w:w="1235" w:type="dxa"/>
            <w:tcBorders>
              <w:top w:val="single" w:sz="2" w:space="0" w:color="auto"/>
              <w:left w:val="nil"/>
              <w:bottom w:val="single" w:sz="2" w:space="0" w:color="auto"/>
              <w:right w:val="nil"/>
            </w:tcBorders>
            <w:shd w:val="clear" w:color="auto" w:fill="auto"/>
            <w:noWrap/>
            <w:vAlign w:val="center"/>
            <w:hideMark/>
          </w:tcPr>
          <w:p w14:paraId="5A649714" w14:textId="77777777" w:rsidR="00C30199" w:rsidRPr="002348E8" w:rsidRDefault="00C30199" w:rsidP="00B14C9E">
            <w:pPr>
              <w:spacing w:after="0"/>
              <w:ind w:firstLine="0"/>
              <w:jc w:val="right"/>
              <w:rPr>
                <w:rFonts w:ascii="Arial Narrow" w:hAnsi="Arial Narrow" w:cs="Calibri"/>
                <w:lang w:val="es-ES" w:eastAsia="es-ES"/>
              </w:rPr>
            </w:pPr>
            <w:r w:rsidRPr="002348E8">
              <w:rPr>
                <w:rFonts w:ascii="Arial Narrow" w:hAnsi="Arial Narrow" w:cs="Calibri"/>
                <w:lang w:val="es-ES" w:eastAsia="es-ES"/>
              </w:rPr>
              <w:t>17.460</w:t>
            </w:r>
          </w:p>
        </w:tc>
        <w:tc>
          <w:tcPr>
            <w:tcW w:w="1290" w:type="dxa"/>
            <w:tcBorders>
              <w:top w:val="single" w:sz="2" w:space="0" w:color="auto"/>
              <w:left w:val="nil"/>
              <w:bottom w:val="single" w:sz="2" w:space="0" w:color="auto"/>
              <w:right w:val="nil"/>
            </w:tcBorders>
            <w:shd w:val="clear" w:color="auto" w:fill="auto"/>
            <w:noWrap/>
            <w:vAlign w:val="center"/>
            <w:hideMark/>
          </w:tcPr>
          <w:p w14:paraId="6004BC58"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18.005</w:t>
            </w:r>
          </w:p>
        </w:tc>
      </w:tr>
      <w:tr w:rsidR="00C30199" w:rsidRPr="002348E8" w14:paraId="40C889E5"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7BE4650B" w14:textId="77777777" w:rsidR="00C30199" w:rsidRPr="002348E8" w:rsidRDefault="00C30199" w:rsidP="00B14C9E">
            <w:pPr>
              <w:spacing w:after="0"/>
              <w:ind w:firstLine="0"/>
              <w:jc w:val="left"/>
              <w:rPr>
                <w:rFonts w:ascii="Arial Narrow" w:hAnsi="Arial Narrow" w:cs="Calibri"/>
                <w:color w:val="000000"/>
                <w:lang w:val="es-ES" w:eastAsia="es-ES"/>
              </w:rPr>
            </w:pPr>
            <w:r w:rsidRPr="002348E8">
              <w:rPr>
                <w:rFonts w:ascii="Arial Narrow" w:hAnsi="Arial Narrow" w:cs="Calibri"/>
                <w:color w:val="000000"/>
                <w:lang w:val="es-ES" w:eastAsia="es-ES"/>
              </w:rPr>
              <w:t>2019</w:t>
            </w:r>
          </w:p>
        </w:tc>
        <w:tc>
          <w:tcPr>
            <w:tcW w:w="1053" w:type="dxa"/>
            <w:tcBorders>
              <w:top w:val="single" w:sz="2" w:space="0" w:color="auto"/>
              <w:left w:val="nil"/>
              <w:bottom w:val="single" w:sz="2" w:space="0" w:color="auto"/>
              <w:right w:val="nil"/>
            </w:tcBorders>
            <w:shd w:val="clear" w:color="auto" w:fill="auto"/>
            <w:noWrap/>
            <w:vAlign w:val="center"/>
            <w:hideMark/>
          </w:tcPr>
          <w:p w14:paraId="04054E70"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143.119.655</w:t>
            </w:r>
          </w:p>
        </w:tc>
        <w:tc>
          <w:tcPr>
            <w:tcW w:w="1256" w:type="dxa"/>
            <w:tcBorders>
              <w:top w:val="single" w:sz="2" w:space="0" w:color="auto"/>
              <w:left w:val="nil"/>
              <w:bottom w:val="single" w:sz="2" w:space="0" w:color="auto"/>
              <w:right w:val="nil"/>
            </w:tcBorders>
            <w:shd w:val="clear" w:color="auto" w:fill="auto"/>
            <w:noWrap/>
            <w:vAlign w:val="center"/>
            <w:hideMark/>
          </w:tcPr>
          <w:p w14:paraId="5A9EC07B"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6.815.692</w:t>
            </w:r>
          </w:p>
        </w:tc>
        <w:tc>
          <w:tcPr>
            <w:tcW w:w="1236" w:type="dxa"/>
            <w:tcBorders>
              <w:top w:val="single" w:sz="2" w:space="0" w:color="auto"/>
              <w:left w:val="nil"/>
              <w:bottom w:val="single" w:sz="2" w:space="0" w:color="auto"/>
              <w:right w:val="nil"/>
            </w:tcBorders>
            <w:shd w:val="clear" w:color="auto" w:fill="auto"/>
            <w:noWrap/>
            <w:vAlign w:val="center"/>
            <w:hideMark/>
          </w:tcPr>
          <w:p w14:paraId="174B0574"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149.935.347</w:t>
            </w:r>
          </w:p>
        </w:tc>
        <w:tc>
          <w:tcPr>
            <w:tcW w:w="1274" w:type="dxa"/>
            <w:tcBorders>
              <w:top w:val="single" w:sz="2" w:space="0" w:color="auto"/>
              <w:left w:val="nil"/>
              <w:bottom w:val="single" w:sz="2" w:space="0" w:color="auto"/>
              <w:right w:val="nil"/>
            </w:tcBorders>
            <w:shd w:val="clear" w:color="auto" w:fill="auto"/>
            <w:noWrap/>
            <w:vAlign w:val="center"/>
            <w:hideMark/>
          </w:tcPr>
          <w:p w14:paraId="341CF3A8"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10.739</w:t>
            </w:r>
          </w:p>
        </w:tc>
        <w:tc>
          <w:tcPr>
            <w:tcW w:w="877" w:type="dxa"/>
            <w:tcBorders>
              <w:top w:val="single" w:sz="2" w:space="0" w:color="auto"/>
              <w:left w:val="nil"/>
              <w:bottom w:val="single" w:sz="2" w:space="0" w:color="auto"/>
              <w:right w:val="nil"/>
            </w:tcBorders>
            <w:shd w:val="clear" w:color="auto" w:fill="auto"/>
            <w:noWrap/>
            <w:vAlign w:val="center"/>
            <w:hideMark/>
          </w:tcPr>
          <w:p w14:paraId="55BC3691"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4.371</w:t>
            </w:r>
          </w:p>
        </w:tc>
        <w:tc>
          <w:tcPr>
            <w:tcW w:w="1235" w:type="dxa"/>
            <w:tcBorders>
              <w:top w:val="single" w:sz="2" w:space="0" w:color="auto"/>
              <w:left w:val="nil"/>
              <w:bottom w:val="single" w:sz="2" w:space="0" w:color="auto"/>
              <w:right w:val="nil"/>
            </w:tcBorders>
            <w:shd w:val="clear" w:color="auto" w:fill="auto"/>
            <w:noWrap/>
            <w:vAlign w:val="center"/>
            <w:hideMark/>
          </w:tcPr>
          <w:p w14:paraId="30863DE8" w14:textId="77777777" w:rsidR="00C30199" w:rsidRPr="002348E8" w:rsidRDefault="00C30199" w:rsidP="00B14C9E">
            <w:pPr>
              <w:spacing w:after="0"/>
              <w:ind w:firstLine="0"/>
              <w:jc w:val="right"/>
              <w:rPr>
                <w:rFonts w:ascii="Arial Narrow" w:hAnsi="Arial Narrow" w:cs="Calibri"/>
                <w:lang w:val="es-ES" w:eastAsia="es-ES"/>
              </w:rPr>
            </w:pPr>
            <w:r w:rsidRPr="002348E8">
              <w:rPr>
                <w:rFonts w:ascii="Arial Narrow" w:hAnsi="Arial Narrow" w:cs="Calibri"/>
                <w:lang w:val="es-ES" w:eastAsia="es-ES"/>
              </w:rPr>
              <w:t>18.283</w:t>
            </w:r>
          </w:p>
        </w:tc>
        <w:tc>
          <w:tcPr>
            <w:tcW w:w="1290" w:type="dxa"/>
            <w:tcBorders>
              <w:top w:val="single" w:sz="2" w:space="0" w:color="auto"/>
              <w:left w:val="nil"/>
              <w:bottom w:val="single" w:sz="2" w:space="0" w:color="auto"/>
              <w:right w:val="nil"/>
            </w:tcBorders>
            <w:shd w:val="clear" w:color="auto" w:fill="auto"/>
            <w:noWrap/>
            <w:vAlign w:val="center"/>
            <w:hideMark/>
          </w:tcPr>
          <w:p w14:paraId="2901AFF8"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17.595</w:t>
            </w:r>
          </w:p>
        </w:tc>
      </w:tr>
      <w:tr w:rsidR="00C30199" w:rsidRPr="002348E8" w14:paraId="70CDF4A7" w14:textId="77777777" w:rsidTr="0021569A">
        <w:trPr>
          <w:trHeight w:val="227"/>
        </w:trPr>
        <w:tc>
          <w:tcPr>
            <w:tcW w:w="851" w:type="dxa"/>
            <w:tcBorders>
              <w:top w:val="single" w:sz="2" w:space="0" w:color="auto"/>
              <w:left w:val="nil"/>
              <w:bottom w:val="single" w:sz="2" w:space="0" w:color="auto"/>
              <w:right w:val="nil"/>
            </w:tcBorders>
            <w:shd w:val="clear" w:color="auto" w:fill="auto"/>
            <w:noWrap/>
            <w:vAlign w:val="center"/>
            <w:hideMark/>
          </w:tcPr>
          <w:p w14:paraId="685EF6FF" w14:textId="77777777" w:rsidR="00C30199" w:rsidRPr="002348E8" w:rsidRDefault="00C30199" w:rsidP="00B14C9E">
            <w:pPr>
              <w:spacing w:after="0"/>
              <w:ind w:firstLine="0"/>
              <w:jc w:val="left"/>
              <w:rPr>
                <w:rFonts w:ascii="Arial Narrow" w:hAnsi="Arial Narrow" w:cs="Calibri"/>
                <w:color w:val="000000"/>
                <w:lang w:val="es-ES" w:eastAsia="es-ES"/>
              </w:rPr>
            </w:pPr>
            <w:r w:rsidRPr="002348E8">
              <w:rPr>
                <w:rFonts w:ascii="Arial Narrow" w:hAnsi="Arial Narrow" w:cs="Calibri"/>
                <w:color w:val="000000"/>
                <w:lang w:val="es-ES" w:eastAsia="es-ES"/>
              </w:rPr>
              <w:t>2020</w:t>
            </w:r>
          </w:p>
        </w:tc>
        <w:tc>
          <w:tcPr>
            <w:tcW w:w="1053" w:type="dxa"/>
            <w:tcBorders>
              <w:top w:val="single" w:sz="2" w:space="0" w:color="auto"/>
              <w:left w:val="nil"/>
              <w:bottom w:val="single" w:sz="2" w:space="0" w:color="auto"/>
              <w:right w:val="nil"/>
            </w:tcBorders>
            <w:shd w:val="clear" w:color="auto" w:fill="auto"/>
            <w:noWrap/>
            <w:vAlign w:val="center"/>
            <w:hideMark/>
          </w:tcPr>
          <w:p w14:paraId="1E36888E"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115.518.109</w:t>
            </w:r>
          </w:p>
        </w:tc>
        <w:tc>
          <w:tcPr>
            <w:tcW w:w="1256" w:type="dxa"/>
            <w:tcBorders>
              <w:top w:val="single" w:sz="2" w:space="0" w:color="auto"/>
              <w:left w:val="nil"/>
              <w:bottom w:val="single" w:sz="2" w:space="0" w:color="auto"/>
              <w:right w:val="nil"/>
            </w:tcBorders>
            <w:shd w:val="clear" w:color="auto" w:fill="auto"/>
            <w:noWrap/>
            <w:vAlign w:val="center"/>
            <w:hideMark/>
          </w:tcPr>
          <w:p w14:paraId="2D2162FD"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6.129.596</w:t>
            </w:r>
          </w:p>
        </w:tc>
        <w:tc>
          <w:tcPr>
            <w:tcW w:w="1236" w:type="dxa"/>
            <w:tcBorders>
              <w:top w:val="single" w:sz="2" w:space="0" w:color="auto"/>
              <w:left w:val="nil"/>
              <w:bottom w:val="single" w:sz="2" w:space="0" w:color="auto"/>
              <w:right w:val="nil"/>
            </w:tcBorders>
            <w:shd w:val="clear" w:color="auto" w:fill="auto"/>
            <w:noWrap/>
            <w:vAlign w:val="center"/>
            <w:hideMark/>
          </w:tcPr>
          <w:p w14:paraId="74DF4E9C"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121.647.705</w:t>
            </w:r>
          </w:p>
        </w:tc>
        <w:tc>
          <w:tcPr>
            <w:tcW w:w="1274" w:type="dxa"/>
            <w:tcBorders>
              <w:top w:val="single" w:sz="2" w:space="0" w:color="auto"/>
              <w:left w:val="nil"/>
              <w:bottom w:val="single" w:sz="2" w:space="0" w:color="auto"/>
              <w:right w:val="nil"/>
            </w:tcBorders>
            <w:shd w:val="clear" w:color="auto" w:fill="auto"/>
            <w:noWrap/>
            <w:vAlign w:val="center"/>
            <w:hideMark/>
          </w:tcPr>
          <w:p w14:paraId="35D7BA8C"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8.802</w:t>
            </w:r>
          </w:p>
        </w:tc>
        <w:tc>
          <w:tcPr>
            <w:tcW w:w="877" w:type="dxa"/>
            <w:tcBorders>
              <w:top w:val="single" w:sz="2" w:space="0" w:color="auto"/>
              <w:left w:val="nil"/>
              <w:bottom w:val="single" w:sz="2" w:space="0" w:color="auto"/>
              <w:right w:val="nil"/>
            </w:tcBorders>
            <w:shd w:val="clear" w:color="auto" w:fill="auto"/>
            <w:noWrap/>
            <w:vAlign w:val="center"/>
            <w:hideMark/>
          </w:tcPr>
          <w:p w14:paraId="301C5AB6"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4.467</w:t>
            </w:r>
          </w:p>
        </w:tc>
        <w:tc>
          <w:tcPr>
            <w:tcW w:w="1235" w:type="dxa"/>
            <w:tcBorders>
              <w:top w:val="single" w:sz="2" w:space="0" w:color="auto"/>
              <w:left w:val="nil"/>
              <w:bottom w:val="single" w:sz="2" w:space="0" w:color="auto"/>
              <w:right w:val="nil"/>
            </w:tcBorders>
            <w:shd w:val="clear" w:color="auto" w:fill="auto"/>
            <w:noWrap/>
            <w:vAlign w:val="center"/>
            <w:hideMark/>
          </w:tcPr>
          <w:p w14:paraId="4AD0C764" w14:textId="77777777" w:rsidR="00C30199" w:rsidRPr="002348E8" w:rsidRDefault="00C30199" w:rsidP="00B14C9E">
            <w:pPr>
              <w:spacing w:after="0"/>
              <w:ind w:firstLine="0"/>
              <w:jc w:val="right"/>
              <w:rPr>
                <w:rFonts w:ascii="Arial Narrow" w:hAnsi="Arial Narrow" w:cs="Calibri"/>
                <w:lang w:val="es-ES" w:eastAsia="es-ES"/>
              </w:rPr>
            </w:pPr>
            <w:r w:rsidRPr="002348E8">
              <w:rPr>
                <w:rFonts w:ascii="Arial Narrow" w:hAnsi="Arial Narrow" w:cs="Calibri"/>
                <w:lang w:val="es-ES" w:eastAsia="es-ES"/>
              </w:rPr>
              <w:t>16.055</w:t>
            </w:r>
          </w:p>
        </w:tc>
        <w:tc>
          <w:tcPr>
            <w:tcW w:w="1290" w:type="dxa"/>
            <w:tcBorders>
              <w:top w:val="single" w:sz="2" w:space="0" w:color="auto"/>
              <w:left w:val="nil"/>
              <w:bottom w:val="single" w:sz="2" w:space="0" w:color="auto"/>
              <w:right w:val="nil"/>
            </w:tcBorders>
            <w:shd w:val="clear" w:color="auto" w:fill="auto"/>
            <w:noWrap/>
            <w:vAlign w:val="center"/>
            <w:hideMark/>
          </w:tcPr>
          <w:p w14:paraId="467E27E9"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18.991</w:t>
            </w:r>
          </w:p>
        </w:tc>
      </w:tr>
      <w:tr w:rsidR="00C30199" w:rsidRPr="002348E8" w14:paraId="01856DB2" w14:textId="77777777" w:rsidTr="0021569A">
        <w:trPr>
          <w:trHeight w:val="227"/>
        </w:trPr>
        <w:tc>
          <w:tcPr>
            <w:tcW w:w="851" w:type="dxa"/>
            <w:tcBorders>
              <w:top w:val="single" w:sz="2" w:space="0" w:color="auto"/>
              <w:left w:val="nil"/>
              <w:bottom w:val="nil"/>
              <w:right w:val="nil"/>
            </w:tcBorders>
            <w:shd w:val="clear" w:color="auto" w:fill="auto"/>
            <w:noWrap/>
            <w:vAlign w:val="center"/>
            <w:hideMark/>
          </w:tcPr>
          <w:p w14:paraId="282F90CC" w14:textId="77777777" w:rsidR="00C30199" w:rsidRPr="002348E8" w:rsidRDefault="00C30199" w:rsidP="00B14C9E">
            <w:pPr>
              <w:spacing w:after="0"/>
              <w:ind w:firstLine="0"/>
              <w:jc w:val="left"/>
              <w:rPr>
                <w:rFonts w:ascii="Arial Narrow" w:hAnsi="Arial Narrow" w:cs="Calibri"/>
                <w:color w:val="000000"/>
                <w:lang w:val="es-ES" w:eastAsia="es-ES"/>
              </w:rPr>
            </w:pPr>
            <w:r w:rsidRPr="002348E8">
              <w:rPr>
                <w:rFonts w:ascii="Arial Narrow" w:hAnsi="Arial Narrow" w:cs="Calibri"/>
                <w:color w:val="000000"/>
                <w:lang w:val="es-ES" w:eastAsia="es-ES"/>
              </w:rPr>
              <w:t>2021</w:t>
            </w:r>
          </w:p>
        </w:tc>
        <w:tc>
          <w:tcPr>
            <w:tcW w:w="1053" w:type="dxa"/>
            <w:tcBorders>
              <w:top w:val="single" w:sz="2" w:space="0" w:color="auto"/>
              <w:left w:val="nil"/>
              <w:bottom w:val="nil"/>
              <w:right w:val="nil"/>
            </w:tcBorders>
            <w:shd w:val="clear" w:color="auto" w:fill="auto"/>
            <w:noWrap/>
            <w:vAlign w:val="center"/>
            <w:hideMark/>
          </w:tcPr>
          <w:p w14:paraId="43D2ABC4"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137.452.512</w:t>
            </w:r>
          </w:p>
        </w:tc>
        <w:tc>
          <w:tcPr>
            <w:tcW w:w="1256" w:type="dxa"/>
            <w:tcBorders>
              <w:top w:val="single" w:sz="2" w:space="0" w:color="auto"/>
              <w:left w:val="nil"/>
              <w:bottom w:val="nil"/>
              <w:right w:val="nil"/>
            </w:tcBorders>
            <w:shd w:val="clear" w:color="auto" w:fill="auto"/>
            <w:noWrap/>
            <w:vAlign w:val="center"/>
            <w:hideMark/>
          </w:tcPr>
          <w:p w14:paraId="041446E3"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6.631.808</w:t>
            </w:r>
          </w:p>
        </w:tc>
        <w:tc>
          <w:tcPr>
            <w:tcW w:w="1236" w:type="dxa"/>
            <w:tcBorders>
              <w:top w:val="single" w:sz="2" w:space="0" w:color="auto"/>
              <w:left w:val="nil"/>
              <w:bottom w:val="nil"/>
              <w:right w:val="nil"/>
            </w:tcBorders>
            <w:shd w:val="clear" w:color="auto" w:fill="auto"/>
            <w:noWrap/>
            <w:vAlign w:val="center"/>
            <w:hideMark/>
          </w:tcPr>
          <w:p w14:paraId="18F02D49"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144.084.320</w:t>
            </w:r>
          </w:p>
        </w:tc>
        <w:tc>
          <w:tcPr>
            <w:tcW w:w="1274" w:type="dxa"/>
            <w:tcBorders>
              <w:top w:val="single" w:sz="2" w:space="0" w:color="auto"/>
              <w:left w:val="nil"/>
              <w:bottom w:val="nil"/>
              <w:right w:val="nil"/>
            </w:tcBorders>
            <w:shd w:val="clear" w:color="auto" w:fill="auto"/>
            <w:noWrap/>
            <w:vAlign w:val="center"/>
            <w:hideMark/>
          </w:tcPr>
          <w:p w14:paraId="5106138C"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10.351</w:t>
            </w:r>
          </w:p>
        </w:tc>
        <w:tc>
          <w:tcPr>
            <w:tcW w:w="877" w:type="dxa"/>
            <w:tcBorders>
              <w:top w:val="single" w:sz="2" w:space="0" w:color="auto"/>
              <w:left w:val="nil"/>
              <w:bottom w:val="nil"/>
              <w:right w:val="nil"/>
            </w:tcBorders>
            <w:shd w:val="clear" w:color="auto" w:fill="auto"/>
            <w:noWrap/>
            <w:vAlign w:val="center"/>
            <w:hideMark/>
          </w:tcPr>
          <w:p w14:paraId="7128CD61"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4.395</w:t>
            </w:r>
          </w:p>
        </w:tc>
        <w:tc>
          <w:tcPr>
            <w:tcW w:w="1235" w:type="dxa"/>
            <w:tcBorders>
              <w:top w:val="single" w:sz="2" w:space="0" w:color="auto"/>
              <w:left w:val="nil"/>
              <w:bottom w:val="nil"/>
              <w:right w:val="nil"/>
            </w:tcBorders>
            <w:shd w:val="clear" w:color="auto" w:fill="auto"/>
            <w:noWrap/>
            <w:vAlign w:val="center"/>
            <w:hideMark/>
          </w:tcPr>
          <w:p w14:paraId="455BF52E"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17.843</w:t>
            </w:r>
          </w:p>
        </w:tc>
        <w:tc>
          <w:tcPr>
            <w:tcW w:w="1290" w:type="dxa"/>
            <w:tcBorders>
              <w:top w:val="single" w:sz="2" w:space="0" w:color="auto"/>
              <w:left w:val="nil"/>
              <w:bottom w:val="nil"/>
              <w:right w:val="nil"/>
            </w:tcBorders>
            <w:shd w:val="clear" w:color="auto" w:fill="auto"/>
            <w:noWrap/>
            <w:vAlign w:val="center"/>
            <w:hideMark/>
          </w:tcPr>
          <w:p w14:paraId="73D9B1C3" w14:textId="77777777" w:rsidR="00C30199" w:rsidRPr="002348E8" w:rsidRDefault="00C30199" w:rsidP="00B14C9E">
            <w:pPr>
              <w:spacing w:after="0"/>
              <w:ind w:firstLine="0"/>
              <w:jc w:val="right"/>
              <w:rPr>
                <w:rFonts w:ascii="Arial Narrow" w:hAnsi="Arial Narrow" w:cs="Calibri"/>
                <w:color w:val="000000"/>
                <w:lang w:val="es-ES" w:eastAsia="es-ES"/>
              </w:rPr>
            </w:pPr>
            <w:r w:rsidRPr="002348E8">
              <w:rPr>
                <w:rFonts w:ascii="Arial Narrow" w:hAnsi="Arial Narrow" w:cs="Calibri"/>
                <w:color w:val="000000"/>
                <w:lang w:val="es-ES" w:eastAsia="es-ES"/>
              </w:rPr>
              <w:t>13.793</w:t>
            </w:r>
          </w:p>
        </w:tc>
      </w:tr>
      <w:tr w:rsidR="00444AC9" w:rsidRPr="00444AC9" w14:paraId="26CB33ED" w14:textId="77777777" w:rsidTr="0021569A">
        <w:trPr>
          <w:trHeight w:val="227"/>
        </w:trPr>
        <w:tc>
          <w:tcPr>
            <w:tcW w:w="851" w:type="dxa"/>
            <w:tcBorders>
              <w:top w:val="single" w:sz="4" w:space="0" w:color="auto"/>
              <w:left w:val="nil"/>
              <w:bottom w:val="single" w:sz="4" w:space="0" w:color="auto"/>
              <w:right w:val="nil"/>
            </w:tcBorders>
            <w:shd w:val="clear" w:color="auto" w:fill="B8CCE4" w:themeFill="accent1" w:themeFillTint="66"/>
            <w:noWrap/>
            <w:vAlign w:val="center"/>
            <w:hideMark/>
          </w:tcPr>
          <w:p w14:paraId="76CDEFD8" w14:textId="77777777" w:rsidR="00C30199" w:rsidRPr="00444AC9" w:rsidRDefault="00C30199" w:rsidP="00B14C9E">
            <w:pPr>
              <w:pStyle w:val="cuadroCabe"/>
              <w:spacing w:line="240" w:lineRule="auto"/>
              <w:jc w:val="left"/>
              <w:rPr>
                <w:sz w:val="16"/>
                <w:szCs w:val="16"/>
              </w:rPr>
            </w:pPr>
            <w:r w:rsidRPr="00444AC9">
              <w:rPr>
                <w:sz w:val="16"/>
                <w:szCs w:val="16"/>
              </w:rPr>
              <w:t>Total</w:t>
            </w:r>
          </w:p>
        </w:tc>
        <w:tc>
          <w:tcPr>
            <w:tcW w:w="1053" w:type="dxa"/>
            <w:tcBorders>
              <w:top w:val="single" w:sz="4" w:space="0" w:color="auto"/>
              <w:left w:val="nil"/>
              <w:bottom w:val="single" w:sz="4" w:space="0" w:color="auto"/>
              <w:right w:val="nil"/>
            </w:tcBorders>
            <w:shd w:val="clear" w:color="auto" w:fill="B8CCE4" w:themeFill="accent1" w:themeFillTint="66"/>
            <w:noWrap/>
            <w:vAlign w:val="center"/>
            <w:hideMark/>
          </w:tcPr>
          <w:p w14:paraId="55773BC9" w14:textId="77777777" w:rsidR="00C30199" w:rsidRPr="00444AC9" w:rsidRDefault="00C30199" w:rsidP="00B14C9E">
            <w:pPr>
              <w:pStyle w:val="cuadroCabe"/>
              <w:spacing w:line="240" w:lineRule="auto"/>
              <w:jc w:val="right"/>
              <w:rPr>
                <w:sz w:val="16"/>
                <w:szCs w:val="16"/>
              </w:rPr>
            </w:pPr>
            <w:r w:rsidRPr="00444AC9">
              <w:rPr>
                <w:sz w:val="16"/>
                <w:szCs w:val="16"/>
              </w:rPr>
              <w:t> </w:t>
            </w:r>
          </w:p>
        </w:tc>
        <w:tc>
          <w:tcPr>
            <w:tcW w:w="1256" w:type="dxa"/>
            <w:tcBorders>
              <w:top w:val="single" w:sz="4" w:space="0" w:color="auto"/>
              <w:left w:val="nil"/>
              <w:bottom w:val="single" w:sz="4" w:space="0" w:color="auto"/>
              <w:right w:val="nil"/>
            </w:tcBorders>
            <w:shd w:val="clear" w:color="auto" w:fill="B8CCE4" w:themeFill="accent1" w:themeFillTint="66"/>
            <w:noWrap/>
            <w:vAlign w:val="center"/>
            <w:hideMark/>
          </w:tcPr>
          <w:p w14:paraId="5A3D7F3C" w14:textId="77777777" w:rsidR="00C30199" w:rsidRPr="00444AC9" w:rsidRDefault="00C30199" w:rsidP="00B14C9E">
            <w:pPr>
              <w:pStyle w:val="cuadroCabe"/>
              <w:spacing w:line="240" w:lineRule="auto"/>
              <w:jc w:val="right"/>
              <w:rPr>
                <w:sz w:val="16"/>
                <w:szCs w:val="16"/>
              </w:rPr>
            </w:pPr>
            <w:r w:rsidRPr="00444AC9">
              <w:rPr>
                <w:sz w:val="16"/>
                <w:szCs w:val="16"/>
              </w:rPr>
              <w:t> </w:t>
            </w:r>
          </w:p>
        </w:tc>
        <w:tc>
          <w:tcPr>
            <w:tcW w:w="1236" w:type="dxa"/>
            <w:tcBorders>
              <w:top w:val="single" w:sz="4" w:space="0" w:color="auto"/>
              <w:left w:val="nil"/>
              <w:bottom w:val="single" w:sz="4" w:space="0" w:color="auto"/>
              <w:right w:val="nil"/>
            </w:tcBorders>
            <w:shd w:val="clear" w:color="auto" w:fill="B8CCE4" w:themeFill="accent1" w:themeFillTint="66"/>
            <w:noWrap/>
            <w:vAlign w:val="center"/>
            <w:hideMark/>
          </w:tcPr>
          <w:p w14:paraId="04470C3F" w14:textId="77777777" w:rsidR="00C30199" w:rsidRPr="00444AC9" w:rsidRDefault="00C30199" w:rsidP="00B14C9E">
            <w:pPr>
              <w:pStyle w:val="cuadroCabe"/>
              <w:spacing w:line="240" w:lineRule="auto"/>
              <w:jc w:val="right"/>
              <w:rPr>
                <w:sz w:val="16"/>
                <w:szCs w:val="16"/>
              </w:rPr>
            </w:pPr>
            <w:r w:rsidRPr="00444AC9">
              <w:rPr>
                <w:sz w:val="16"/>
                <w:szCs w:val="16"/>
              </w:rPr>
              <w:t> </w:t>
            </w:r>
          </w:p>
        </w:tc>
        <w:tc>
          <w:tcPr>
            <w:tcW w:w="1274" w:type="dxa"/>
            <w:tcBorders>
              <w:top w:val="single" w:sz="4" w:space="0" w:color="auto"/>
              <w:left w:val="nil"/>
              <w:bottom w:val="single" w:sz="4" w:space="0" w:color="auto"/>
              <w:right w:val="nil"/>
            </w:tcBorders>
            <w:shd w:val="clear" w:color="auto" w:fill="B8CCE4" w:themeFill="accent1" w:themeFillTint="66"/>
            <w:noWrap/>
            <w:vAlign w:val="center"/>
            <w:hideMark/>
          </w:tcPr>
          <w:p w14:paraId="34AD927F" w14:textId="77777777" w:rsidR="00C30199" w:rsidRPr="00444AC9" w:rsidRDefault="00C30199" w:rsidP="00B14C9E">
            <w:pPr>
              <w:pStyle w:val="cuadroCabe"/>
              <w:spacing w:line="240" w:lineRule="auto"/>
              <w:jc w:val="right"/>
              <w:rPr>
                <w:sz w:val="16"/>
                <w:szCs w:val="16"/>
              </w:rPr>
            </w:pPr>
            <w:r w:rsidRPr="00444AC9">
              <w:rPr>
                <w:sz w:val="16"/>
                <w:szCs w:val="16"/>
              </w:rPr>
              <w:t>92.315</w:t>
            </w:r>
          </w:p>
        </w:tc>
        <w:tc>
          <w:tcPr>
            <w:tcW w:w="877" w:type="dxa"/>
            <w:tcBorders>
              <w:top w:val="single" w:sz="4" w:space="0" w:color="auto"/>
              <w:left w:val="nil"/>
              <w:bottom w:val="single" w:sz="4" w:space="0" w:color="auto"/>
              <w:right w:val="nil"/>
            </w:tcBorders>
            <w:shd w:val="clear" w:color="auto" w:fill="B8CCE4" w:themeFill="accent1" w:themeFillTint="66"/>
            <w:noWrap/>
            <w:vAlign w:val="center"/>
            <w:hideMark/>
          </w:tcPr>
          <w:p w14:paraId="01D9E22A" w14:textId="77777777" w:rsidR="00C30199" w:rsidRPr="00444AC9" w:rsidRDefault="00C30199" w:rsidP="00B14C9E">
            <w:pPr>
              <w:pStyle w:val="cuadroCabe"/>
              <w:spacing w:line="240" w:lineRule="auto"/>
              <w:jc w:val="right"/>
              <w:rPr>
                <w:sz w:val="16"/>
                <w:szCs w:val="16"/>
              </w:rPr>
            </w:pPr>
            <w:r w:rsidRPr="00444AC9">
              <w:rPr>
                <w:sz w:val="16"/>
                <w:szCs w:val="16"/>
              </w:rPr>
              <w:t>42.528</w:t>
            </w:r>
          </w:p>
        </w:tc>
        <w:tc>
          <w:tcPr>
            <w:tcW w:w="1235" w:type="dxa"/>
            <w:tcBorders>
              <w:top w:val="single" w:sz="4" w:space="0" w:color="auto"/>
              <w:left w:val="nil"/>
              <w:bottom w:val="single" w:sz="4" w:space="0" w:color="auto"/>
              <w:right w:val="nil"/>
            </w:tcBorders>
            <w:shd w:val="clear" w:color="auto" w:fill="B8CCE4" w:themeFill="accent1" w:themeFillTint="66"/>
            <w:noWrap/>
            <w:vAlign w:val="center"/>
            <w:hideMark/>
          </w:tcPr>
          <w:p w14:paraId="1EC61870" w14:textId="77777777" w:rsidR="00C30199" w:rsidRPr="00444AC9" w:rsidRDefault="00C30199" w:rsidP="00B14C9E">
            <w:pPr>
              <w:pStyle w:val="cuadroCabe"/>
              <w:spacing w:line="240" w:lineRule="auto"/>
              <w:jc w:val="right"/>
              <w:rPr>
                <w:sz w:val="16"/>
                <w:szCs w:val="16"/>
              </w:rPr>
            </w:pPr>
            <w:r w:rsidRPr="00444AC9">
              <w:rPr>
                <w:sz w:val="16"/>
                <w:szCs w:val="16"/>
              </w:rPr>
              <w:t>163.314</w:t>
            </w:r>
          </w:p>
        </w:tc>
        <w:tc>
          <w:tcPr>
            <w:tcW w:w="1290" w:type="dxa"/>
            <w:tcBorders>
              <w:top w:val="single" w:sz="4" w:space="0" w:color="auto"/>
              <w:left w:val="nil"/>
              <w:bottom w:val="single" w:sz="4" w:space="0" w:color="auto"/>
              <w:right w:val="nil"/>
            </w:tcBorders>
            <w:shd w:val="clear" w:color="auto" w:fill="B8CCE4" w:themeFill="accent1" w:themeFillTint="66"/>
            <w:noWrap/>
            <w:vAlign w:val="center"/>
            <w:hideMark/>
          </w:tcPr>
          <w:p w14:paraId="30A4367D" w14:textId="77777777" w:rsidR="00C30199" w:rsidRPr="00444AC9" w:rsidRDefault="00C30199" w:rsidP="00B14C9E">
            <w:pPr>
              <w:pStyle w:val="cuadroCabe"/>
              <w:spacing w:line="240" w:lineRule="auto"/>
              <w:jc w:val="right"/>
              <w:rPr>
                <w:sz w:val="16"/>
                <w:szCs w:val="16"/>
              </w:rPr>
            </w:pPr>
            <w:r w:rsidRPr="00444AC9">
              <w:rPr>
                <w:sz w:val="16"/>
                <w:szCs w:val="16"/>
              </w:rPr>
              <w:t>160.100</w:t>
            </w:r>
          </w:p>
        </w:tc>
      </w:tr>
    </w:tbl>
    <w:p w14:paraId="5C93CEC2" w14:textId="77777777" w:rsidR="00686011" w:rsidRPr="00686011" w:rsidRDefault="00686011" w:rsidP="00686011">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60"/>
        <w:ind w:firstLine="0"/>
        <w:rPr>
          <w:rFonts w:ascii="Arial" w:hAnsi="Arial" w:cs="Arial"/>
          <w:sz w:val="14"/>
          <w:szCs w:val="14"/>
        </w:rPr>
      </w:pPr>
      <w:r w:rsidRPr="00686011">
        <w:rPr>
          <w:rFonts w:ascii="Arial" w:hAnsi="Arial" w:cs="Arial"/>
          <w:sz w:val="14"/>
          <w:szCs w:val="14"/>
          <w:vertAlign w:val="superscript"/>
        </w:rPr>
        <w:t>(*)</w:t>
      </w:r>
      <w:r>
        <w:rPr>
          <w:rFonts w:ascii="Arial" w:hAnsi="Arial" w:cs="Arial"/>
          <w:sz w:val="14"/>
          <w:szCs w:val="14"/>
        </w:rPr>
        <w:t xml:space="preserve"> IMD (intensidad media diaria) por la longitud de la autovía (45,21 km) para todo el año natural.</w:t>
      </w:r>
    </w:p>
    <w:p w14:paraId="2D6FC324" w14:textId="77777777" w:rsidR="00C30199" w:rsidRPr="002348E8" w:rsidRDefault="00C30199" w:rsidP="00444AC9">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240"/>
        <w:ind w:firstLine="289"/>
        <w:rPr>
          <w:szCs w:val="26"/>
        </w:rPr>
      </w:pPr>
      <w:r w:rsidRPr="002348E8">
        <w:rPr>
          <w:szCs w:val="26"/>
        </w:rPr>
        <w:t xml:space="preserve">De los 134,8 millones (IVA excluido) que </w:t>
      </w:r>
      <w:r w:rsidR="002F265D">
        <w:rPr>
          <w:szCs w:val="26"/>
        </w:rPr>
        <w:t>cobró</w:t>
      </w:r>
      <w:r w:rsidRPr="002348E8">
        <w:rPr>
          <w:szCs w:val="26"/>
        </w:rPr>
        <w:t xml:space="preserve"> la concesionaria hasta diciembre de 2021, 42,5 millones corresponden al importe cobrado por CEICS, es decir, el 32 por ciento de los ingresos no dependen del tráfico. </w:t>
      </w:r>
    </w:p>
    <w:p w14:paraId="339E0DAD" w14:textId="77777777" w:rsidR="00C30199" w:rsidRPr="008126EB" w:rsidRDefault="00C30199" w:rsidP="00444AC9">
      <w:pPr>
        <w:pStyle w:val="texto"/>
        <w:tabs>
          <w:tab w:val="clear" w:pos="2835"/>
          <w:tab w:val="clear" w:pos="3969"/>
          <w:tab w:val="clear" w:pos="5103"/>
          <w:tab w:val="clear" w:pos="6237"/>
          <w:tab w:val="clear" w:pos="7371"/>
          <w:tab w:val="left" w:pos="480"/>
          <w:tab w:val="num" w:pos="600"/>
          <w:tab w:val="num" w:pos="720"/>
          <w:tab w:val="num" w:pos="1320"/>
          <w:tab w:val="num" w:pos="2062"/>
        </w:tabs>
        <w:spacing w:after="240"/>
        <w:ind w:firstLine="289"/>
        <w:rPr>
          <w:szCs w:val="26"/>
        </w:rPr>
      </w:pPr>
      <w:r>
        <w:rPr>
          <w:szCs w:val="26"/>
        </w:rPr>
        <w:t xml:space="preserve">Durante el año se abona mensualmente un importe en función del </w:t>
      </w:r>
      <w:r w:rsidR="00051432" w:rsidRPr="00650D1D">
        <w:rPr>
          <w:szCs w:val="26"/>
        </w:rPr>
        <w:t xml:space="preserve">tráfico del </w:t>
      </w:r>
      <w:r>
        <w:rPr>
          <w:szCs w:val="26"/>
        </w:rPr>
        <w:t xml:space="preserve">año anterior y se ajusta el año siguiente. Por ese motivo se producen diferencias entre el devengo anual y los apuntes presupuestarios. </w:t>
      </w:r>
      <w:r w:rsidR="008402FA">
        <w:rPr>
          <w:szCs w:val="26"/>
        </w:rPr>
        <w:t xml:space="preserve">Los </w:t>
      </w:r>
      <w:r w:rsidR="008402FA" w:rsidRPr="00596D8B">
        <w:rPr>
          <w:szCs w:val="26"/>
        </w:rPr>
        <w:t>3,21</w:t>
      </w:r>
      <w:r w:rsidRPr="00596D8B">
        <w:rPr>
          <w:szCs w:val="26"/>
        </w:rPr>
        <w:t xml:space="preserve"> </w:t>
      </w:r>
      <w:r w:rsidR="008402FA" w:rsidRPr="00596D8B">
        <w:rPr>
          <w:szCs w:val="26"/>
        </w:rPr>
        <w:t>millones</w:t>
      </w:r>
      <w:r w:rsidRPr="00596D8B">
        <w:rPr>
          <w:szCs w:val="26"/>
        </w:rPr>
        <w:t xml:space="preserve"> </w:t>
      </w:r>
      <w:r w:rsidRPr="008126EB">
        <w:rPr>
          <w:szCs w:val="26"/>
        </w:rPr>
        <w:t>de diferencia a favor de la ACFN corresponderían a la liquidación anual económica de 2021, que se aprueba en febrero de 2022, por</w:t>
      </w:r>
      <w:r w:rsidR="008402FA">
        <w:rPr>
          <w:szCs w:val="26"/>
        </w:rPr>
        <w:t xml:space="preserve"> valor de 1,87</w:t>
      </w:r>
      <w:r>
        <w:rPr>
          <w:szCs w:val="26"/>
        </w:rPr>
        <w:t xml:space="preserve"> </w:t>
      </w:r>
      <w:r w:rsidR="008402FA" w:rsidRPr="00596D8B">
        <w:rPr>
          <w:szCs w:val="26"/>
        </w:rPr>
        <w:t>millones</w:t>
      </w:r>
      <w:r w:rsidRPr="00596D8B">
        <w:rPr>
          <w:szCs w:val="26"/>
        </w:rPr>
        <w:t xml:space="preserve"> </w:t>
      </w:r>
      <w:r>
        <w:rPr>
          <w:szCs w:val="26"/>
        </w:rPr>
        <w:t xml:space="preserve">y al </w:t>
      </w:r>
      <w:r w:rsidRPr="008126EB">
        <w:rPr>
          <w:szCs w:val="26"/>
        </w:rPr>
        <w:t xml:space="preserve">canon correspondiente al mes de diciembre de 2021, que se imputa al presupuesto de 2022, por valor de </w:t>
      </w:r>
      <w:r w:rsidR="008402FA">
        <w:rPr>
          <w:szCs w:val="26"/>
        </w:rPr>
        <w:t>1,</w:t>
      </w:r>
      <w:r w:rsidRPr="00650D1D">
        <w:rPr>
          <w:szCs w:val="26"/>
        </w:rPr>
        <w:t>3</w:t>
      </w:r>
      <w:r w:rsidR="008402FA">
        <w:rPr>
          <w:szCs w:val="26"/>
        </w:rPr>
        <w:t>3</w:t>
      </w:r>
      <w:r w:rsidRPr="00650D1D">
        <w:rPr>
          <w:szCs w:val="26"/>
        </w:rPr>
        <w:t xml:space="preserve"> </w:t>
      </w:r>
      <w:r w:rsidR="008402FA" w:rsidRPr="00596D8B">
        <w:rPr>
          <w:szCs w:val="26"/>
        </w:rPr>
        <w:t>millones</w:t>
      </w:r>
      <w:r w:rsidRPr="00596D8B">
        <w:rPr>
          <w:szCs w:val="26"/>
        </w:rPr>
        <w:t xml:space="preserve">. </w:t>
      </w:r>
    </w:p>
    <w:p w14:paraId="517F7845" w14:textId="77777777" w:rsidR="00C30199" w:rsidRPr="00FD08F0" w:rsidRDefault="00474A7C" w:rsidP="0040652A">
      <w:pPr>
        <w:pStyle w:val="atitulo2"/>
      </w:pPr>
      <w:bookmarkStart w:id="29" w:name="_Toc126321324"/>
      <w:r>
        <w:t>2</w:t>
      </w:r>
      <w:r w:rsidR="00C30199" w:rsidRPr="00FD08F0">
        <w:t>.2. Canal de Navarra</w:t>
      </w:r>
      <w:bookmarkEnd w:id="29"/>
    </w:p>
    <w:p w14:paraId="2235C16A" w14:textId="77777777" w:rsidR="00C30199" w:rsidRPr="00D52B63" w:rsidRDefault="00474A7C" w:rsidP="0040652A">
      <w:pPr>
        <w:pStyle w:val="atitulo3"/>
      </w:pPr>
      <w:r>
        <w:t>2</w:t>
      </w:r>
      <w:r w:rsidR="00C30199">
        <w:t>.2.1</w:t>
      </w:r>
      <w:r w:rsidR="00C30199" w:rsidRPr="00D52B63">
        <w:t xml:space="preserve">. </w:t>
      </w:r>
      <w:r w:rsidR="00B525BB" w:rsidRPr="00B525BB">
        <w:t>E</w:t>
      </w:r>
      <w:r w:rsidR="007503CD">
        <w:t>xplotación y control de la A</w:t>
      </w:r>
      <w:r w:rsidR="00C30199" w:rsidRPr="00DC5AFD">
        <w:t>dministración</w:t>
      </w:r>
    </w:p>
    <w:p w14:paraId="0349CAE4" w14:textId="77777777" w:rsidR="00C30199" w:rsidRPr="00444AC9" w:rsidRDefault="00C30199" w:rsidP="00CB572C">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rPr>
          <w:szCs w:val="26"/>
        </w:rPr>
      </w:pPr>
      <w:r w:rsidRPr="000E54E2">
        <w:rPr>
          <w:szCs w:val="26"/>
        </w:rPr>
        <w:t xml:space="preserve">INTIA </w:t>
      </w:r>
      <w:r>
        <w:rPr>
          <w:szCs w:val="26"/>
        </w:rPr>
        <w:t xml:space="preserve">es la sociedad concedente del contrato de concesión, y ejerce las </w:t>
      </w:r>
      <w:r w:rsidRPr="00CB572C">
        <w:t>funciones</w:t>
      </w:r>
      <w:r>
        <w:rPr>
          <w:szCs w:val="26"/>
        </w:rPr>
        <w:t xml:space="preserve"> de inspección, vigilancia y control del cumplimiento de las obligaciones de las so</w:t>
      </w:r>
      <w:r w:rsidR="00C51900">
        <w:rPr>
          <w:szCs w:val="26"/>
        </w:rPr>
        <w:t>ciedades concesionarias de las Zonas R</w:t>
      </w:r>
      <w:r>
        <w:rPr>
          <w:szCs w:val="26"/>
        </w:rPr>
        <w:t xml:space="preserve">egables del Canal, tanto en fase de construcción como en fase de explotación. La </w:t>
      </w:r>
      <w:r w:rsidRPr="00444AC9">
        <w:rPr>
          <w:szCs w:val="26"/>
        </w:rPr>
        <w:t>ACFN</w:t>
      </w:r>
      <w:r w:rsidRPr="00B525BB">
        <w:rPr>
          <w:szCs w:val="26"/>
        </w:rPr>
        <w:t xml:space="preserve"> </w:t>
      </w:r>
      <w:r w:rsidR="00B525BB" w:rsidRPr="00B525BB">
        <w:rPr>
          <w:szCs w:val="26"/>
        </w:rPr>
        <w:t>t</w:t>
      </w:r>
      <w:r w:rsidR="00537838" w:rsidRPr="00B525BB">
        <w:rPr>
          <w:szCs w:val="26"/>
        </w:rPr>
        <w:t xml:space="preserve">iene </w:t>
      </w:r>
      <w:r w:rsidR="00537838">
        <w:rPr>
          <w:szCs w:val="26"/>
        </w:rPr>
        <w:t xml:space="preserve">las potestades administrativas, en relación a la toma de decisiones respecto a </w:t>
      </w:r>
      <w:r w:rsidRPr="00444AC9">
        <w:rPr>
          <w:szCs w:val="26"/>
        </w:rPr>
        <w:t>las modificaciones de contrato y restablecimiento del equili</w:t>
      </w:r>
      <w:r w:rsidR="00537838">
        <w:rPr>
          <w:szCs w:val="26"/>
        </w:rPr>
        <w:t>brio económico de la concesión; además</w:t>
      </w:r>
      <w:r w:rsidR="00D84949">
        <w:rPr>
          <w:szCs w:val="26"/>
        </w:rPr>
        <w:t>,</w:t>
      </w:r>
      <w:r w:rsidRPr="00444AC9">
        <w:rPr>
          <w:szCs w:val="26"/>
        </w:rPr>
        <w:t xml:space="preserve"> ejerce la inspección, vigilancia y control a través de su participación en la comisión mixta de seguimiento de la concesión.</w:t>
      </w:r>
    </w:p>
    <w:p w14:paraId="40F935F7" w14:textId="77777777" w:rsidR="00C30199" w:rsidRPr="00444AC9" w:rsidRDefault="00C30199" w:rsidP="00CB572C">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rPr>
          <w:szCs w:val="26"/>
        </w:rPr>
      </w:pPr>
      <w:r w:rsidRPr="00444AC9">
        <w:rPr>
          <w:szCs w:val="26"/>
        </w:rPr>
        <w:t xml:space="preserve">La </w:t>
      </w:r>
      <w:r w:rsidRPr="00CB572C">
        <w:t>comisión</w:t>
      </w:r>
      <w:r w:rsidRPr="00444AC9">
        <w:rPr>
          <w:szCs w:val="26"/>
        </w:rPr>
        <w:t xml:space="preserve"> mixta es el órgano de coordinación de las relaciones entre las partes intervinientes en el contrato, </w:t>
      </w:r>
      <w:r w:rsidR="00102B4C" w:rsidRPr="00650D1D">
        <w:rPr>
          <w:szCs w:val="26"/>
        </w:rPr>
        <w:t xml:space="preserve">la componen </w:t>
      </w:r>
      <w:r w:rsidRPr="00444AC9">
        <w:rPr>
          <w:szCs w:val="26"/>
        </w:rPr>
        <w:t xml:space="preserve">representantes de INTIA, de la sociedad concesionaria y </w:t>
      </w:r>
      <w:r w:rsidR="00731D83" w:rsidRPr="00A94FA6">
        <w:rPr>
          <w:szCs w:val="26"/>
        </w:rPr>
        <w:t>el D</w:t>
      </w:r>
      <w:r w:rsidRPr="00A94FA6">
        <w:rPr>
          <w:szCs w:val="26"/>
        </w:rPr>
        <w:t>elegado de</w:t>
      </w:r>
      <w:r w:rsidR="005F5524" w:rsidRPr="00A94FA6">
        <w:rPr>
          <w:szCs w:val="26"/>
        </w:rPr>
        <w:t>l</w:t>
      </w:r>
      <w:r w:rsidR="00731D83" w:rsidRPr="00A94FA6">
        <w:rPr>
          <w:szCs w:val="26"/>
        </w:rPr>
        <w:t xml:space="preserve"> G</w:t>
      </w:r>
      <w:r w:rsidRPr="00A94FA6">
        <w:rPr>
          <w:szCs w:val="26"/>
        </w:rPr>
        <w:t>obierno,</w:t>
      </w:r>
      <w:r w:rsidRPr="00444AC9">
        <w:rPr>
          <w:szCs w:val="26"/>
        </w:rPr>
        <w:t xml:space="preserve"> con funciones de seguimiento e información. A esta comisión, según se establece en el contrato, se remitirán el estado y formulación de las cuentas anuales e informes de auditoría.</w:t>
      </w:r>
    </w:p>
    <w:p w14:paraId="339813DC" w14:textId="77777777" w:rsidR="00C30199" w:rsidRPr="004B6DD0" w:rsidRDefault="00C30199" w:rsidP="00CB572C">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rPr>
          <w:szCs w:val="26"/>
        </w:rPr>
      </w:pPr>
      <w:r w:rsidRPr="00327B7A">
        <w:rPr>
          <w:szCs w:val="26"/>
        </w:rPr>
        <w:t xml:space="preserve">El </w:t>
      </w:r>
      <w:r w:rsidR="00C51900">
        <w:t>D</w:t>
      </w:r>
      <w:r w:rsidRPr="00CB572C">
        <w:t>elegado</w:t>
      </w:r>
      <w:r w:rsidRPr="00327B7A">
        <w:rPr>
          <w:szCs w:val="26"/>
        </w:rPr>
        <w:t xml:space="preserve"> </w:t>
      </w:r>
      <w:r w:rsidRPr="00B525BB">
        <w:rPr>
          <w:szCs w:val="26"/>
        </w:rPr>
        <w:t>del</w:t>
      </w:r>
      <w:r w:rsidR="00C51900">
        <w:rPr>
          <w:szCs w:val="26"/>
        </w:rPr>
        <w:t xml:space="preserve"> G</w:t>
      </w:r>
      <w:r w:rsidRPr="00327B7A">
        <w:rPr>
          <w:szCs w:val="26"/>
        </w:rPr>
        <w:t>obierno en las sociedades concesionarias, ejercido por un</w:t>
      </w:r>
      <w:r w:rsidR="00B525BB">
        <w:rPr>
          <w:szCs w:val="26"/>
        </w:rPr>
        <w:t xml:space="preserve"> </w:t>
      </w:r>
      <w:r w:rsidR="005A2FD4" w:rsidRPr="00B525BB">
        <w:rPr>
          <w:szCs w:val="26"/>
        </w:rPr>
        <w:t>empleado público</w:t>
      </w:r>
      <w:r w:rsidR="00156E33" w:rsidRPr="00B525BB">
        <w:rPr>
          <w:szCs w:val="26"/>
        </w:rPr>
        <w:t xml:space="preserve"> del D</w:t>
      </w:r>
      <w:r w:rsidRPr="00B525BB">
        <w:rPr>
          <w:szCs w:val="26"/>
        </w:rPr>
        <w:t xml:space="preserve">epartamento </w:t>
      </w:r>
      <w:r>
        <w:rPr>
          <w:szCs w:val="26"/>
        </w:rPr>
        <w:t>de Economía y H</w:t>
      </w:r>
      <w:r w:rsidRPr="00327B7A">
        <w:rPr>
          <w:szCs w:val="26"/>
        </w:rPr>
        <w:t>acienda</w:t>
      </w:r>
      <w:r>
        <w:rPr>
          <w:szCs w:val="26"/>
        </w:rPr>
        <w:t>,</w:t>
      </w:r>
      <w:r w:rsidRPr="00327B7A">
        <w:rPr>
          <w:szCs w:val="26"/>
        </w:rPr>
        <w:t xml:space="preserve"> </w:t>
      </w:r>
      <w:r>
        <w:rPr>
          <w:szCs w:val="26"/>
        </w:rPr>
        <w:t>asiste a los consejos de administración, con voz, pero sin voto, así como también a la comisión mixta</w:t>
      </w:r>
      <w:r w:rsidRPr="00A04205">
        <w:rPr>
          <w:color w:val="FF0000"/>
          <w:szCs w:val="26"/>
        </w:rPr>
        <w:t xml:space="preserve"> </w:t>
      </w:r>
      <w:r>
        <w:rPr>
          <w:szCs w:val="26"/>
        </w:rPr>
        <w:t xml:space="preserve">de seguimiento de la concesión. </w:t>
      </w:r>
      <w:r w:rsidRPr="004B6DD0">
        <w:rPr>
          <w:szCs w:val="26"/>
        </w:rPr>
        <w:t xml:space="preserve">La sociedad concesionaria remite anualmente al </w:t>
      </w:r>
      <w:r w:rsidR="00731D83" w:rsidRPr="00731D83">
        <w:rPr>
          <w:szCs w:val="26"/>
        </w:rPr>
        <w:t>D</w:t>
      </w:r>
      <w:r w:rsidRPr="00731D83">
        <w:rPr>
          <w:szCs w:val="26"/>
        </w:rPr>
        <w:t>elegado</w:t>
      </w:r>
      <w:r w:rsidR="00731D83" w:rsidRPr="00731D83">
        <w:rPr>
          <w:szCs w:val="26"/>
        </w:rPr>
        <w:t xml:space="preserve"> del Gobierno</w:t>
      </w:r>
      <w:r w:rsidRPr="004B6DD0">
        <w:rPr>
          <w:szCs w:val="26"/>
        </w:rPr>
        <w:t xml:space="preserve"> los informes de auditoría financiera.</w:t>
      </w:r>
    </w:p>
    <w:p w14:paraId="6C3EA235" w14:textId="77777777" w:rsidR="00C30199" w:rsidRPr="00A04205" w:rsidRDefault="00C30199" w:rsidP="00CB572C">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rPr>
          <w:szCs w:val="26"/>
        </w:rPr>
      </w:pPr>
      <w:r w:rsidRPr="00356F40">
        <w:rPr>
          <w:rFonts w:eastAsia="Calibri"/>
          <w:szCs w:val="26"/>
          <w:lang w:eastAsia="es-ES"/>
        </w:rPr>
        <w:t xml:space="preserve">Las </w:t>
      </w:r>
      <w:r w:rsidRPr="00CB572C">
        <w:t>compraventas</w:t>
      </w:r>
      <w:r w:rsidRPr="00356F40">
        <w:rPr>
          <w:rFonts w:eastAsia="Calibri"/>
          <w:szCs w:val="26"/>
          <w:lang w:eastAsia="es-ES"/>
        </w:rPr>
        <w:t xml:space="preserve"> de acciones </w:t>
      </w:r>
      <w:r>
        <w:rPr>
          <w:rFonts w:eastAsia="Calibri"/>
          <w:szCs w:val="26"/>
          <w:lang w:eastAsia="es-ES"/>
        </w:rPr>
        <w:t xml:space="preserve">de las sociedades concesionarias </w:t>
      </w:r>
      <w:r w:rsidRPr="00356F40">
        <w:rPr>
          <w:rFonts w:eastAsia="Calibri"/>
          <w:szCs w:val="26"/>
          <w:lang w:eastAsia="es-ES"/>
        </w:rPr>
        <w:t xml:space="preserve">cuentan con </w:t>
      </w:r>
      <w:r w:rsidRPr="001A58B6">
        <w:rPr>
          <w:rFonts w:eastAsia="Calibri"/>
          <w:szCs w:val="26"/>
          <w:lang w:eastAsia="es-ES"/>
        </w:rPr>
        <w:t>la comunicación o autorización previa</w:t>
      </w:r>
      <w:r>
        <w:rPr>
          <w:rFonts w:eastAsia="Calibri"/>
          <w:szCs w:val="26"/>
          <w:lang w:eastAsia="es-ES"/>
        </w:rPr>
        <w:t xml:space="preserve">, en su caso, </w:t>
      </w:r>
      <w:r w:rsidRPr="00356F40">
        <w:rPr>
          <w:rFonts w:eastAsia="Calibri"/>
          <w:szCs w:val="26"/>
          <w:lang w:eastAsia="es-ES"/>
        </w:rPr>
        <w:t>de la comisión ejecutiva de INTIA</w:t>
      </w:r>
      <w:r w:rsidR="00102B4C">
        <w:rPr>
          <w:rFonts w:eastAsia="Calibri"/>
          <w:szCs w:val="26"/>
          <w:lang w:eastAsia="es-ES"/>
        </w:rPr>
        <w:t xml:space="preserve"> </w:t>
      </w:r>
      <w:r w:rsidR="00102B4C" w:rsidRPr="00F05FB3">
        <w:rPr>
          <w:rFonts w:eastAsia="Calibri"/>
          <w:szCs w:val="26"/>
          <w:lang w:eastAsia="es-ES"/>
        </w:rPr>
        <w:t xml:space="preserve">de acuerdo con lo previsto en </w:t>
      </w:r>
      <w:r w:rsidR="00F05FB3">
        <w:rPr>
          <w:rFonts w:eastAsia="Calibri"/>
          <w:szCs w:val="26"/>
          <w:lang w:eastAsia="es-ES"/>
        </w:rPr>
        <w:t>el</w:t>
      </w:r>
      <w:r w:rsidR="00102B4C" w:rsidRPr="00F05FB3">
        <w:rPr>
          <w:rFonts w:eastAsia="Calibri"/>
          <w:szCs w:val="26"/>
          <w:lang w:eastAsia="es-ES"/>
        </w:rPr>
        <w:t xml:space="preserve"> contrato.</w:t>
      </w:r>
    </w:p>
    <w:p w14:paraId="39E1A971" w14:textId="77777777" w:rsidR="00C30199" w:rsidRPr="00535CDE" w:rsidRDefault="00C30199" w:rsidP="00205778">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after="120"/>
        <w:ind w:left="0" w:firstLine="289"/>
        <w:rPr>
          <w:szCs w:val="26"/>
        </w:rPr>
      </w:pPr>
      <w:r>
        <w:rPr>
          <w:szCs w:val="26"/>
        </w:rPr>
        <w:t xml:space="preserve">INTIA </w:t>
      </w:r>
      <w:r w:rsidRPr="00CB572C">
        <w:t>realiza</w:t>
      </w:r>
      <w:r w:rsidR="00BA2AF5">
        <w:rPr>
          <w:szCs w:val="26"/>
        </w:rPr>
        <w:t>, entre otros,</w:t>
      </w:r>
      <w:r>
        <w:rPr>
          <w:szCs w:val="26"/>
        </w:rPr>
        <w:t xml:space="preserve"> el seguimiento y control del volumen de agua consumido, </w:t>
      </w:r>
      <w:r w:rsidR="00F34053" w:rsidRPr="00650D1D">
        <w:rPr>
          <w:szCs w:val="26"/>
        </w:rPr>
        <w:t xml:space="preserve">así como la revisión técnica de </w:t>
      </w:r>
      <w:r>
        <w:rPr>
          <w:szCs w:val="26"/>
        </w:rPr>
        <w:t>una muestra aleatoria de hidrantes, para verificar que funcionan correctamente y</w:t>
      </w:r>
      <w:r w:rsidRPr="005C62CA">
        <w:rPr>
          <w:szCs w:val="26"/>
        </w:rPr>
        <w:t xml:space="preserve"> </w:t>
      </w:r>
      <w:r w:rsidR="00C36077" w:rsidRPr="005C62CA">
        <w:rPr>
          <w:szCs w:val="26"/>
        </w:rPr>
        <w:t xml:space="preserve">que </w:t>
      </w:r>
      <w:r>
        <w:rPr>
          <w:szCs w:val="26"/>
        </w:rPr>
        <w:t>las lecturas son coherentes con el volumen facturado.</w:t>
      </w:r>
    </w:p>
    <w:p w14:paraId="212E13F8" w14:textId="77777777" w:rsidR="00C30199" w:rsidRPr="0097330A" w:rsidRDefault="00C30199" w:rsidP="00205778">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after="120"/>
        <w:ind w:left="0" w:firstLine="289"/>
        <w:rPr>
          <w:b/>
          <w:szCs w:val="26"/>
          <w:u w:val="single"/>
        </w:rPr>
      </w:pPr>
      <w:r>
        <w:rPr>
          <w:szCs w:val="26"/>
        </w:rPr>
        <w:t xml:space="preserve">El consumo de </w:t>
      </w:r>
      <w:r w:rsidRPr="00CB572C">
        <w:t>agua</w:t>
      </w:r>
      <w:r>
        <w:rPr>
          <w:szCs w:val="26"/>
        </w:rPr>
        <w:t xml:space="preserve"> depende</w:t>
      </w:r>
      <w:r w:rsidRPr="005C62CA">
        <w:rPr>
          <w:szCs w:val="26"/>
        </w:rPr>
        <w:t xml:space="preserve"> </w:t>
      </w:r>
      <w:r w:rsidR="00FC5453" w:rsidRPr="005C62CA">
        <w:rPr>
          <w:szCs w:val="26"/>
        </w:rPr>
        <w:t xml:space="preserve">fundamentalmente </w:t>
      </w:r>
      <w:r>
        <w:rPr>
          <w:szCs w:val="26"/>
        </w:rPr>
        <w:t xml:space="preserve">de la superficie conectada a los sistemas de riego, de los </w:t>
      </w:r>
      <w:r w:rsidR="00C806FB" w:rsidRPr="00C806FB">
        <w:rPr>
          <w:szCs w:val="26"/>
        </w:rPr>
        <w:t>tipos de cultivo</w:t>
      </w:r>
      <w:r w:rsidRPr="00C806FB">
        <w:rPr>
          <w:szCs w:val="26"/>
        </w:rPr>
        <w:t xml:space="preserve"> </w:t>
      </w:r>
      <w:r>
        <w:rPr>
          <w:szCs w:val="26"/>
        </w:rPr>
        <w:t>y de la climatología.</w:t>
      </w:r>
    </w:p>
    <w:p w14:paraId="7FC0C23E" w14:textId="77777777" w:rsidR="00A2489F" w:rsidRDefault="00A2489F">
      <w:pPr>
        <w:spacing w:after="0"/>
        <w:ind w:firstLine="0"/>
        <w:jc w:val="left"/>
        <w:rPr>
          <w:spacing w:val="6"/>
          <w:sz w:val="26"/>
          <w:szCs w:val="26"/>
        </w:rPr>
      </w:pPr>
      <w:r>
        <w:rPr>
          <w:szCs w:val="26"/>
        </w:rPr>
        <w:br w:type="page"/>
      </w:r>
    </w:p>
    <w:p w14:paraId="20E8CAB9" w14:textId="77777777" w:rsidR="00C30199" w:rsidRDefault="00C30199" w:rsidP="00444AC9">
      <w:pPr>
        <w:pStyle w:val="texto"/>
        <w:tabs>
          <w:tab w:val="clear" w:pos="2835"/>
          <w:tab w:val="clear" w:pos="3969"/>
          <w:tab w:val="clear" w:pos="5103"/>
          <w:tab w:val="clear" w:pos="6237"/>
          <w:tab w:val="clear" w:pos="7371"/>
        </w:tabs>
        <w:spacing w:after="240"/>
        <w:rPr>
          <w:szCs w:val="26"/>
        </w:rPr>
      </w:pPr>
      <w:r>
        <w:rPr>
          <w:szCs w:val="26"/>
        </w:rPr>
        <w:t xml:space="preserve">La evolución de las hectáreas con </w:t>
      </w:r>
      <w:r w:rsidRPr="005C62CA">
        <w:rPr>
          <w:szCs w:val="26"/>
        </w:rPr>
        <w:t>instalación</w:t>
      </w:r>
      <w:r w:rsidR="00AB2443" w:rsidRPr="005C62CA">
        <w:rPr>
          <w:szCs w:val="26"/>
        </w:rPr>
        <w:t xml:space="preserve"> de riego</w:t>
      </w:r>
      <w:r w:rsidRPr="005C62CA">
        <w:rPr>
          <w:szCs w:val="26"/>
        </w:rPr>
        <w:t xml:space="preserve"> </w:t>
      </w:r>
      <w:r w:rsidRPr="00EF20E3">
        <w:rPr>
          <w:szCs w:val="26"/>
        </w:rPr>
        <w:t xml:space="preserve">para el periodo de explotación 2014-2021 </w:t>
      </w:r>
      <w:r>
        <w:rPr>
          <w:szCs w:val="26"/>
        </w:rPr>
        <w:t xml:space="preserve">en la </w:t>
      </w:r>
      <w:r w:rsidR="00BC52A1">
        <w:rPr>
          <w:szCs w:val="26"/>
        </w:rPr>
        <w:t>Primera F</w:t>
      </w:r>
      <w:r w:rsidRPr="008972CE">
        <w:rPr>
          <w:szCs w:val="26"/>
        </w:rPr>
        <w:t>ase</w:t>
      </w:r>
      <w:r>
        <w:rPr>
          <w:szCs w:val="26"/>
        </w:rPr>
        <w:t xml:space="preserve"> es la siguiente: </w:t>
      </w:r>
    </w:p>
    <w:tbl>
      <w:tblPr>
        <w:tblW w:w="9072" w:type="dxa"/>
        <w:tblCellMar>
          <w:left w:w="70" w:type="dxa"/>
          <w:right w:w="70" w:type="dxa"/>
        </w:tblCellMar>
        <w:tblLook w:val="04A0" w:firstRow="1" w:lastRow="0" w:firstColumn="1" w:lastColumn="0" w:noHBand="0" w:noVBand="1"/>
      </w:tblPr>
      <w:tblGrid>
        <w:gridCol w:w="1843"/>
        <w:gridCol w:w="1559"/>
        <w:gridCol w:w="1559"/>
        <w:gridCol w:w="1134"/>
        <w:gridCol w:w="2977"/>
      </w:tblGrid>
      <w:tr w:rsidR="00444AC9" w:rsidRPr="00444AC9" w14:paraId="2DE9ADAD" w14:textId="77777777" w:rsidTr="0021569A">
        <w:trPr>
          <w:trHeight w:val="255"/>
        </w:trPr>
        <w:tc>
          <w:tcPr>
            <w:tcW w:w="1843" w:type="dxa"/>
            <w:tcBorders>
              <w:top w:val="single" w:sz="4" w:space="0" w:color="auto"/>
              <w:left w:val="nil"/>
              <w:bottom w:val="single" w:sz="4" w:space="0" w:color="auto"/>
              <w:right w:val="nil"/>
            </w:tcBorders>
            <w:shd w:val="clear" w:color="auto" w:fill="B8CCE4" w:themeFill="accent1" w:themeFillTint="66"/>
            <w:vAlign w:val="center"/>
            <w:hideMark/>
          </w:tcPr>
          <w:p w14:paraId="1DB5DAF9" w14:textId="77777777" w:rsidR="00C30199" w:rsidRPr="00444AC9" w:rsidRDefault="00C30199" w:rsidP="00B14C9E">
            <w:pPr>
              <w:pStyle w:val="cuadroCabe"/>
              <w:spacing w:line="240" w:lineRule="auto"/>
              <w:rPr>
                <w:sz w:val="16"/>
                <w:szCs w:val="16"/>
                <w:lang w:val="es-ES" w:eastAsia="es-ES"/>
              </w:rPr>
            </w:pPr>
            <w:r w:rsidRPr="00444AC9">
              <w:rPr>
                <w:sz w:val="16"/>
                <w:szCs w:val="16"/>
                <w:lang w:val="es-ES" w:eastAsia="es-ES"/>
              </w:rPr>
              <w:t>Años</w:t>
            </w:r>
          </w:p>
        </w:tc>
        <w:tc>
          <w:tcPr>
            <w:tcW w:w="1559" w:type="dxa"/>
            <w:tcBorders>
              <w:top w:val="single" w:sz="4" w:space="0" w:color="auto"/>
              <w:left w:val="nil"/>
              <w:bottom w:val="single" w:sz="4" w:space="0" w:color="auto"/>
              <w:right w:val="nil"/>
            </w:tcBorders>
            <w:shd w:val="clear" w:color="auto" w:fill="B8CCE4" w:themeFill="accent1" w:themeFillTint="66"/>
            <w:vAlign w:val="center"/>
            <w:hideMark/>
          </w:tcPr>
          <w:p w14:paraId="649E4C09" w14:textId="77777777" w:rsidR="00C30199" w:rsidRPr="00444AC9" w:rsidRDefault="00C30199" w:rsidP="00B14C9E">
            <w:pPr>
              <w:pStyle w:val="cuadroCabe"/>
              <w:spacing w:line="240" w:lineRule="auto"/>
              <w:rPr>
                <w:sz w:val="16"/>
                <w:szCs w:val="16"/>
                <w:lang w:val="es-ES" w:eastAsia="es-ES"/>
              </w:rPr>
            </w:pPr>
            <w:r w:rsidRPr="00444AC9">
              <w:rPr>
                <w:sz w:val="16"/>
                <w:szCs w:val="16"/>
                <w:lang w:val="es-ES" w:eastAsia="es-ES"/>
              </w:rPr>
              <w:t>Ha regables netas</w:t>
            </w:r>
          </w:p>
        </w:tc>
        <w:tc>
          <w:tcPr>
            <w:tcW w:w="1559" w:type="dxa"/>
            <w:tcBorders>
              <w:top w:val="single" w:sz="4" w:space="0" w:color="auto"/>
              <w:left w:val="nil"/>
              <w:bottom w:val="single" w:sz="4" w:space="0" w:color="auto"/>
              <w:right w:val="nil"/>
            </w:tcBorders>
            <w:shd w:val="clear" w:color="auto" w:fill="B8CCE4" w:themeFill="accent1" w:themeFillTint="66"/>
            <w:vAlign w:val="center"/>
            <w:hideMark/>
          </w:tcPr>
          <w:p w14:paraId="27D7DD59" w14:textId="77777777" w:rsidR="00C30199" w:rsidRPr="00444AC9" w:rsidRDefault="00C30199" w:rsidP="00B14C9E">
            <w:pPr>
              <w:pStyle w:val="cuadroCabe"/>
              <w:spacing w:line="240" w:lineRule="auto"/>
              <w:jc w:val="right"/>
              <w:rPr>
                <w:sz w:val="16"/>
                <w:szCs w:val="16"/>
                <w:lang w:val="es-ES" w:eastAsia="es-ES"/>
              </w:rPr>
            </w:pPr>
            <w:r w:rsidRPr="00444AC9">
              <w:rPr>
                <w:sz w:val="16"/>
                <w:szCs w:val="16"/>
                <w:lang w:val="es-ES" w:eastAsia="es-ES"/>
              </w:rPr>
              <w:t>Ha con instalación</w:t>
            </w:r>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1F535E46" w14:textId="77777777" w:rsidR="00C30199" w:rsidRPr="00444AC9" w:rsidRDefault="00C30199" w:rsidP="00B14C9E">
            <w:pPr>
              <w:pStyle w:val="cuadroCabe"/>
              <w:spacing w:line="240" w:lineRule="auto"/>
              <w:jc w:val="right"/>
              <w:rPr>
                <w:sz w:val="16"/>
                <w:szCs w:val="16"/>
                <w:lang w:val="es-ES" w:eastAsia="es-ES"/>
              </w:rPr>
            </w:pPr>
            <w:r w:rsidRPr="00A94FA6">
              <w:rPr>
                <w:sz w:val="16"/>
                <w:szCs w:val="16"/>
                <w:lang w:val="es-ES" w:eastAsia="es-ES"/>
              </w:rPr>
              <w:t>% instaladas</w:t>
            </w:r>
          </w:p>
        </w:tc>
        <w:tc>
          <w:tcPr>
            <w:tcW w:w="2977" w:type="dxa"/>
            <w:tcBorders>
              <w:top w:val="single" w:sz="4" w:space="0" w:color="auto"/>
              <w:left w:val="nil"/>
              <w:bottom w:val="single" w:sz="4" w:space="0" w:color="auto"/>
              <w:right w:val="nil"/>
            </w:tcBorders>
            <w:shd w:val="clear" w:color="auto" w:fill="B8CCE4" w:themeFill="accent1" w:themeFillTint="66"/>
            <w:vAlign w:val="center"/>
            <w:hideMark/>
          </w:tcPr>
          <w:p w14:paraId="5C546D15" w14:textId="77777777" w:rsidR="00C30199" w:rsidRPr="00444AC9" w:rsidRDefault="00C30199" w:rsidP="00B14C9E">
            <w:pPr>
              <w:pStyle w:val="cuadroCabe"/>
              <w:spacing w:line="240" w:lineRule="auto"/>
              <w:jc w:val="right"/>
              <w:rPr>
                <w:sz w:val="16"/>
                <w:szCs w:val="16"/>
                <w:lang w:val="es-ES" w:eastAsia="es-ES"/>
              </w:rPr>
            </w:pPr>
            <w:r w:rsidRPr="00A94FA6">
              <w:rPr>
                <w:sz w:val="16"/>
                <w:szCs w:val="16"/>
                <w:lang w:val="es-ES" w:eastAsia="es-ES"/>
              </w:rPr>
              <w:t>Consumo</w:t>
            </w:r>
            <w:r w:rsidR="00A05FEA" w:rsidRPr="00A94FA6">
              <w:rPr>
                <w:sz w:val="16"/>
                <w:szCs w:val="16"/>
                <w:lang w:val="es-ES" w:eastAsia="es-ES"/>
              </w:rPr>
              <w:t xml:space="preserve"> m</w:t>
            </w:r>
            <w:r w:rsidR="00A05FEA" w:rsidRPr="0021569A">
              <w:rPr>
                <w:sz w:val="16"/>
                <w:szCs w:val="16"/>
                <w:vertAlign w:val="superscript"/>
                <w:lang w:val="es-ES" w:eastAsia="es-ES"/>
              </w:rPr>
              <w:t>3</w:t>
            </w:r>
            <w:r w:rsidRPr="0021569A">
              <w:rPr>
                <w:sz w:val="16"/>
                <w:szCs w:val="16"/>
                <w:vertAlign w:val="superscript"/>
                <w:lang w:val="es-ES" w:eastAsia="es-ES"/>
              </w:rPr>
              <w:t xml:space="preserve"> </w:t>
            </w:r>
            <w:r w:rsidRPr="00444AC9">
              <w:rPr>
                <w:sz w:val="16"/>
                <w:szCs w:val="16"/>
                <w:lang w:val="es-ES" w:eastAsia="es-ES"/>
              </w:rPr>
              <w:t>por Ha con instalación</w:t>
            </w:r>
          </w:p>
        </w:tc>
      </w:tr>
      <w:tr w:rsidR="00C30199" w:rsidRPr="00C2201F" w14:paraId="59CCD7C0" w14:textId="77777777" w:rsidTr="0021569A">
        <w:trPr>
          <w:trHeight w:val="255"/>
        </w:trPr>
        <w:tc>
          <w:tcPr>
            <w:tcW w:w="1843" w:type="dxa"/>
            <w:tcBorders>
              <w:top w:val="nil"/>
              <w:left w:val="nil"/>
              <w:bottom w:val="single" w:sz="2" w:space="0" w:color="auto"/>
              <w:right w:val="nil"/>
            </w:tcBorders>
            <w:shd w:val="clear" w:color="auto" w:fill="auto"/>
            <w:noWrap/>
            <w:vAlign w:val="center"/>
            <w:hideMark/>
          </w:tcPr>
          <w:p w14:paraId="78B880AA" w14:textId="77777777" w:rsidR="00C30199" w:rsidRPr="00C2201F" w:rsidRDefault="00C30199" w:rsidP="00B14C9E">
            <w:pPr>
              <w:pStyle w:val="cuatexto"/>
              <w:spacing w:line="240" w:lineRule="auto"/>
              <w:rPr>
                <w:lang w:val="es-ES" w:eastAsia="es-ES"/>
              </w:rPr>
            </w:pPr>
            <w:r w:rsidRPr="00C2201F">
              <w:rPr>
                <w:lang w:val="es-ES" w:eastAsia="es-ES"/>
              </w:rPr>
              <w:t>2014</w:t>
            </w:r>
          </w:p>
        </w:tc>
        <w:tc>
          <w:tcPr>
            <w:tcW w:w="1559" w:type="dxa"/>
            <w:tcBorders>
              <w:top w:val="nil"/>
              <w:left w:val="nil"/>
              <w:bottom w:val="single" w:sz="2" w:space="0" w:color="auto"/>
              <w:right w:val="nil"/>
            </w:tcBorders>
            <w:shd w:val="clear" w:color="auto" w:fill="auto"/>
            <w:noWrap/>
            <w:vAlign w:val="center"/>
            <w:hideMark/>
          </w:tcPr>
          <w:p w14:paraId="592CEA26" w14:textId="77777777" w:rsidR="00C30199" w:rsidRPr="00C2201F" w:rsidRDefault="00C30199" w:rsidP="00B14C9E">
            <w:pPr>
              <w:pStyle w:val="cuatexto"/>
              <w:spacing w:line="240" w:lineRule="auto"/>
              <w:jc w:val="right"/>
              <w:rPr>
                <w:lang w:val="es-ES" w:eastAsia="es-ES"/>
              </w:rPr>
            </w:pPr>
            <w:r w:rsidRPr="00C2201F">
              <w:rPr>
                <w:lang w:val="es-ES" w:eastAsia="es-ES"/>
              </w:rPr>
              <w:t>22.445</w:t>
            </w:r>
          </w:p>
        </w:tc>
        <w:tc>
          <w:tcPr>
            <w:tcW w:w="1559" w:type="dxa"/>
            <w:tcBorders>
              <w:top w:val="nil"/>
              <w:left w:val="nil"/>
              <w:bottom w:val="single" w:sz="2" w:space="0" w:color="auto"/>
              <w:right w:val="nil"/>
            </w:tcBorders>
            <w:shd w:val="clear" w:color="auto" w:fill="auto"/>
            <w:noWrap/>
            <w:vAlign w:val="center"/>
            <w:hideMark/>
          </w:tcPr>
          <w:p w14:paraId="2B1F9F54" w14:textId="77777777" w:rsidR="00C30199" w:rsidRPr="00C2201F" w:rsidRDefault="00C30199" w:rsidP="00B14C9E">
            <w:pPr>
              <w:pStyle w:val="cuatexto"/>
              <w:spacing w:line="240" w:lineRule="auto"/>
              <w:jc w:val="right"/>
              <w:rPr>
                <w:lang w:val="es-ES" w:eastAsia="es-ES"/>
              </w:rPr>
            </w:pPr>
            <w:r w:rsidRPr="00C2201F">
              <w:rPr>
                <w:lang w:val="es-ES" w:eastAsia="es-ES"/>
              </w:rPr>
              <w:t>19.539</w:t>
            </w:r>
          </w:p>
        </w:tc>
        <w:tc>
          <w:tcPr>
            <w:tcW w:w="1134" w:type="dxa"/>
            <w:tcBorders>
              <w:top w:val="nil"/>
              <w:left w:val="nil"/>
              <w:bottom w:val="single" w:sz="2" w:space="0" w:color="auto"/>
              <w:right w:val="nil"/>
            </w:tcBorders>
            <w:shd w:val="clear" w:color="auto" w:fill="auto"/>
            <w:noWrap/>
            <w:vAlign w:val="center"/>
            <w:hideMark/>
          </w:tcPr>
          <w:p w14:paraId="77302617" w14:textId="77777777" w:rsidR="00C30199" w:rsidRPr="00C2201F" w:rsidRDefault="00C30199" w:rsidP="00B14C9E">
            <w:pPr>
              <w:pStyle w:val="cuatexto"/>
              <w:spacing w:line="240" w:lineRule="auto"/>
              <w:jc w:val="right"/>
              <w:rPr>
                <w:lang w:val="es-ES" w:eastAsia="es-ES"/>
              </w:rPr>
            </w:pPr>
            <w:r w:rsidRPr="00C2201F">
              <w:rPr>
                <w:lang w:val="es-ES" w:eastAsia="es-ES"/>
              </w:rPr>
              <w:t>87</w:t>
            </w:r>
          </w:p>
        </w:tc>
        <w:tc>
          <w:tcPr>
            <w:tcW w:w="2977" w:type="dxa"/>
            <w:tcBorders>
              <w:top w:val="nil"/>
              <w:left w:val="nil"/>
              <w:bottom w:val="single" w:sz="2" w:space="0" w:color="auto"/>
              <w:right w:val="nil"/>
            </w:tcBorders>
            <w:shd w:val="clear" w:color="auto" w:fill="auto"/>
            <w:noWrap/>
            <w:vAlign w:val="center"/>
            <w:hideMark/>
          </w:tcPr>
          <w:p w14:paraId="0D3232A0" w14:textId="77777777" w:rsidR="00C30199" w:rsidRPr="00C2201F" w:rsidRDefault="00C30199" w:rsidP="00B14C9E">
            <w:pPr>
              <w:pStyle w:val="cuatexto"/>
              <w:spacing w:line="240" w:lineRule="auto"/>
              <w:jc w:val="right"/>
              <w:rPr>
                <w:lang w:val="es-ES" w:eastAsia="es-ES"/>
              </w:rPr>
            </w:pPr>
            <w:r w:rsidRPr="00C2201F">
              <w:rPr>
                <w:lang w:val="es-ES" w:eastAsia="es-ES"/>
              </w:rPr>
              <w:t>4.621</w:t>
            </w:r>
          </w:p>
        </w:tc>
      </w:tr>
      <w:tr w:rsidR="00C30199" w:rsidRPr="00C2201F" w14:paraId="112CB699"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227DC05C" w14:textId="77777777" w:rsidR="00C30199" w:rsidRPr="00C2201F" w:rsidRDefault="00C30199" w:rsidP="00B14C9E">
            <w:pPr>
              <w:pStyle w:val="cuatexto"/>
              <w:spacing w:line="240" w:lineRule="auto"/>
              <w:rPr>
                <w:lang w:val="es-ES" w:eastAsia="es-ES"/>
              </w:rPr>
            </w:pPr>
            <w:r w:rsidRPr="00C2201F">
              <w:rPr>
                <w:lang w:val="es-ES" w:eastAsia="es-ES"/>
              </w:rPr>
              <w:t>2015</w:t>
            </w:r>
          </w:p>
        </w:tc>
        <w:tc>
          <w:tcPr>
            <w:tcW w:w="1559" w:type="dxa"/>
            <w:tcBorders>
              <w:top w:val="single" w:sz="2" w:space="0" w:color="auto"/>
              <w:left w:val="nil"/>
              <w:bottom w:val="single" w:sz="2" w:space="0" w:color="auto"/>
              <w:right w:val="nil"/>
            </w:tcBorders>
            <w:shd w:val="clear" w:color="auto" w:fill="auto"/>
            <w:noWrap/>
            <w:vAlign w:val="center"/>
            <w:hideMark/>
          </w:tcPr>
          <w:p w14:paraId="4D495A92" w14:textId="77777777" w:rsidR="00C30199" w:rsidRPr="00C2201F" w:rsidRDefault="00C30199" w:rsidP="00B14C9E">
            <w:pPr>
              <w:pStyle w:val="cuatexto"/>
              <w:spacing w:line="240" w:lineRule="auto"/>
              <w:jc w:val="right"/>
              <w:rPr>
                <w:lang w:val="es-ES" w:eastAsia="es-ES"/>
              </w:rPr>
            </w:pPr>
            <w:r w:rsidRPr="00C2201F">
              <w:rPr>
                <w:lang w:val="es-ES" w:eastAsia="es-ES"/>
              </w:rPr>
              <w:t>22.464</w:t>
            </w:r>
          </w:p>
        </w:tc>
        <w:tc>
          <w:tcPr>
            <w:tcW w:w="1559" w:type="dxa"/>
            <w:tcBorders>
              <w:top w:val="single" w:sz="2" w:space="0" w:color="auto"/>
              <w:left w:val="nil"/>
              <w:bottom w:val="single" w:sz="2" w:space="0" w:color="auto"/>
              <w:right w:val="nil"/>
            </w:tcBorders>
            <w:shd w:val="clear" w:color="auto" w:fill="auto"/>
            <w:noWrap/>
            <w:vAlign w:val="center"/>
            <w:hideMark/>
          </w:tcPr>
          <w:p w14:paraId="12246204" w14:textId="77777777" w:rsidR="00C30199" w:rsidRPr="00C2201F" w:rsidRDefault="00C30199" w:rsidP="00B14C9E">
            <w:pPr>
              <w:pStyle w:val="cuatexto"/>
              <w:spacing w:line="240" w:lineRule="auto"/>
              <w:jc w:val="right"/>
              <w:rPr>
                <w:lang w:val="es-ES" w:eastAsia="es-ES"/>
              </w:rPr>
            </w:pPr>
            <w:r w:rsidRPr="00C2201F">
              <w:rPr>
                <w:lang w:val="es-ES" w:eastAsia="es-ES"/>
              </w:rPr>
              <w:t>19.812</w:t>
            </w:r>
          </w:p>
        </w:tc>
        <w:tc>
          <w:tcPr>
            <w:tcW w:w="1134" w:type="dxa"/>
            <w:tcBorders>
              <w:top w:val="single" w:sz="2" w:space="0" w:color="auto"/>
              <w:left w:val="nil"/>
              <w:bottom w:val="single" w:sz="2" w:space="0" w:color="auto"/>
              <w:right w:val="nil"/>
            </w:tcBorders>
            <w:shd w:val="clear" w:color="auto" w:fill="auto"/>
            <w:noWrap/>
            <w:vAlign w:val="center"/>
            <w:hideMark/>
          </w:tcPr>
          <w:p w14:paraId="18D0F82A" w14:textId="77777777" w:rsidR="00C30199" w:rsidRPr="00C2201F" w:rsidRDefault="00C30199" w:rsidP="00B14C9E">
            <w:pPr>
              <w:pStyle w:val="cuatexto"/>
              <w:spacing w:line="240" w:lineRule="auto"/>
              <w:jc w:val="right"/>
              <w:rPr>
                <w:lang w:val="es-ES" w:eastAsia="es-ES"/>
              </w:rPr>
            </w:pPr>
            <w:r w:rsidRPr="00C2201F">
              <w:rPr>
                <w:lang w:val="es-ES" w:eastAsia="es-ES"/>
              </w:rPr>
              <w:t>88</w:t>
            </w:r>
          </w:p>
        </w:tc>
        <w:tc>
          <w:tcPr>
            <w:tcW w:w="2977" w:type="dxa"/>
            <w:tcBorders>
              <w:top w:val="single" w:sz="2" w:space="0" w:color="auto"/>
              <w:left w:val="nil"/>
              <w:bottom w:val="single" w:sz="2" w:space="0" w:color="auto"/>
              <w:right w:val="nil"/>
            </w:tcBorders>
            <w:shd w:val="clear" w:color="auto" w:fill="auto"/>
            <w:noWrap/>
            <w:vAlign w:val="center"/>
            <w:hideMark/>
          </w:tcPr>
          <w:p w14:paraId="23CD2C64" w14:textId="77777777" w:rsidR="00C30199" w:rsidRPr="00C2201F" w:rsidRDefault="00C30199" w:rsidP="00B14C9E">
            <w:pPr>
              <w:pStyle w:val="cuatexto"/>
              <w:spacing w:line="240" w:lineRule="auto"/>
              <w:jc w:val="right"/>
              <w:rPr>
                <w:lang w:val="es-ES" w:eastAsia="es-ES"/>
              </w:rPr>
            </w:pPr>
            <w:r w:rsidRPr="00C2201F">
              <w:rPr>
                <w:lang w:val="es-ES" w:eastAsia="es-ES"/>
              </w:rPr>
              <w:t>4.753</w:t>
            </w:r>
          </w:p>
        </w:tc>
      </w:tr>
      <w:tr w:rsidR="00C30199" w:rsidRPr="00C2201F" w14:paraId="4DC595CF"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7B65BCE2" w14:textId="77777777" w:rsidR="00C30199" w:rsidRPr="00C2201F" w:rsidRDefault="00C30199" w:rsidP="00B14C9E">
            <w:pPr>
              <w:pStyle w:val="cuatexto"/>
              <w:spacing w:line="240" w:lineRule="auto"/>
              <w:rPr>
                <w:lang w:val="es-ES" w:eastAsia="es-ES"/>
              </w:rPr>
            </w:pPr>
            <w:r w:rsidRPr="00C2201F">
              <w:rPr>
                <w:lang w:val="es-ES" w:eastAsia="es-ES"/>
              </w:rPr>
              <w:t>2016</w:t>
            </w:r>
          </w:p>
        </w:tc>
        <w:tc>
          <w:tcPr>
            <w:tcW w:w="1559" w:type="dxa"/>
            <w:tcBorders>
              <w:top w:val="single" w:sz="2" w:space="0" w:color="auto"/>
              <w:left w:val="nil"/>
              <w:bottom w:val="single" w:sz="2" w:space="0" w:color="auto"/>
              <w:right w:val="nil"/>
            </w:tcBorders>
            <w:shd w:val="clear" w:color="auto" w:fill="auto"/>
            <w:noWrap/>
            <w:vAlign w:val="center"/>
            <w:hideMark/>
          </w:tcPr>
          <w:p w14:paraId="090C17E0" w14:textId="77777777" w:rsidR="00C30199" w:rsidRPr="00C2201F" w:rsidRDefault="00C30199" w:rsidP="00B14C9E">
            <w:pPr>
              <w:pStyle w:val="cuatexto"/>
              <w:spacing w:line="240" w:lineRule="auto"/>
              <w:jc w:val="right"/>
              <w:rPr>
                <w:lang w:val="es-ES" w:eastAsia="es-ES"/>
              </w:rPr>
            </w:pPr>
            <w:r w:rsidRPr="00C2201F">
              <w:rPr>
                <w:lang w:val="es-ES" w:eastAsia="es-ES"/>
              </w:rPr>
              <w:t>22.473</w:t>
            </w:r>
          </w:p>
        </w:tc>
        <w:tc>
          <w:tcPr>
            <w:tcW w:w="1559" w:type="dxa"/>
            <w:tcBorders>
              <w:top w:val="single" w:sz="2" w:space="0" w:color="auto"/>
              <w:left w:val="nil"/>
              <w:bottom w:val="single" w:sz="2" w:space="0" w:color="auto"/>
              <w:right w:val="nil"/>
            </w:tcBorders>
            <w:shd w:val="clear" w:color="auto" w:fill="auto"/>
            <w:noWrap/>
            <w:vAlign w:val="center"/>
            <w:hideMark/>
          </w:tcPr>
          <w:p w14:paraId="2FFCA3E6" w14:textId="77777777" w:rsidR="00C30199" w:rsidRPr="00C2201F" w:rsidRDefault="00C30199" w:rsidP="00B14C9E">
            <w:pPr>
              <w:pStyle w:val="cuatexto"/>
              <w:spacing w:line="240" w:lineRule="auto"/>
              <w:jc w:val="right"/>
              <w:rPr>
                <w:lang w:val="es-ES" w:eastAsia="es-ES"/>
              </w:rPr>
            </w:pPr>
            <w:r w:rsidRPr="00C2201F">
              <w:rPr>
                <w:lang w:val="es-ES" w:eastAsia="es-ES"/>
              </w:rPr>
              <w:t>20.032</w:t>
            </w:r>
          </w:p>
        </w:tc>
        <w:tc>
          <w:tcPr>
            <w:tcW w:w="1134" w:type="dxa"/>
            <w:tcBorders>
              <w:top w:val="single" w:sz="2" w:space="0" w:color="auto"/>
              <w:left w:val="nil"/>
              <w:bottom w:val="single" w:sz="2" w:space="0" w:color="auto"/>
              <w:right w:val="nil"/>
            </w:tcBorders>
            <w:shd w:val="clear" w:color="auto" w:fill="auto"/>
            <w:noWrap/>
            <w:vAlign w:val="center"/>
            <w:hideMark/>
          </w:tcPr>
          <w:p w14:paraId="0A2878E3" w14:textId="77777777" w:rsidR="00C30199" w:rsidRPr="00C2201F" w:rsidRDefault="00C30199" w:rsidP="00B14C9E">
            <w:pPr>
              <w:pStyle w:val="cuatexto"/>
              <w:spacing w:line="240" w:lineRule="auto"/>
              <w:jc w:val="right"/>
              <w:rPr>
                <w:lang w:val="es-ES" w:eastAsia="es-ES"/>
              </w:rPr>
            </w:pPr>
            <w:r w:rsidRPr="00C2201F">
              <w:rPr>
                <w:lang w:val="es-ES" w:eastAsia="es-ES"/>
              </w:rPr>
              <w:t>89</w:t>
            </w:r>
          </w:p>
        </w:tc>
        <w:tc>
          <w:tcPr>
            <w:tcW w:w="2977" w:type="dxa"/>
            <w:tcBorders>
              <w:top w:val="single" w:sz="2" w:space="0" w:color="auto"/>
              <w:left w:val="nil"/>
              <w:bottom w:val="single" w:sz="2" w:space="0" w:color="auto"/>
              <w:right w:val="nil"/>
            </w:tcBorders>
            <w:shd w:val="clear" w:color="auto" w:fill="auto"/>
            <w:noWrap/>
            <w:vAlign w:val="center"/>
            <w:hideMark/>
          </w:tcPr>
          <w:p w14:paraId="4DB25722" w14:textId="77777777" w:rsidR="00C30199" w:rsidRPr="00C2201F" w:rsidRDefault="00C30199" w:rsidP="00B14C9E">
            <w:pPr>
              <w:pStyle w:val="cuatexto"/>
              <w:spacing w:line="240" w:lineRule="auto"/>
              <w:jc w:val="right"/>
              <w:rPr>
                <w:lang w:val="es-ES" w:eastAsia="es-ES"/>
              </w:rPr>
            </w:pPr>
            <w:r w:rsidRPr="00C2201F">
              <w:rPr>
                <w:lang w:val="es-ES" w:eastAsia="es-ES"/>
              </w:rPr>
              <w:t>4.682</w:t>
            </w:r>
          </w:p>
        </w:tc>
      </w:tr>
      <w:tr w:rsidR="00C30199" w:rsidRPr="00C2201F" w14:paraId="779CF3DD"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3010F39A" w14:textId="77777777" w:rsidR="00C30199" w:rsidRPr="00C2201F" w:rsidRDefault="00C30199" w:rsidP="00B14C9E">
            <w:pPr>
              <w:pStyle w:val="cuatexto"/>
              <w:spacing w:line="240" w:lineRule="auto"/>
              <w:rPr>
                <w:lang w:val="es-ES" w:eastAsia="es-ES"/>
              </w:rPr>
            </w:pPr>
            <w:r w:rsidRPr="00C2201F">
              <w:rPr>
                <w:lang w:val="es-ES" w:eastAsia="es-ES"/>
              </w:rPr>
              <w:t>2017</w:t>
            </w:r>
          </w:p>
        </w:tc>
        <w:tc>
          <w:tcPr>
            <w:tcW w:w="1559" w:type="dxa"/>
            <w:tcBorders>
              <w:top w:val="single" w:sz="2" w:space="0" w:color="auto"/>
              <w:left w:val="nil"/>
              <w:bottom w:val="single" w:sz="2" w:space="0" w:color="auto"/>
              <w:right w:val="nil"/>
            </w:tcBorders>
            <w:shd w:val="clear" w:color="auto" w:fill="auto"/>
            <w:noWrap/>
            <w:vAlign w:val="center"/>
            <w:hideMark/>
          </w:tcPr>
          <w:p w14:paraId="155E26C7" w14:textId="77777777" w:rsidR="00C30199" w:rsidRPr="00C2201F" w:rsidRDefault="00C30199" w:rsidP="00B14C9E">
            <w:pPr>
              <w:pStyle w:val="cuatexto"/>
              <w:spacing w:line="240" w:lineRule="auto"/>
              <w:jc w:val="right"/>
              <w:rPr>
                <w:lang w:val="es-ES" w:eastAsia="es-ES"/>
              </w:rPr>
            </w:pPr>
            <w:r w:rsidRPr="00C2201F">
              <w:rPr>
                <w:lang w:val="es-ES" w:eastAsia="es-ES"/>
              </w:rPr>
              <w:t>22.472</w:t>
            </w:r>
          </w:p>
        </w:tc>
        <w:tc>
          <w:tcPr>
            <w:tcW w:w="1559" w:type="dxa"/>
            <w:tcBorders>
              <w:top w:val="single" w:sz="2" w:space="0" w:color="auto"/>
              <w:left w:val="nil"/>
              <w:bottom w:val="single" w:sz="2" w:space="0" w:color="auto"/>
              <w:right w:val="nil"/>
            </w:tcBorders>
            <w:shd w:val="clear" w:color="auto" w:fill="auto"/>
            <w:noWrap/>
            <w:vAlign w:val="center"/>
            <w:hideMark/>
          </w:tcPr>
          <w:p w14:paraId="58024CE0" w14:textId="77777777" w:rsidR="00C30199" w:rsidRPr="00C2201F" w:rsidRDefault="00C30199" w:rsidP="00B14C9E">
            <w:pPr>
              <w:pStyle w:val="cuatexto"/>
              <w:spacing w:line="240" w:lineRule="auto"/>
              <w:jc w:val="right"/>
              <w:rPr>
                <w:lang w:val="es-ES" w:eastAsia="es-ES"/>
              </w:rPr>
            </w:pPr>
            <w:r w:rsidRPr="00C2201F">
              <w:rPr>
                <w:lang w:val="es-ES" w:eastAsia="es-ES"/>
              </w:rPr>
              <w:t>20.140</w:t>
            </w:r>
          </w:p>
        </w:tc>
        <w:tc>
          <w:tcPr>
            <w:tcW w:w="1134" w:type="dxa"/>
            <w:tcBorders>
              <w:top w:val="single" w:sz="2" w:space="0" w:color="auto"/>
              <w:left w:val="nil"/>
              <w:bottom w:val="single" w:sz="2" w:space="0" w:color="auto"/>
              <w:right w:val="nil"/>
            </w:tcBorders>
            <w:shd w:val="clear" w:color="auto" w:fill="auto"/>
            <w:noWrap/>
            <w:vAlign w:val="center"/>
            <w:hideMark/>
          </w:tcPr>
          <w:p w14:paraId="6B4C0A22" w14:textId="77777777" w:rsidR="00C30199" w:rsidRPr="00C2201F" w:rsidRDefault="00C30199" w:rsidP="00B14C9E">
            <w:pPr>
              <w:pStyle w:val="cuatexto"/>
              <w:spacing w:line="240" w:lineRule="auto"/>
              <w:jc w:val="right"/>
              <w:rPr>
                <w:lang w:val="es-ES" w:eastAsia="es-ES"/>
              </w:rPr>
            </w:pPr>
            <w:r w:rsidRPr="00C2201F">
              <w:rPr>
                <w:lang w:val="es-ES" w:eastAsia="es-ES"/>
              </w:rPr>
              <w:t>90</w:t>
            </w:r>
          </w:p>
        </w:tc>
        <w:tc>
          <w:tcPr>
            <w:tcW w:w="2977" w:type="dxa"/>
            <w:tcBorders>
              <w:top w:val="single" w:sz="2" w:space="0" w:color="auto"/>
              <w:left w:val="nil"/>
              <w:bottom w:val="single" w:sz="2" w:space="0" w:color="auto"/>
              <w:right w:val="nil"/>
            </w:tcBorders>
            <w:shd w:val="clear" w:color="auto" w:fill="auto"/>
            <w:noWrap/>
            <w:vAlign w:val="center"/>
            <w:hideMark/>
          </w:tcPr>
          <w:p w14:paraId="5F2DB59B" w14:textId="77777777" w:rsidR="00C30199" w:rsidRPr="00C2201F" w:rsidRDefault="00C30199" w:rsidP="00B14C9E">
            <w:pPr>
              <w:pStyle w:val="cuatexto"/>
              <w:spacing w:line="240" w:lineRule="auto"/>
              <w:jc w:val="right"/>
              <w:rPr>
                <w:lang w:val="es-ES" w:eastAsia="es-ES"/>
              </w:rPr>
            </w:pPr>
            <w:r w:rsidRPr="00C2201F">
              <w:rPr>
                <w:lang w:val="es-ES" w:eastAsia="es-ES"/>
              </w:rPr>
              <w:t>4.341</w:t>
            </w:r>
          </w:p>
        </w:tc>
      </w:tr>
      <w:tr w:rsidR="00C30199" w:rsidRPr="00C2201F" w14:paraId="47DC2BF0"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5B446F74" w14:textId="77777777" w:rsidR="00C30199" w:rsidRPr="00C2201F" w:rsidRDefault="00C30199" w:rsidP="00B14C9E">
            <w:pPr>
              <w:pStyle w:val="cuatexto"/>
              <w:spacing w:line="240" w:lineRule="auto"/>
              <w:rPr>
                <w:lang w:val="es-ES" w:eastAsia="es-ES"/>
              </w:rPr>
            </w:pPr>
            <w:r w:rsidRPr="00C2201F">
              <w:rPr>
                <w:lang w:val="es-ES" w:eastAsia="es-ES"/>
              </w:rPr>
              <w:t>2018</w:t>
            </w:r>
          </w:p>
        </w:tc>
        <w:tc>
          <w:tcPr>
            <w:tcW w:w="1559" w:type="dxa"/>
            <w:tcBorders>
              <w:top w:val="single" w:sz="2" w:space="0" w:color="auto"/>
              <w:left w:val="nil"/>
              <w:bottom w:val="single" w:sz="2" w:space="0" w:color="auto"/>
              <w:right w:val="nil"/>
            </w:tcBorders>
            <w:shd w:val="clear" w:color="auto" w:fill="auto"/>
            <w:noWrap/>
            <w:vAlign w:val="center"/>
            <w:hideMark/>
          </w:tcPr>
          <w:p w14:paraId="6B748CE1" w14:textId="77777777" w:rsidR="00C30199" w:rsidRPr="00C2201F" w:rsidRDefault="00C30199" w:rsidP="00B14C9E">
            <w:pPr>
              <w:pStyle w:val="cuatexto"/>
              <w:spacing w:line="240" w:lineRule="auto"/>
              <w:jc w:val="right"/>
              <w:rPr>
                <w:lang w:val="es-ES" w:eastAsia="es-ES"/>
              </w:rPr>
            </w:pPr>
            <w:r w:rsidRPr="00C2201F">
              <w:rPr>
                <w:lang w:val="es-ES" w:eastAsia="es-ES"/>
              </w:rPr>
              <w:t>22.470</w:t>
            </w:r>
          </w:p>
        </w:tc>
        <w:tc>
          <w:tcPr>
            <w:tcW w:w="1559" w:type="dxa"/>
            <w:tcBorders>
              <w:top w:val="single" w:sz="2" w:space="0" w:color="auto"/>
              <w:left w:val="nil"/>
              <w:bottom w:val="single" w:sz="2" w:space="0" w:color="auto"/>
              <w:right w:val="nil"/>
            </w:tcBorders>
            <w:shd w:val="clear" w:color="auto" w:fill="auto"/>
            <w:noWrap/>
            <w:vAlign w:val="center"/>
            <w:hideMark/>
          </w:tcPr>
          <w:p w14:paraId="714D8879" w14:textId="77777777" w:rsidR="00C30199" w:rsidRPr="00C2201F" w:rsidRDefault="00C30199" w:rsidP="00B14C9E">
            <w:pPr>
              <w:pStyle w:val="cuatexto"/>
              <w:spacing w:line="240" w:lineRule="auto"/>
              <w:jc w:val="right"/>
              <w:rPr>
                <w:lang w:val="es-ES" w:eastAsia="es-ES"/>
              </w:rPr>
            </w:pPr>
            <w:r w:rsidRPr="00C2201F">
              <w:rPr>
                <w:lang w:val="es-ES" w:eastAsia="es-ES"/>
              </w:rPr>
              <w:t>20.155</w:t>
            </w:r>
          </w:p>
        </w:tc>
        <w:tc>
          <w:tcPr>
            <w:tcW w:w="1134" w:type="dxa"/>
            <w:tcBorders>
              <w:top w:val="single" w:sz="2" w:space="0" w:color="auto"/>
              <w:left w:val="nil"/>
              <w:bottom w:val="single" w:sz="2" w:space="0" w:color="auto"/>
              <w:right w:val="nil"/>
            </w:tcBorders>
            <w:shd w:val="clear" w:color="auto" w:fill="auto"/>
            <w:noWrap/>
            <w:vAlign w:val="center"/>
            <w:hideMark/>
          </w:tcPr>
          <w:p w14:paraId="46798A29" w14:textId="77777777" w:rsidR="00C30199" w:rsidRPr="00C2201F" w:rsidRDefault="00C30199" w:rsidP="00B14C9E">
            <w:pPr>
              <w:pStyle w:val="cuatexto"/>
              <w:spacing w:line="240" w:lineRule="auto"/>
              <w:jc w:val="right"/>
              <w:rPr>
                <w:lang w:val="es-ES" w:eastAsia="es-ES"/>
              </w:rPr>
            </w:pPr>
            <w:r w:rsidRPr="00C2201F">
              <w:rPr>
                <w:lang w:val="es-ES" w:eastAsia="es-ES"/>
              </w:rPr>
              <w:t>90</w:t>
            </w:r>
          </w:p>
        </w:tc>
        <w:tc>
          <w:tcPr>
            <w:tcW w:w="2977" w:type="dxa"/>
            <w:tcBorders>
              <w:top w:val="single" w:sz="2" w:space="0" w:color="auto"/>
              <w:left w:val="nil"/>
              <w:bottom w:val="single" w:sz="2" w:space="0" w:color="auto"/>
              <w:right w:val="nil"/>
            </w:tcBorders>
            <w:shd w:val="clear" w:color="auto" w:fill="auto"/>
            <w:noWrap/>
            <w:vAlign w:val="center"/>
            <w:hideMark/>
          </w:tcPr>
          <w:p w14:paraId="3FB618A4" w14:textId="77777777" w:rsidR="00C30199" w:rsidRPr="00C2201F" w:rsidRDefault="00C30199" w:rsidP="00B14C9E">
            <w:pPr>
              <w:pStyle w:val="cuatexto"/>
              <w:spacing w:line="240" w:lineRule="auto"/>
              <w:jc w:val="right"/>
              <w:rPr>
                <w:lang w:val="es-ES" w:eastAsia="es-ES"/>
              </w:rPr>
            </w:pPr>
            <w:r w:rsidRPr="00C2201F">
              <w:rPr>
                <w:lang w:val="es-ES" w:eastAsia="es-ES"/>
              </w:rPr>
              <w:t>3.926</w:t>
            </w:r>
          </w:p>
        </w:tc>
      </w:tr>
      <w:tr w:rsidR="00C30199" w:rsidRPr="00C2201F" w14:paraId="175DED23"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648E604A" w14:textId="77777777" w:rsidR="00C30199" w:rsidRPr="00C2201F" w:rsidRDefault="00C30199" w:rsidP="00B14C9E">
            <w:pPr>
              <w:pStyle w:val="cuatexto"/>
              <w:spacing w:line="240" w:lineRule="auto"/>
              <w:rPr>
                <w:lang w:val="es-ES" w:eastAsia="es-ES"/>
              </w:rPr>
            </w:pPr>
            <w:r w:rsidRPr="00C2201F">
              <w:rPr>
                <w:lang w:val="es-ES" w:eastAsia="es-ES"/>
              </w:rPr>
              <w:t>2019</w:t>
            </w:r>
          </w:p>
        </w:tc>
        <w:tc>
          <w:tcPr>
            <w:tcW w:w="1559" w:type="dxa"/>
            <w:tcBorders>
              <w:top w:val="single" w:sz="2" w:space="0" w:color="auto"/>
              <w:left w:val="nil"/>
              <w:bottom w:val="single" w:sz="2" w:space="0" w:color="auto"/>
              <w:right w:val="nil"/>
            </w:tcBorders>
            <w:shd w:val="clear" w:color="auto" w:fill="auto"/>
            <w:noWrap/>
            <w:vAlign w:val="center"/>
            <w:hideMark/>
          </w:tcPr>
          <w:p w14:paraId="4510E960" w14:textId="77777777" w:rsidR="00C30199" w:rsidRPr="00C2201F" w:rsidRDefault="00C30199" w:rsidP="00B14C9E">
            <w:pPr>
              <w:pStyle w:val="cuatexto"/>
              <w:spacing w:line="240" w:lineRule="auto"/>
              <w:jc w:val="right"/>
              <w:rPr>
                <w:lang w:val="es-ES" w:eastAsia="es-ES"/>
              </w:rPr>
            </w:pPr>
            <w:r w:rsidRPr="00C2201F">
              <w:rPr>
                <w:lang w:val="es-ES" w:eastAsia="es-ES"/>
              </w:rPr>
              <w:t>22.469</w:t>
            </w:r>
          </w:p>
        </w:tc>
        <w:tc>
          <w:tcPr>
            <w:tcW w:w="1559" w:type="dxa"/>
            <w:tcBorders>
              <w:top w:val="single" w:sz="2" w:space="0" w:color="auto"/>
              <w:left w:val="nil"/>
              <w:bottom w:val="single" w:sz="2" w:space="0" w:color="auto"/>
              <w:right w:val="nil"/>
            </w:tcBorders>
            <w:shd w:val="clear" w:color="auto" w:fill="auto"/>
            <w:noWrap/>
            <w:vAlign w:val="center"/>
            <w:hideMark/>
          </w:tcPr>
          <w:p w14:paraId="34D5D055" w14:textId="77777777" w:rsidR="00C30199" w:rsidRPr="00C2201F" w:rsidRDefault="00C30199" w:rsidP="00B14C9E">
            <w:pPr>
              <w:pStyle w:val="cuatexto"/>
              <w:spacing w:line="240" w:lineRule="auto"/>
              <w:jc w:val="right"/>
              <w:rPr>
                <w:lang w:val="es-ES" w:eastAsia="es-ES"/>
              </w:rPr>
            </w:pPr>
            <w:r w:rsidRPr="00C2201F">
              <w:rPr>
                <w:lang w:val="es-ES" w:eastAsia="es-ES"/>
              </w:rPr>
              <w:t>20.265</w:t>
            </w:r>
          </w:p>
        </w:tc>
        <w:tc>
          <w:tcPr>
            <w:tcW w:w="1134" w:type="dxa"/>
            <w:tcBorders>
              <w:top w:val="single" w:sz="2" w:space="0" w:color="auto"/>
              <w:left w:val="nil"/>
              <w:bottom w:val="single" w:sz="2" w:space="0" w:color="auto"/>
              <w:right w:val="nil"/>
            </w:tcBorders>
            <w:shd w:val="clear" w:color="auto" w:fill="auto"/>
            <w:noWrap/>
            <w:vAlign w:val="center"/>
            <w:hideMark/>
          </w:tcPr>
          <w:p w14:paraId="09A61929" w14:textId="77777777" w:rsidR="00C30199" w:rsidRPr="00C2201F" w:rsidRDefault="00C30199" w:rsidP="00B14C9E">
            <w:pPr>
              <w:pStyle w:val="cuatexto"/>
              <w:spacing w:line="240" w:lineRule="auto"/>
              <w:jc w:val="right"/>
              <w:rPr>
                <w:lang w:val="es-ES" w:eastAsia="es-ES"/>
              </w:rPr>
            </w:pPr>
            <w:r w:rsidRPr="00C2201F">
              <w:rPr>
                <w:lang w:val="es-ES" w:eastAsia="es-ES"/>
              </w:rPr>
              <w:t>90</w:t>
            </w:r>
          </w:p>
        </w:tc>
        <w:tc>
          <w:tcPr>
            <w:tcW w:w="2977" w:type="dxa"/>
            <w:tcBorders>
              <w:top w:val="single" w:sz="2" w:space="0" w:color="auto"/>
              <w:left w:val="nil"/>
              <w:bottom w:val="single" w:sz="2" w:space="0" w:color="auto"/>
              <w:right w:val="nil"/>
            </w:tcBorders>
            <w:shd w:val="clear" w:color="auto" w:fill="auto"/>
            <w:noWrap/>
            <w:vAlign w:val="center"/>
            <w:hideMark/>
          </w:tcPr>
          <w:p w14:paraId="441FE9EC" w14:textId="77777777" w:rsidR="00C30199" w:rsidRPr="00C2201F" w:rsidRDefault="00C30199" w:rsidP="00B14C9E">
            <w:pPr>
              <w:pStyle w:val="cuatexto"/>
              <w:spacing w:line="240" w:lineRule="auto"/>
              <w:jc w:val="right"/>
              <w:rPr>
                <w:lang w:val="es-ES" w:eastAsia="es-ES"/>
              </w:rPr>
            </w:pPr>
            <w:r w:rsidRPr="00C2201F">
              <w:rPr>
                <w:lang w:val="es-ES" w:eastAsia="es-ES"/>
              </w:rPr>
              <w:t>4.873</w:t>
            </w:r>
          </w:p>
        </w:tc>
      </w:tr>
      <w:tr w:rsidR="00C30199" w:rsidRPr="00C2201F" w14:paraId="347DE4BD" w14:textId="77777777" w:rsidTr="0021569A">
        <w:trPr>
          <w:trHeight w:val="255"/>
        </w:trPr>
        <w:tc>
          <w:tcPr>
            <w:tcW w:w="1843" w:type="dxa"/>
            <w:tcBorders>
              <w:top w:val="single" w:sz="2" w:space="0" w:color="auto"/>
              <w:left w:val="nil"/>
              <w:bottom w:val="single" w:sz="2" w:space="0" w:color="auto"/>
              <w:right w:val="nil"/>
            </w:tcBorders>
            <w:shd w:val="clear" w:color="auto" w:fill="auto"/>
            <w:noWrap/>
            <w:vAlign w:val="center"/>
            <w:hideMark/>
          </w:tcPr>
          <w:p w14:paraId="095F087F" w14:textId="77777777" w:rsidR="00C30199" w:rsidRPr="00C2201F" w:rsidRDefault="00C30199" w:rsidP="00B14C9E">
            <w:pPr>
              <w:pStyle w:val="cuatexto"/>
              <w:spacing w:line="240" w:lineRule="auto"/>
              <w:rPr>
                <w:lang w:val="es-ES" w:eastAsia="es-ES"/>
              </w:rPr>
            </w:pPr>
            <w:r w:rsidRPr="00C2201F">
              <w:rPr>
                <w:lang w:val="es-ES" w:eastAsia="es-ES"/>
              </w:rPr>
              <w:t>2020</w:t>
            </w:r>
          </w:p>
        </w:tc>
        <w:tc>
          <w:tcPr>
            <w:tcW w:w="1559" w:type="dxa"/>
            <w:tcBorders>
              <w:top w:val="single" w:sz="2" w:space="0" w:color="auto"/>
              <w:left w:val="nil"/>
              <w:bottom w:val="single" w:sz="2" w:space="0" w:color="auto"/>
              <w:right w:val="nil"/>
            </w:tcBorders>
            <w:shd w:val="clear" w:color="auto" w:fill="auto"/>
            <w:noWrap/>
            <w:vAlign w:val="center"/>
            <w:hideMark/>
          </w:tcPr>
          <w:p w14:paraId="1DD5AD21" w14:textId="77777777" w:rsidR="00C30199" w:rsidRPr="00C2201F" w:rsidRDefault="00C30199" w:rsidP="00B14C9E">
            <w:pPr>
              <w:pStyle w:val="cuatexto"/>
              <w:spacing w:line="240" w:lineRule="auto"/>
              <w:jc w:val="right"/>
              <w:rPr>
                <w:lang w:val="es-ES" w:eastAsia="es-ES"/>
              </w:rPr>
            </w:pPr>
            <w:r w:rsidRPr="00C2201F">
              <w:rPr>
                <w:lang w:val="es-ES" w:eastAsia="es-ES"/>
              </w:rPr>
              <w:t>22.404</w:t>
            </w:r>
          </w:p>
        </w:tc>
        <w:tc>
          <w:tcPr>
            <w:tcW w:w="1559" w:type="dxa"/>
            <w:tcBorders>
              <w:top w:val="single" w:sz="2" w:space="0" w:color="auto"/>
              <w:left w:val="nil"/>
              <w:bottom w:val="single" w:sz="2" w:space="0" w:color="auto"/>
              <w:right w:val="nil"/>
            </w:tcBorders>
            <w:shd w:val="clear" w:color="auto" w:fill="auto"/>
            <w:noWrap/>
            <w:vAlign w:val="center"/>
            <w:hideMark/>
          </w:tcPr>
          <w:p w14:paraId="295F9F49" w14:textId="77777777" w:rsidR="00C30199" w:rsidRPr="00C2201F" w:rsidRDefault="00C30199" w:rsidP="00B14C9E">
            <w:pPr>
              <w:pStyle w:val="cuatexto"/>
              <w:spacing w:line="240" w:lineRule="auto"/>
              <w:jc w:val="right"/>
              <w:rPr>
                <w:lang w:val="es-ES" w:eastAsia="es-ES"/>
              </w:rPr>
            </w:pPr>
            <w:r w:rsidRPr="00C2201F">
              <w:rPr>
                <w:lang w:val="es-ES" w:eastAsia="es-ES"/>
              </w:rPr>
              <w:t>20.295</w:t>
            </w:r>
          </w:p>
        </w:tc>
        <w:tc>
          <w:tcPr>
            <w:tcW w:w="1134" w:type="dxa"/>
            <w:tcBorders>
              <w:top w:val="single" w:sz="2" w:space="0" w:color="auto"/>
              <w:left w:val="nil"/>
              <w:bottom w:val="single" w:sz="2" w:space="0" w:color="auto"/>
              <w:right w:val="nil"/>
            </w:tcBorders>
            <w:shd w:val="clear" w:color="auto" w:fill="auto"/>
            <w:noWrap/>
            <w:vAlign w:val="center"/>
            <w:hideMark/>
          </w:tcPr>
          <w:p w14:paraId="546E7442" w14:textId="77777777" w:rsidR="00C30199" w:rsidRPr="00C2201F" w:rsidRDefault="00C30199" w:rsidP="00B14C9E">
            <w:pPr>
              <w:pStyle w:val="cuatexto"/>
              <w:spacing w:line="240" w:lineRule="auto"/>
              <w:jc w:val="right"/>
              <w:rPr>
                <w:lang w:val="es-ES" w:eastAsia="es-ES"/>
              </w:rPr>
            </w:pPr>
            <w:r w:rsidRPr="00C2201F">
              <w:rPr>
                <w:lang w:val="es-ES" w:eastAsia="es-ES"/>
              </w:rPr>
              <w:t>91</w:t>
            </w:r>
          </w:p>
        </w:tc>
        <w:tc>
          <w:tcPr>
            <w:tcW w:w="2977" w:type="dxa"/>
            <w:tcBorders>
              <w:top w:val="single" w:sz="2" w:space="0" w:color="auto"/>
              <w:left w:val="nil"/>
              <w:bottom w:val="single" w:sz="2" w:space="0" w:color="auto"/>
              <w:right w:val="nil"/>
            </w:tcBorders>
            <w:shd w:val="clear" w:color="auto" w:fill="auto"/>
            <w:noWrap/>
            <w:vAlign w:val="center"/>
            <w:hideMark/>
          </w:tcPr>
          <w:p w14:paraId="2C6EDF6B" w14:textId="77777777" w:rsidR="00C30199" w:rsidRPr="00C2201F" w:rsidRDefault="00C30199" w:rsidP="00B14C9E">
            <w:pPr>
              <w:pStyle w:val="cuatexto"/>
              <w:spacing w:line="240" w:lineRule="auto"/>
              <w:jc w:val="right"/>
              <w:rPr>
                <w:lang w:val="es-ES" w:eastAsia="es-ES"/>
              </w:rPr>
            </w:pPr>
            <w:r w:rsidRPr="00C2201F">
              <w:rPr>
                <w:lang w:val="es-ES" w:eastAsia="es-ES"/>
              </w:rPr>
              <w:t>4.021</w:t>
            </w:r>
          </w:p>
        </w:tc>
      </w:tr>
      <w:tr w:rsidR="00C30199" w:rsidRPr="00C2201F" w14:paraId="36429516" w14:textId="77777777" w:rsidTr="0021569A">
        <w:trPr>
          <w:trHeight w:val="255"/>
        </w:trPr>
        <w:tc>
          <w:tcPr>
            <w:tcW w:w="1843" w:type="dxa"/>
            <w:tcBorders>
              <w:top w:val="single" w:sz="2" w:space="0" w:color="auto"/>
              <w:left w:val="nil"/>
              <w:bottom w:val="single" w:sz="4" w:space="0" w:color="auto"/>
              <w:right w:val="nil"/>
            </w:tcBorders>
            <w:shd w:val="clear" w:color="auto" w:fill="auto"/>
            <w:noWrap/>
            <w:vAlign w:val="center"/>
            <w:hideMark/>
          </w:tcPr>
          <w:p w14:paraId="5CBCEA78" w14:textId="77777777" w:rsidR="00C30199" w:rsidRPr="00C2201F" w:rsidRDefault="00C30199" w:rsidP="00B14C9E">
            <w:pPr>
              <w:pStyle w:val="cuatexto"/>
              <w:spacing w:line="240" w:lineRule="auto"/>
              <w:rPr>
                <w:lang w:val="es-ES" w:eastAsia="es-ES"/>
              </w:rPr>
            </w:pPr>
            <w:r w:rsidRPr="00C2201F">
              <w:rPr>
                <w:lang w:val="es-ES" w:eastAsia="es-ES"/>
              </w:rPr>
              <w:t>2021</w:t>
            </w:r>
          </w:p>
        </w:tc>
        <w:tc>
          <w:tcPr>
            <w:tcW w:w="1559" w:type="dxa"/>
            <w:tcBorders>
              <w:top w:val="single" w:sz="2" w:space="0" w:color="auto"/>
              <w:left w:val="nil"/>
              <w:bottom w:val="single" w:sz="4" w:space="0" w:color="auto"/>
              <w:right w:val="nil"/>
            </w:tcBorders>
            <w:shd w:val="clear" w:color="auto" w:fill="auto"/>
            <w:noWrap/>
            <w:vAlign w:val="center"/>
            <w:hideMark/>
          </w:tcPr>
          <w:p w14:paraId="567BE631" w14:textId="77777777" w:rsidR="00C30199" w:rsidRPr="00C2201F" w:rsidRDefault="00C30199" w:rsidP="00B14C9E">
            <w:pPr>
              <w:pStyle w:val="cuatexto"/>
              <w:spacing w:line="240" w:lineRule="auto"/>
              <w:jc w:val="right"/>
              <w:rPr>
                <w:lang w:val="es-ES" w:eastAsia="es-ES"/>
              </w:rPr>
            </w:pPr>
            <w:r w:rsidRPr="00C2201F">
              <w:rPr>
                <w:lang w:val="es-ES" w:eastAsia="es-ES"/>
              </w:rPr>
              <w:t>22.398</w:t>
            </w:r>
          </w:p>
        </w:tc>
        <w:tc>
          <w:tcPr>
            <w:tcW w:w="1559" w:type="dxa"/>
            <w:tcBorders>
              <w:top w:val="single" w:sz="2" w:space="0" w:color="auto"/>
              <w:left w:val="nil"/>
              <w:bottom w:val="single" w:sz="4" w:space="0" w:color="auto"/>
              <w:right w:val="nil"/>
            </w:tcBorders>
            <w:shd w:val="clear" w:color="auto" w:fill="auto"/>
            <w:noWrap/>
            <w:vAlign w:val="center"/>
            <w:hideMark/>
          </w:tcPr>
          <w:p w14:paraId="6A3AD584" w14:textId="77777777" w:rsidR="00C30199" w:rsidRPr="00C2201F" w:rsidRDefault="00C30199" w:rsidP="00B14C9E">
            <w:pPr>
              <w:pStyle w:val="cuatexto"/>
              <w:spacing w:line="240" w:lineRule="auto"/>
              <w:jc w:val="right"/>
              <w:rPr>
                <w:lang w:val="es-ES" w:eastAsia="es-ES"/>
              </w:rPr>
            </w:pPr>
            <w:r w:rsidRPr="00C2201F">
              <w:rPr>
                <w:lang w:val="es-ES" w:eastAsia="es-ES"/>
              </w:rPr>
              <w:t>20.363</w:t>
            </w:r>
          </w:p>
        </w:tc>
        <w:tc>
          <w:tcPr>
            <w:tcW w:w="1134" w:type="dxa"/>
            <w:tcBorders>
              <w:top w:val="single" w:sz="2" w:space="0" w:color="auto"/>
              <w:left w:val="nil"/>
              <w:bottom w:val="single" w:sz="4" w:space="0" w:color="auto"/>
              <w:right w:val="nil"/>
            </w:tcBorders>
            <w:shd w:val="clear" w:color="auto" w:fill="auto"/>
            <w:noWrap/>
            <w:vAlign w:val="center"/>
            <w:hideMark/>
          </w:tcPr>
          <w:p w14:paraId="6E1E227C" w14:textId="77777777" w:rsidR="00C30199" w:rsidRPr="00C2201F" w:rsidRDefault="00C30199" w:rsidP="00B14C9E">
            <w:pPr>
              <w:pStyle w:val="cuatexto"/>
              <w:spacing w:line="240" w:lineRule="auto"/>
              <w:jc w:val="right"/>
              <w:rPr>
                <w:lang w:val="es-ES" w:eastAsia="es-ES"/>
              </w:rPr>
            </w:pPr>
            <w:r w:rsidRPr="00C2201F">
              <w:rPr>
                <w:lang w:val="es-ES" w:eastAsia="es-ES"/>
              </w:rPr>
              <w:t>91</w:t>
            </w:r>
          </w:p>
        </w:tc>
        <w:tc>
          <w:tcPr>
            <w:tcW w:w="2977" w:type="dxa"/>
            <w:tcBorders>
              <w:top w:val="single" w:sz="2" w:space="0" w:color="auto"/>
              <w:left w:val="nil"/>
              <w:bottom w:val="single" w:sz="4" w:space="0" w:color="auto"/>
              <w:right w:val="nil"/>
            </w:tcBorders>
            <w:shd w:val="clear" w:color="auto" w:fill="auto"/>
            <w:noWrap/>
            <w:vAlign w:val="center"/>
            <w:hideMark/>
          </w:tcPr>
          <w:p w14:paraId="151DE0B7" w14:textId="77777777" w:rsidR="00C30199" w:rsidRPr="00C2201F" w:rsidRDefault="00C30199" w:rsidP="00B14C9E">
            <w:pPr>
              <w:pStyle w:val="cuatexto"/>
              <w:spacing w:line="240" w:lineRule="auto"/>
              <w:jc w:val="right"/>
              <w:rPr>
                <w:lang w:val="es-ES" w:eastAsia="es-ES"/>
              </w:rPr>
            </w:pPr>
            <w:r w:rsidRPr="00C2201F">
              <w:rPr>
                <w:lang w:val="es-ES" w:eastAsia="es-ES"/>
              </w:rPr>
              <w:t>4.234</w:t>
            </w:r>
          </w:p>
        </w:tc>
      </w:tr>
    </w:tbl>
    <w:p w14:paraId="335E4735" w14:textId="77777777" w:rsidR="00362563" w:rsidRPr="00362563" w:rsidRDefault="00C30199" w:rsidP="00205778">
      <w:pPr>
        <w:pStyle w:val="texto"/>
        <w:tabs>
          <w:tab w:val="clear" w:pos="2835"/>
          <w:tab w:val="clear" w:pos="3969"/>
          <w:tab w:val="clear" w:pos="5103"/>
          <w:tab w:val="clear" w:pos="6237"/>
          <w:tab w:val="clear" w:pos="7371"/>
        </w:tabs>
        <w:spacing w:before="120"/>
        <w:rPr>
          <w:szCs w:val="26"/>
        </w:rPr>
      </w:pPr>
      <w:r>
        <w:rPr>
          <w:szCs w:val="26"/>
        </w:rPr>
        <w:t>En 2021 la superficie regable neta asciende a 22.398 hectáreas, de las cuales cuentan con riego instalado un 91 por ciento</w:t>
      </w:r>
      <w:r w:rsidR="00565C02" w:rsidRPr="00362563">
        <w:rPr>
          <w:szCs w:val="26"/>
        </w:rPr>
        <w:t>, cifra que apenas ha variado en estos últimos años.</w:t>
      </w:r>
    </w:p>
    <w:p w14:paraId="42DE8A67" w14:textId="77777777" w:rsidR="00C30199" w:rsidRPr="00DA5E4F" w:rsidRDefault="00C30199" w:rsidP="008A6339">
      <w:pPr>
        <w:pStyle w:val="texto"/>
        <w:tabs>
          <w:tab w:val="clear" w:pos="2835"/>
          <w:tab w:val="clear" w:pos="3969"/>
          <w:tab w:val="clear" w:pos="5103"/>
          <w:tab w:val="clear" w:pos="6237"/>
          <w:tab w:val="clear" w:pos="7371"/>
        </w:tabs>
        <w:spacing w:after="240"/>
        <w:rPr>
          <w:szCs w:val="26"/>
        </w:rPr>
      </w:pPr>
      <w:r w:rsidRPr="00DA5E4F">
        <w:rPr>
          <w:szCs w:val="26"/>
        </w:rPr>
        <w:t xml:space="preserve">La evolución de las hectáreas con instalación para el periodo </w:t>
      </w:r>
      <w:r w:rsidR="00BC52A1">
        <w:rPr>
          <w:szCs w:val="26"/>
        </w:rPr>
        <w:t>de explotación 2014-2021 en la Ampliación de la Primera F</w:t>
      </w:r>
      <w:r w:rsidRPr="00DA5E4F">
        <w:rPr>
          <w:szCs w:val="26"/>
        </w:rPr>
        <w:t xml:space="preserve">ase es la siguiente: </w:t>
      </w:r>
    </w:p>
    <w:tbl>
      <w:tblPr>
        <w:tblW w:w="9073" w:type="dxa"/>
        <w:tblCellMar>
          <w:left w:w="70" w:type="dxa"/>
          <w:right w:w="70" w:type="dxa"/>
        </w:tblCellMar>
        <w:tblLook w:val="04A0" w:firstRow="1" w:lastRow="0" w:firstColumn="1" w:lastColumn="0" w:noHBand="0" w:noVBand="1"/>
      </w:tblPr>
      <w:tblGrid>
        <w:gridCol w:w="1276"/>
        <w:gridCol w:w="1701"/>
        <w:gridCol w:w="1701"/>
        <w:gridCol w:w="1418"/>
        <w:gridCol w:w="2977"/>
      </w:tblGrid>
      <w:tr w:rsidR="0021569A" w:rsidRPr="00444AC9" w14:paraId="18E8D297" w14:textId="77777777" w:rsidTr="0021569A">
        <w:trPr>
          <w:trHeight w:val="255"/>
        </w:trPr>
        <w:tc>
          <w:tcPr>
            <w:tcW w:w="1276" w:type="dxa"/>
            <w:tcBorders>
              <w:top w:val="single" w:sz="4" w:space="0" w:color="auto"/>
              <w:left w:val="nil"/>
              <w:bottom w:val="single" w:sz="4" w:space="0" w:color="auto"/>
              <w:right w:val="nil"/>
            </w:tcBorders>
            <w:shd w:val="clear" w:color="auto" w:fill="B8CCE4" w:themeFill="accent1" w:themeFillTint="66"/>
            <w:vAlign w:val="center"/>
            <w:hideMark/>
          </w:tcPr>
          <w:p w14:paraId="6E707C90" w14:textId="77777777" w:rsidR="0021569A" w:rsidRPr="00444AC9" w:rsidRDefault="0021569A" w:rsidP="008A6339">
            <w:pPr>
              <w:pStyle w:val="cuadroCabe"/>
              <w:spacing w:line="240" w:lineRule="auto"/>
              <w:jc w:val="left"/>
              <w:rPr>
                <w:sz w:val="16"/>
                <w:szCs w:val="16"/>
                <w:lang w:val="es-ES" w:eastAsia="es-ES"/>
              </w:rPr>
            </w:pPr>
            <w:r w:rsidRPr="00444AC9">
              <w:rPr>
                <w:sz w:val="16"/>
                <w:szCs w:val="16"/>
                <w:lang w:val="es-ES" w:eastAsia="es-ES"/>
              </w:rPr>
              <w:t>Años</w:t>
            </w:r>
          </w:p>
        </w:tc>
        <w:tc>
          <w:tcPr>
            <w:tcW w:w="1701" w:type="dxa"/>
            <w:tcBorders>
              <w:top w:val="single" w:sz="4" w:space="0" w:color="auto"/>
              <w:left w:val="nil"/>
              <w:bottom w:val="single" w:sz="4" w:space="0" w:color="auto"/>
              <w:right w:val="nil"/>
            </w:tcBorders>
            <w:shd w:val="clear" w:color="auto" w:fill="B8CCE4" w:themeFill="accent1" w:themeFillTint="66"/>
            <w:vAlign w:val="center"/>
            <w:hideMark/>
          </w:tcPr>
          <w:p w14:paraId="6C6796C6" w14:textId="77777777" w:rsidR="0021569A" w:rsidRPr="0021569A" w:rsidRDefault="0021569A" w:rsidP="0021569A">
            <w:pPr>
              <w:pStyle w:val="cuadroCabe"/>
              <w:spacing w:line="240" w:lineRule="auto"/>
              <w:jc w:val="right"/>
              <w:rPr>
                <w:sz w:val="16"/>
                <w:szCs w:val="16"/>
                <w:lang w:val="es-ES" w:eastAsia="es-ES"/>
              </w:rPr>
            </w:pPr>
            <w:r w:rsidRPr="0021569A">
              <w:rPr>
                <w:sz w:val="16"/>
                <w:szCs w:val="16"/>
                <w:lang w:val="es-ES" w:eastAsia="es-ES"/>
              </w:rPr>
              <w:t>Ha regables netas</w:t>
            </w:r>
          </w:p>
        </w:tc>
        <w:tc>
          <w:tcPr>
            <w:tcW w:w="1701" w:type="dxa"/>
            <w:tcBorders>
              <w:top w:val="single" w:sz="4" w:space="0" w:color="auto"/>
              <w:left w:val="nil"/>
              <w:bottom w:val="single" w:sz="4" w:space="0" w:color="auto"/>
              <w:right w:val="nil"/>
            </w:tcBorders>
            <w:shd w:val="clear" w:color="auto" w:fill="B8CCE4" w:themeFill="accent1" w:themeFillTint="66"/>
            <w:vAlign w:val="center"/>
            <w:hideMark/>
          </w:tcPr>
          <w:p w14:paraId="5D100A83" w14:textId="77777777" w:rsidR="0021569A" w:rsidRPr="00444AC9" w:rsidRDefault="0021569A" w:rsidP="0021569A">
            <w:pPr>
              <w:pStyle w:val="cuadroCabe"/>
              <w:spacing w:line="240" w:lineRule="auto"/>
              <w:jc w:val="right"/>
              <w:rPr>
                <w:sz w:val="16"/>
                <w:szCs w:val="16"/>
                <w:lang w:val="es-ES" w:eastAsia="es-ES"/>
              </w:rPr>
            </w:pPr>
            <w:r w:rsidRPr="00444AC9">
              <w:rPr>
                <w:sz w:val="16"/>
                <w:szCs w:val="16"/>
                <w:lang w:val="es-ES" w:eastAsia="es-ES"/>
              </w:rPr>
              <w:t>Ha con instalación</w:t>
            </w:r>
          </w:p>
        </w:tc>
        <w:tc>
          <w:tcPr>
            <w:tcW w:w="1418" w:type="dxa"/>
            <w:tcBorders>
              <w:top w:val="single" w:sz="4" w:space="0" w:color="auto"/>
              <w:left w:val="nil"/>
              <w:bottom w:val="single" w:sz="4" w:space="0" w:color="auto"/>
              <w:right w:val="nil"/>
            </w:tcBorders>
            <w:shd w:val="clear" w:color="auto" w:fill="B8CCE4" w:themeFill="accent1" w:themeFillTint="66"/>
            <w:vAlign w:val="center"/>
            <w:hideMark/>
          </w:tcPr>
          <w:p w14:paraId="4B7022AC" w14:textId="77777777" w:rsidR="0021569A" w:rsidRPr="00444AC9" w:rsidRDefault="0021569A" w:rsidP="00686011">
            <w:pPr>
              <w:pStyle w:val="cuadroCabe"/>
              <w:spacing w:line="240" w:lineRule="auto"/>
              <w:jc w:val="right"/>
              <w:rPr>
                <w:sz w:val="16"/>
                <w:szCs w:val="16"/>
                <w:lang w:val="es-ES" w:eastAsia="es-ES"/>
              </w:rPr>
            </w:pPr>
            <w:r w:rsidRPr="00444AC9">
              <w:rPr>
                <w:sz w:val="16"/>
                <w:szCs w:val="16"/>
                <w:lang w:val="es-ES" w:eastAsia="es-ES"/>
              </w:rPr>
              <w:t xml:space="preserve">% </w:t>
            </w:r>
            <w:proofErr w:type="gramStart"/>
            <w:r w:rsidRPr="00444AC9">
              <w:rPr>
                <w:sz w:val="16"/>
                <w:szCs w:val="16"/>
                <w:lang w:val="es-ES" w:eastAsia="es-ES"/>
              </w:rPr>
              <w:t>instaladas</w:t>
            </w:r>
            <w:r w:rsidR="00686011" w:rsidRPr="00686011">
              <w:rPr>
                <w:sz w:val="16"/>
                <w:szCs w:val="16"/>
                <w:vertAlign w:val="superscript"/>
                <w:lang w:val="es-ES" w:eastAsia="es-ES"/>
              </w:rPr>
              <w:t>(</w:t>
            </w:r>
            <w:proofErr w:type="gramEnd"/>
            <w:r w:rsidR="00686011" w:rsidRPr="00686011">
              <w:rPr>
                <w:sz w:val="16"/>
                <w:szCs w:val="16"/>
                <w:vertAlign w:val="superscript"/>
                <w:lang w:val="es-ES" w:eastAsia="es-ES"/>
              </w:rPr>
              <w:t>*)</w:t>
            </w:r>
          </w:p>
        </w:tc>
        <w:tc>
          <w:tcPr>
            <w:tcW w:w="2977" w:type="dxa"/>
            <w:tcBorders>
              <w:top w:val="single" w:sz="4" w:space="0" w:color="auto"/>
              <w:left w:val="nil"/>
              <w:bottom w:val="single" w:sz="4" w:space="0" w:color="auto"/>
              <w:right w:val="nil"/>
            </w:tcBorders>
            <w:shd w:val="clear" w:color="auto" w:fill="B8CCE4" w:themeFill="accent1" w:themeFillTint="66"/>
            <w:vAlign w:val="center"/>
            <w:hideMark/>
          </w:tcPr>
          <w:p w14:paraId="27EF0D95" w14:textId="77777777" w:rsidR="0021569A" w:rsidRPr="00444AC9" w:rsidRDefault="0021569A" w:rsidP="0021569A">
            <w:pPr>
              <w:pStyle w:val="cuadroCabe"/>
              <w:spacing w:line="240" w:lineRule="auto"/>
              <w:jc w:val="right"/>
              <w:rPr>
                <w:sz w:val="16"/>
                <w:szCs w:val="16"/>
                <w:lang w:val="es-ES" w:eastAsia="es-ES"/>
              </w:rPr>
            </w:pPr>
            <w:r w:rsidRPr="00A94FA6">
              <w:rPr>
                <w:sz w:val="16"/>
                <w:szCs w:val="16"/>
                <w:lang w:val="es-ES" w:eastAsia="es-ES"/>
              </w:rPr>
              <w:t>Consumo m</w:t>
            </w:r>
            <w:r w:rsidRPr="0021569A">
              <w:rPr>
                <w:sz w:val="16"/>
                <w:szCs w:val="16"/>
                <w:vertAlign w:val="superscript"/>
                <w:lang w:val="es-ES" w:eastAsia="es-ES"/>
              </w:rPr>
              <w:t xml:space="preserve">3 </w:t>
            </w:r>
            <w:r w:rsidRPr="00444AC9">
              <w:rPr>
                <w:sz w:val="16"/>
                <w:szCs w:val="16"/>
                <w:lang w:val="es-ES" w:eastAsia="es-ES"/>
              </w:rPr>
              <w:t>por Ha con instalación</w:t>
            </w:r>
          </w:p>
        </w:tc>
      </w:tr>
      <w:tr w:rsidR="0021569A" w:rsidRPr="00C2201F" w14:paraId="2F06EC74" w14:textId="77777777" w:rsidTr="0021569A">
        <w:trPr>
          <w:trHeight w:val="255"/>
        </w:trPr>
        <w:tc>
          <w:tcPr>
            <w:tcW w:w="1276" w:type="dxa"/>
            <w:tcBorders>
              <w:top w:val="nil"/>
              <w:left w:val="nil"/>
              <w:bottom w:val="single" w:sz="2" w:space="0" w:color="auto"/>
              <w:right w:val="nil"/>
            </w:tcBorders>
            <w:shd w:val="clear" w:color="auto" w:fill="auto"/>
            <w:noWrap/>
            <w:vAlign w:val="center"/>
            <w:hideMark/>
          </w:tcPr>
          <w:p w14:paraId="36E3ACF1" w14:textId="77777777" w:rsidR="0021569A" w:rsidRPr="00BB33BB" w:rsidRDefault="0021569A" w:rsidP="008A6339">
            <w:pPr>
              <w:spacing w:after="0"/>
              <w:ind w:firstLine="0"/>
              <w:jc w:val="left"/>
              <w:rPr>
                <w:rFonts w:ascii="Arial Narrow" w:hAnsi="Arial Narrow" w:cs="Calibri"/>
                <w:color w:val="000000"/>
                <w:lang w:val="es-ES" w:eastAsia="es-ES"/>
              </w:rPr>
            </w:pPr>
            <w:r w:rsidRPr="00BB33BB">
              <w:rPr>
                <w:rFonts w:ascii="Arial Narrow" w:hAnsi="Arial Narrow" w:cs="Calibri"/>
                <w:color w:val="000000"/>
                <w:lang w:val="es-ES" w:eastAsia="es-ES"/>
              </w:rPr>
              <w:t>2017</w:t>
            </w:r>
          </w:p>
        </w:tc>
        <w:tc>
          <w:tcPr>
            <w:tcW w:w="1701" w:type="dxa"/>
            <w:tcBorders>
              <w:top w:val="nil"/>
              <w:left w:val="nil"/>
              <w:bottom w:val="single" w:sz="2" w:space="0" w:color="auto"/>
              <w:right w:val="nil"/>
            </w:tcBorders>
            <w:shd w:val="clear" w:color="auto" w:fill="auto"/>
            <w:noWrap/>
            <w:vAlign w:val="center"/>
            <w:hideMark/>
          </w:tcPr>
          <w:p w14:paraId="576E7B55" w14:textId="77777777" w:rsidR="0021569A" w:rsidRPr="0021569A" w:rsidRDefault="0021569A" w:rsidP="0021569A">
            <w:pPr>
              <w:spacing w:after="0"/>
              <w:ind w:firstLine="0"/>
              <w:jc w:val="right"/>
              <w:rPr>
                <w:rFonts w:ascii="Arial Narrow" w:hAnsi="Arial Narrow" w:cs="Calibri"/>
                <w:lang w:val="es-ES" w:eastAsia="es-ES"/>
              </w:rPr>
            </w:pPr>
            <w:r w:rsidRPr="0021569A">
              <w:rPr>
                <w:rFonts w:ascii="Arial Narrow" w:hAnsi="Arial Narrow" w:cs="Calibri"/>
                <w:lang w:val="es-ES" w:eastAsia="es-ES"/>
              </w:rPr>
              <w:t>6.848</w:t>
            </w:r>
          </w:p>
        </w:tc>
        <w:tc>
          <w:tcPr>
            <w:tcW w:w="1701" w:type="dxa"/>
            <w:tcBorders>
              <w:top w:val="nil"/>
              <w:left w:val="nil"/>
              <w:bottom w:val="single" w:sz="2" w:space="0" w:color="auto"/>
              <w:right w:val="nil"/>
            </w:tcBorders>
            <w:shd w:val="clear" w:color="auto" w:fill="auto"/>
            <w:noWrap/>
            <w:vAlign w:val="center"/>
            <w:hideMark/>
          </w:tcPr>
          <w:p w14:paraId="447E474B"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2.667</w:t>
            </w:r>
          </w:p>
        </w:tc>
        <w:tc>
          <w:tcPr>
            <w:tcW w:w="1418" w:type="dxa"/>
            <w:tcBorders>
              <w:top w:val="nil"/>
              <w:left w:val="nil"/>
              <w:bottom w:val="single" w:sz="2" w:space="0" w:color="auto"/>
              <w:right w:val="nil"/>
            </w:tcBorders>
            <w:shd w:val="clear" w:color="auto" w:fill="auto"/>
            <w:noWrap/>
            <w:vAlign w:val="center"/>
            <w:hideMark/>
          </w:tcPr>
          <w:p w14:paraId="3B81D2CD"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56</w:t>
            </w:r>
          </w:p>
        </w:tc>
        <w:tc>
          <w:tcPr>
            <w:tcW w:w="2977" w:type="dxa"/>
            <w:tcBorders>
              <w:top w:val="nil"/>
              <w:left w:val="nil"/>
              <w:bottom w:val="single" w:sz="2" w:space="0" w:color="auto"/>
              <w:right w:val="nil"/>
            </w:tcBorders>
            <w:shd w:val="clear" w:color="auto" w:fill="auto"/>
            <w:noWrap/>
            <w:vAlign w:val="center"/>
            <w:hideMark/>
          </w:tcPr>
          <w:p w14:paraId="7E80D20B"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2.695</w:t>
            </w:r>
          </w:p>
        </w:tc>
      </w:tr>
      <w:tr w:rsidR="0021569A" w:rsidRPr="00C2201F" w14:paraId="1381A87D" w14:textId="77777777" w:rsidTr="0021569A">
        <w:trPr>
          <w:trHeight w:val="255"/>
        </w:trPr>
        <w:tc>
          <w:tcPr>
            <w:tcW w:w="1276" w:type="dxa"/>
            <w:tcBorders>
              <w:top w:val="single" w:sz="2" w:space="0" w:color="auto"/>
              <w:left w:val="nil"/>
              <w:bottom w:val="single" w:sz="2" w:space="0" w:color="auto"/>
              <w:right w:val="nil"/>
            </w:tcBorders>
            <w:shd w:val="clear" w:color="auto" w:fill="auto"/>
            <w:noWrap/>
            <w:vAlign w:val="center"/>
            <w:hideMark/>
          </w:tcPr>
          <w:p w14:paraId="37A9ECBE" w14:textId="77777777" w:rsidR="0021569A" w:rsidRPr="00BB33BB" w:rsidRDefault="0021569A" w:rsidP="008A6339">
            <w:pPr>
              <w:spacing w:after="0"/>
              <w:ind w:firstLine="0"/>
              <w:jc w:val="left"/>
              <w:rPr>
                <w:rFonts w:ascii="Arial Narrow" w:hAnsi="Arial Narrow" w:cs="Calibri"/>
                <w:color w:val="000000"/>
                <w:lang w:val="es-ES" w:eastAsia="es-ES"/>
              </w:rPr>
            </w:pPr>
            <w:r w:rsidRPr="00BB33BB">
              <w:rPr>
                <w:rFonts w:ascii="Arial Narrow" w:hAnsi="Arial Narrow" w:cs="Calibri"/>
                <w:color w:val="000000"/>
                <w:lang w:val="es-ES" w:eastAsia="es-ES"/>
              </w:rPr>
              <w:t>2018</w:t>
            </w:r>
          </w:p>
        </w:tc>
        <w:tc>
          <w:tcPr>
            <w:tcW w:w="1701" w:type="dxa"/>
            <w:tcBorders>
              <w:top w:val="single" w:sz="2" w:space="0" w:color="auto"/>
              <w:left w:val="nil"/>
              <w:bottom w:val="single" w:sz="2" w:space="0" w:color="auto"/>
              <w:right w:val="nil"/>
            </w:tcBorders>
            <w:shd w:val="clear" w:color="auto" w:fill="auto"/>
            <w:noWrap/>
            <w:vAlign w:val="center"/>
            <w:hideMark/>
          </w:tcPr>
          <w:p w14:paraId="0CEBFD42" w14:textId="77777777" w:rsidR="0021569A" w:rsidRPr="0021569A" w:rsidRDefault="0021569A" w:rsidP="0021569A">
            <w:pPr>
              <w:spacing w:after="0"/>
              <w:ind w:firstLine="0"/>
              <w:jc w:val="right"/>
              <w:rPr>
                <w:rFonts w:ascii="Arial Narrow" w:hAnsi="Arial Narrow" w:cs="Calibri"/>
                <w:lang w:val="es-ES" w:eastAsia="es-ES"/>
              </w:rPr>
            </w:pPr>
            <w:r w:rsidRPr="0021569A">
              <w:rPr>
                <w:rFonts w:ascii="Arial Narrow" w:hAnsi="Arial Narrow" w:cs="Calibri"/>
                <w:lang w:val="es-ES" w:eastAsia="es-ES"/>
              </w:rPr>
              <w:t>6.860</w:t>
            </w:r>
          </w:p>
        </w:tc>
        <w:tc>
          <w:tcPr>
            <w:tcW w:w="1701" w:type="dxa"/>
            <w:tcBorders>
              <w:top w:val="single" w:sz="2" w:space="0" w:color="auto"/>
              <w:left w:val="nil"/>
              <w:bottom w:val="single" w:sz="2" w:space="0" w:color="auto"/>
              <w:right w:val="nil"/>
            </w:tcBorders>
            <w:shd w:val="clear" w:color="auto" w:fill="auto"/>
            <w:noWrap/>
            <w:vAlign w:val="center"/>
            <w:hideMark/>
          </w:tcPr>
          <w:p w14:paraId="545F8459"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3.546</w:t>
            </w:r>
          </w:p>
        </w:tc>
        <w:tc>
          <w:tcPr>
            <w:tcW w:w="1418" w:type="dxa"/>
            <w:tcBorders>
              <w:top w:val="single" w:sz="2" w:space="0" w:color="auto"/>
              <w:left w:val="nil"/>
              <w:bottom w:val="single" w:sz="2" w:space="0" w:color="auto"/>
              <w:right w:val="nil"/>
            </w:tcBorders>
            <w:shd w:val="clear" w:color="auto" w:fill="auto"/>
            <w:noWrap/>
            <w:vAlign w:val="center"/>
            <w:hideMark/>
          </w:tcPr>
          <w:p w14:paraId="6F652D16"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73</w:t>
            </w:r>
          </w:p>
        </w:tc>
        <w:tc>
          <w:tcPr>
            <w:tcW w:w="2977" w:type="dxa"/>
            <w:tcBorders>
              <w:top w:val="single" w:sz="2" w:space="0" w:color="auto"/>
              <w:left w:val="nil"/>
              <w:bottom w:val="single" w:sz="2" w:space="0" w:color="auto"/>
              <w:right w:val="nil"/>
            </w:tcBorders>
            <w:shd w:val="clear" w:color="auto" w:fill="auto"/>
            <w:noWrap/>
            <w:vAlign w:val="center"/>
            <w:hideMark/>
          </w:tcPr>
          <w:p w14:paraId="177F8E45"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4.099</w:t>
            </w:r>
          </w:p>
        </w:tc>
      </w:tr>
      <w:tr w:rsidR="0021569A" w:rsidRPr="00C2201F" w14:paraId="0F79FEB2" w14:textId="77777777" w:rsidTr="0021569A">
        <w:trPr>
          <w:trHeight w:val="255"/>
        </w:trPr>
        <w:tc>
          <w:tcPr>
            <w:tcW w:w="1276" w:type="dxa"/>
            <w:tcBorders>
              <w:top w:val="single" w:sz="2" w:space="0" w:color="auto"/>
              <w:left w:val="nil"/>
              <w:bottom w:val="single" w:sz="2" w:space="0" w:color="auto"/>
              <w:right w:val="nil"/>
            </w:tcBorders>
            <w:shd w:val="clear" w:color="auto" w:fill="auto"/>
            <w:noWrap/>
            <w:vAlign w:val="center"/>
            <w:hideMark/>
          </w:tcPr>
          <w:p w14:paraId="70297875" w14:textId="77777777" w:rsidR="0021569A" w:rsidRPr="00BB33BB" w:rsidRDefault="0021569A" w:rsidP="008A6339">
            <w:pPr>
              <w:spacing w:after="0"/>
              <w:ind w:firstLine="0"/>
              <w:jc w:val="left"/>
              <w:rPr>
                <w:rFonts w:ascii="Arial Narrow" w:hAnsi="Arial Narrow" w:cs="Calibri"/>
                <w:color w:val="000000"/>
                <w:lang w:val="es-ES" w:eastAsia="es-ES"/>
              </w:rPr>
            </w:pPr>
            <w:r w:rsidRPr="00BB33BB">
              <w:rPr>
                <w:rFonts w:ascii="Arial Narrow" w:hAnsi="Arial Narrow" w:cs="Calibri"/>
                <w:color w:val="000000"/>
                <w:lang w:val="es-ES" w:eastAsia="es-ES"/>
              </w:rPr>
              <w:t>2019</w:t>
            </w:r>
          </w:p>
        </w:tc>
        <w:tc>
          <w:tcPr>
            <w:tcW w:w="1701" w:type="dxa"/>
            <w:tcBorders>
              <w:top w:val="single" w:sz="2" w:space="0" w:color="auto"/>
              <w:left w:val="nil"/>
              <w:bottom w:val="single" w:sz="2" w:space="0" w:color="auto"/>
              <w:right w:val="nil"/>
            </w:tcBorders>
            <w:shd w:val="clear" w:color="auto" w:fill="auto"/>
            <w:noWrap/>
            <w:vAlign w:val="center"/>
            <w:hideMark/>
          </w:tcPr>
          <w:p w14:paraId="01FF116D" w14:textId="77777777" w:rsidR="0021569A" w:rsidRPr="0021569A" w:rsidRDefault="0021569A" w:rsidP="0021569A">
            <w:pPr>
              <w:spacing w:after="0"/>
              <w:ind w:firstLine="0"/>
              <w:jc w:val="right"/>
              <w:rPr>
                <w:rFonts w:ascii="Arial Narrow" w:hAnsi="Arial Narrow" w:cs="Calibri"/>
                <w:lang w:val="es-ES" w:eastAsia="es-ES"/>
              </w:rPr>
            </w:pPr>
            <w:r w:rsidRPr="0021569A">
              <w:rPr>
                <w:rFonts w:ascii="Arial Narrow" w:hAnsi="Arial Narrow" w:cs="Calibri"/>
                <w:lang w:val="es-ES" w:eastAsia="es-ES"/>
              </w:rPr>
              <w:t>6.867</w:t>
            </w:r>
          </w:p>
        </w:tc>
        <w:tc>
          <w:tcPr>
            <w:tcW w:w="1701" w:type="dxa"/>
            <w:tcBorders>
              <w:top w:val="single" w:sz="2" w:space="0" w:color="auto"/>
              <w:left w:val="nil"/>
              <w:bottom w:val="single" w:sz="2" w:space="0" w:color="auto"/>
              <w:right w:val="nil"/>
            </w:tcBorders>
            <w:shd w:val="clear" w:color="auto" w:fill="auto"/>
            <w:noWrap/>
            <w:vAlign w:val="center"/>
            <w:hideMark/>
          </w:tcPr>
          <w:p w14:paraId="314C2BE2"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5.249</w:t>
            </w:r>
          </w:p>
        </w:tc>
        <w:tc>
          <w:tcPr>
            <w:tcW w:w="1418" w:type="dxa"/>
            <w:tcBorders>
              <w:top w:val="single" w:sz="2" w:space="0" w:color="auto"/>
              <w:left w:val="nil"/>
              <w:bottom w:val="single" w:sz="2" w:space="0" w:color="auto"/>
              <w:right w:val="nil"/>
            </w:tcBorders>
            <w:shd w:val="clear" w:color="auto" w:fill="auto"/>
            <w:noWrap/>
            <w:vAlign w:val="center"/>
            <w:hideMark/>
          </w:tcPr>
          <w:p w14:paraId="523C5A2A"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82</w:t>
            </w:r>
          </w:p>
        </w:tc>
        <w:tc>
          <w:tcPr>
            <w:tcW w:w="2977" w:type="dxa"/>
            <w:tcBorders>
              <w:top w:val="single" w:sz="2" w:space="0" w:color="auto"/>
              <w:left w:val="nil"/>
              <w:bottom w:val="single" w:sz="2" w:space="0" w:color="auto"/>
              <w:right w:val="nil"/>
            </w:tcBorders>
            <w:shd w:val="clear" w:color="auto" w:fill="auto"/>
            <w:noWrap/>
            <w:vAlign w:val="center"/>
            <w:hideMark/>
          </w:tcPr>
          <w:p w14:paraId="705BDEA9"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5.400</w:t>
            </w:r>
          </w:p>
        </w:tc>
      </w:tr>
      <w:tr w:rsidR="0021569A" w:rsidRPr="00C2201F" w14:paraId="5BEF05AC" w14:textId="77777777" w:rsidTr="00471A11">
        <w:trPr>
          <w:trHeight w:val="255"/>
        </w:trPr>
        <w:tc>
          <w:tcPr>
            <w:tcW w:w="1276" w:type="dxa"/>
            <w:tcBorders>
              <w:top w:val="single" w:sz="2" w:space="0" w:color="auto"/>
              <w:left w:val="nil"/>
              <w:bottom w:val="single" w:sz="2" w:space="0" w:color="auto"/>
              <w:right w:val="nil"/>
            </w:tcBorders>
            <w:shd w:val="clear" w:color="auto" w:fill="auto"/>
            <w:noWrap/>
            <w:vAlign w:val="center"/>
            <w:hideMark/>
          </w:tcPr>
          <w:p w14:paraId="562CAB89" w14:textId="77777777" w:rsidR="0021569A" w:rsidRPr="00BB33BB" w:rsidRDefault="0021569A" w:rsidP="008A6339">
            <w:pPr>
              <w:spacing w:after="0"/>
              <w:ind w:firstLine="0"/>
              <w:jc w:val="left"/>
              <w:rPr>
                <w:rFonts w:ascii="Arial Narrow" w:hAnsi="Arial Narrow" w:cs="Calibri"/>
                <w:color w:val="000000"/>
                <w:lang w:val="es-ES" w:eastAsia="es-ES"/>
              </w:rPr>
            </w:pPr>
            <w:r w:rsidRPr="00BB33BB">
              <w:rPr>
                <w:rFonts w:ascii="Arial Narrow" w:hAnsi="Arial Narrow" w:cs="Calibri"/>
                <w:color w:val="000000"/>
                <w:lang w:val="es-ES" w:eastAsia="es-ES"/>
              </w:rPr>
              <w:t>2020</w:t>
            </w:r>
          </w:p>
        </w:tc>
        <w:tc>
          <w:tcPr>
            <w:tcW w:w="1701" w:type="dxa"/>
            <w:tcBorders>
              <w:top w:val="single" w:sz="2" w:space="0" w:color="auto"/>
              <w:left w:val="nil"/>
              <w:bottom w:val="single" w:sz="2" w:space="0" w:color="auto"/>
              <w:right w:val="nil"/>
            </w:tcBorders>
            <w:shd w:val="clear" w:color="auto" w:fill="auto"/>
            <w:noWrap/>
            <w:vAlign w:val="center"/>
            <w:hideMark/>
          </w:tcPr>
          <w:p w14:paraId="0ABD7B71" w14:textId="77777777" w:rsidR="0021569A" w:rsidRPr="0021569A" w:rsidRDefault="0021569A" w:rsidP="0021569A">
            <w:pPr>
              <w:spacing w:after="0"/>
              <w:ind w:firstLine="0"/>
              <w:jc w:val="right"/>
              <w:rPr>
                <w:rFonts w:ascii="Arial Narrow" w:hAnsi="Arial Narrow" w:cs="Calibri"/>
                <w:lang w:val="es-ES" w:eastAsia="es-ES"/>
              </w:rPr>
            </w:pPr>
            <w:r w:rsidRPr="0021569A">
              <w:rPr>
                <w:rFonts w:ascii="Arial Narrow" w:hAnsi="Arial Narrow" w:cs="Calibri"/>
                <w:lang w:val="es-ES" w:eastAsia="es-ES"/>
              </w:rPr>
              <w:t>6.859</w:t>
            </w:r>
          </w:p>
        </w:tc>
        <w:tc>
          <w:tcPr>
            <w:tcW w:w="1701" w:type="dxa"/>
            <w:tcBorders>
              <w:top w:val="single" w:sz="2" w:space="0" w:color="auto"/>
              <w:left w:val="nil"/>
              <w:bottom w:val="single" w:sz="2" w:space="0" w:color="auto"/>
              <w:right w:val="nil"/>
            </w:tcBorders>
            <w:shd w:val="clear" w:color="auto" w:fill="auto"/>
            <w:noWrap/>
            <w:vAlign w:val="center"/>
            <w:hideMark/>
          </w:tcPr>
          <w:p w14:paraId="22355B45"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5.605</w:t>
            </w:r>
          </w:p>
        </w:tc>
        <w:tc>
          <w:tcPr>
            <w:tcW w:w="1418" w:type="dxa"/>
            <w:tcBorders>
              <w:top w:val="single" w:sz="2" w:space="0" w:color="auto"/>
              <w:left w:val="nil"/>
              <w:bottom w:val="single" w:sz="2" w:space="0" w:color="auto"/>
              <w:right w:val="nil"/>
            </w:tcBorders>
            <w:shd w:val="clear" w:color="auto" w:fill="auto"/>
            <w:noWrap/>
            <w:vAlign w:val="center"/>
            <w:hideMark/>
          </w:tcPr>
          <w:p w14:paraId="73FB28E6"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88</w:t>
            </w:r>
          </w:p>
        </w:tc>
        <w:tc>
          <w:tcPr>
            <w:tcW w:w="2977" w:type="dxa"/>
            <w:tcBorders>
              <w:top w:val="single" w:sz="2" w:space="0" w:color="auto"/>
              <w:left w:val="nil"/>
              <w:bottom w:val="single" w:sz="2" w:space="0" w:color="auto"/>
              <w:right w:val="nil"/>
            </w:tcBorders>
            <w:shd w:val="clear" w:color="auto" w:fill="auto"/>
            <w:noWrap/>
            <w:vAlign w:val="center"/>
            <w:hideMark/>
          </w:tcPr>
          <w:p w14:paraId="055D00A9"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4.480</w:t>
            </w:r>
          </w:p>
        </w:tc>
      </w:tr>
      <w:tr w:rsidR="0021569A" w:rsidRPr="00C2201F" w14:paraId="739B31C0" w14:textId="77777777" w:rsidTr="00471A11">
        <w:trPr>
          <w:trHeight w:val="255"/>
        </w:trPr>
        <w:tc>
          <w:tcPr>
            <w:tcW w:w="1276" w:type="dxa"/>
            <w:tcBorders>
              <w:top w:val="single" w:sz="2" w:space="0" w:color="auto"/>
              <w:left w:val="nil"/>
              <w:bottom w:val="single" w:sz="4" w:space="0" w:color="auto"/>
              <w:right w:val="nil"/>
            </w:tcBorders>
            <w:shd w:val="clear" w:color="auto" w:fill="auto"/>
            <w:noWrap/>
            <w:vAlign w:val="center"/>
            <w:hideMark/>
          </w:tcPr>
          <w:p w14:paraId="7BB96CC0" w14:textId="77777777" w:rsidR="0021569A" w:rsidRPr="00BB33BB" w:rsidRDefault="0021569A" w:rsidP="008A6339">
            <w:pPr>
              <w:spacing w:after="0"/>
              <w:ind w:firstLine="0"/>
              <w:jc w:val="left"/>
              <w:rPr>
                <w:rFonts w:ascii="Arial Narrow" w:hAnsi="Arial Narrow" w:cs="Calibri"/>
                <w:color w:val="000000"/>
                <w:lang w:val="es-ES" w:eastAsia="es-ES"/>
              </w:rPr>
            </w:pPr>
            <w:r w:rsidRPr="00BB33BB">
              <w:rPr>
                <w:rFonts w:ascii="Arial Narrow" w:hAnsi="Arial Narrow" w:cs="Calibri"/>
                <w:color w:val="000000"/>
                <w:lang w:val="es-ES" w:eastAsia="es-ES"/>
              </w:rPr>
              <w:t>2021</w:t>
            </w:r>
          </w:p>
        </w:tc>
        <w:tc>
          <w:tcPr>
            <w:tcW w:w="1701" w:type="dxa"/>
            <w:tcBorders>
              <w:top w:val="single" w:sz="2" w:space="0" w:color="auto"/>
              <w:left w:val="nil"/>
              <w:bottom w:val="single" w:sz="4" w:space="0" w:color="auto"/>
              <w:right w:val="nil"/>
            </w:tcBorders>
            <w:shd w:val="clear" w:color="auto" w:fill="auto"/>
            <w:noWrap/>
            <w:vAlign w:val="center"/>
            <w:hideMark/>
          </w:tcPr>
          <w:p w14:paraId="138DF6B7" w14:textId="77777777" w:rsidR="0021569A" w:rsidRPr="0021569A" w:rsidRDefault="0021569A" w:rsidP="0021569A">
            <w:pPr>
              <w:spacing w:after="0"/>
              <w:ind w:firstLine="0"/>
              <w:jc w:val="right"/>
              <w:rPr>
                <w:rFonts w:ascii="Arial Narrow" w:hAnsi="Arial Narrow" w:cs="Calibri"/>
                <w:lang w:val="es-ES" w:eastAsia="es-ES"/>
              </w:rPr>
            </w:pPr>
            <w:r w:rsidRPr="0021569A">
              <w:rPr>
                <w:rFonts w:ascii="Arial Narrow" w:hAnsi="Arial Narrow" w:cs="Calibri"/>
                <w:lang w:val="es-ES" w:eastAsia="es-ES"/>
              </w:rPr>
              <w:t>8.097</w:t>
            </w:r>
          </w:p>
        </w:tc>
        <w:tc>
          <w:tcPr>
            <w:tcW w:w="1701" w:type="dxa"/>
            <w:tcBorders>
              <w:top w:val="single" w:sz="2" w:space="0" w:color="auto"/>
              <w:left w:val="nil"/>
              <w:bottom w:val="single" w:sz="4" w:space="0" w:color="auto"/>
              <w:right w:val="nil"/>
            </w:tcBorders>
            <w:shd w:val="clear" w:color="auto" w:fill="auto"/>
            <w:noWrap/>
            <w:vAlign w:val="center"/>
            <w:hideMark/>
          </w:tcPr>
          <w:p w14:paraId="483E92C9"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6.51</w:t>
            </w:r>
            <w:r>
              <w:rPr>
                <w:rFonts w:ascii="Arial Narrow" w:hAnsi="Arial Narrow" w:cs="Calibri"/>
                <w:color w:val="000000"/>
                <w:lang w:val="es-ES" w:eastAsia="es-ES"/>
              </w:rPr>
              <w:t>2</w:t>
            </w:r>
          </w:p>
        </w:tc>
        <w:tc>
          <w:tcPr>
            <w:tcW w:w="1418" w:type="dxa"/>
            <w:tcBorders>
              <w:top w:val="single" w:sz="2" w:space="0" w:color="auto"/>
              <w:left w:val="nil"/>
              <w:bottom w:val="single" w:sz="4" w:space="0" w:color="auto"/>
              <w:right w:val="nil"/>
            </w:tcBorders>
            <w:shd w:val="clear" w:color="auto" w:fill="auto"/>
            <w:noWrap/>
            <w:vAlign w:val="center"/>
            <w:hideMark/>
          </w:tcPr>
          <w:p w14:paraId="23920DBA" w14:textId="77777777" w:rsidR="0021569A" w:rsidRPr="00BB33BB" w:rsidRDefault="0021569A" w:rsidP="0021569A">
            <w:pPr>
              <w:spacing w:after="0"/>
              <w:ind w:firstLine="0"/>
              <w:jc w:val="right"/>
              <w:rPr>
                <w:rFonts w:ascii="Arial Narrow" w:hAnsi="Arial Narrow" w:cs="Calibri"/>
                <w:color w:val="000000"/>
                <w:lang w:val="es-ES" w:eastAsia="es-ES"/>
              </w:rPr>
            </w:pPr>
            <w:r>
              <w:rPr>
                <w:rFonts w:ascii="Arial Narrow" w:hAnsi="Arial Narrow" w:cs="Calibri"/>
                <w:color w:val="000000"/>
                <w:lang w:val="es-ES" w:eastAsia="es-ES"/>
              </w:rPr>
              <w:t>88</w:t>
            </w:r>
          </w:p>
        </w:tc>
        <w:tc>
          <w:tcPr>
            <w:tcW w:w="2977" w:type="dxa"/>
            <w:tcBorders>
              <w:top w:val="single" w:sz="2" w:space="0" w:color="auto"/>
              <w:left w:val="nil"/>
              <w:bottom w:val="single" w:sz="4" w:space="0" w:color="auto"/>
              <w:right w:val="nil"/>
            </w:tcBorders>
            <w:shd w:val="clear" w:color="auto" w:fill="auto"/>
            <w:noWrap/>
            <w:vAlign w:val="center"/>
            <w:hideMark/>
          </w:tcPr>
          <w:p w14:paraId="352550D8" w14:textId="77777777" w:rsidR="0021569A" w:rsidRPr="00BB33BB" w:rsidRDefault="0021569A" w:rsidP="0021569A">
            <w:pPr>
              <w:spacing w:after="0"/>
              <w:ind w:firstLine="0"/>
              <w:jc w:val="right"/>
              <w:rPr>
                <w:rFonts w:ascii="Arial Narrow" w:hAnsi="Arial Narrow" w:cs="Calibri"/>
                <w:color w:val="000000"/>
                <w:lang w:val="es-ES" w:eastAsia="es-ES"/>
              </w:rPr>
            </w:pPr>
            <w:r w:rsidRPr="00BB33BB">
              <w:rPr>
                <w:rFonts w:ascii="Arial Narrow" w:hAnsi="Arial Narrow" w:cs="Calibri"/>
                <w:color w:val="000000"/>
                <w:lang w:val="es-ES" w:eastAsia="es-ES"/>
              </w:rPr>
              <w:t>4.96</w:t>
            </w:r>
            <w:r>
              <w:rPr>
                <w:rFonts w:ascii="Arial Narrow" w:hAnsi="Arial Narrow" w:cs="Calibri"/>
                <w:color w:val="000000"/>
                <w:lang w:val="es-ES" w:eastAsia="es-ES"/>
              </w:rPr>
              <w:t>6</w:t>
            </w:r>
          </w:p>
        </w:tc>
      </w:tr>
    </w:tbl>
    <w:p w14:paraId="23D0974D" w14:textId="77777777" w:rsidR="00686011" w:rsidRPr="00686011" w:rsidRDefault="00686011" w:rsidP="00686011">
      <w:pPr>
        <w:pStyle w:val="texto"/>
        <w:tabs>
          <w:tab w:val="clear" w:pos="2835"/>
          <w:tab w:val="clear" w:pos="3969"/>
          <w:tab w:val="clear" w:pos="5103"/>
          <w:tab w:val="clear" w:pos="6237"/>
          <w:tab w:val="clear" w:pos="7371"/>
        </w:tabs>
        <w:spacing w:before="60"/>
        <w:ind w:firstLine="0"/>
        <w:rPr>
          <w:rFonts w:ascii="Arial" w:hAnsi="Arial" w:cs="Arial"/>
          <w:sz w:val="14"/>
          <w:szCs w:val="14"/>
        </w:rPr>
      </w:pPr>
      <w:r>
        <w:rPr>
          <w:rFonts w:ascii="Arial" w:hAnsi="Arial" w:cs="Arial"/>
          <w:sz w:val="14"/>
          <w:szCs w:val="14"/>
        </w:rPr>
        <w:t>(*) Porcentaje sobre las Ha en explotación, es decir, Has regables netas menos Ha con riego por gravedad.</w:t>
      </w:r>
    </w:p>
    <w:p w14:paraId="144924E4" w14:textId="77777777" w:rsidR="00C30199" w:rsidRDefault="00C30199" w:rsidP="00471A11">
      <w:pPr>
        <w:pStyle w:val="texto"/>
        <w:tabs>
          <w:tab w:val="clear" w:pos="2835"/>
          <w:tab w:val="clear" w:pos="3969"/>
          <w:tab w:val="clear" w:pos="5103"/>
          <w:tab w:val="clear" w:pos="6237"/>
          <w:tab w:val="clear" w:pos="7371"/>
        </w:tabs>
        <w:spacing w:before="240"/>
        <w:rPr>
          <w:szCs w:val="26"/>
        </w:rPr>
      </w:pPr>
      <w:r>
        <w:rPr>
          <w:szCs w:val="26"/>
        </w:rPr>
        <w:t>La superfici</w:t>
      </w:r>
      <w:r w:rsidR="00BC52A1">
        <w:rPr>
          <w:szCs w:val="26"/>
        </w:rPr>
        <w:t>e total en explotación para la Ampliación de la Primera F</w:t>
      </w:r>
      <w:r>
        <w:rPr>
          <w:szCs w:val="26"/>
        </w:rPr>
        <w:t xml:space="preserve">ase a 31 de diciembre de 2021, y cuyos valores son utilizados para el cálculo de los </w:t>
      </w:r>
      <w:proofErr w:type="spellStart"/>
      <w:r>
        <w:rPr>
          <w:szCs w:val="26"/>
        </w:rPr>
        <w:t>canones</w:t>
      </w:r>
      <w:proofErr w:type="spellEnd"/>
      <w:r>
        <w:rPr>
          <w:szCs w:val="26"/>
        </w:rPr>
        <w:t>, asciende a 8.097 hectáreas, un 53 por ciento del total de</w:t>
      </w:r>
      <w:r w:rsidR="00054FA7">
        <w:rPr>
          <w:szCs w:val="26"/>
        </w:rPr>
        <w:t xml:space="preserve"> las 15.275 hectáreas </w:t>
      </w:r>
      <w:r w:rsidR="00054FA7" w:rsidRPr="00DA5E4F">
        <w:rPr>
          <w:szCs w:val="26"/>
        </w:rPr>
        <w:t>previstas inicialmente.</w:t>
      </w:r>
      <w:r w:rsidRPr="00DA5E4F">
        <w:rPr>
          <w:szCs w:val="26"/>
        </w:rPr>
        <w:t xml:space="preserve"> </w:t>
      </w:r>
    </w:p>
    <w:p w14:paraId="5518EFFB" w14:textId="77777777" w:rsidR="00DE41DD" w:rsidRDefault="00C30199" w:rsidP="00205778">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ind w:left="0" w:firstLine="289"/>
      </w:pPr>
      <w:r>
        <w:t xml:space="preserve">En los contratos </w:t>
      </w:r>
      <w:r w:rsidR="001E01A9">
        <w:t>se exige</w:t>
      </w:r>
      <w:r w:rsidR="00AB2443">
        <w:t xml:space="preserve"> </w:t>
      </w:r>
      <w:r w:rsidR="00AB2443" w:rsidRPr="005C62CA">
        <w:t>la aportación por los accionistas de</w:t>
      </w:r>
      <w:r w:rsidR="001E01A9" w:rsidRPr="005C62CA">
        <w:t xml:space="preserve"> </w:t>
      </w:r>
      <w:r w:rsidR="001E01A9">
        <w:t xml:space="preserve">un porcentaje mínimo de recursos sobre la inversión total, entendida </w:t>
      </w:r>
      <w:r w:rsidR="000119F7">
        <w:t xml:space="preserve">esta </w:t>
      </w:r>
      <w:r w:rsidR="00972828">
        <w:t xml:space="preserve">como el </w:t>
      </w:r>
      <w:r w:rsidR="00DA5E4F" w:rsidRPr="000811F0">
        <w:t>presupuesto de ejecución material más el beneficio in</w:t>
      </w:r>
      <w:r w:rsidR="00972828">
        <w:t>dustrial y gastos generales</w:t>
      </w:r>
      <w:r w:rsidR="00DA5E4F" w:rsidRPr="000811F0">
        <w:t>.</w:t>
      </w:r>
      <w:r>
        <w:t xml:space="preserve"> El capital se incrementará con el objeto de mantener este porcentaje cuando se produzca una inversión total mayor que la prevista en cada uno de los sectores. Una vez se apruebe el PFROI de cada sector, se adaptará para mantener los porcentajes</w:t>
      </w:r>
      <w:r w:rsidRPr="005C62CA">
        <w:t xml:space="preserve"> </w:t>
      </w:r>
      <w:r w:rsidR="00AB2443" w:rsidRPr="005C62CA">
        <w:t>mínimos</w:t>
      </w:r>
      <w:r w:rsidRPr="005C62CA">
        <w:t xml:space="preserve">. </w:t>
      </w:r>
    </w:p>
    <w:p w14:paraId="38BB5005" w14:textId="77777777" w:rsidR="00C30199" w:rsidRPr="00695E29" w:rsidRDefault="00C30199" w:rsidP="00205778">
      <w:pPr>
        <w:pStyle w:val="texto"/>
        <w:tabs>
          <w:tab w:val="clear" w:pos="2835"/>
          <w:tab w:val="clear" w:pos="3969"/>
          <w:tab w:val="clear" w:pos="5103"/>
          <w:tab w:val="clear" w:pos="6237"/>
          <w:tab w:val="clear" w:pos="7371"/>
        </w:tabs>
      </w:pPr>
      <w:r w:rsidRPr="001E01A9">
        <w:t xml:space="preserve">El capital social de </w:t>
      </w:r>
      <w:r w:rsidR="00731D83">
        <w:t>AGUACANAL</w:t>
      </w:r>
      <w:r w:rsidR="000D5ECC">
        <w:t xml:space="preserve"> </w:t>
      </w:r>
      <w:r w:rsidRPr="001E01A9">
        <w:t xml:space="preserve">a 31 de diciembre de 2021 es el </w:t>
      </w:r>
      <w:r w:rsidR="00AB2443">
        <w:t xml:space="preserve">diez </w:t>
      </w:r>
      <w:r w:rsidRPr="001E01A9">
        <w:t xml:space="preserve">por ciento de la inversión establecida en el PFROI.  </w:t>
      </w:r>
      <w:r w:rsidR="003B1E6A">
        <w:t>En la A</w:t>
      </w:r>
      <w:r w:rsidR="00F81EF5" w:rsidRPr="00731D83">
        <w:t xml:space="preserve">mpliación, </w:t>
      </w:r>
      <w:r w:rsidR="00F81EF5">
        <w:t>e</w:t>
      </w:r>
      <w:r>
        <w:t>l capital social de Aguas de Navarra S.A., como existen sectores de riego aún en ejecución, se incrementa</w:t>
      </w:r>
      <w:r w:rsidRPr="006C2B77">
        <w:t xml:space="preserve"> </w:t>
      </w:r>
      <w:r>
        <w:t xml:space="preserve">a medida que se produce la inversión, con el objeto de mantener el porcentaje </w:t>
      </w:r>
      <w:r w:rsidR="00AB2443" w:rsidRPr="004208CB">
        <w:t>mínimo</w:t>
      </w:r>
      <w:r w:rsidR="00B05C06" w:rsidRPr="004208CB">
        <w:t>;</w:t>
      </w:r>
      <w:r w:rsidR="00B05C06">
        <w:t xml:space="preserve"> a</w:t>
      </w:r>
      <w:r>
        <w:t xml:space="preserve"> 31 de diciembre de 2021 el</w:t>
      </w:r>
      <w:r w:rsidRPr="006C2B77">
        <w:t xml:space="preserve"> porcentaje de fondos propios sobre la inversión total prevista es del 15 por ciento, mínimo establecido en el contrato.</w:t>
      </w:r>
    </w:p>
    <w:p w14:paraId="04F98F82" w14:textId="77777777" w:rsidR="00C30199" w:rsidRPr="00FA4A0B" w:rsidRDefault="00C30199" w:rsidP="00CB572C">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240" w:after="240"/>
        <w:ind w:left="0" w:firstLine="289"/>
      </w:pPr>
      <w:r>
        <w:t xml:space="preserve">INTIA ha formalizado </w:t>
      </w:r>
      <w:r w:rsidR="00631949">
        <w:t xml:space="preserve">diversos </w:t>
      </w:r>
      <w:r>
        <w:t xml:space="preserve">contratos de asistencia técnica con empresas externas para el asesoramiento específico y especializado en el área </w:t>
      </w:r>
      <w:proofErr w:type="gramStart"/>
      <w:r>
        <w:t>económico financiera</w:t>
      </w:r>
      <w:proofErr w:type="gramEnd"/>
      <w:r>
        <w:t xml:space="preserve"> </w:t>
      </w:r>
      <w:r w:rsidR="005038AD" w:rsidRPr="004208CB">
        <w:t xml:space="preserve">en relación con </w:t>
      </w:r>
      <w:r>
        <w:t>los dos contratos concesio</w:t>
      </w:r>
      <w:r w:rsidR="003B1E6A">
        <w:t>nales para el desarrollo de la Zona R</w:t>
      </w:r>
      <w:r>
        <w:t xml:space="preserve">egable del Canal de Navarra. El objeto de estos contratos es la asistencia técnica </w:t>
      </w:r>
      <w:proofErr w:type="gramStart"/>
      <w:r>
        <w:t>en relación a</w:t>
      </w:r>
      <w:proofErr w:type="gramEnd"/>
      <w:r>
        <w:t xml:space="preserve"> estudios de viabilidad, interpretación de los pliegos o efecto de las hipotéticas modificaciones contractuales sobre los </w:t>
      </w:r>
      <w:proofErr w:type="spellStart"/>
      <w:r>
        <w:t>PEFs</w:t>
      </w:r>
      <w:proofErr w:type="spellEnd"/>
      <w:r>
        <w:t xml:space="preserve">, entre otras. El contrato vigente a fecha de redacción </w:t>
      </w:r>
      <w:r w:rsidR="004B7C96">
        <w:t>de este informe es e</w:t>
      </w:r>
      <w:r w:rsidR="000811F0">
        <w:t>l siguiente:</w:t>
      </w:r>
    </w:p>
    <w:tbl>
      <w:tblPr>
        <w:tblW w:w="9079" w:type="dxa"/>
        <w:tblCellMar>
          <w:left w:w="70" w:type="dxa"/>
          <w:right w:w="70" w:type="dxa"/>
        </w:tblCellMar>
        <w:tblLook w:val="04A0" w:firstRow="1" w:lastRow="0" w:firstColumn="1" w:lastColumn="0" w:noHBand="0" w:noVBand="1"/>
      </w:tblPr>
      <w:tblGrid>
        <w:gridCol w:w="2410"/>
        <w:gridCol w:w="1704"/>
        <w:gridCol w:w="79"/>
        <w:gridCol w:w="1338"/>
        <w:gridCol w:w="151"/>
        <w:gridCol w:w="1761"/>
        <w:gridCol w:w="152"/>
        <w:gridCol w:w="1477"/>
        <w:gridCol w:w="7"/>
      </w:tblGrid>
      <w:tr w:rsidR="00C30199" w:rsidRPr="008F1A63" w14:paraId="3B0B23BF" w14:textId="77777777" w:rsidTr="00471A11">
        <w:trPr>
          <w:trHeight w:val="284"/>
        </w:trPr>
        <w:tc>
          <w:tcPr>
            <w:tcW w:w="2410" w:type="dxa"/>
            <w:tcBorders>
              <w:top w:val="single" w:sz="4" w:space="0" w:color="auto"/>
              <w:left w:val="nil"/>
              <w:bottom w:val="single" w:sz="4" w:space="0" w:color="auto"/>
              <w:right w:val="nil"/>
            </w:tcBorders>
            <w:shd w:val="clear" w:color="auto" w:fill="B8CCE4" w:themeFill="accent1" w:themeFillTint="66"/>
            <w:vAlign w:val="center"/>
            <w:hideMark/>
          </w:tcPr>
          <w:p w14:paraId="750330D6" w14:textId="77777777" w:rsidR="00C30199" w:rsidRPr="008F1A63" w:rsidRDefault="00C30199" w:rsidP="008F1A63">
            <w:pPr>
              <w:pStyle w:val="cuadroCabe"/>
              <w:rPr>
                <w:sz w:val="16"/>
                <w:szCs w:val="16"/>
                <w:lang w:val="es-ES" w:eastAsia="es-ES"/>
              </w:rPr>
            </w:pPr>
            <w:r w:rsidRPr="008F1A63">
              <w:rPr>
                <w:sz w:val="16"/>
                <w:szCs w:val="16"/>
                <w:lang w:val="es-ES" w:eastAsia="es-ES"/>
              </w:rPr>
              <w:t> </w:t>
            </w:r>
          </w:p>
        </w:tc>
        <w:tc>
          <w:tcPr>
            <w:tcW w:w="1783" w:type="dxa"/>
            <w:gridSpan w:val="2"/>
            <w:tcBorders>
              <w:top w:val="single" w:sz="4" w:space="0" w:color="auto"/>
              <w:left w:val="nil"/>
              <w:bottom w:val="single" w:sz="4" w:space="0" w:color="auto"/>
              <w:right w:val="nil"/>
            </w:tcBorders>
            <w:shd w:val="clear" w:color="auto" w:fill="B8CCE4" w:themeFill="accent1" w:themeFillTint="66"/>
            <w:vAlign w:val="center"/>
            <w:hideMark/>
          </w:tcPr>
          <w:p w14:paraId="16756DF1" w14:textId="77777777" w:rsidR="00C30199" w:rsidRPr="008F1A63" w:rsidRDefault="00C30199" w:rsidP="00471A11">
            <w:pPr>
              <w:pStyle w:val="cuadroCabe"/>
              <w:jc w:val="right"/>
              <w:rPr>
                <w:sz w:val="16"/>
                <w:szCs w:val="16"/>
                <w:lang w:val="es-ES" w:eastAsia="es-ES"/>
              </w:rPr>
            </w:pPr>
            <w:r w:rsidRPr="008F1A63">
              <w:rPr>
                <w:sz w:val="16"/>
                <w:szCs w:val="16"/>
                <w:lang w:val="es-ES" w:eastAsia="es-ES"/>
              </w:rPr>
              <w:t>Fecha adjudicación</w:t>
            </w:r>
          </w:p>
        </w:tc>
        <w:tc>
          <w:tcPr>
            <w:tcW w:w="1489" w:type="dxa"/>
            <w:gridSpan w:val="2"/>
            <w:tcBorders>
              <w:top w:val="single" w:sz="4" w:space="0" w:color="auto"/>
              <w:left w:val="nil"/>
              <w:bottom w:val="single" w:sz="4" w:space="0" w:color="auto"/>
              <w:right w:val="nil"/>
            </w:tcBorders>
            <w:shd w:val="clear" w:color="auto" w:fill="B8CCE4" w:themeFill="accent1" w:themeFillTint="66"/>
            <w:vAlign w:val="center"/>
            <w:hideMark/>
          </w:tcPr>
          <w:p w14:paraId="3207751E" w14:textId="77777777" w:rsidR="00C30199" w:rsidRPr="008F1A63" w:rsidRDefault="00C30199" w:rsidP="00471A11">
            <w:pPr>
              <w:pStyle w:val="cuadroCabe"/>
              <w:jc w:val="right"/>
              <w:rPr>
                <w:sz w:val="16"/>
                <w:szCs w:val="16"/>
                <w:lang w:val="es-ES" w:eastAsia="es-ES"/>
              </w:rPr>
            </w:pPr>
            <w:r w:rsidRPr="008F1A63">
              <w:rPr>
                <w:sz w:val="16"/>
                <w:szCs w:val="16"/>
                <w:lang w:val="es-ES" w:eastAsia="es-ES"/>
              </w:rPr>
              <w:t>Adjudicatario</w:t>
            </w:r>
          </w:p>
        </w:tc>
        <w:tc>
          <w:tcPr>
            <w:tcW w:w="1913" w:type="dxa"/>
            <w:gridSpan w:val="2"/>
            <w:tcBorders>
              <w:top w:val="single" w:sz="4" w:space="0" w:color="auto"/>
              <w:left w:val="nil"/>
              <w:bottom w:val="single" w:sz="4" w:space="0" w:color="auto"/>
              <w:right w:val="nil"/>
            </w:tcBorders>
            <w:shd w:val="clear" w:color="auto" w:fill="B8CCE4" w:themeFill="accent1" w:themeFillTint="66"/>
            <w:vAlign w:val="center"/>
            <w:hideMark/>
          </w:tcPr>
          <w:p w14:paraId="6324CD13" w14:textId="77777777" w:rsidR="00C30199" w:rsidRPr="008F1A63" w:rsidRDefault="00C30199" w:rsidP="00471A11">
            <w:pPr>
              <w:pStyle w:val="cuadroCabe"/>
              <w:jc w:val="right"/>
              <w:rPr>
                <w:sz w:val="16"/>
                <w:szCs w:val="16"/>
                <w:lang w:val="es-ES" w:eastAsia="es-ES"/>
              </w:rPr>
            </w:pPr>
            <w:r w:rsidRPr="008F1A63">
              <w:rPr>
                <w:sz w:val="16"/>
                <w:szCs w:val="16"/>
                <w:lang w:val="es-ES" w:eastAsia="es-ES"/>
              </w:rPr>
              <w:t xml:space="preserve">Importe </w:t>
            </w:r>
            <w:proofErr w:type="gramStart"/>
            <w:r w:rsidRPr="008F1A63">
              <w:rPr>
                <w:sz w:val="16"/>
                <w:szCs w:val="16"/>
                <w:lang w:val="es-ES" w:eastAsia="es-ES"/>
              </w:rPr>
              <w:t>IVA  excluido</w:t>
            </w:r>
            <w:proofErr w:type="gramEnd"/>
          </w:p>
        </w:tc>
        <w:tc>
          <w:tcPr>
            <w:tcW w:w="1484" w:type="dxa"/>
            <w:gridSpan w:val="2"/>
            <w:tcBorders>
              <w:top w:val="single" w:sz="4" w:space="0" w:color="auto"/>
              <w:left w:val="nil"/>
              <w:bottom w:val="single" w:sz="4" w:space="0" w:color="auto"/>
              <w:right w:val="nil"/>
            </w:tcBorders>
            <w:shd w:val="clear" w:color="auto" w:fill="B8CCE4" w:themeFill="accent1" w:themeFillTint="66"/>
            <w:vAlign w:val="center"/>
            <w:hideMark/>
          </w:tcPr>
          <w:p w14:paraId="15DC2F31" w14:textId="77777777" w:rsidR="00C30199" w:rsidRPr="008F1A63" w:rsidRDefault="00C30199" w:rsidP="00471A11">
            <w:pPr>
              <w:pStyle w:val="cuadroCabe"/>
              <w:jc w:val="right"/>
              <w:rPr>
                <w:sz w:val="16"/>
                <w:szCs w:val="16"/>
                <w:lang w:val="es-ES" w:eastAsia="es-ES"/>
              </w:rPr>
            </w:pPr>
            <w:r w:rsidRPr="008F1A63">
              <w:rPr>
                <w:sz w:val="16"/>
                <w:szCs w:val="16"/>
                <w:lang w:val="es-ES" w:eastAsia="es-ES"/>
              </w:rPr>
              <w:t>Plazo</w:t>
            </w:r>
          </w:p>
        </w:tc>
      </w:tr>
      <w:tr w:rsidR="00C30199" w:rsidRPr="00FA4A0B" w14:paraId="60507874" w14:textId="77777777" w:rsidTr="00471A11">
        <w:trPr>
          <w:gridAfter w:val="1"/>
          <w:wAfter w:w="7" w:type="dxa"/>
          <w:trHeight w:val="300"/>
        </w:trPr>
        <w:tc>
          <w:tcPr>
            <w:tcW w:w="2410" w:type="dxa"/>
            <w:tcBorders>
              <w:top w:val="nil"/>
              <w:left w:val="nil"/>
              <w:bottom w:val="single" w:sz="4" w:space="0" w:color="auto"/>
              <w:right w:val="nil"/>
            </w:tcBorders>
            <w:shd w:val="clear" w:color="auto" w:fill="auto"/>
            <w:noWrap/>
            <w:vAlign w:val="center"/>
            <w:hideMark/>
          </w:tcPr>
          <w:p w14:paraId="35673206" w14:textId="77777777" w:rsidR="00C30199" w:rsidRPr="00FA4A0B" w:rsidRDefault="00C30199" w:rsidP="008F1A63">
            <w:pPr>
              <w:pStyle w:val="cuatexto"/>
              <w:jc w:val="left"/>
              <w:rPr>
                <w:lang w:val="es-ES" w:eastAsia="es-ES"/>
              </w:rPr>
            </w:pPr>
            <w:r w:rsidRPr="00FA4A0B">
              <w:rPr>
                <w:lang w:val="es-ES" w:eastAsia="es-ES"/>
              </w:rPr>
              <w:t>Zona regable del Canal</w:t>
            </w:r>
          </w:p>
        </w:tc>
        <w:tc>
          <w:tcPr>
            <w:tcW w:w="1704" w:type="dxa"/>
            <w:tcBorders>
              <w:top w:val="nil"/>
              <w:left w:val="nil"/>
              <w:bottom w:val="single" w:sz="4" w:space="0" w:color="auto"/>
              <w:right w:val="nil"/>
            </w:tcBorders>
            <w:shd w:val="clear" w:color="auto" w:fill="auto"/>
            <w:noWrap/>
            <w:vAlign w:val="center"/>
            <w:hideMark/>
          </w:tcPr>
          <w:p w14:paraId="52F6EFA3" w14:textId="77777777" w:rsidR="00C30199" w:rsidRPr="00FA4A0B" w:rsidRDefault="00C30199" w:rsidP="00471A11">
            <w:pPr>
              <w:pStyle w:val="cuatexto"/>
              <w:jc w:val="right"/>
              <w:rPr>
                <w:lang w:val="es-ES" w:eastAsia="es-ES"/>
              </w:rPr>
            </w:pPr>
            <w:r w:rsidRPr="00FA4A0B">
              <w:rPr>
                <w:lang w:val="es-ES" w:eastAsia="es-ES"/>
              </w:rPr>
              <w:t>10/12/2021</w:t>
            </w:r>
          </w:p>
        </w:tc>
        <w:tc>
          <w:tcPr>
            <w:tcW w:w="1417" w:type="dxa"/>
            <w:gridSpan w:val="2"/>
            <w:tcBorders>
              <w:top w:val="nil"/>
              <w:left w:val="nil"/>
              <w:bottom w:val="single" w:sz="4" w:space="0" w:color="auto"/>
              <w:right w:val="nil"/>
            </w:tcBorders>
            <w:shd w:val="clear" w:color="auto" w:fill="auto"/>
            <w:noWrap/>
            <w:vAlign w:val="center"/>
            <w:hideMark/>
          </w:tcPr>
          <w:p w14:paraId="665429C9" w14:textId="77777777" w:rsidR="00C30199" w:rsidRPr="00FA4A0B" w:rsidRDefault="00C30199" w:rsidP="00471A11">
            <w:pPr>
              <w:pStyle w:val="cuatexto"/>
              <w:jc w:val="right"/>
              <w:rPr>
                <w:lang w:val="es-ES" w:eastAsia="es-ES"/>
              </w:rPr>
            </w:pPr>
            <w:r w:rsidRPr="00FA4A0B">
              <w:rPr>
                <w:lang w:val="es-ES" w:eastAsia="es-ES"/>
              </w:rPr>
              <w:t>PwC</w:t>
            </w:r>
          </w:p>
        </w:tc>
        <w:tc>
          <w:tcPr>
            <w:tcW w:w="1912" w:type="dxa"/>
            <w:gridSpan w:val="2"/>
            <w:tcBorders>
              <w:top w:val="nil"/>
              <w:left w:val="nil"/>
              <w:bottom w:val="single" w:sz="4" w:space="0" w:color="auto"/>
              <w:right w:val="nil"/>
            </w:tcBorders>
            <w:shd w:val="clear" w:color="auto" w:fill="auto"/>
            <w:noWrap/>
            <w:vAlign w:val="center"/>
            <w:hideMark/>
          </w:tcPr>
          <w:p w14:paraId="45D40199" w14:textId="77777777" w:rsidR="00C30199" w:rsidRPr="00FA4A0B" w:rsidRDefault="00C30199" w:rsidP="00471A11">
            <w:pPr>
              <w:pStyle w:val="cuatexto"/>
              <w:jc w:val="right"/>
              <w:rPr>
                <w:lang w:val="es-ES" w:eastAsia="es-ES"/>
              </w:rPr>
            </w:pPr>
            <w:r w:rsidRPr="00FA4A0B">
              <w:rPr>
                <w:lang w:val="es-ES" w:eastAsia="es-ES"/>
              </w:rPr>
              <w:t>133.340</w:t>
            </w:r>
          </w:p>
        </w:tc>
        <w:tc>
          <w:tcPr>
            <w:tcW w:w="1629" w:type="dxa"/>
            <w:gridSpan w:val="2"/>
            <w:tcBorders>
              <w:top w:val="nil"/>
              <w:left w:val="nil"/>
              <w:bottom w:val="single" w:sz="4" w:space="0" w:color="auto"/>
              <w:right w:val="nil"/>
            </w:tcBorders>
            <w:shd w:val="clear" w:color="auto" w:fill="auto"/>
            <w:noWrap/>
            <w:vAlign w:val="center"/>
            <w:hideMark/>
          </w:tcPr>
          <w:p w14:paraId="714E34E7" w14:textId="77777777" w:rsidR="00C30199" w:rsidRPr="00FA4A0B" w:rsidRDefault="00C30199" w:rsidP="00471A11">
            <w:pPr>
              <w:pStyle w:val="cuatexto"/>
              <w:jc w:val="right"/>
              <w:rPr>
                <w:lang w:val="es-ES" w:eastAsia="es-ES"/>
              </w:rPr>
            </w:pPr>
            <w:r w:rsidRPr="00FA4A0B">
              <w:rPr>
                <w:lang w:val="es-ES" w:eastAsia="es-ES"/>
              </w:rPr>
              <w:t>2021-2025</w:t>
            </w:r>
          </w:p>
        </w:tc>
      </w:tr>
    </w:tbl>
    <w:p w14:paraId="0A29E1C5" w14:textId="77777777" w:rsidR="00C30199" w:rsidRDefault="00C30199" w:rsidP="00A2489F">
      <w:pPr>
        <w:pStyle w:val="texto"/>
        <w:tabs>
          <w:tab w:val="clear" w:pos="2835"/>
          <w:tab w:val="clear" w:pos="3969"/>
          <w:tab w:val="clear" w:pos="5103"/>
          <w:tab w:val="clear" w:pos="6237"/>
          <w:tab w:val="clear" w:pos="7371"/>
        </w:tabs>
        <w:spacing w:before="120" w:after="120"/>
      </w:pPr>
      <w:r w:rsidRPr="00FA4A0B">
        <w:t xml:space="preserve">El </w:t>
      </w:r>
      <w:r>
        <w:t xml:space="preserve">gasto en asistencia técnica para el período 2014-2021 </w:t>
      </w:r>
      <w:r w:rsidR="00362563">
        <w:t>(IVA incluido</w:t>
      </w:r>
      <w:r w:rsidR="00960AC9">
        <w:t>)</w:t>
      </w:r>
      <w:r w:rsidR="00362563">
        <w:t xml:space="preserve"> </w:t>
      </w:r>
      <w:r>
        <w:t xml:space="preserve">es el siguiente: </w:t>
      </w:r>
    </w:p>
    <w:tbl>
      <w:tblPr>
        <w:tblW w:w="9072" w:type="dxa"/>
        <w:tblCellMar>
          <w:left w:w="70" w:type="dxa"/>
          <w:right w:w="70" w:type="dxa"/>
        </w:tblCellMar>
        <w:tblLook w:val="04A0" w:firstRow="1" w:lastRow="0" w:firstColumn="1" w:lastColumn="0" w:noHBand="0" w:noVBand="1"/>
      </w:tblPr>
      <w:tblGrid>
        <w:gridCol w:w="993"/>
        <w:gridCol w:w="8079"/>
      </w:tblGrid>
      <w:tr w:rsidR="00C30199" w:rsidRPr="00FA4A0B" w14:paraId="11551CD1" w14:textId="77777777" w:rsidTr="00966B96">
        <w:trPr>
          <w:trHeight w:val="227"/>
        </w:trPr>
        <w:tc>
          <w:tcPr>
            <w:tcW w:w="993" w:type="dxa"/>
            <w:tcBorders>
              <w:top w:val="single" w:sz="4" w:space="0" w:color="auto"/>
              <w:left w:val="nil"/>
              <w:bottom w:val="single" w:sz="4" w:space="0" w:color="auto"/>
              <w:right w:val="nil"/>
            </w:tcBorders>
            <w:shd w:val="clear" w:color="auto" w:fill="B8CCE4" w:themeFill="accent1" w:themeFillTint="66"/>
            <w:noWrap/>
            <w:vAlign w:val="center"/>
            <w:hideMark/>
          </w:tcPr>
          <w:p w14:paraId="03C6FE10" w14:textId="77777777" w:rsidR="00C30199" w:rsidRPr="00FA4A0B" w:rsidRDefault="00C30199" w:rsidP="00205778">
            <w:pPr>
              <w:pStyle w:val="cuadroCabe"/>
              <w:spacing w:line="240" w:lineRule="auto"/>
              <w:jc w:val="left"/>
              <w:rPr>
                <w:lang w:val="es-ES" w:eastAsia="es-ES"/>
              </w:rPr>
            </w:pPr>
            <w:r w:rsidRPr="00FA4A0B">
              <w:rPr>
                <w:lang w:val="es-ES" w:eastAsia="es-ES"/>
              </w:rPr>
              <w:t xml:space="preserve">Años </w:t>
            </w:r>
          </w:p>
        </w:tc>
        <w:tc>
          <w:tcPr>
            <w:tcW w:w="8079" w:type="dxa"/>
            <w:tcBorders>
              <w:top w:val="single" w:sz="4" w:space="0" w:color="auto"/>
              <w:left w:val="nil"/>
              <w:bottom w:val="single" w:sz="4" w:space="0" w:color="auto"/>
              <w:right w:val="nil"/>
            </w:tcBorders>
            <w:shd w:val="clear" w:color="auto" w:fill="B8CCE4" w:themeFill="accent1" w:themeFillTint="66"/>
            <w:vAlign w:val="center"/>
            <w:hideMark/>
          </w:tcPr>
          <w:p w14:paraId="040D67D6" w14:textId="77777777" w:rsidR="00C30199" w:rsidRPr="00FA4A0B" w:rsidRDefault="00C30199" w:rsidP="00205778">
            <w:pPr>
              <w:pStyle w:val="cuadroCabe"/>
              <w:spacing w:line="240" w:lineRule="auto"/>
              <w:jc w:val="right"/>
              <w:rPr>
                <w:lang w:val="es-ES" w:eastAsia="es-ES"/>
              </w:rPr>
            </w:pPr>
            <w:r w:rsidRPr="00FA4A0B">
              <w:rPr>
                <w:lang w:val="es-ES" w:eastAsia="es-ES"/>
              </w:rPr>
              <w:t>Gasto presupuestario</w:t>
            </w:r>
          </w:p>
        </w:tc>
      </w:tr>
      <w:tr w:rsidR="00C30199" w:rsidRPr="00FA4A0B" w14:paraId="4275C82D" w14:textId="77777777" w:rsidTr="00966B96">
        <w:trPr>
          <w:trHeight w:val="227"/>
        </w:trPr>
        <w:tc>
          <w:tcPr>
            <w:tcW w:w="993" w:type="dxa"/>
            <w:tcBorders>
              <w:top w:val="nil"/>
              <w:left w:val="nil"/>
              <w:bottom w:val="single" w:sz="2" w:space="0" w:color="auto"/>
              <w:right w:val="nil"/>
            </w:tcBorders>
            <w:shd w:val="clear" w:color="auto" w:fill="auto"/>
            <w:noWrap/>
            <w:vAlign w:val="center"/>
            <w:hideMark/>
          </w:tcPr>
          <w:p w14:paraId="093F2784" w14:textId="77777777" w:rsidR="00C30199" w:rsidRPr="00FA4A0B" w:rsidRDefault="00C30199" w:rsidP="00205778">
            <w:pPr>
              <w:spacing w:after="0"/>
              <w:ind w:firstLine="0"/>
              <w:jc w:val="left"/>
              <w:rPr>
                <w:rFonts w:ascii="Arial Narrow" w:hAnsi="Arial Narrow"/>
                <w:color w:val="000000"/>
                <w:lang w:val="es-ES" w:eastAsia="es-ES"/>
              </w:rPr>
            </w:pPr>
            <w:r w:rsidRPr="00FA4A0B">
              <w:rPr>
                <w:rFonts w:ascii="Arial Narrow" w:hAnsi="Arial Narrow"/>
                <w:color w:val="000000"/>
                <w:lang w:val="es-ES" w:eastAsia="es-ES"/>
              </w:rPr>
              <w:t>2014</w:t>
            </w:r>
          </w:p>
        </w:tc>
        <w:tc>
          <w:tcPr>
            <w:tcW w:w="8079" w:type="dxa"/>
            <w:tcBorders>
              <w:top w:val="nil"/>
              <w:left w:val="nil"/>
              <w:bottom w:val="single" w:sz="2" w:space="0" w:color="auto"/>
              <w:right w:val="nil"/>
            </w:tcBorders>
            <w:shd w:val="clear" w:color="auto" w:fill="auto"/>
            <w:noWrap/>
            <w:vAlign w:val="center"/>
            <w:hideMark/>
          </w:tcPr>
          <w:p w14:paraId="56DB9F29" w14:textId="77777777" w:rsidR="00C30199" w:rsidRPr="00FA4A0B" w:rsidRDefault="00C30199" w:rsidP="00205778">
            <w:pPr>
              <w:spacing w:after="0"/>
              <w:ind w:firstLine="0"/>
              <w:jc w:val="right"/>
              <w:rPr>
                <w:rFonts w:ascii="Arial Narrow" w:hAnsi="Arial Narrow"/>
                <w:color w:val="000000"/>
                <w:lang w:val="es-ES" w:eastAsia="es-ES"/>
              </w:rPr>
            </w:pPr>
            <w:r w:rsidRPr="00FA4A0B">
              <w:rPr>
                <w:rFonts w:ascii="Arial Narrow" w:hAnsi="Arial Narrow"/>
                <w:color w:val="000000"/>
                <w:lang w:val="es-ES" w:eastAsia="es-ES"/>
              </w:rPr>
              <w:t>45.700</w:t>
            </w:r>
          </w:p>
        </w:tc>
      </w:tr>
      <w:tr w:rsidR="00C30199" w:rsidRPr="00FA4A0B" w14:paraId="3B6BD5B6"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3B8D4FD9" w14:textId="77777777" w:rsidR="00C30199" w:rsidRPr="00FA4A0B" w:rsidRDefault="00C30199" w:rsidP="00686011">
            <w:pPr>
              <w:spacing w:after="0"/>
              <w:ind w:firstLine="0"/>
              <w:jc w:val="left"/>
              <w:rPr>
                <w:rFonts w:ascii="Arial Narrow" w:hAnsi="Arial Narrow"/>
                <w:color w:val="000000"/>
                <w:lang w:val="es-ES" w:eastAsia="es-ES"/>
              </w:rPr>
            </w:pPr>
            <w:r w:rsidRPr="00FA4A0B">
              <w:rPr>
                <w:rFonts w:ascii="Arial Narrow" w:hAnsi="Arial Narrow"/>
                <w:color w:val="000000"/>
                <w:lang w:val="es-ES" w:eastAsia="es-ES"/>
              </w:rPr>
              <w:t>2015</w:t>
            </w:r>
            <w:r w:rsidR="00686011" w:rsidRPr="00686011">
              <w:rPr>
                <w:rFonts w:ascii="Arial Narrow" w:hAnsi="Arial Narrow"/>
                <w:color w:val="000000"/>
                <w:vertAlign w:val="superscript"/>
                <w:lang w:val="es-ES" w:eastAsia="es-ES"/>
              </w:rPr>
              <w:t>(*)</w:t>
            </w:r>
          </w:p>
        </w:tc>
        <w:tc>
          <w:tcPr>
            <w:tcW w:w="8079" w:type="dxa"/>
            <w:tcBorders>
              <w:top w:val="single" w:sz="2" w:space="0" w:color="auto"/>
              <w:left w:val="nil"/>
              <w:bottom w:val="single" w:sz="2" w:space="0" w:color="auto"/>
              <w:right w:val="nil"/>
            </w:tcBorders>
            <w:shd w:val="clear" w:color="auto" w:fill="auto"/>
            <w:noWrap/>
            <w:vAlign w:val="center"/>
            <w:hideMark/>
          </w:tcPr>
          <w:p w14:paraId="373D0815" w14:textId="77777777" w:rsidR="00C30199" w:rsidRPr="00FA4A0B" w:rsidRDefault="00C30199" w:rsidP="00205778">
            <w:pPr>
              <w:spacing w:after="0"/>
              <w:ind w:firstLine="0"/>
              <w:jc w:val="right"/>
              <w:rPr>
                <w:rFonts w:ascii="Arial Narrow" w:hAnsi="Arial Narrow"/>
                <w:color w:val="000000"/>
                <w:lang w:val="es-ES" w:eastAsia="es-ES"/>
              </w:rPr>
            </w:pPr>
            <w:r w:rsidRPr="00FA4A0B">
              <w:rPr>
                <w:rFonts w:ascii="Arial Narrow" w:hAnsi="Arial Narrow"/>
                <w:color w:val="000000"/>
                <w:lang w:val="es-ES" w:eastAsia="es-ES"/>
              </w:rPr>
              <w:t>0</w:t>
            </w:r>
          </w:p>
        </w:tc>
      </w:tr>
      <w:tr w:rsidR="00C30199" w:rsidRPr="00FA4A0B" w14:paraId="266040E4"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32F276EB" w14:textId="77777777" w:rsidR="00C30199" w:rsidRPr="00FA4A0B" w:rsidRDefault="00C30199" w:rsidP="009E3198">
            <w:pPr>
              <w:spacing w:after="0"/>
              <w:ind w:firstLine="0"/>
              <w:jc w:val="left"/>
              <w:rPr>
                <w:rFonts w:ascii="Arial Narrow" w:hAnsi="Arial Narrow"/>
                <w:color w:val="000000"/>
                <w:lang w:val="es-ES" w:eastAsia="es-ES"/>
              </w:rPr>
            </w:pPr>
            <w:r w:rsidRPr="00FA4A0B">
              <w:rPr>
                <w:rFonts w:ascii="Arial Narrow" w:hAnsi="Arial Narrow"/>
                <w:color w:val="000000"/>
                <w:lang w:val="es-ES" w:eastAsia="es-ES"/>
              </w:rPr>
              <w:t>2016</w:t>
            </w:r>
          </w:p>
        </w:tc>
        <w:tc>
          <w:tcPr>
            <w:tcW w:w="8079" w:type="dxa"/>
            <w:tcBorders>
              <w:top w:val="single" w:sz="2" w:space="0" w:color="auto"/>
              <w:left w:val="nil"/>
              <w:bottom w:val="single" w:sz="2" w:space="0" w:color="auto"/>
              <w:right w:val="nil"/>
            </w:tcBorders>
            <w:shd w:val="clear" w:color="auto" w:fill="auto"/>
            <w:noWrap/>
            <w:vAlign w:val="center"/>
            <w:hideMark/>
          </w:tcPr>
          <w:p w14:paraId="1AC8DA02" w14:textId="77777777" w:rsidR="00C30199" w:rsidRPr="00FA4A0B" w:rsidRDefault="00C30199" w:rsidP="00205778">
            <w:pPr>
              <w:spacing w:after="0"/>
              <w:ind w:firstLine="0"/>
              <w:jc w:val="right"/>
              <w:rPr>
                <w:rFonts w:ascii="Arial Narrow" w:hAnsi="Arial Narrow"/>
                <w:color w:val="000000"/>
                <w:lang w:val="es-ES" w:eastAsia="es-ES"/>
              </w:rPr>
            </w:pPr>
            <w:r w:rsidRPr="00FA4A0B">
              <w:rPr>
                <w:rFonts w:ascii="Arial Narrow" w:hAnsi="Arial Narrow"/>
                <w:color w:val="000000"/>
                <w:lang w:val="es-ES" w:eastAsia="es-ES"/>
              </w:rPr>
              <w:t>0</w:t>
            </w:r>
          </w:p>
        </w:tc>
      </w:tr>
      <w:tr w:rsidR="00C30199" w:rsidRPr="00FA4A0B" w14:paraId="14903E5C"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55A62D37" w14:textId="77777777" w:rsidR="00C30199" w:rsidRPr="00FA4A0B" w:rsidRDefault="00C30199" w:rsidP="00205778">
            <w:pPr>
              <w:spacing w:after="0"/>
              <w:ind w:firstLine="0"/>
              <w:jc w:val="left"/>
              <w:rPr>
                <w:rFonts w:ascii="Arial Narrow" w:hAnsi="Arial Narrow"/>
                <w:color w:val="000000"/>
                <w:lang w:val="es-ES" w:eastAsia="es-ES"/>
              </w:rPr>
            </w:pPr>
            <w:r w:rsidRPr="00FA4A0B">
              <w:rPr>
                <w:rFonts w:ascii="Arial Narrow" w:hAnsi="Arial Narrow"/>
                <w:color w:val="000000"/>
                <w:lang w:val="es-ES" w:eastAsia="es-ES"/>
              </w:rPr>
              <w:t>2017</w:t>
            </w:r>
          </w:p>
        </w:tc>
        <w:tc>
          <w:tcPr>
            <w:tcW w:w="8079" w:type="dxa"/>
            <w:tcBorders>
              <w:top w:val="single" w:sz="2" w:space="0" w:color="auto"/>
              <w:left w:val="nil"/>
              <w:bottom w:val="single" w:sz="2" w:space="0" w:color="auto"/>
              <w:right w:val="nil"/>
            </w:tcBorders>
            <w:shd w:val="clear" w:color="auto" w:fill="auto"/>
            <w:noWrap/>
            <w:vAlign w:val="center"/>
            <w:hideMark/>
          </w:tcPr>
          <w:p w14:paraId="63216E45" w14:textId="77777777" w:rsidR="00C30199" w:rsidRPr="00FA4A0B" w:rsidRDefault="00C30199" w:rsidP="00205778">
            <w:pPr>
              <w:spacing w:after="0"/>
              <w:ind w:firstLine="0"/>
              <w:jc w:val="right"/>
              <w:rPr>
                <w:rFonts w:ascii="Arial Narrow" w:hAnsi="Arial Narrow"/>
                <w:color w:val="000000"/>
                <w:lang w:val="es-ES" w:eastAsia="es-ES"/>
              </w:rPr>
            </w:pPr>
            <w:r w:rsidRPr="00FA4A0B">
              <w:rPr>
                <w:rFonts w:ascii="Arial Narrow" w:hAnsi="Arial Narrow"/>
                <w:color w:val="000000"/>
                <w:lang w:val="es-ES" w:eastAsia="es-ES"/>
              </w:rPr>
              <w:t>49.633</w:t>
            </w:r>
          </w:p>
        </w:tc>
      </w:tr>
      <w:tr w:rsidR="00C30199" w:rsidRPr="00FA4A0B" w14:paraId="54E94DBF"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7CB51B79" w14:textId="77777777" w:rsidR="00C30199" w:rsidRPr="00FA4A0B" w:rsidRDefault="00C30199" w:rsidP="00205778">
            <w:pPr>
              <w:spacing w:after="0"/>
              <w:ind w:firstLine="0"/>
              <w:jc w:val="left"/>
              <w:rPr>
                <w:rFonts w:ascii="Arial Narrow" w:hAnsi="Arial Narrow"/>
                <w:color w:val="000000"/>
                <w:lang w:val="es-ES" w:eastAsia="es-ES"/>
              </w:rPr>
            </w:pPr>
            <w:r w:rsidRPr="00FA4A0B">
              <w:rPr>
                <w:rFonts w:ascii="Arial Narrow" w:hAnsi="Arial Narrow"/>
                <w:color w:val="000000"/>
                <w:lang w:val="es-ES" w:eastAsia="es-ES"/>
              </w:rPr>
              <w:t>2018</w:t>
            </w:r>
          </w:p>
        </w:tc>
        <w:tc>
          <w:tcPr>
            <w:tcW w:w="8079" w:type="dxa"/>
            <w:tcBorders>
              <w:top w:val="single" w:sz="2" w:space="0" w:color="auto"/>
              <w:left w:val="nil"/>
              <w:bottom w:val="single" w:sz="2" w:space="0" w:color="auto"/>
              <w:right w:val="nil"/>
            </w:tcBorders>
            <w:shd w:val="clear" w:color="auto" w:fill="auto"/>
            <w:noWrap/>
            <w:vAlign w:val="center"/>
            <w:hideMark/>
          </w:tcPr>
          <w:p w14:paraId="4AEBD8CF" w14:textId="77777777" w:rsidR="00C30199" w:rsidRPr="00FA4A0B" w:rsidRDefault="00C30199" w:rsidP="00205778">
            <w:pPr>
              <w:spacing w:after="0"/>
              <w:ind w:firstLine="0"/>
              <w:jc w:val="right"/>
              <w:rPr>
                <w:rFonts w:ascii="Arial Narrow" w:hAnsi="Arial Narrow"/>
                <w:color w:val="000000"/>
                <w:lang w:val="es-ES" w:eastAsia="es-ES"/>
              </w:rPr>
            </w:pPr>
            <w:r w:rsidRPr="00FA4A0B">
              <w:rPr>
                <w:rFonts w:ascii="Arial Narrow" w:hAnsi="Arial Narrow"/>
                <w:color w:val="000000"/>
                <w:lang w:val="es-ES" w:eastAsia="es-ES"/>
              </w:rPr>
              <w:t>113.491</w:t>
            </w:r>
          </w:p>
        </w:tc>
      </w:tr>
      <w:tr w:rsidR="00C30199" w:rsidRPr="00FA4A0B" w14:paraId="6702E5A6"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15587C58" w14:textId="77777777" w:rsidR="00C30199" w:rsidRPr="00FA4A0B" w:rsidRDefault="00C30199" w:rsidP="00205778">
            <w:pPr>
              <w:spacing w:after="0"/>
              <w:ind w:firstLine="0"/>
              <w:jc w:val="left"/>
              <w:rPr>
                <w:rFonts w:ascii="Arial Narrow" w:hAnsi="Arial Narrow"/>
                <w:color w:val="000000"/>
                <w:lang w:val="es-ES" w:eastAsia="es-ES"/>
              </w:rPr>
            </w:pPr>
            <w:r w:rsidRPr="00FA4A0B">
              <w:rPr>
                <w:rFonts w:ascii="Arial Narrow" w:hAnsi="Arial Narrow"/>
                <w:color w:val="000000"/>
                <w:lang w:val="es-ES" w:eastAsia="es-ES"/>
              </w:rPr>
              <w:t>2019</w:t>
            </w:r>
          </w:p>
        </w:tc>
        <w:tc>
          <w:tcPr>
            <w:tcW w:w="8079" w:type="dxa"/>
            <w:tcBorders>
              <w:top w:val="single" w:sz="2" w:space="0" w:color="auto"/>
              <w:left w:val="nil"/>
              <w:bottom w:val="single" w:sz="2" w:space="0" w:color="auto"/>
              <w:right w:val="nil"/>
            </w:tcBorders>
            <w:shd w:val="clear" w:color="auto" w:fill="auto"/>
            <w:noWrap/>
            <w:vAlign w:val="center"/>
            <w:hideMark/>
          </w:tcPr>
          <w:p w14:paraId="7EA6FB48" w14:textId="77777777" w:rsidR="00C30199" w:rsidRPr="00FA4A0B" w:rsidRDefault="00C30199" w:rsidP="00205778">
            <w:pPr>
              <w:spacing w:after="0"/>
              <w:ind w:firstLine="0"/>
              <w:jc w:val="right"/>
              <w:rPr>
                <w:rFonts w:ascii="Arial Narrow" w:hAnsi="Arial Narrow"/>
                <w:color w:val="000000"/>
                <w:lang w:val="es-ES" w:eastAsia="es-ES"/>
              </w:rPr>
            </w:pPr>
            <w:r w:rsidRPr="00FA4A0B">
              <w:rPr>
                <w:rFonts w:ascii="Arial Narrow" w:hAnsi="Arial Narrow"/>
                <w:color w:val="000000"/>
                <w:lang w:val="es-ES" w:eastAsia="es-ES"/>
              </w:rPr>
              <w:t>201.610</w:t>
            </w:r>
          </w:p>
        </w:tc>
      </w:tr>
      <w:tr w:rsidR="00C30199" w:rsidRPr="00FA4A0B" w14:paraId="1F799539" w14:textId="77777777" w:rsidTr="00966B96">
        <w:trPr>
          <w:trHeight w:val="227"/>
        </w:trPr>
        <w:tc>
          <w:tcPr>
            <w:tcW w:w="993" w:type="dxa"/>
            <w:tcBorders>
              <w:top w:val="single" w:sz="2" w:space="0" w:color="auto"/>
              <w:left w:val="nil"/>
              <w:bottom w:val="single" w:sz="2" w:space="0" w:color="auto"/>
              <w:right w:val="nil"/>
            </w:tcBorders>
            <w:shd w:val="clear" w:color="auto" w:fill="auto"/>
            <w:noWrap/>
            <w:vAlign w:val="center"/>
            <w:hideMark/>
          </w:tcPr>
          <w:p w14:paraId="7531121A" w14:textId="77777777" w:rsidR="00C30199" w:rsidRPr="00FA4A0B" w:rsidRDefault="00C30199" w:rsidP="00205778">
            <w:pPr>
              <w:spacing w:after="0"/>
              <w:ind w:firstLine="0"/>
              <w:jc w:val="left"/>
              <w:rPr>
                <w:rFonts w:ascii="Arial Narrow" w:hAnsi="Arial Narrow"/>
                <w:color w:val="000000"/>
                <w:lang w:val="es-ES" w:eastAsia="es-ES"/>
              </w:rPr>
            </w:pPr>
            <w:r w:rsidRPr="00FA4A0B">
              <w:rPr>
                <w:rFonts w:ascii="Arial Narrow" w:hAnsi="Arial Narrow"/>
                <w:color w:val="000000"/>
                <w:lang w:val="es-ES" w:eastAsia="es-ES"/>
              </w:rPr>
              <w:t>2020</w:t>
            </w:r>
          </w:p>
        </w:tc>
        <w:tc>
          <w:tcPr>
            <w:tcW w:w="8079" w:type="dxa"/>
            <w:tcBorders>
              <w:top w:val="single" w:sz="2" w:space="0" w:color="auto"/>
              <w:left w:val="nil"/>
              <w:bottom w:val="single" w:sz="2" w:space="0" w:color="auto"/>
              <w:right w:val="nil"/>
            </w:tcBorders>
            <w:shd w:val="clear" w:color="auto" w:fill="auto"/>
            <w:noWrap/>
            <w:vAlign w:val="center"/>
            <w:hideMark/>
          </w:tcPr>
          <w:p w14:paraId="769078DC" w14:textId="77777777" w:rsidR="00C30199" w:rsidRPr="00FA4A0B" w:rsidRDefault="00C30199" w:rsidP="00205778">
            <w:pPr>
              <w:spacing w:after="0"/>
              <w:ind w:firstLine="0"/>
              <w:jc w:val="right"/>
              <w:rPr>
                <w:rFonts w:ascii="Arial Narrow" w:hAnsi="Arial Narrow"/>
                <w:color w:val="000000"/>
                <w:lang w:val="es-ES" w:eastAsia="es-ES"/>
              </w:rPr>
            </w:pPr>
            <w:r w:rsidRPr="00FA4A0B">
              <w:rPr>
                <w:rFonts w:ascii="Arial Narrow" w:hAnsi="Arial Narrow"/>
                <w:color w:val="000000"/>
                <w:lang w:val="es-ES" w:eastAsia="es-ES"/>
              </w:rPr>
              <w:t>206.218</w:t>
            </w:r>
          </w:p>
        </w:tc>
      </w:tr>
      <w:tr w:rsidR="00C30199" w:rsidRPr="00FA4A0B" w14:paraId="0511C3E8" w14:textId="77777777" w:rsidTr="00966B96">
        <w:trPr>
          <w:trHeight w:val="227"/>
        </w:trPr>
        <w:tc>
          <w:tcPr>
            <w:tcW w:w="993" w:type="dxa"/>
            <w:tcBorders>
              <w:top w:val="single" w:sz="2" w:space="0" w:color="auto"/>
              <w:left w:val="nil"/>
              <w:bottom w:val="single" w:sz="4" w:space="0" w:color="auto"/>
              <w:right w:val="nil"/>
            </w:tcBorders>
            <w:shd w:val="clear" w:color="auto" w:fill="auto"/>
            <w:noWrap/>
            <w:vAlign w:val="center"/>
            <w:hideMark/>
          </w:tcPr>
          <w:p w14:paraId="165E6495" w14:textId="77777777" w:rsidR="00C30199" w:rsidRPr="00FA4A0B" w:rsidRDefault="00C30199" w:rsidP="00205778">
            <w:pPr>
              <w:spacing w:after="0"/>
              <w:ind w:firstLine="0"/>
              <w:jc w:val="left"/>
              <w:rPr>
                <w:rFonts w:ascii="Arial Narrow" w:hAnsi="Arial Narrow"/>
                <w:color w:val="000000"/>
                <w:lang w:val="es-ES" w:eastAsia="es-ES"/>
              </w:rPr>
            </w:pPr>
            <w:r w:rsidRPr="00FA4A0B">
              <w:rPr>
                <w:rFonts w:ascii="Arial Narrow" w:hAnsi="Arial Narrow"/>
                <w:color w:val="000000"/>
                <w:lang w:val="es-ES" w:eastAsia="es-ES"/>
              </w:rPr>
              <w:t>2021</w:t>
            </w:r>
          </w:p>
        </w:tc>
        <w:tc>
          <w:tcPr>
            <w:tcW w:w="8079" w:type="dxa"/>
            <w:tcBorders>
              <w:top w:val="single" w:sz="2" w:space="0" w:color="auto"/>
              <w:left w:val="nil"/>
              <w:bottom w:val="single" w:sz="4" w:space="0" w:color="auto"/>
              <w:right w:val="nil"/>
            </w:tcBorders>
            <w:shd w:val="clear" w:color="auto" w:fill="auto"/>
            <w:noWrap/>
            <w:vAlign w:val="center"/>
            <w:hideMark/>
          </w:tcPr>
          <w:p w14:paraId="3E45566F" w14:textId="77777777" w:rsidR="00C30199" w:rsidRPr="00FA4A0B" w:rsidRDefault="00C30199" w:rsidP="00205778">
            <w:pPr>
              <w:spacing w:after="0"/>
              <w:ind w:firstLine="0"/>
              <w:jc w:val="right"/>
              <w:rPr>
                <w:rFonts w:ascii="Arial Narrow" w:hAnsi="Arial Narrow"/>
                <w:color w:val="000000"/>
                <w:lang w:val="es-ES" w:eastAsia="es-ES"/>
              </w:rPr>
            </w:pPr>
            <w:r w:rsidRPr="00FA4A0B">
              <w:rPr>
                <w:rFonts w:ascii="Arial Narrow" w:hAnsi="Arial Narrow"/>
                <w:color w:val="000000"/>
                <w:lang w:val="es-ES" w:eastAsia="es-ES"/>
              </w:rPr>
              <w:t>58.564</w:t>
            </w:r>
          </w:p>
        </w:tc>
      </w:tr>
      <w:tr w:rsidR="00C30199" w:rsidRPr="00FA4A0B" w14:paraId="5E5568C7" w14:textId="77777777" w:rsidTr="00966B96">
        <w:trPr>
          <w:trHeight w:val="227"/>
        </w:trPr>
        <w:tc>
          <w:tcPr>
            <w:tcW w:w="993" w:type="dxa"/>
            <w:tcBorders>
              <w:top w:val="nil"/>
              <w:left w:val="nil"/>
              <w:bottom w:val="single" w:sz="4" w:space="0" w:color="auto"/>
              <w:right w:val="nil"/>
            </w:tcBorders>
            <w:shd w:val="clear" w:color="auto" w:fill="B8CCE4" w:themeFill="accent1" w:themeFillTint="66"/>
            <w:vAlign w:val="center"/>
            <w:hideMark/>
          </w:tcPr>
          <w:p w14:paraId="15955E1F" w14:textId="77777777" w:rsidR="00C30199" w:rsidRPr="00FA4A0B" w:rsidRDefault="00C30199" w:rsidP="00205778">
            <w:pPr>
              <w:pStyle w:val="cuadroCabe"/>
              <w:spacing w:line="240" w:lineRule="auto"/>
              <w:jc w:val="left"/>
              <w:rPr>
                <w:lang w:val="es-ES" w:eastAsia="es-ES"/>
              </w:rPr>
            </w:pPr>
            <w:r w:rsidRPr="00FA4A0B">
              <w:rPr>
                <w:lang w:val="es-ES" w:eastAsia="es-ES"/>
              </w:rPr>
              <w:t>Total</w:t>
            </w:r>
          </w:p>
        </w:tc>
        <w:tc>
          <w:tcPr>
            <w:tcW w:w="8079" w:type="dxa"/>
            <w:tcBorders>
              <w:top w:val="nil"/>
              <w:left w:val="nil"/>
              <w:bottom w:val="single" w:sz="4" w:space="0" w:color="auto"/>
              <w:right w:val="nil"/>
            </w:tcBorders>
            <w:shd w:val="clear" w:color="auto" w:fill="B8CCE4" w:themeFill="accent1" w:themeFillTint="66"/>
            <w:noWrap/>
            <w:vAlign w:val="center"/>
            <w:hideMark/>
          </w:tcPr>
          <w:p w14:paraId="1E487FA4" w14:textId="77777777" w:rsidR="00C30199" w:rsidRPr="00FA4A0B" w:rsidRDefault="00C30199" w:rsidP="00205778">
            <w:pPr>
              <w:pStyle w:val="cuadroCabe"/>
              <w:spacing w:line="240" w:lineRule="auto"/>
              <w:jc w:val="right"/>
              <w:rPr>
                <w:lang w:val="es-ES" w:eastAsia="es-ES"/>
              </w:rPr>
            </w:pPr>
            <w:r w:rsidRPr="00FA4A0B">
              <w:rPr>
                <w:lang w:val="es-ES" w:eastAsia="es-ES"/>
              </w:rPr>
              <w:t>675.216</w:t>
            </w:r>
          </w:p>
        </w:tc>
      </w:tr>
    </w:tbl>
    <w:p w14:paraId="0DA18EF6" w14:textId="77777777" w:rsidR="00686011" w:rsidRPr="00686011" w:rsidRDefault="00686011" w:rsidP="00686011">
      <w:pPr>
        <w:pStyle w:val="texto"/>
        <w:spacing w:before="60"/>
        <w:ind w:firstLine="0"/>
        <w:rPr>
          <w:rFonts w:ascii="Arial" w:hAnsi="Arial" w:cs="Arial"/>
          <w:sz w:val="14"/>
          <w:szCs w:val="14"/>
        </w:rPr>
      </w:pPr>
      <w:r>
        <w:rPr>
          <w:rFonts w:ascii="Arial" w:hAnsi="Arial" w:cs="Arial"/>
          <w:sz w:val="14"/>
          <w:szCs w:val="14"/>
        </w:rPr>
        <w:t>(*) En los ejercicios 2015 y 2016 no hay gasto</w:t>
      </w:r>
      <w:r w:rsidR="009F4A44">
        <w:rPr>
          <w:rFonts w:ascii="Arial" w:hAnsi="Arial" w:cs="Arial"/>
          <w:sz w:val="14"/>
          <w:szCs w:val="14"/>
        </w:rPr>
        <w:t>, período comprendido entre el último reequilibrio de 2011 de la Primera Fase y el primer reequilibrio de la Ampliación de la Primera Fase.</w:t>
      </w:r>
    </w:p>
    <w:p w14:paraId="09F61FBA" w14:textId="77777777" w:rsidR="004644C3" w:rsidRDefault="00592FB9" w:rsidP="00A2489F">
      <w:pPr>
        <w:pStyle w:val="texto"/>
        <w:numPr>
          <w:ilvl w:val="0"/>
          <w:numId w:val="9"/>
        </w:numPr>
        <w:tabs>
          <w:tab w:val="clear" w:pos="2835"/>
          <w:tab w:val="clear" w:pos="3969"/>
          <w:tab w:val="clear" w:pos="5103"/>
          <w:tab w:val="clear" w:pos="6237"/>
          <w:tab w:val="clear" w:pos="7371"/>
          <w:tab w:val="num" w:pos="300"/>
          <w:tab w:val="num" w:pos="360"/>
          <w:tab w:val="left" w:pos="480"/>
          <w:tab w:val="num" w:pos="600"/>
          <w:tab w:val="num" w:pos="720"/>
          <w:tab w:val="num" w:pos="1320"/>
          <w:tab w:val="num" w:pos="2062"/>
        </w:tabs>
        <w:spacing w:before="120"/>
        <w:ind w:left="0" w:firstLine="289"/>
        <w:rPr>
          <w:szCs w:val="26"/>
        </w:rPr>
      </w:pPr>
      <w:r>
        <w:rPr>
          <w:szCs w:val="26"/>
        </w:rPr>
        <w:t>En la Primera F</w:t>
      </w:r>
      <w:r w:rsidR="00C30199" w:rsidRPr="00C542A9">
        <w:rPr>
          <w:szCs w:val="26"/>
        </w:rPr>
        <w:t xml:space="preserve">ase </w:t>
      </w:r>
      <w:r>
        <w:rPr>
          <w:szCs w:val="26"/>
        </w:rPr>
        <w:t>y en la A</w:t>
      </w:r>
      <w:r w:rsidR="004644C3" w:rsidRPr="00C542A9">
        <w:rPr>
          <w:szCs w:val="26"/>
        </w:rPr>
        <w:t xml:space="preserve">mpliación </w:t>
      </w:r>
      <w:r>
        <w:rPr>
          <w:szCs w:val="26"/>
        </w:rPr>
        <w:t xml:space="preserve">de la Primera Fase </w:t>
      </w:r>
      <w:r w:rsidR="00C30199" w:rsidRPr="00C542A9">
        <w:rPr>
          <w:szCs w:val="26"/>
        </w:rPr>
        <w:t xml:space="preserve">del Canal de Navarra, </w:t>
      </w:r>
      <w:r w:rsidR="00C30199">
        <w:rPr>
          <w:szCs w:val="26"/>
        </w:rPr>
        <w:t xml:space="preserve">el CCGI se calcula en base al número de hectáreas netas. </w:t>
      </w:r>
      <w:r w:rsidR="00C30199" w:rsidRPr="004644C3">
        <w:rPr>
          <w:szCs w:val="26"/>
        </w:rPr>
        <w:t>Este canon está afectado por deducciones automáticas en caso de incumplimiento de los estándares óptimos definidos en el contrato.</w:t>
      </w:r>
      <w:r w:rsidR="004644C3">
        <w:rPr>
          <w:szCs w:val="26"/>
        </w:rPr>
        <w:t xml:space="preserve"> Las deducciones realizadas en el per</w:t>
      </w:r>
      <w:r w:rsidR="00C542A9">
        <w:rPr>
          <w:szCs w:val="26"/>
        </w:rPr>
        <w:t>iodo objeto de fiscalización para cada de las concesiones</w:t>
      </w:r>
      <w:r w:rsidR="00E33CDE">
        <w:rPr>
          <w:szCs w:val="26"/>
        </w:rPr>
        <w:t xml:space="preserve"> son las siguientes</w:t>
      </w:r>
      <w:r w:rsidR="004644C3">
        <w:rPr>
          <w:szCs w:val="26"/>
        </w:rPr>
        <w:t xml:space="preserve">: </w:t>
      </w:r>
    </w:p>
    <w:p w14:paraId="422BEA6D" w14:textId="77777777" w:rsidR="00C30199" w:rsidRPr="00442A3A" w:rsidRDefault="0021569A" w:rsidP="0021569A">
      <w:pPr>
        <w:pStyle w:val="texto"/>
      </w:pPr>
      <w:r>
        <w:t xml:space="preserve">1) </w:t>
      </w:r>
      <w:r w:rsidR="00592FB9">
        <w:t>En la Primera F</w:t>
      </w:r>
      <w:r w:rsidR="004644C3" w:rsidRPr="00442A3A">
        <w:t xml:space="preserve">ase </w:t>
      </w:r>
      <w:r w:rsidR="009E3198" w:rsidRPr="00442A3A">
        <w:t>no se han aplicado deducciones porque se han cumplido los estándares.</w:t>
      </w:r>
    </w:p>
    <w:p w14:paraId="29CD38DB" w14:textId="77777777" w:rsidR="00C30199" w:rsidRDefault="0021569A" w:rsidP="00A2489F">
      <w:pPr>
        <w:pStyle w:val="texto"/>
        <w:spacing w:after="200"/>
        <w:rPr>
          <w:szCs w:val="26"/>
        </w:rPr>
      </w:pPr>
      <w:r>
        <w:rPr>
          <w:szCs w:val="26"/>
        </w:rPr>
        <w:t xml:space="preserve">2) </w:t>
      </w:r>
      <w:r w:rsidR="004644C3">
        <w:rPr>
          <w:szCs w:val="26"/>
        </w:rPr>
        <w:t>En la</w:t>
      </w:r>
      <w:r w:rsidR="00C30199" w:rsidRPr="004644C3">
        <w:rPr>
          <w:szCs w:val="26"/>
        </w:rPr>
        <w:t xml:space="preserve"> </w:t>
      </w:r>
      <w:r w:rsidR="00592FB9">
        <w:t>A</w:t>
      </w:r>
      <w:r w:rsidR="00C30199" w:rsidRPr="0021569A">
        <w:t>mpliación</w:t>
      </w:r>
      <w:r w:rsidR="00592FB9">
        <w:rPr>
          <w:szCs w:val="26"/>
        </w:rPr>
        <w:t xml:space="preserve"> de la Primera F</w:t>
      </w:r>
      <w:r w:rsidR="00C30199" w:rsidRPr="004644C3">
        <w:rPr>
          <w:szCs w:val="26"/>
        </w:rPr>
        <w:t>ase del Canal de Navarra afectan tanto al CCGI como al CVA. Las deducciones realizadas hasta el 31 de diciembre de 2021 no son significativas sobre el canon total, como se puede observar en el siguiente detalle por año:</w:t>
      </w:r>
    </w:p>
    <w:tbl>
      <w:tblPr>
        <w:tblW w:w="9042" w:type="dxa"/>
        <w:tblInd w:w="142" w:type="dxa"/>
        <w:tblCellMar>
          <w:left w:w="70" w:type="dxa"/>
          <w:right w:w="70" w:type="dxa"/>
        </w:tblCellMar>
        <w:tblLook w:val="04A0" w:firstRow="1" w:lastRow="0" w:firstColumn="1" w:lastColumn="0" w:noHBand="0" w:noVBand="1"/>
      </w:tblPr>
      <w:tblGrid>
        <w:gridCol w:w="1560"/>
        <w:gridCol w:w="2693"/>
        <w:gridCol w:w="2551"/>
        <w:gridCol w:w="2238"/>
      </w:tblGrid>
      <w:tr w:rsidR="00C30199" w:rsidRPr="00471A11" w14:paraId="4A4CD96E" w14:textId="77777777" w:rsidTr="0021569A">
        <w:trPr>
          <w:trHeight w:val="227"/>
        </w:trPr>
        <w:tc>
          <w:tcPr>
            <w:tcW w:w="1560" w:type="dxa"/>
            <w:tcBorders>
              <w:top w:val="single" w:sz="4" w:space="0" w:color="auto"/>
              <w:left w:val="nil"/>
              <w:bottom w:val="single" w:sz="4" w:space="0" w:color="auto"/>
              <w:right w:val="nil"/>
            </w:tcBorders>
            <w:shd w:val="clear" w:color="auto" w:fill="B8CCE4" w:themeFill="accent1" w:themeFillTint="66"/>
            <w:noWrap/>
            <w:vAlign w:val="center"/>
            <w:hideMark/>
          </w:tcPr>
          <w:p w14:paraId="410AFA8E" w14:textId="77777777" w:rsidR="00C30199" w:rsidRPr="00471A11" w:rsidRDefault="00C30199" w:rsidP="00471A11">
            <w:pPr>
              <w:pStyle w:val="cuadroCabe"/>
              <w:spacing w:line="240" w:lineRule="auto"/>
              <w:rPr>
                <w:sz w:val="16"/>
                <w:szCs w:val="16"/>
                <w:lang w:val="es-ES" w:eastAsia="es-ES"/>
              </w:rPr>
            </w:pPr>
            <w:r w:rsidRPr="00471A11">
              <w:rPr>
                <w:sz w:val="16"/>
                <w:szCs w:val="16"/>
                <w:lang w:val="es-ES" w:eastAsia="es-ES"/>
              </w:rPr>
              <w:t>Año</w:t>
            </w:r>
          </w:p>
        </w:tc>
        <w:tc>
          <w:tcPr>
            <w:tcW w:w="2693" w:type="dxa"/>
            <w:tcBorders>
              <w:top w:val="single" w:sz="4" w:space="0" w:color="auto"/>
              <w:left w:val="nil"/>
              <w:bottom w:val="single" w:sz="4" w:space="0" w:color="auto"/>
              <w:right w:val="nil"/>
            </w:tcBorders>
            <w:shd w:val="clear" w:color="auto" w:fill="B8CCE4" w:themeFill="accent1" w:themeFillTint="66"/>
            <w:vAlign w:val="center"/>
            <w:hideMark/>
          </w:tcPr>
          <w:p w14:paraId="5D3B00FC" w14:textId="77777777" w:rsidR="00C30199" w:rsidRPr="00471A11" w:rsidRDefault="00C30199" w:rsidP="00471A11">
            <w:pPr>
              <w:pStyle w:val="cuadroCabe"/>
              <w:spacing w:line="240" w:lineRule="auto"/>
              <w:rPr>
                <w:sz w:val="16"/>
                <w:szCs w:val="16"/>
                <w:lang w:val="es-ES" w:eastAsia="es-ES"/>
              </w:rPr>
            </w:pPr>
            <w:r w:rsidRPr="00471A11">
              <w:rPr>
                <w:sz w:val="16"/>
                <w:szCs w:val="16"/>
                <w:lang w:val="es-ES" w:eastAsia="es-ES"/>
              </w:rPr>
              <w:t>Deducción indicadores de calidad</w:t>
            </w:r>
          </w:p>
        </w:tc>
        <w:tc>
          <w:tcPr>
            <w:tcW w:w="2551" w:type="dxa"/>
            <w:tcBorders>
              <w:top w:val="single" w:sz="4" w:space="0" w:color="auto"/>
              <w:left w:val="nil"/>
              <w:bottom w:val="single" w:sz="4" w:space="0" w:color="auto"/>
              <w:right w:val="nil"/>
            </w:tcBorders>
            <w:shd w:val="clear" w:color="auto" w:fill="B8CCE4" w:themeFill="accent1" w:themeFillTint="66"/>
            <w:noWrap/>
            <w:vAlign w:val="center"/>
            <w:hideMark/>
          </w:tcPr>
          <w:p w14:paraId="3BA1B6DD" w14:textId="77777777" w:rsidR="00C30199" w:rsidRPr="00471A11" w:rsidRDefault="00C30199" w:rsidP="00471A11">
            <w:pPr>
              <w:pStyle w:val="cuadroCabe"/>
              <w:spacing w:line="240" w:lineRule="auto"/>
              <w:rPr>
                <w:sz w:val="16"/>
                <w:szCs w:val="16"/>
                <w:lang w:val="es-ES" w:eastAsia="es-ES"/>
              </w:rPr>
            </w:pPr>
            <w:r w:rsidRPr="00471A11">
              <w:rPr>
                <w:sz w:val="16"/>
                <w:szCs w:val="16"/>
                <w:lang w:val="es-ES" w:eastAsia="es-ES"/>
              </w:rPr>
              <w:t>%</w:t>
            </w:r>
            <w:r w:rsidR="000D5ECC" w:rsidRPr="00471A11">
              <w:rPr>
                <w:sz w:val="16"/>
                <w:szCs w:val="16"/>
                <w:lang w:val="es-ES" w:eastAsia="es-ES"/>
              </w:rPr>
              <w:t xml:space="preserve"> deducción s/ devengo bruto</w:t>
            </w:r>
          </w:p>
        </w:tc>
        <w:tc>
          <w:tcPr>
            <w:tcW w:w="2238" w:type="dxa"/>
            <w:tcBorders>
              <w:top w:val="single" w:sz="4" w:space="0" w:color="auto"/>
              <w:left w:val="nil"/>
              <w:bottom w:val="single" w:sz="4" w:space="0" w:color="auto"/>
              <w:right w:val="nil"/>
            </w:tcBorders>
            <w:shd w:val="clear" w:color="auto" w:fill="B8CCE4" w:themeFill="accent1" w:themeFillTint="66"/>
            <w:noWrap/>
            <w:vAlign w:val="center"/>
            <w:hideMark/>
          </w:tcPr>
          <w:p w14:paraId="45F104AA" w14:textId="77777777" w:rsidR="00C30199" w:rsidRPr="00471A11" w:rsidRDefault="00C30199" w:rsidP="00471A11">
            <w:pPr>
              <w:pStyle w:val="cuadroCabe"/>
              <w:spacing w:line="240" w:lineRule="auto"/>
              <w:rPr>
                <w:sz w:val="16"/>
                <w:szCs w:val="16"/>
                <w:lang w:val="es-ES" w:eastAsia="es-ES"/>
              </w:rPr>
            </w:pPr>
            <w:r w:rsidRPr="00471A11">
              <w:rPr>
                <w:sz w:val="16"/>
                <w:szCs w:val="16"/>
                <w:lang w:val="es-ES" w:eastAsia="es-ES"/>
              </w:rPr>
              <w:t>CCGI +CVA</w:t>
            </w:r>
          </w:p>
        </w:tc>
      </w:tr>
      <w:tr w:rsidR="00C30199" w:rsidRPr="00356F40" w14:paraId="5CCD1998" w14:textId="77777777" w:rsidTr="0021569A">
        <w:trPr>
          <w:trHeight w:val="227"/>
        </w:trPr>
        <w:tc>
          <w:tcPr>
            <w:tcW w:w="1560" w:type="dxa"/>
            <w:tcBorders>
              <w:top w:val="nil"/>
              <w:left w:val="nil"/>
              <w:bottom w:val="single" w:sz="2" w:space="0" w:color="auto"/>
              <w:right w:val="nil"/>
            </w:tcBorders>
            <w:shd w:val="clear" w:color="auto" w:fill="auto"/>
            <w:noWrap/>
            <w:vAlign w:val="center"/>
            <w:hideMark/>
          </w:tcPr>
          <w:p w14:paraId="013E2B7A" w14:textId="77777777" w:rsidR="00C30199" w:rsidRPr="00356F40" w:rsidRDefault="00C30199" w:rsidP="00471A11">
            <w:pPr>
              <w:spacing w:after="0"/>
              <w:ind w:firstLine="0"/>
              <w:jc w:val="left"/>
              <w:rPr>
                <w:rFonts w:ascii="Arial Narrow" w:hAnsi="Arial Narrow" w:cs="Calibri"/>
                <w:color w:val="000000"/>
                <w:lang w:val="es-ES" w:eastAsia="es-ES"/>
              </w:rPr>
            </w:pPr>
            <w:r w:rsidRPr="00356F40">
              <w:rPr>
                <w:rFonts w:ascii="Arial Narrow" w:hAnsi="Arial Narrow" w:cs="Calibri"/>
                <w:color w:val="000000"/>
                <w:lang w:val="es-ES" w:eastAsia="es-ES"/>
              </w:rPr>
              <w:t>2018</w:t>
            </w:r>
          </w:p>
        </w:tc>
        <w:tc>
          <w:tcPr>
            <w:tcW w:w="2693" w:type="dxa"/>
            <w:tcBorders>
              <w:top w:val="nil"/>
              <w:left w:val="nil"/>
              <w:bottom w:val="single" w:sz="2" w:space="0" w:color="auto"/>
              <w:right w:val="nil"/>
            </w:tcBorders>
            <w:shd w:val="clear" w:color="auto" w:fill="auto"/>
            <w:noWrap/>
            <w:vAlign w:val="center"/>
            <w:hideMark/>
          </w:tcPr>
          <w:p w14:paraId="4916AAFB" w14:textId="77777777" w:rsidR="00C30199" w:rsidRPr="00356F40" w:rsidRDefault="00C30199" w:rsidP="00471A11">
            <w:pPr>
              <w:spacing w:after="0"/>
              <w:ind w:firstLine="0"/>
              <w:jc w:val="right"/>
              <w:rPr>
                <w:rFonts w:ascii="Arial Narrow" w:hAnsi="Arial Narrow" w:cs="Calibri"/>
                <w:color w:val="000000"/>
                <w:lang w:val="es-ES" w:eastAsia="es-ES"/>
              </w:rPr>
            </w:pPr>
            <w:r w:rsidRPr="00356F40">
              <w:rPr>
                <w:rFonts w:ascii="Arial Narrow" w:hAnsi="Arial Narrow" w:cs="Calibri"/>
                <w:color w:val="000000"/>
                <w:lang w:val="es-ES" w:eastAsia="es-ES"/>
              </w:rPr>
              <w:t>909</w:t>
            </w:r>
          </w:p>
        </w:tc>
        <w:tc>
          <w:tcPr>
            <w:tcW w:w="2551" w:type="dxa"/>
            <w:tcBorders>
              <w:top w:val="nil"/>
              <w:left w:val="nil"/>
              <w:bottom w:val="single" w:sz="2" w:space="0" w:color="auto"/>
              <w:right w:val="nil"/>
            </w:tcBorders>
            <w:shd w:val="clear" w:color="auto" w:fill="auto"/>
            <w:noWrap/>
            <w:vAlign w:val="center"/>
            <w:hideMark/>
          </w:tcPr>
          <w:p w14:paraId="05AA39DA" w14:textId="77777777" w:rsidR="00C30199" w:rsidRPr="00356F40" w:rsidRDefault="00C30199" w:rsidP="00471A11">
            <w:pPr>
              <w:spacing w:after="0"/>
              <w:ind w:firstLine="0"/>
              <w:jc w:val="right"/>
              <w:rPr>
                <w:rFonts w:ascii="Arial Narrow" w:hAnsi="Arial Narrow" w:cs="Calibri"/>
                <w:color w:val="000000"/>
                <w:lang w:val="es-ES" w:eastAsia="es-ES"/>
              </w:rPr>
            </w:pPr>
            <w:r w:rsidRPr="00356F40">
              <w:rPr>
                <w:rFonts w:ascii="Arial Narrow" w:hAnsi="Arial Narrow" w:cs="Calibri"/>
                <w:color w:val="000000"/>
                <w:lang w:val="es-ES" w:eastAsia="es-ES"/>
              </w:rPr>
              <w:t>0,02</w:t>
            </w:r>
          </w:p>
        </w:tc>
        <w:tc>
          <w:tcPr>
            <w:tcW w:w="2238" w:type="dxa"/>
            <w:tcBorders>
              <w:top w:val="nil"/>
              <w:left w:val="nil"/>
              <w:bottom w:val="single" w:sz="2" w:space="0" w:color="auto"/>
              <w:right w:val="nil"/>
            </w:tcBorders>
            <w:shd w:val="clear" w:color="auto" w:fill="auto"/>
            <w:noWrap/>
            <w:vAlign w:val="center"/>
            <w:hideMark/>
          </w:tcPr>
          <w:p w14:paraId="6E7A16E4" w14:textId="77777777" w:rsidR="00C30199" w:rsidRPr="00356F40" w:rsidRDefault="00C30199" w:rsidP="00471A11">
            <w:pPr>
              <w:spacing w:after="0"/>
              <w:ind w:firstLine="0"/>
              <w:jc w:val="right"/>
              <w:rPr>
                <w:rFonts w:ascii="Arial Narrow" w:hAnsi="Arial Narrow" w:cs="Calibri"/>
                <w:color w:val="000000"/>
                <w:lang w:val="es-ES" w:eastAsia="es-ES"/>
              </w:rPr>
            </w:pPr>
            <w:r w:rsidRPr="00356F40">
              <w:rPr>
                <w:rFonts w:ascii="Arial Narrow" w:hAnsi="Arial Narrow" w:cs="Calibri"/>
                <w:color w:val="000000"/>
                <w:lang w:val="es-ES" w:eastAsia="es-ES"/>
              </w:rPr>
              <w:t>4.302.849</w:t>
            </w:r>
          </w:p>
        </w:tc>
      </w:tr>
      <w:tr w:rsidR="00C30199" w:rsidRPr="00356F40" w14:paraId="2133D20E" w14:textId="77777777" w:rsidTr="0021569A">
        <w:trPr>
          <w:trHeight w:val="227"/>
        </w:trPr>
        <w:tc>
          <w:tcPr>
            <w:tcW w:w="1560" w:type="dxa"/>
            <w:tcBorders>
              <w:top w:val="single" w:sz="2" w:space="0" w:color="auto"/>
              <w:left w:val="nil"/>
              <w:bottom w:val="single" w:sz="2" w:space="0" w:color="auto"/>
              <w:right w:val="nil"/>
            </w:tcBorders>
            <w:shd w:val="clear" w:color="auto" w:fill="auto"/>
            <w:noWrap/>
            <w:vAlign w:val="center"/>
            <w:hideMark/>
          </w:tcPr>
          <w:p w14:paraId="435BC44B" w14:textId="77777777" w:rsidR="00C30199" w:rsidRPr="00356F40" w:rsidRDefault="00C30199" w:rsidP="00471A11">
            <w:pPr>
              <w:spacing w:after="0"/>
              <w:ind w:firstLine="0"/>
              <w:jc w:val="left"/>
              <w:rPr>
                <w:rFonts w:ascii="Arial Narrow" w:hAnsi="Arial Narrow" w:cs="Calibri"/>
                <w:color w:val="000000"/>
                <w:lang w:val="es-ES" w:eastAsia="es-ES"/>
              </w:rPr>
            </w:pPr>
            <w:r w:rsidRPr="00356F40">
              <w:rPr>
                <w:rFonts w:ascii="Arial Narrow" w:hAnsi="Arial Narrow" w:cs="Calibri"/>
                <w:color w:val="000000"/>
                <w:lang w:val="es-ES" w:eastAsia="es-ES"/>
              </w:rPr>
              <w:t>2019</w:t>
            </w:r>
          </w:p>
        </w:tc>
        <w:tc>
          <w:tcPr>
            <w:tcW w:w="2693" w:type="dxa"/>
            <w:tcBorders>
              <w:top w:val="single" w:sz="2" w:space="0" w:color="auto"/>
              <w:left w:val="nil"/>
              <w:bottom w:val="single" w:sz="2" w:space="0" w:color="auto"/>
              <w:right w:val="nil"/>
            </w:tcBorders>
            <w:shd w:val="clear" w:color="auto" w:fill="auto"/>
            <w:noWrap/>
            <w:vAlign w:val="center"/>
            <w:hideMark/>
          </w:tcPr>
          <w:p w14:paraId="3286568D" w14:textId="77777777" w:rsidR="00C30199" w:rsidRPr="00356F40" w:rsidRDefault="00C30199" w:rsidP="00471A11">
            <w:pPr>
              <w:spacing w:after="0"/>
              <w:ind w:firstLine="0"/>
              <w:jc w:val="right"/>
              <w:rPr>
                <w:rFonts w:ascii="Arial Narrow" w:hAnsi="Arial Narrow" w:cs="Calibri"/>
                <w:color w:val="000000"/>
                <w:lang w:val="es-ES" w:eastAsia="es-ES"/>
              </w:rPr>
            </w:pPr>
            <w:r w:rsidRPr="00356F40">
              <w:rPr>
                <w:rFonts w:ascii="Arial Narrow" w:hAnsi="Arial Narrow" w:cs="Calibri"/>
                <w:color w:val="000000"/>
                <w:lang w:val="es-ES" w:eastAsia="es-ES"/>
              </w:rPr>
              <w:t>7.635</w:t>
            </w:r>
          </w:p>
        </w:tc>
        <w:tc>
          <w:tcPr>
            <w:tcW w:w="2551" w:type="dxa"/>
            <w:tcBorders>
              <w:top w:val="single" w:sz="2" w:space="0" w:color="auto"/>
              <w:left w:val="nil"/>
              <w:bottom w:val="single" w:sz="2" w:space="0" w:color="auto"/>
              <w:right w:val="nil"/>
            </w:tcBorders>
            <w:shd w:val="clear" w:color="auto" w:fill="auto"/>
            <w:noWrap/>
            <w:vAlign w:val="center"/>
            <w:hideMark/>
          </w:tcPr>
          <w:p w14:paraId="66B328E0" w14:textId="77777777" w:rsidR="00C30199" w:rsidRPr="00356F40" w:rsidRDefault="00C30199" w:rsidP="00471A11">
            <w:pPr>
              <w:spacing w:after="0"/>
              <w:ind w:firstLine="0"/>
              <w:jc w:val="right"/>
              <w:rPr>
                <w:rFonts w:ascii="Arial Narrow" w:hAnsi="Arial Narrow" w:cs="Calibri"/>
                <w:color w:val="000000"/>
                <w:lang w:val="es-ES" w:eastAsia="es-ES"/>
              </w:rPr>
            </w:pPr>
            <w:r w:rsidRPr="00356F40">
              <w:rPr>
                <w:rFonts w:ascii="Arial Narrow" w:hAnsi="Arial Narrow" w:cs="Calibri"/>
                <w:color w:val="000000"/>
                <w:lang w:val="es-ES" w:eastAsia="es-ES"/>
              </w:rPr>
              <w:t>0,15</w:t>
            </w:r>
          </w:p>
        </w:tc>
        <w:tc>
          <w:tcPr>
            <w:tcW w:w="2238" w:type="dxa"/>
            <w:tcBorders>
              <w:top w:val="single" w:sz="2" w:space="0" w:color="auto"/>
              <w:left w:val="nil"/>
              <w:bottom w:val="single" w:sz="2" w:space="0" w:color="auto"/>
              <w:right w:val="nil"/>
            </w:tcBorders>
            <w:shd w:val="clear" w:color="auto" w:fill="auto"/>
            <w:noWrap/>
            <w:vAlign w:val="center"/>
            <w:hideMark/>
          </w:tcPr>
          <w:p w14:paraId="0234086C" w14:textId="77777777" w:rsidR="00C30199" w:rsidRPr="00356F40" w:rsidRDefault="00C30199" w:rsidP="00471A11">
            <w:pPr>
              <w:spacing w:after="0"/>
              <w:ind w:firstLine="0"/>
              <w:jc w:val="right"/>
              <w:rPr>
                <w:rFonts w:ascii="Arial Narrow" w:hAnsi="Arial Narrow" w:cs="Calibri"/>
                <w:color w:val="000000"/>
                <w:lang w:val="es-ES" w:eastAsia="es-ES"/>
              </w:rPr>
            </w:pPr>
            <w:r w:rsidRPr="00356F40">
              <w:rPr>
                <w:rFonts w:ascii="Arial Narrow" w:hAnsi="Arial Narrow" w:cs="Calibri"/>
                <w:color w:val="000000"/>
                <w:lang w:val="es-ES" w:eastAsia="es-ES"/>
              </w:rPr>
              <w:t>5.225.696</w:t>
            </w:r>
          </w:p>
        </w:tc>
      </w:tr>
      <w:tr w:rsidR="00C30199" w:rsidRPr="00356F40" w14:paraId="4C8A1294" w14:textId="77777777" w:rsidTr="0021569A">
        <w:trPr>
          <w:trHeight w:val="227"/>
        </w:trPr>
        <w:tc>
          <w:tcPr>
            <w:tcW w:w="1560" w:type="dxa"/>
            <w:tcBorders>
              <w:top w:val="single" w:sz="2" w:space="0" w:color="auto"/>
              <w:left w:val="nil"/>
              <w:bottom w:val="single" w:sz="2" w:space="0" w:color="auto"/>
              <w:right w:val="nil"/>
            </w:tcBorders>
            <w:shd w:val="clear" w:color="auto" w:fill="auto"/>
            <w:noWrap/>
            <w:vAlign w:val="center"/>
            <w:hideMark/>
          </w:tcPr>
          <w:p w14:paraId="5C0E2D1E" w14:textId="77777777" w:rsidR="00C30199" w:rsidRPr="00356F40" w:rsidRDefault="00C30199" w:rsidP="00471A11">
            <w:pPr>
              <w:spacing w:after="0"/>
              <w:ind w:firstLine="0"/>
              <w:jc w:val="left"/>
              <w:rPr>
                <w:rFonts w:ascii="Arial Narrow" w:hAnsi="Arial Narrow" w:cs="Calibri"/>
                <w:color w:val="000000"/>
                <w:lang w:val="es-ES" w:eastAsia="es-ES"/>
              </w:rPr>
            </w:pPr>
            <w:r w:rsidRPr="00356F40">
              <w:rPr>
                <w:rFonts w:ascii="Arial Narrow" w:hAnsi="Arial Narrow" w:cs="Calibri"/>
                <w:color w:val="000000"/>
                <w:lang w:val="es-ES" w:eastAsia="es-ES"/>
              </w:rPr>
              <w:t>2020</w:t>
            </w:r>
          </w:p>
        </w:tc>
        <w:tc>
          <w:tcPr>
            <w:tcW w:w="2693" w:type="dxa"/>
            <w:tcBorders>
              <w:top w:val="single" w:sz="2" w:space="0" w:color="auto"/>
              <w:left w:val="nil"/>
              <w:bottom w:val="single" w:sz="2" w:space="0" w:color="auto"/>
              <w:right w:val="nil"/>
            </w:tcBorders>
            <w:shd w:val="clear" w:color="auto" w:fill="auto"/>
            <w:noWrap/>
            <w:vAlign w:val="center"/>
            <w:hideMark/>
          </w:tcPr>
          <w:p w14:paraId="26E5B410" w14:textId="77777777" w:rsidR="00C30199" w:rsidRPr="00356F40" w:rsidRDefault="00C30199" w:rsidP="00471A11">
            <w:pPr>
              <w:spacing w:after="0"/>
              <w:ind w:firstLine="0"/>
              <w:jc w:val="right"/>
              <w:rPr>
                <w:rFonts w:ascii="Arial Narrow" w:hAnsi="Arial Narrow" w:cs="Calibri"/>
                <w:color w:val="000000"/>
                <w:lang w:val="es-ES" w:eastAsia="es-ES"/>
              </w:rPr>
            </w:pPr>
            <w:r w:rsidRPr="00592FB9">
              <w:rPr>
                <w:rFonts w:ascii="Arial Narrow" w:hAnsi="Arial Narrow" w:cs="Calibri"/>
                <w:lang w:val="es-ES" w:eastAsia="es-ES"/>
              </w:rPr>
              <w:t>1.925</w:t>
            </w:r>
          </w:p>
        </w:tc>
        <w:tc>
          <w:tcPr>
            <w:tcW w:w="2551" w:type="dxa"/>
            <w:tcBorders>
              <w:top w:val="single" w:sz="2" w:space="0" w:color="auto"/>
              <w:left w:val="nil"/>
              <w:bottom w:val="single" w:sz="2" w:space="0" w:color="auto"/>
              <w:right w:val="nil"/>
            </w:tcBorders>
            <w:shd w:val="clear" w:color="auto" w:fill="auto"/>
            <w:noWrap/>
            <w:vAlign w:val="center"/>
            <w:hideMark/>
          </w:tcPr>
          <w:p w14:paraId="55398D52" w14:textId="77777777" w:rsidR="00C30199" w:rsidRPr="00356F40" w:rsidRDefault="00C30199" w:rsidP="00471A11">
            <w:pPr>
              <w:spacing w:after="0"/>
              <w:ind w:firstLine="0"/>
              <w:jc w:val="right"/>
              <w:rPr>
                <w:rFonts w:ascii="Arial Narrow" w:hAnsi="Arial Narrow" w:cs="Calibri"/>
                <w:color w:val="000000"/>
                <w:lang w:val="es-ES" w:eastAsia="es-ES"/>
              </w:rPr>
            </w:pPr>
            <w:r w:rsidRPr="00356F40">
              <w:rPr>
                <w:rFonts w:ascii="Arial Narrow" w:hAnsi="Arial Narrow" w:cs="Calibri"/>
                <w:color w:val="000000"/>
                <w:lang w:val="es-ES" w:eastAsia="es-ES"/>
              </w:rPr>
              <w:t>0,04</w:t>
            </w:r>
          </w:p>
        </w:tc>
        <w:tc>
          <w:tcPr>
            <w:tcW w:w="2238" w:type="dxa"/>
            <w:tcBorders>
              <w:top w:val="single" w:sz="2" w:space="0" w:color="auto"/>
              <w:left w:val="nil"/>
              <w:bottom w:val="single" w:sz="2" w:space="0" w:color="auto"/>
              <w:right w:val="nil"/>
            </w:tcBorders>
            <w:shd w:val="clear" w:color="auto" w:fill="auto"/>
            <w:noWrap/>
            <w:vAlign w:val="center"/>
            <w:hideMark/>
          </w:tcPr>
          <w:p w14:paraId="1BEF75E2" w14:textId="77777777" w:rsidR="00C30199" w:rsidRPr="00356F40" w:rsidRDefault="00C30199" w:rsidP="00471A11">
            <w:pPr>
              <w:spacing w:after="0"/>
              <w:ind w:firstLine="0"/>
              <w:jc w:val="right"/>
              <w:rPr>
                <w:rFonts w:ascii="Arial Narrow" w:hAnsi="Arial Narrow" w:cs="Calibri"/>
                <w:color w:val="000000"/>
                <w:lang w:val="es-ES" w:eastAsia="es-ES"/>
              </w:rPr>
            </w:pPr>
            <w:r w:rsidRPr="00356F40">
              <w:rPr>
                <w:rFonts w:ascii="Arial Narrow" w:hAnsi="Arial Narrow" w:cs="Calibri"/>
                <w:color w:val="000000"/>
                <w:lang w:val="es-ES" w:eastAsia="es-ES"/>
              </w:rPr>
              <w:t>5.437.087</w:t>
            </w:r>
          </w:p>
        </w:tc>
      </w:tr>
      <w:tr w:rsidR="00C30199" w:rsidRPr="00356F40" w14:paraId="536BD818" w14:textId="77777777" w:rsidTr="0021569A">
        <w:trPr>
          <w:trHeight w:val="227"/>
        </w:trPr>
        <w:tc>
          <w:tcPr>
            <w:tcW w:w="1560" w:type="dxa"/>
            <w:tcBorders>
              <w:top w:val="single" w:sz="2" w:space="0" w:color="auto"/>
              <w:left w:val="nil"/>
              <w:bottom w:val="nil"/>
              <w:right w:val="nil"/>
            </w:tcBorders>
            <w:shd w:val="clear" w:color="auto" w:fill="auto"/>
            <w:noWrap/>
            <w:vAlign w:val="center"/>
            <w:hideMark/>
          </w:tcPr>
          <w:p w14:paraId="67F7896F" w14:textId="77777777" w:rsidR="00C30199" w:rsidRPr="00356F40" w:rsidRDefault="00C30199" w:rsidP="00471A11">
            <w:pPr>
              <w:spacing w:after="0"/>
              <w:ind w:firstLine="0"/>
              <w:jc w:val="left"/>
              <w:rPr>
                <w:rFonts w:ascii="Arial Narrow" w:hAnsi="Arial Narrow" w:cs="Calibri"/>
                <w:color w:val="000000"/>
                <w:lang w:val="es-ES" w:eastAsia="es-ES"/>
              </w:rPr>
            </w:pPr>
            <w:r w:rsidRPr="00356F40">
              <w:rPr>
                <w:rFonts w:ascii="Arial Narrow" w:hAnsi="Arial Narrow" w:cs="Calibri"/>
                <w:color w:val="000000"/>
                <w:lang w:val="es-ES" w:eastAsia="es-ES"/>
              </w:rPr>
              <w:t>2021</w:t>
            </w:r>
          </w:p>
        </w:tc>
        <w:tc>
          <w:tcPr>
            <w:tcW w:w="2693" w:type="dxa"/>
            <w:tcBorders>
              <w:top w:val="single" w:sz="2" w:space="0" w:color="auto"/>
              <w:left w:val="nil"/>
              <w:bottom w:val="nil"/>
              <w:right w:val="nil"/>
            </w:tcBorders>
            <w:shd w:val="clear" w:color="auto" w:fill="auto"/>
            <w:noWrap/>
            <w:vAlign w:val="center"/>
            <w:hideMark/>
          </w:tcPr>
          <w:p w14:paraId="1E606714" w14:textId="77777777" w:rsidR="00C30199" w:rsidRPr="00356F40" w:rsidRDefault="00C30199" w:rsidP="00471A11">
            <w:pPr>
              <w:spacing w:after="0"/>
              <w:ind w:firstLine="0"/>
              <w:jc w:val="right"/>
              <w:rPr>
                <w:rFonts w:ascii="Arial Narrow" w:hAnsi="Arial Narrow" w:cs="Calibri"/>
                <w:color w:val="000000"/>
                <w:lang w:val="es-ES" w:eastAsia="es-ES"/>
              </w:rPr>
            </w:pPr>
            <w:r w:rsidRPr="00356F40">
              <w:rPr>
                <w:rFonts w:ascii="Arial Narrow" w:hAnsi="Arial Narrow" w:cs="Calibri"/>
                <w:color w:val="000000"/>
                <w:lang w:val="es-ES" w:eastAsia="es-ES"/>
              </w:rPr>
              <w:t>2.937</w:t>
            </w:r>
          </w:p>
        </w:tc>
        <w:tc>
          <w:tcPr>
            <w:tcW w:w="2551" w:type="dxa"/>
            <w:tcBorders>
              <w:top w:val="single" w:sz="2" w:space="0" w:color="auto"/>
              <w:left w:val="nil"/>
              <w:bottom w:val="single" w:sz="4" w:space="0" w:color="auto"/>
              <w:right w:val="nil"/>
            </w:tcBorders>
            <w:shd w:val="clear" w:color="auto" w:fill="auto"/>
            <w:noWrap/>
            <w:vAlign w:val="center"/>
            <w:hideMark/>
          </w:tcPr>
          <w:p w14:paraId="735F387D" w14:textId="77777777" w:rsidR="00C30199" w:rsidRPr="00356F40" w:rsidRDefault="00C30199" w:rsidP="00471A11">
            <w:pPr>
              <w:spacing w:after="0"/>
              <w:ind w:firstLine="0"/>
              <w:jc w:val="right"/>
              <w:rPr>
                <w:rFonts w:ascii="Arial Narrow" w:hAnsi="Arial Narrow" w:cs="Calibri"/>
                <w:color w:val="000000"/>
                <w:lang w:val="es-ES" w:eastAsia="es-ES"/>
              </w:rPr>
            </w:pPr>
            <w:r w:rsidRPr="00356F40">
              <w:rPr>
                <w:rFonts w:ascii="Arial Narrow" w:hAnsi="Arial Narrow" w:cs="Calibri"/>
                <w:color w:val="000000"/>
                <w:lang w:val="es-ES" w:eastAsia="es-ES"/>
              </w:rPr>
              <w:t>0,04</w:t>
            </w:r>
          </w:p>
        </w:tc>
        <w:tc>
          <w:tcPr>
            <w:tcW w:w="2238" w:type="dxa"/>
            <w:tcBorders>
              <w:top w:val="single" w:sz="2" w:space="0" w:color="auto"/>
              <w:left w:val="nil"/>
              <w:bottom w:val="nil"/>
              <w:right w:val="nil"/>
            </w:tcBorders>
            <w:shd w:val="clear" w:color="auto" w:fill="auto"/>
            <w:noWrap/>
            <w:vAlign w:val="center"/>
            <w:hideMark/>
          </w:tcPr>
          <w:p w14:paraId="27070587" w14:textId="77777777" w:rsidR="00C30199" w:rsidRPr="00356F40" w:rsidRDefault="00C30199" w:rsidP="00471A11">
            <w:pPr>
              <w:spacing w:after="0"/>
              <w:ind w:firstLine="0"/>
              <w:jc w:val="right"/>
              <w:rPr>
                <w:rFonts w:ascii="Arial Narrow" w:hAnsi="Arial Narrow" w:cs="Calibri"/>
                <w:color w:val="000000"/>
                <w:lang w:val="es-ES" w:eastAsia="es-ES"/>
              </w:rPr>
            </w:pPr>
            <w:r w:rsidRPr="00356F40">
              <w:rPr>
                <w:rFonts w:ascii="Arial Narrow" w:hAnsi="Arial Narrow" w:cs="Calibri"/>
                <w:color w:val="000000"/>
                <w:lang w:val="es-ES" w:eastAsia="es-ES"/>
              </w:rPr>
              <w:t>7.588.718</w:t>
            </w:r>
          </w:p>
        </w:tc>
      </w:tr>
      <w:tr w:rsidR="00C30199" w:rsidRPr="00471A11" w14:paraId="5B741256" w14:textId="77777777" w:rsidTr="0021569A">
        <w:trPr>
          <w:trHeight w:val="227"/>
        </w:trPr>
        <w:tc>
          <w:tcPr>
            <w:tcW w:w="1560" w:type="dxa"/>
            <w:tcBorders>
              <w:top w:val="single" w:sz="4" w:space="0" w:color="auto"/>
              <w:left w:val="nil"/>
              <w:bottom w:val="single" w:sz="4" w:space="0" w:color="auto"/>
              <w:right w:val="nil"/>
            </w:tcBorders>
            <w:shd w:val="clear" w:color="auto" w:fill="B8CCE4" w:themeFill="accent1" w:themeFillTint="66"/>
            <w:noWrap/>
            <w:vAlign w:val="center"/>
            <w:hideMark/>
          </w:tcPr>
          <w:p w14:paraId="6B4DF891" w14:textId="77777777" w:rsidR="00C30199" w:rsidRPr="00471A11" w:rsidRDefault="00C30199" w:rsidP="00471A11">
            <w:pPr>
              <w:pStyle w:val="cuadroCabe"/>
              <w:spacing w:line="240" w:lineRule="auto"/>
              <w:rPr>
                <w:sz w:val="16"/>
                <w:szCs w:val="16"/>
                <w:lang w:val="es-ES" w:eastAsia="es-ES"/>
              </w:rPr>
            </w:pPr>
            <w:r w:rsidRPr="00471A11">
              <w:rPr>
                <w:sz w:val="16"/>
                <w:szCs w:val="16"/>
                <w:lang w:val="es-ES" w:eastAsia="es-ES"/>
              </w:rPr>
              <w:t>Total</w:t>
            </w:r>
          </w:p>
        </w:tc>
        <w:tc>
          <w:tcPr>
            <w:tcW w:w="2693" w:type="dxa"/>
            <w:tcBorders>
              <w:top w:val="single" w:sz="4" w:space="0" w:color="auto"/>
              <w:left w:val="nil"/>
              <w:bottom w:val="single" w:sz="4" w:space="0" w:color="auto"/>
              <w:right w:val="nil"/>
            </w:tcBorders>
            <w:shd w:val="clear" w:color="auto" w:fill="B8CCE4" w:themeFill="accent1" w:themeFillTint="66"/>
            <w:noWrap/>
            <w:vAlign w:val="center"/>
            <w:hideMark/>
          </w:tcPr>
          <w:p w14:paraId="2945C970" w14:textId="77777777" w:rsidR="00C30199" w:rsidRPr="00471A11" w:rsidRDefault="00C30199" w:rsidP="00471A11">
            <w:pPr>
              <w:pStyle w:val="cuadroCabe"/>
              <w:spacing w:line="240" w:lineRule="auto"/>
              <w:jc w:val="right"/>
              <w:rPr>
                <w:sz w:val="16"/>
                <w:szCs w:val="16"/>
                <w:lang w:val="es-ES" w:eastAsia="es-ES"/>
              </w:rPr>
            </w:pPr>
            <w:r w:rsidRPr="00471A11">
              <w:rPr>
                <w:sz w:val="16"/>
                <w:szCs w:val="16"/>
                <w:lang w:val="es-ES" w:eastAsia="es-ES"/>
              </w:rPr>
              <w:t>13.406</w:t>
            </w:r>
          </w:p>
        </w:tc>
        <w:tc>
          <w:tcPr>
            <w:tcW w:w="2551" w:type="dxa"/>
            <w:tcBorders>
              <w:top w:val="nil"/>
              <w:left w:val="nil"/>
              <w:bottom w:val="single" w:sz="4" w:space="0" w:color="auto"/>
              <w:right w:val="nil"/>
            </w:tcBorders>
            <w:shd w:val="clear" w:color="auto" w:fill="B8CCE4" w:themeFill="accent1" w:themeFillTint="66"/>
            <w:noWrap/>
            <w:vAlign w:val="center"/>
            <w:hideMark/>
          </w:tcPr>
          <w:p w14:paraId="754DA3C7" w14:textId="77777777" w:rsidR="00C30199" w:rsidRPr="00471A11" w:rsidRDefault="00C30199" w:rsidP="00471A11">
            <w:pPr>
              <w:pStyle w:val="cuadroCabe"/>
              <w:spacing w:line="240" w:lineRule="auto"/>
              <w:jc w:val="right"/>
              <w:rPr>
                <w:sz w:val="16"/>
                <w:szCs w:val="16"/>
                <w:lang w:val="es-ES" w:eastAsia="es-ES"/>
              </w:rPr>
            </w:pPr>
            <w:r w:rsidRPr="00471A11">
              <w:rPr>
                <w:sz w:val="16"/>
                <w:szCs w:val="16"/>
                <w:lang w:val="es-ES" w:eastAsia="es-ES"/>
              </w:rPr>
              <w:t>0,06</w:t>
            </w:r>
          </w:p>
        </w:tc>
        <w:tc>
          <w:tcPr>
            <w:tcW w:w="2238" w:type="dxa"/>
            <w:tcBorders>
              <w:top w:val="single" w:sz="4" w:space="0" w:color="auto"/>
              <w:left w:val="nil"/>
              <w:bottom w:val="single" w:sz="4" w:space="0" w:color="auto"/>
              <w:right w:val="nil"/>
            </w:tcBorders>
            <w:shd w:val="clear" w:color="auto" w:fill="B8CCE4" w:themeFill="accent1" w:themeFillTint="66"/>
            <w:noWrap/>
            <w:vAlign w:val="center"/>
            <w:hideMark/>
          </w:tcPr>
          <w:p w14:paraId="3E90FE2E" w14:textId="77777777" w:rsidR="00C30199" w:rsidRPr="00471A11" w:rsidRDefault="00C30199" w:rsidP="00471A11">
            <w:pPr>
              <w:pStyle w:val="cuadroCabe"/>
              <w:spacing w:line="240" w:lineRule="auto"/>
              <w:jc w:val="right"/>
              <w:rPr>
                <w:sz w:val="16"/>
                <w:szCs w:val="16"/>
                <w:lang w:val="es-ES" w:eastAsia="es-ES"/>
              </w:rPr>
            </w:pPr>
            <w:r w:rsidRPr="00471A11">
              <w:rPr>
                <w:sz w:val="16"/>
                <w:szCs w:val="16"/>
                <w:lang w:val="es-ES" w:eastAsia="es-ES"/>
              </w:rPr>
              <w:t>22.554.350</w:t>
            </w:r>
          </w:p>
        </w:tc>
      </w:tr>
    </w:tbl>
    <w:p w14:paraId="0EF04F1A" w14:textId="77777777" w:rsidR="00C30199" w:rsidRPr="00A2489F" w:rsidRDefault="00592FB9" w:rsidP="00A2489F">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 w:val="num" w:pos="2062"/>
        </w:tabs>
        <w:spacing w:before="200" w:after="120"/>
        <w:ind w:left="0" w:firstLine="289"/>
        <w:rPr>
          <w:i/>
          <w:spacing w:val="-2"/>
          <w:szCs w:val="26"/>
        </w:rPr>
      </w:pPr>
      <w:r w:rsidRPr="00A2489F">
        <w:rPr>
          <w:spacing w:val="-2"/>
          <w:szCs w:val="26"/>
        </w:rPr>
        <w:t>La Ampliación de la Primera F</w:t>
      </w:r>
      <w:r w:rsidR="00C30199" w:rsidRPr="00A2489F">
        <w:rPr>
          <w:spacing w:val="-2"/>
          <w:szCs w:val="26"/>
        </w:rPr>
        <w:t>ase del Canal de Navarra no ha finalizado su construcción</w:t>
      </w:r>
      <w:r w:rsidR="00D84F41">
        <w:rPr>
          <w:spacing w:val="-2"/>
          <w:szCs w:val="26"/>
        </w:rPr>
        <w:t>;</w:t>
      </w:r>
      <w:r w:rsidR="00C30199" w:rsidRPr="00A2489F">
        <w:rPr>
          <w:spacing w:val="-2"/>
          <w:szCs w:val="26"/>
        </w:rPr>
        <w:t xml:space="preserve"> la mejor </w:t>
      </w:r>
      <w:r w:rsidR="00C30199" w:rsidRPr="00A2489F">
        <w:rPr>
          <w:spacing w:val="-2"/>
        </w:rPr>
        <w:t>previsión</w:t>
      </w:r>
      <w:r w:rsidR="00C30199" w:rsidRPr="00A2489F">
        <w:rPr>
          <w:spacing w:val="-2"/>
          <w:szCs w:val="26"/>
        </w:rPr>
        <w:t xml:space="preserve"> será la finalización de las obras a finales de 2023. Los retrasos en la obra</w:t>
      </w:r>
      <w:r w:rsidR="005A5B5A" w:rsidRPr="00A2489F">
        <w:rPr>
          <w:spacing w:val="-2"/>
          <w:szCs w:val="26"/>
        </w:rPr>
        <w:t xml:space="preserve"> tienen</w:t>
      </w:r>
      <w:r w:rsidR="00C30199" w:rsidRPr="00A2489F">
        <w:rPr>
          <w:spacing w:val="-2"/>
          <w:szCs w:val="26"/>
        </w:rPr>
        <w:t xml:space="preserve"> como consecuencia</w:t>
      </w:r>
      <w:r w:rsidR="00362563" w:rsidRPr="00A2489F">
        <w:rPr>
          <w:spacing w:val="-2"/>
          <w:szCs w:val="26"/>
        </w:rPr>
        <w:t>,</w:t>
      </w:r>
      <w:r w:rsidR="00C30199" w:rsidRPr="00A2489F">
        <w:rPr>
          <w:spacing w:val="-2"/>
          <w:szCs w:val="26"/>
        </w:rPr>
        <w:t xml:space="preserve"> </w:t>
      </w:r>
      <w:r w:rsidR="000D5ECC" w:rsidRPr="00A2489F">
        <w:rPr>
          <w:spacing w:val="-2"/>
          <w:szCs w:val="26"/>
        </w:rPr>
        <w:t>entre otras</w:t>
      </w:r>
      <w:r w:rsidR="00362563" w:rsidRPr="00A2489F">
        <w:rPr>
          <w:spacing w:val="-2"/>
          <w:szCs w:val="26"/>
        </w:rPr>
        <w:t>,</w:t>
      </w:r>
      <w:r w:rsidR="005A5B5A" w:rsidRPr="00A2489F">
        <w:rPr>
          <w:spacing w:val="-2"/>
          <w:szCs w:val="26"/>
        </w:rPr>
        <w:t xml:space="preserve"> </w:t>
      </w:r>
      <w:r w:rsidR="00C30199" w:rsidRPr="00A2489F">
        <w:rPr>
          <w:spacing w:val="-2"/>
          <w:szCs w:val="26"/>
        </w:rPr>
        <w:t xml:space="preserve">un menor periodo de explotación. </w:t>
      </w:r>
    </w:p>
    <w:p w14:paraId="34175477" w14:textId="77777777" w:rsidR="00C30199" w:rsidRPr="00205778" w:rsidRDefault="00C30199" w:rsidP="00C30199">
      <w:pPr>
        <w:pStyle w:val="texto"/>
        <w:tabs>
          <w:tab w:val="clear" w:pos="2835"/>
          <w:tab w:val="clear" w:pos="3969"/>
          <w:tab w:val="clear" w:pos="5103"/>
          <w:tab w:val="clear" w:pos="6237"/>
          <w:tab w:val="clear" w:pos="7371"/>
        </w:tabs>
        <w:ind w:left="284" w:firstLine="0"/>
        <w:rPr>
          <w:b/>
          <w:szCs w:val="26"/>
        </w:rPr>
      </w:pPr>
      <w:r w:rsidRPr="00205778">
        <w:rPr>
          <w:b/>
          <w:szCs w:val="26"/>
        </w:rPr>
        <w:t>Restablecimientos del equil</w:t>
      </w:r>
      <w:r w:rsidR="00F1415E">
        <w:rPr>
          <w:b/>
          <w:szCs w:val="26"/>
        </w:rPr>
        <w:t>ibrio económico de la concesión</w:t>
      </w:r>
    </w:p>
    <w:p w14:paraId="7E101FA9" w14:textId="77777777" w:rsidR="00C30199" w:rsidRDefault="00C30199" w:rsidP="00C30199">
      <w:pPr>
        <w:pStyle w:val="texto"/>
        <w:tabs>
          <w:tab w:val="clear" w:pos="2835"/>
          <w:tab w:val="clear" w:pos="3969"/>
          <w:tab w:val="clear" w:pos="5103"/>
          <w:tab w:val="clear" w:pos="6237"/>
          <w:tab w:val="clear" w:pos="7371"/>
        </w:tabs>
        <w:rPr>
          <w:szCs w:val="26"/>
        </w:rPr>
      </w:pPr>
      <w:r>
        <w:rPr>
          <w:szCs w:val="26"/>
        </w:rPr>
        <w:t xml:space="preserve">El derecho de la sociedad concesionaria al </w:t>
      </w:r>
      <w:r w:rsidRPr="00447187">
        <w:rPr>
          <w:szCs w:val="26"/>
        </w:rPr>
        <w:t xml:space="preserve">restablecimiento del equilibrio económico </w:t>
      </w:r>
      <w:r>
        <w:rPr>
          <w:szCs w:val="26"/>
        </w:rPr>
        <w:t>de la concesión, debido fundamentalmente a las variaciones en las inversiones finales de determinados sectores de riego, ha provocado  pagos a la sociedad concesionaria de una cantidad compensatoria (</w:t>
      </w:r>
      <w:r w:rsidR="00A94FA6">
        <w:rPr>
          <w:szCs w:val="26"/>
        </w:rPr>
        <w:t xml:space="preserve">denominados </w:t>
      </w:r>
      <w:r>
        <w:rPr>
          <w:szCs w:val="26"/>
        </w:rPr>
        <w:t>pagos up-</w:t>
      </w:r>
      <w:proofErr w:type="spellStart"/>
      <w:r>
        <w:rPr>
          <w:szCs w:val="26"/>
        </w:rPr>
        <w:t>front</w:t>
      </w:r>
      <w:proofErr w:type="spellEnd"/>
      <w:r>
        <w:rPr>
          <w:szCs w:val="26"/>
        </w:rPr>
        <w:t>)</w:t>
      </w:r>
      <w:r w:rsidR="00D84F41">
        <w:rPr>
          <w:szCs w:val="26"/>
        </w:rPr>
        <w:t>,</w:t>
      </w:r>
      <w:r>
        <w:rPr>
          <w:szCs w:val="26"/>
        </w:rPr>
        <w:t xml:space="preserve"> </w:t>
      </w:r>
      <w:r w:rsidR="00A94FA6">
        <w:rPr>
          <w:szCs w:val="26"/>
        </w:rPr>
        <w:t>así como</w:t>
      </w:r>
      <w:r>
        <w:rPr>
          <w:szCs w:val="26"/>
        </w:rPr>
        <w:t xml:space="preserve"> ajuste</w:t>
      </w:r>
      <w:r w:rsidR="00A94FA6">
        <w:rPr>
          <w:szCs w:val="26"/>
        </w:rPr>
        <w:t>s</w:t>
      </w:r>
      <w:r>
        <w:rPr>
          <w:szCs w:val="26"/>
        </w:rPr>
        <w:t xml:space="preserve"> </w:t>
      </w:r>
      <w:r w:rsidR="00A94FA6">
        <w:rPr>
          <w:szCs w:val="26"/>
        </w:rPr>
        <w:t xml:space="preserve">en </w:t>
      </w:r>
      <w:r>
        <w:rPr>
          <w:szCs w:val="26"/>
        </w:rPr>
        <w:t>las tarifas, siempre para mantener la rentabilidad del</w:t>
      </w:r>
      <w:r w:rsidR="00F2332C">
        <w:rPr>
          <w:szCs w:val="26"/>
        </w:rPr>
        <w:t xml:space="preserve"> accionista para el caso de la Primera F</w:t>
      </w:r>
      <w:r>
        <w:rPr>
          <w:szCs w:val="26"/>
        </w:rPr>
        <w:t>ase y la rentabilidad d</w:t>
      </w:r>
      <w:r w:rsidR="00F2332C">
        <w:rPr>
          <w:szCs w:val="26"/>
        </w:rPr>
        <w:t>el proyecto para el caso de la Ampliación de la Primera F</w:t>
      </w:r>
      <w:r>
        <w:rPr>
          <w:szCs w:val="26"/>
        </w:rPr>
        <w:t>ase.</w:t>
      </w:r>
    </w:p>
    <w:p w14:paraId="4B9B8CB5" w14:textId="77777777" w:rsidR="00D014C6" w:rsidRPr="00FB3E53" w:rsidRDefault="00D014C6" w:rsidP="00C30199">
      <w:pPr>
        <w:pStyle w:val="texto"/>
        <w:tabs>
          <w:tab w:val="clear" w:pos="2835"/>
          <w:tab w:val="clear" w:pos="3969"/>
          <w:tab w:val="clear" w:pos="5103"/>
          <w:tab w:val="clear" w:pos="6237"/>
          <w:tab w:val="clear" w:pos="7371"/>
        </w:tabs>
        <w:rPr>
          <w:szCs w:val="26"/>
        </w:rPr>
      </w:pPr>
      <w:r w:rsidRPr="00FB3E53">
        <w:rPr>
          <w:szCs w:val="26"/>
        </w:rPr>
        <w:t>A diferencia de l</w:t>
      </w:r>
      <w:r w:rsidR="00A94FA6" w:rsidRPr="00FB3E53">
        <w:rPr>
          <w:szCs w:val="26"/>
        </w:rPr>
        <w:t xml:space="preserve">as autovías, los restablecimientos del equilibrio en el Canal de Navarra </w:t>
      </w:r>
      <w:r w:rsidR="00D761B0" w:rsidRPr="00FB3E53">
        <w:rPr>
          <w:szCs w:val="26"/>
        </w:rPr>
        <w:t>están causados por las</w:t>
      </w:r>
      <w:r w:rsidR="00A94FA6" w:rsidRPr="00FB3E53">
        <w:rPr>
          <w:szCs w:val="26"/>
        </w:rPr>
        <w:t xml:space="preserve"> variaciones </w:t>
      </w:r>
      <w:r w:rsidR="00DE0E1E" w:rsidRPr="00FB3E53">
        <w:rPr>
          <w:szCs w:val="26"/>
        </w:rPr>
        <w:t>en la fase de construcción de</w:t>
      </w:r>
      <w:r w:rsidR="00A94FA6" w:rsidRPr="00FB3E53">
        <w:rPr>
          <w:szCs w:val="26"/>
        </w:rPr>
        <w:t xml:space="preserve"> la inversión final. </w:t>
      </w:r>
    </w:p>
    <w:p w14:paraId="2971CE67" w14:textId="77777777" w:rsidR="00C30199" w:rsidRPr="00D761B0" w:rsidRDefault="00C30199" w:rsidP="00D97A05">
      <w:pPr>
        <w:pStyle w:val="texto"/>
        <w:numPr>
          <w:ilvl w:val="0"/>
          <w:numId w:val="28"/>
        </w:numPr>
        <w:tabs>
          <w:tab w:val="clear" w:pos="2835"/>
          <w:tab w:val="clear" w:pos="3969"/>
          <w:tab w:val="clear" w:pos="5103"/>
          <w:tab w:val="clear" w:pos="6237"/>
          <w:tab w:val="clear" w:pos="7371"/>
        </w:tabs>
        <w:ind w:left="0" w:firstLine="284"/>
        <w:rPr>
          <w:i/>
          <w:szCs w:val="26"/>
        </w:rPr>
      </w:pPr>
      <w:r w:rsidRPr="00D761B0">
        <w:rPr>
          <w:i/>
          <w:szCs w:val="26"/>
        </w:rPr>
        <w:t>Reequilibrios</w:t>
      </w:r>
      <w:r w:rsidR="009E3198" w:rsidRPr="00D761B0">
        <w:rPr>
          <w:i/>
          <w:szCs w:val="26"/>
        </w:rPr>
        <w:t xml:space="preserve"> de la</w:t>
      </w:r>
      <w:r w:rsidRPr="00D761B0">
        <w:rPr>
          <w:i/>
          <w:szCs w:val="26"/>
        </w:rPr>
        <w:t xml:space="preserve"> 1ª fase</w:t>
      </w:r>
    </w:p>
    <w:p w14:paraId="0E08064F" w14:textId="77777777" w:rsidR="00C30199" w:rsidRPr="00D761B0" w:rsidRDefault="00C30199" w:rsidP="00C30199">
      <w:pPr>
        <w:pStyle w:val="texto"/>
        <w:tabs>
          <w:tab w:val="clear" w:pos="2835"/>
          <w:tab w:val="clear" w:pos="3969"/>
          <w:tab w:val="clear" w:pos="5103"/>
          <w:tab w:val="clear" w:pos="6237"/>
          <w:tab w:val="clear" w:pos="7371"/>
        </w:tabs>
        <w:rPr>
          <w:szCs w:val="26"/>
        </w:rPr>
      </w:pPr>
      <w:r w:rsidRPr="00D761B0">
        <w:rPr>
          <w:szCs w:val="26"/>
        </w:rPr>
        <w:t xml:space="preserve">El último aprobado fue el </w:t>
      </w:r>
      <w:r w:rsidR="009E3198" w:rsidRPr="00D761B0">
        <w:rPr>
          <w:szCs w:val="26"/>
        </w:rPr>
        <w:t xml:space="preserve">cuarto de fecha 31 de diciembre de </w:t>
      </w:r>
      <w:r w:rsidRPr="00D761B0">
        <w:rPr>
          <w:szCs w:val="26"/>
        </w:rPr>
        <w:t>2011</w:t>
      </w:r>
      <w:r w:rsidR="00D84F41">
        <w:rPr>
          <w:szCs w:val="26"/>
        </w:rPr>
        <w:t>. Po</w:t>
      </w:r>
      <w:r w:rsidRPr="00D761B0">
        <w:rPr>
          <w:szCs w:val="26"/>
        </w:rPr>
        <w:t xml:space="preserve">r tanto, desde el último informe de </w:t>
      </w:r>
      <w:r w:rsidR="009E3198" w:rsidRPr="00D761B0">
        <w:rPr>
          <w:szCs w:val="26"/>
        </w:rPr>
        <w:t>esta</w:t>
      </w:r>
      <w:r w:rsidRPr="00D761B0">
        <w:rPr>
          <w:szCs w:val="26"/>
        </w:rPr>
        <w:t xml:space="preserve"> Cámara no ha habido reequilibrios. </w:t>
      </w:r>
    </w:p>
    <w:p w14:paraId="64E6C3B6" w14:textId="77777777" w:rsidR="00C30199" w:rsidRPr="00F64BB9" w:rsidRDefault="00C30199" w:rsidP="00302296">
      <w:pPr>
        <w:pStyle w:val="texto"/>
        <w:tabs>
          <w:tab w:val="clear" w:pos="2835"/>
          <w:tab w:val="clear" w:pos="3969"/>
          <w:tab w:val="clear" w:pos="5103"/>
          <w:tab w:val="clear" w:pos="6237"/>
          <w:tab w:val="clear" w:pos="7371"/>
        </w:tabs>
        <w:spacing w:after="240"/>
        <w:rPr>
          <w:szCs w:val="26"/>
        </w:rPr>
      </w:pPr>
      <w:r>
        <w:rPr>
          <w:szCs w:val="26"/>
        </w:rPr>
        <w:t>El cuadro resumen de los reequilibrios aprobados durante el periodo de construcción y su efecto sobre la tarifa es el siguiente:</w:t>
      </w:r>
      <w:r w:rsidR="009E3198">
        <w:rPr>
          <w:szCs w:val="26"/>
        </w:rPr>
        <w:t xml:space="preserve"> </w:t>
      </w:r>
    </w:p>
    <w:tbl>
      <w:tblPr>
        <w:tblW w:w="9061"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544"/>
        <w:gridCol w:w="975"/>
        <w:gridCol w:w="960"/>
        <w:gridCol w:w="883"/>
        <w:gridCol w:w="799"/>
        <w:gridCol w:w="739"/>
        <w:gridCol w:w="1161"/>
      </w:tblGrid>
      <w:tr w:rsidR="00C30199" w:rsidRPr="00302296" w14:paraId="19A9D33C" w14:textId="77777777" w:rsidTr="00F1415E">
        <w:trPr>
          <w:trHeight w:val="284"/>
        </w:trPr>
        <w:tc>
          <w:tcPr>
            <w:tcW w:w="3544" w:type="dxa"/>
            <w:tcBorders>
              <w:top w:val="single" w:sz="4" w:space="0" w:color="auto"/>
              <w:bottom w:val="single" w:sz="4" w:space="0" w:color="auto"/>
            </w:tcBorders>
            <w:shd w:val="clear" w:color="auto" w:fill="B8CCE4" w:themeFill="accent1" w:themeFillTint="66"/>
            <w:noWrap/>
            <w:vAlign w:val="center"/>
            <w:hideMark/>
          </w:tcPr>
          <w:p w14:paraId="03EF141B" w14:textId="77777777" w:rsidR="00C30199" w:rsidRPr="00302296" w:rsidRDefault="00C30199" w:rsidP="00205778">
            <w:pPr>
              <w:pStyle w:val="cuadroCabe"/>
              <w:spacing w:line="240" w:lineRule="auto"/>
              <w:rPr>
                <w:sz w:val="16"/>
                <w:szCs w:val="16"/>
                <w:lang w:val="es-ES" w:eastAsia="es-ES"/>
              </w:rPr>
            </w:pPr>
            <w:r w:rsidRPr="00302296">
              <w:rPr>
                <w:sz w:val="16"/>
                <w:szCs w:val="16"/>
                <w:lang w:val="es-ES" w:eastAsia="es-ES"/>
              </w:rPr>
              <w:t>Reequilibrios 1ª fase Canal</w:t>
            </w:r>
          </w:p>
        </w:tc>
        <w:tc>
          <w:tcPr>
            <w:tcW w:w="975" w:type="dxa"/>
            <w:tcBorders>
              <w:top w:val="single" w:sz="4" w:space="0" w:color="auto"/>
              <w:bottom w:val="single" w:sz="4" w:space="0" w:color="auto"/>
            </w:tcBorders>
            <w:shd w:val="clear" w:color="auto" w:fill="B8CCE4" w:themeFill="accent1" w:themeFillTint="66"/>
            <w:noWrap/>
            <w:vAlign w:val="center"/>
            <w:hideMark/>
          </w:tcPr>
          <w:p w14:paraId="05E3145F" w14:textId="77777777" w:rsidR="00C30199" w:rsidRPr="00302296" w:rsidRDefault="00C30199" w:rsidP="00205778">
            <w:pPr>
              <w:pStyle w:val="cuadroCabe"/>
              <w:spacing w:line="240" w:lineRule="auto"/>
              <w:jc w:val="right"/>
              <w:rPr>
                <w:sz w:val="16"/>
                <w:szCs w:val="16"/>
                <w:lang w:val="es-ES" w:eastAsia="es-ES"/>
              </w:rPr>
            </w:pPr>
            <w:r w:rsidRPr="00302296">
              <w:rPr>
                <w:sz w:val="16"/>
                <w:szCs w:val="16"/>
                <w:lang w:val="es-ES" w:eastAsia="es-ES"/>
              </w:rPr>
              <w:t>Oferta</w:t>
            </w:r>
          </w:p>
        </w:tc>
        <w:tc>
          <w:tcPr>
            <w:tcW w:w="960" w:type="dxa"/>
            <w:tcBorders>
              <w:top w:val="single" w:sz="4" w:space="0" w:color="auto"/>
              <w:bottom w:val="single" w:sz="4" w:space="0" w:color="auto"/>
            </w:tcBorders>
            <w:shd w:val="clear" w:color="auto" w:fill="B8CCE4" w:themeFill="accent1" w:themeFillTint="66"/>
            <w:noWrap/>
            <w:vAlign w:val="center"/>
            <w:hideMark/>
          </w:tcPr>
          <w:p w14:paraId="73913BB4" w14:textId="77777777" w:rsidR="00C30199" w:rsidRPr="00302296" w:rsidRDefault="00C30199" w:rsidP="00205778">
            <w:pPr>
              <w:pStyle w:val="cuadroCabe"/>
              <w:spacing w:line="240" w:lineRule="auto"/>
              <w:jc w:val="right"/>
              <w:rPr>
                <w:sz w:val="16"/>
                <w:szCs w:val="16"/>
                <w:lang w:val="es-ES" w:eastAsia="es-ES"/>
              </w:rPr>
            </w:pPr>
            <w:r w:rsidRPr="00302296">
              <w:rPr>
                <w:sz w:val="16"/>
                <w:szCs w:val="16"/>
                <w:lang w:val="es-ES" w:eastAsia="es-ES"/>
              </w:rPr>
              <w:t xml:space="preserve">R 1 </w:t>
            </w:r>
          </w:p>
        </w:tc>
        <w:tc>
          <w:tcPr>
            <w:tcW w:w="883" w:type="dxa"/>
            <w:tcBorders>
              <w:top w:val="single" w:sz="4" w:space="0" w:color="auto"/>
              <w:bottom w:val="single" w:sz="4" w:space="0" w:color="auto"/>
            </w:tcBorders>
            <w:shd w:val="clear" w:color="auto" w:fill="B8CCE4" w:themeFill="accent1" w:themeFillTint="66"/>
            <w:noWrap/>
            <w:vAlign w:val="center"/>
            <w:hideMark/>
          </w:tcPr>
          <w:p w14:paraId="25AC5543" w14:textId="77777777" w:rsidR="00C30199" w:rsidRPr="00302296" w:rsidRDefault="00C30199" w:rsidP="00205778">
            <w:pPr>
              <w:pStyle w:val="cuadroCabe"/>
              <w:spacing w:line="240" w:lineRule="auto"/>
              <w:jc w:val="right"/>
              <w:rPr>
                <w:sz w:val="16"/>
                <w:szCs w:val="16"/>
                <w:lang w:val="es-ES" w:eastAsia="es-ES"/>
              </w:rPr>
            </w:pPr>
            <w:r w:rsidRPr="00302296">
              <w:rPr>
                <w:sz w:val="16"/>
                <w:szCs w:val="16"/>
                <w:lang w:val="es-ES" w:eastAsia="es-ES"/>
              </w:rPr>
              <w:t xml:space="preserve">R 2 </w:t>
            </w:r>
          </w:p>
        </w:tc>
        <w:tc>
          <w:tcPr>
            <w:tcW w:w="799" w:type="dxa"/>
            <w:tcBorders>
              <w:top w:val="single" w:sz="4" w:space="0" w:color="auto"/>
              <w:bottom w:val="single" w:sz="4" w:space="0" w:color="auto"/>
            </w:tcBorders>
            <w:shd w:val="clear" w:color="auto" w:fill="B8CCE4" w:themeFill="accent1" w:themeFillTint="66"/>
            <w:noWrap/>
            <w:vAlign w:val="center"/>
            <w:hideMark/>
          </w:tcPr>
          <w:p w14:paraId="5F4FC254" w14:textId="77777777" w:rsidR="00C30199" w:rsidRPr="00302296" w:rsidRDefault="00C30199" w:rsidP="00205778">
            <w:pPr>
              <w:pStyle w:val="cuadroCabe"/>
              <w:spacing w:line="240" w:lineRule="auto"/>
              <w:jc w:val="right"/>
              <w:rPr>
                <w:sz w:val="16"/>
                <w:szCs w:val="16"/>
                <w:lang w:val="es-ES" w:eastAsia="es-ES"/>
              </w:rPr>
            </w:pPr>
            <w:r w:rsidRPr="00302296">
              <w:rPr>
                <w:sz w:val="16"/>
                <w:szCs w:val="16"/>
                <w:lang w:val="es-ES" w:eastAsia="es-ES"/>
              </w:rPr>
              <w:t xml:space="preserve">R 3 </w:t>
            </w:r>
          </w:p>
        </w:tc>
        <w:tc>
          <w:tcPr>
            <w:tcW w:w="739" w:type="dxa"/>
            <w:tcBorders>
              <w:top w:val="single" w:sz="4" w:space="0" w:color="auto"/>
              <w:bottom w:val="single" w:sz="4" w:space="0" w:color="auto"/>
            </w:tcBorders>
            <w:shd w:val="clear" w:color="auto" w:fill="B8CCE4" w:themeFill="accent1" w:themeFillTint="66"/>
            <w:noWrap/>
            <w:vAlign w:val="center"/>
            <w:hideMark/>
          </w:tcPr>
          <w:p w14:paraId="11DF0C4D" w14:textId="77777777" w:rsidR="00C30199" w:rsidRPr="00302296" w:rsidRDefault="00C30199" w:rsidP="00205778">
            <w:pPr>
              <w:pStyle w:val="cuadroCabe"/>
              <w:spacing w:line="240" w:lineRule="auto"/>
              <w:jc w:val="right"/>
              <w:rPr>
                <w:sz w:val="16"/>
                <w:szCs w:val="16"/>
                <w:lang w:val="es-ES" w:eastAsia="es-ES"/>
              </w:rPr>
            </w:pPr>
            <w:r w:rsidRPr="00302296">
              <w:rPr>
                <w:sz w:val="16"/>
                <w:szCs w:val="16"/>
                <w:lang w:val="es-ES" w:eastAsia="es-ES"/>
              </w:rPr>
              <w:t xml:space="preserve">R 4 </w:t>
            </w:r>
          </w:p>
        </w:tc>
        <w:tc>
          <w:tcPr>
            <w:tcW w:w="1161" w:type="dxa"/>
            <w:tcBorders>
              <w:top w:val="single" w:sz="4" w:space="0" w:color="auto"/>
              <w:bottom w:val="single" w:sz="4" w:space="0" w:color="auto"/>
            </w:tcBorders>
            <w:shd w:val="clear" w:color="auto" w:fill="B8CCE4" w:themeFill="accent1" w:themeFillTint="66"/>
            <w:vAlign w:val="center"/>
            <w:hideMark/>
          </w:tcPr>
          <w:p w14:paraId="34E79C26" w14:textId="77777777" w:rsidR="00E72391" w:rsidRPr="002F5288" w:rsidRDefault="005A5B5A" w:rsidP="00205778">
            <w:pPr>
              <w:pStyle w:val="cuadroCabe"/>
              <w:spacing w:line="240" w:lineRule="auto"/>
              <w:jc w:val="right"/>
              <w:rPr>
                <w:sz w:val="16"/>
                <w:szCs w:val="16"/>
                <w:lang w:val="es-ES" w:eastAsia="es-ES"/>
              </w:rPr>
            </w:pPr>
            <w:r w:rsidRPr="002F5288">
              <w:rPr>
                <w:sz w:val="16"/>
                <w:szCs w:val="16"/>
                <w:lang w:val="es-ES" w:eastAsia="es-ES"/>
              </w:rPr>
              <w:t xml:space="preserve">Acumulado </w:t>
            </w:r>
          </w:p>
          <w:p w14:paraId="345E1DCB" w14:textId="77777777" w:rsidR="00C30199" w:rsidRPr="00302296" w:rsidRDefault="00C30199" w:rsidP="00205778">
            <w:pPr>
              <w:pStyle w:val="cuadroCabe"/>
              <w:spacing w:line="240" w:lineRule="auto"/>
              <w:jc w:val="right"/>
              <w:rPr>
                <w:sz w:val="16"/>
                <w:szCs w:val="16"/>
                <w:lang w:val="es-ES" w:eastAsia="es-ES"/>
              </w:rPr>
            </w:pPr>
            <w:r w:rsidRPr="002F5288">
              <w:rPr>
                <w:sz w:val="16"/>
                <w:szCs w:val="16"/>
                <w:lang w:val="es-ES" w:eastAsia="es-ES"/>
              </w:rPr>
              <w:t>reequilibrios</w:t>
            </w:r>
          </w:p>
        </w:tc>
      </w:tr>
      <w:tr w:rsidR="00C30199" w:rsidRPr="00302296" w14:paraId="3AC9E83A" w14:textId="77777777" w:rsidTr="00F1415E">
        <w:trPr>
          <w:trHeight w:val="284"/>
        </w:trPr>
        <w:tc>
          <w:tcPr>
            <w:tcW w:w="3544" w:type="dxa"/>
            <w:tcBorders>
              <w:top w:val="single" w:sz="4" w:space="0" w:color="auto"/>
            </w:tcBorders>
            <w:shd w:val="clear" w:color="auto" w:fill="auto"/>
            <w:noWrap/>
            <w:vAlign w:val="center"/>
            <w:hideMark/>
          </w:tcPr>
          <w:p w14:paraId="23195A26" w14:textId="77777777" w:rsidR="00C30199" w:rsidRPr="00442A3A" w:rsidRDefault="005038AD" w:rsidP="005038AD">
            <w:pPr>
              <w:pStyle w:val="cuatexto"/>
              <w:spacing w:line="240" w:lineRule="auto"/>
              <w:rPr>
                <w:sz w:val="18"/>
                <w:szCs w:val="18"/>
                <w:lang w:val="es-ES" w:eastAsia="es-ES"/>
              </w:rPr>
            </w:pPr>
            <w:r w:rsidRPr="00442A3A">
              <w:rPr>
                <w:sz w:val="18"/>
                <w:szCs w:val="18"/>
                <w:lang w:val="es-ES" w:eastAsia="es-ES"/>
              </w:rPr>
              <w:t>Canon de demanda (euros</w:t>
            </w:r>
            <w:r w:rsidR="00C30199" w:rsidRPr="00442A3A">
              <w:rPr>
                <w:sz w:val="18"/>
                <w:szCs w:val="18"/>
                <w:lang w:val="es-ES" w:eastAsia="es-ES"/>
              </w:rPr>
              <w:t xml:space="preserve"> 2006)</w:t>
            </w:r>
          </w:p>
        </w:tc>
        <w:tc>
          <w:tcPr>
            <w:tcW w:w="975" w:type="dxa"/>
            <w:tcBorders>
              <w:top w:val="single" w:sz="4" w:space="0" w:color="auto"/>
            </w:tcBorders>
            <w:shd w:val="clear" w:color="auto" w:fill="auto"/>
            <w:noWrap/>
            <w:vAlign w:val="center"/>
            <w:hideMark/>
          </w:tcPr>
          <w:p w14:paraId="1EA423DF"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0,0446</w:t>
            </w:r>
          </w:p>
        </w:tc>
        <w:tc>
          <w:tcPr>
            <w:tcW w:w="960" w:type="dxa"/>
            <w:tcBorders>
              <w:top w:val="single" w:sz="4" w:space="0" w:color="auto"/>
            </w:tcBorders>
            <w:shd w:val="clear" w:color="auto" w:fill="auto"/>
            <w:noWrap/>
            <w:vAlign w:val="center"/>
            <w:hideMark/>
          </w:tcPr>
          <w:p w14:paraId="1A00E11B"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0,0461</w:t>
            </w:r>
          </w:p>
        </w:tc>
        <w:tc>
          <w:tcPr>
            <w:tcW w:w="883" w:type="dxa"/>
            <w:tcBorders>
              <w:top w:val="single" w:sz="4" w:space="0" w:color="auto"/>
            </w:tcBorders>
            <w:shd w:val="clear" w:color="auto" w:fill="auto"/>
            <w:noWrap/>
            <w:vAlign w:val="center"/>
            <w:hideMark/>
          </w:tcPr>
          <w:p w14:paraId="2EC87A0A"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0,0479</w:t>
            </w:r>
          </w:p>
        </w:tc>
        <w:tc>
          <w:tcPr>
            <w:tcW w:w="799" w:type="dxa"/>
            <w:tcBorders>
              <w:top w:val="single" w:sz="4" w:space="0" w:color="auto"/>
            </w:tcBorders>
            <w:shd w:val="clear" w:color="auto" w:fill="auto"/>
            <w:noWrap/>
            <w:vAlign w:val="center"/>
            <w:hideMark/>
          </w:tcPr>
          <w:p w14:paraId="5BFE9212"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0,0498</w:t>
            </w:r>
          </w:p>
        </w:tc>
        <w:tc>
          <w:tcPr>
            <w:tcW w:w="739" w:type="dxa"/>
            <w:tcBorders>
              <w:top w:val="single" w:sz="4" w:space="0" w:color="auto"/>
            </w:tcBorders>
            <w:shd w:val="clear" w:color="auto" w:fill="auto"/>
            <w:noWrap/>
            <w:vAlign w:val="center"/>
            <w:hideMark/>
          </w:tcPr>
          <w:p w14:paraId="50369E78"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0,0565</w:t>
            </w:r>
          </w:p>
        </w:tc>
        <w:tc>
          <w:tcPr>
            <w:tcW w:w="1161" w:type="dxa"/>
            <w:tcBorders>
              <w:top w:val="single" w:sz="4" w:space="0" w:color="auto"/>
            </w:tcBorders>
            <w:shd w:val="clear" w:color="auto" w:fill="auto"/>
            <w:noWrap/>
            <w:vAlign w:val="center"/>
            <w:hideMark/>
          </w:tcPr>
          <w:p w14:paraId="5A6A4AF1"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0,0565</w:t>
            </w:r>
          </w:p>
        </w:tc>
      </w:tr>
      <w:tr w:rsidR="00C30199" w:rsidRPr="00302296" w14:paraId="0D0DB290" w14:textId="77777777" w:rsidTr="00966B96">
        <w:trPr>
          <w:trHeight w:val="284"/>
        </w:trPr>
        <w:tc>
          <w:tcPr>
            <w:tcW w:w="3544" w:type="dxa"/>
            <w:shd w:val="clear" w:color="auto" w:fill="auto"/>
            <w:noWrap/>
            <w:vAlign w:val="center"/>
            <w:hideMark/>
          </w:tcPr>
          <w:p w14:paraId="6EDEC964" w14:textId="77777777" w:rsidR="00C30199" w:rsidRPr="00302296" w:rsidRDefault="005038AD" w:rsidP="005038AD">
            <w:pPr>
              <w:pStyle w:val="cuatexto"/>
              <w:spacing w:line="240" w:lineRule="auto"/>
              <w:rPr>
                <w:sz w:val="18"/>
                <w:szCs w:val="18"/>
                <w:lang w:val="es-ES" w:eastAsia="es-ES"/>
              </w:rPr>
            </w:pPr>
            <w:r w:rsidRPr="00442A3A">
              <w:rPr>
                <w:sz w:val="18"/>
                <w:szCs w:val="18"/>
                <w:lang w:val="es-ES" w:eastAsia="es-ES"/>
              </w:rPr>
              <w:t xml:space="preserve">CCGI (euros </w:t>
            </w:r>
            <w:r w:rsidR="00C30199" w:rsidRPr="00442A3A">
              <w:rPr>
                <w:sz w:val="18"/>
                <w:szCs w:val="18"/>
                <w:lang w:val="es-ES" w:eastAsia="es-ES"/>
              </w:rPr>
              <w:t>2006)</w:t>
            </w:r>
          </w:p>
        </w:tc>
        <w:tc>
          <w:tcPr>
            <w:tcW w:w="975" w:type="dxa"/>
            <w:shd w:val="clear" w:color="auto" w:fill="auto"/>
            <w:noWrap/>
            <w:vAlign w:val="center"/>
            <w:hideMark/>
          </w:tcPr>
          <w:p w14:paraId="73E0F6BD"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202,07</w:t>
            </w:r>
          </w:p>
        </w:tc>
        <w:tc>
          <w:tcPr>
            <w:tcW w:w="960" w:type="dxa"/>
            <w:shd w:val="clear" w:color="auto" w:fill="auto"/>
            <w:noWrap/>
            <w:vAlign w:val="center"/>
            <w:hideMark/>
          </w:tcPr>
          <w:p w14:paraId="1866A2C7"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209,02</w:t>
            </w:r>
          </w:p>
        </w:tc>
        <w:tc>
          <w:tcPr>
            <w:tcW w:w="883" w:type="dxa"/>
            <w:shd w:val="clear" w:color="auto" w:fill="auto"/>
            <w:noWrap/>
            <w:vAlign w:val="center"/>
            <w:hideMark/>
          </w:tcPr>
          <w:p w14:paraId="347F7859"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217,07</w:t>
            </w:r>
          </w:p>
        </w:tc>
        <w:tc>
          <w:tcPr>
            <w:tcW w:w="799" w:type="dxa"/>
            <w:shd w:val="clear" w:color="auto" w:fill="auto"/>
            <w:noWrap/>
            <w:vAlign w:val="center"/>
            <w:hideMark/>
          </w:tcPr>
          <w:p w14:paraId="1938AFD2"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225,58</w:t>
            </w:r>
          </w:p>
        </w:tc>
        <w:tc>
          <w:tcPr>
            <w:tcW w:w="739" w:type="dxa"/>
            <w:shd w:val="clear" w:color="auto" w:fill="auto"/>
            <w:noWrap/>
            <w:vAlign w:val="center"/>
            <w:hideMark/>
          </w:tcPr>
          <w:p w14:paraId="2EBDDBB0"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255,96</w:t>
            </w:r>
          </w:p>
        </w:tc>
        <w:tc>
          <w:tcPr>
            <w:tcW w:w="1161" w:type="dxa"/>
            <w:shd w:val="clear" w:color="auto" w:fill="auto"/>
            <w:noWrap/>
            <w:vAlign w:val="center"/>
            <w:hideMark/>
          </w:tcPr>
          <w:p w14:paraId="44A1C4F5"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255,96</w:t>
            </w:r>
          </w:p>
        </w:tc>
      </w:tr>
      <w:tr w:rsidR="00C30199" w:rsidRPr="00302296" w14:paraId="24DF29E4" w14:textId="77777777" w:rsidTr="00966B96">
        <w:trPr>
          <w:trHeight w:val="284"/>
        </w:trPr>
        <w:tc>
          <w:tcPr>
            <w:tcW w:w="4515" w:type="dxa"/>
            <w:gridSpan w:val="2"/>
            <w:shd w:val="clear" w:color="auto" w:fill="auto"/>
            <w:noWrap/>
            <w:vAlign w:val="center"/>
            <w:hideMark/>
          </w:tcPr>
          <w:p w14:paraId="618803B2" w14:textId="77777777" w:rsidR="00C30199" w:rsidRPr="00302296" w:rsidRDefault="00C30199" w:rsidP="00205778">
            <w:pPr>
              <w:pStyle w:val="cuatexto"/>
              <w:spacing w:line="240" w:lineRule="auto"/>
              <w:rPr>
                <w:sz w:val="18"/>
                <w:szCs w:val="18"/>
                <w:lang w:val="es-ES" w:eastAsia="es-ES"/>
              </w:rPr>
            </w:pPr>
            <w:r w:rsidRPr="00302296">
              <w:rPr>
                <w:sz w:val="18"/>
                <w:szCs w:val="18"/>
                <w:lang w:val="es-ES" w:eastAsia="es-ES"/>
              </w:rPr>
              <w:t>Fecha efectos incrementos por reequilibrios</w:t>
            </w:r>
          </w:p>
        </w:tc>
        <w:tc>
          <w:tcPr>
            <w:tcW w:w="960" w:type="dxa"/>
            <w:shd w:val="clear" w:color="auto" w:fill="auto"/>
            <w:noWrap/>
            <w:vAlign w:val="center"/>
          </w:tcPr>
          <w:p w14:paraId="3A02A525"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2009</w:t>
            </w:r>
          </w:p>
        </w:tc>
        <w:tc>
          <w:tcPr>
            <w:tcW w:w="883" w:type="dxa"/>
            <w:shd w:val="clear" w:color="auto" w:fill="auto"/>
            <w:noWrap/>
            <w:vAlign w:val="center"/>
          </w:tcPr>
          <w:p w14:paraId="12866259"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2010</w:t>
            </w:r>
          </w:p>
        </w:tc>
        <w:tc>
          <w:tcPr>
            <w:tcW w:w="799" w:type="dxa"/>
            <w:shd w:val="clear" w:color="auto" w:fill="auto"/>
            <w:noWrap/>
            <w:vAlign w:val="center"/>
          </w:tcPr>
          <w:p w14:paraId="4877A502"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2011</w:t>
            </w:r>
          </w:p>
        </w:tc>
        <w:tc>
          <w:tcPr>
            <w:tcW w:w="739" w:type="dxa"/>
            <w:shd w:val="clear" w:color="auto" w:fill="auto"/>
            <w:noWrap/>
            <w:vAlign w:val="center"/>
          </w:tcPr>
          <w:p w14:paraId="31020BCE"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2012</w:t>
            </w:r>
          </w:p>
        </w:tc>
        <w:tc>
          <w:tcPr>
            <w:tcW w:w="1161" w:type="dxa"/>
            <w:shd w:val="clear" w:color="auto" w:fill="auto"/>
            <w:noWrap/>
            <w:vAlign w:val="center"/>
            <w:hideMark/>
          </w:tcPr>
          <w:p w14:paraId="368B9BA7" w14:textId="77777777" w:rsidR="00C30199" w:rsidRPr="00302296" w:rsidRDefault="00C30199" w:rsidP="00205778">
            <w:pPr>
              <w:pStyle w:val="cuatexto"/>
              <w:spacing w:line="240" w:lineRule="auto"/>
              <w:jc w:val="right"/>
              <w:rPr>
                <w:sz w:val="18"/>
                <w:szCs w:val="18"/>
                <w:lang w:val="es-ES" w:eastAsia="es-ES"/>
              </w:rPr>
            </w:pPr>
          </w:p>
        </w:tc>
      </w:tr>
      <w:tr w:rsidR="00C30199" w:rsidRPr="00302296" w14:paraId="7BC14C1A" w14:textId="77777777" w:rsidTr="009F4A44">
        <w:trPr>
          <w:trHeight w:val="284"/>
        </w:trPr>
        <w:tc>
          <w:tcPr>
            <w:tcW w:w="3544" w:type="dxa"/>
            <w:shd w:val="clear" w:color="auto" w:fill="auto"/>
            <w:noWrap/>
            <w:vAlign w:val="center"/>
            <w:hideMark/>
          </w:tcPr>
          <w:p w14:paraId="2056C99A" w14:textId="77777777" w:rsidR="00C30199" w:rsidRPr="00302296" w:rsidRDefault="00C30199" w:rsidP="009F4A44">
            <w:pPr>
              <w:pStyle w:val="cuatexto"/>
              <w:spacing w:line="240" w:lineRule="auto"/>
              <w:rPr>
                <w:sz w:val="18"/>
                <w:szCs w:val="18"/>
                <w:lang w:val="es-ES" w:eastAsia="es-ES"/>
              </w:rPr>
            </w:pPr>
            <w:r w:rsidRPr="00442A3A">
              <w:rPr>
                <w:sz w:val="18"/>
                <w:szCs w:val="18"/>
                <w:lang w:val="es-ES" w:eastAsia="es-ES"/>
              </w:rPr>
              <w:t>Incremento tarifas</w:t>
            </w:r>
            <w:r w:rsidR="00B65E58" w:rsidRPr="00442A3A">
              <w:rPr>
                <w:sz w:val="18"/>
                <w:szCs w:val="18"/>
                <w:lang w:val="es-ES" w:eastAsia="es-ES"/>
              </w:rPr>
              <w:t xml:space="preserve"> (% s/tarifa inicial)</w:t>
            </w:r>
          </w:p>
        </w:tc>
        <w:tc>
          <w:tcPr>
            <w:tcW w:w="975" w:type="dxa"/>
            <w:shd w:val="clear" w:color="auto" w:fill="auto"/>
            <w:noWrap/>
            <w:vAlign w:val="center"/>
          </w:tcPr>
          <w:p w14:paraId="3C80CE25" w14:textId="77777777" w:rsidR="00C30199" w:rsidRPr="00302296" w:rsidRDefault="00C30199" w:rsidP="00205778">
            <w:pPr>
              <w:pStyle w:val="cuatexto"/>
              <w:spacing w:line="240" w:lineRule="auto"/>
              <w:rPr>
                <w:sz w:val="18"/>
                <w:szCs w:val="18"/>
                <w:lang w:val="es-ES" w:eastAsia="es-ES"/>
              </w:rPr>
            </w:pPr>
          </w:p>
        </w:tc>
        <w:tc>
          <w:tcPr>
            <w:tcW w:w="960" w:type="dxa"/>
            <w:shd w:val="clear" w:color="auto" w:fill="auto"/>
            <w:noWrap/>
            <w:vAlign w:val="center"/>
            <w:hideMark/>
          </w:tcPr>
          <w:p w14:paraId="347139EF"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3,44</w:t>
            </w:r>
          </w:p>
        </w:tc>
        <w:tc>
          <w:tcPr>
            <w:tcW w:w="883" w:type="dxa"/>
            <w:shd w:val="clear" w:color="auto" w:fill="auto"/>
            <w:noWrap/>
            <w:vAlign w:val="center"/>
            <w:hideMark/>
          </w:tcPr>
          <w:p w14:paraId="76C84D27"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3,85</w:t>
            </w:r>
          </w:p>
        </w:tc>
        <w:tc>
          <w:tcPr>
            <w:tcW w:w="799" w:type="dxa"/>
            <w:shd w:val="clear" w:color="auto" w:fill="auto"/>
            <w:noWrap/>
            <w:vAlign w:val="center"/>
            <w:hideMark/>
          </w:tcPr>
          <w:p w14:paraId="7D44CE5F"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3,92</w:t>
            </w:r>
          </w:p>
        </w:tc>
        <w:tc>
          <w:tcPr>
            <w:tcW w:w="739" w:type="dxa"/>
            <w:shd w:val="clear" w:color="auto" w:fill="auto"/>
            <w:noWrap/>
            <w:vAlign w:val="center"/>
            <w:hideMark/>
          </w:tcPr>
          <w:p w14:paraId="53AE006E"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13,47</w:t>
            </w:r>
          </w:p>
        </w:tc>
        <w:tc>
          <w:tcPr>
            <w:tcW w:w="1161" w:type="dxa"/>
            <w:shd w:val="clear" w:color="auto" w:fill="auto"/>
            <w:noWrap/>
            <w:vAlign w:val="center"/>
            <w:hideMark/>
          </w:tcPr>
          <w:p w14:paraId="555367C8" w14:textId="77777777" w:rsidR="00C30199" w:rsidRPr="00302296" w:rsidRDefault="00C30199" w:rsidP="00205778">
            <w:pPr>
              <w:pStyle w:val="cuatexto"/>
              <w:spacing w:line="240" w:lineRule="auto"/>
              <w:jc w:val="right"/>
              <w:rPr>
                <w:sz w:val="18"/>
                <w:szCs w:val="18"/>
                <w:lang w:val="es-ES" w:eastAsia="es-ES"/>
              </w:rPr>
            </w:pPr>
            <w:r w:rsidRPr="00302296">
              <w:rPr>
                <w:sz w:val="18"/>
                <w:szCs w:val="18"/>
                <w:lang w:val="es-ES" w:eastAsia="es-ES"/>
              </w:rPr>
              <w:t>26,67</w:t>
            </w:r>
          </w:p>
        </w:tc>
      </w:tr>
    </w:tbl>
    <w:p w14:paraId="41918997" w14:textId="77777777" w:rsidR="00C30199" w:rsidRPr="00A66D11" w:rsidRDefault="00C30199" w:rsidP="00302296">
      <w:pPr>
        <w:pStyle w:val="texto"/>
        <w:tabs>
          <w:tab w:val="clear" w:pos="2835"/>
          <w:tab w:val="clear" w:pos="3969"/>
          <w:tab w:val="clear" w:pos="5103"/>
          <w:tab w:val="clear" w:pos="6237"/>
          <w:tab w:val="clear" w:pos="7371"/>
        </w:tabs>
        <w:spacing w:before="240"/>
        <w:rPr>
          <w:szCs w:val="26"/>
        </w:rPr>
      </w:pPr>
      <w:r>
        <w:t>Tal y como indicaba esta Cámara</w:t>
      </w:r>
      <w:r w:rsidRPr="00A66D11">
        <w:t xml:space="preserve"> en su informe de “Peaje en la </w:t>
      </w:r>
      <w:r>
        <w:t>sombra” publicado</w:t>
      </w:r>
      <w:r w:rsidRPr="00A66D11">
        <w:t xml:space="preserve"> en diciembre de 2014, </w:t>
      </w:r>
      <w:proofErr w:type="gramStart"/>
      <w:r w:rsidRPr="00A66D11">
        <w:t>en relación al</w:t>
      </w:r>
      <w:proofErr w:type="gramEnd"/>
      <w:r w:rsidRPr="00A66D11">
        <w:t xml:space="preserve"> efecto de los reequilibrios</w:t>
      </w:r>
      <w:r w:rsidR="00F2332C">
        <w:t xml:space="preserve"> en la Primera F</w:t>
      </w:r>
      <w:r>
        <w:t xml:space="preserve">ase del Canal de </w:t>
      </w:r>
      <w:r w:rsidR="00E72391">
        <w:t>Navarra:</w:t>
      </w:r>
      <w:r w:rsidR="009E3198">
        <w:t xml:space="preserve"> </w:t>
      </w:r>
    </w:p>
    <w:p w14:paraId="07584159" w14:textId="77777777" w:rsidR="00C30199" w:rsidRPr="00D761B0" w:rsidRDefault="00C30199" w:rsidP="00E72391">
      <w:pPr>
        <w:pStyle w:val="Cita"/>
        <w:spacing w:before="0" w:after="120"/>
        <w:ind w:left="0" w:right="0"/>
        <w:jc w:val="both"/>
        <w:rPr>
          <w:sz w:val="24"/>
          <w:szCs w:val="24"/>
        </w:rPr>
      </w:pPr>
      <w:r w:rsidRPr="00D761B0">
        <w:rPr>
          <w:sz w:val="24"/>
          <w:szCs w:val="24"/>
        </w:rPr>
        <w:t>“El efecto neto de estos reequilibrios supone un incremento a partir de 2012 del 26,67 por ciento sobre la oferta inicial. Este efecto se refiere a tarifa unitaria.</w:t>
      </w:r>
    </w:p>
    <w:p w14:paraId="5FCF9E7D" w14:textId="77777777" w:rsidR="00C30199" w:rsidRPr="00D761B0" w:rsidRDefault="00C30199" w:rsidP="00E72391">
      <w:pPr>
        <w:pStyle w:val="Cita"/>
        <w:spacing w:before="0" w:after="0"/>
        <w:ind w:left="0" w:right="0"/>
        <w:jc w:val="both"/>
        <w:rPr>
          <w:sz w:val="24"/>
          <w:szCs w:val="24"/>
        </w:rPr>
      </w:pPr>
      <w:r w:rsidRPr="00D761B0">
        <w:rPr>
          <w:sz w:val="24"/>
          <w:szCs w:val="24"/>
        </w:rPr>
        <w:t>Las principales causas que han motivado el incremento de tarifa son la modificación del plan de explotación inicial para ampliar y mejorar el mantenimiento de caminos y drenajes, la reducción de un 5,3 por ciento de la superficie regada neta respecto a la del pliego, el incremento de 8,6 por ciento de la inversión en obra y las modificaciones de plazos respecto a lo establecido en el pliego”</w:t>
      </w:r>
    </w:p>
    <w:p w14:paraId="3B00133A" w14:textId="77777777" w:rsidR="009F4A44" w:rsidRDefault="009F4A44">
      <w:pPr>
        <w:spacing w:after="0"/>
        <w:ind w:firstLine="0"/>
        <w:jc w:val="left"/>
        <w:rPr>
          <w:i/>
          <w:spacing w:val="6"/>
          <w:sz w:val="26"/>
          <w:szCs w:val="26"/>
        </w:rPr>
      </w:pPr>
      <w:r>
        <w:rPr>
          <w:i/>
          <w:szCs w:val="26"/>
        </w:rPr>
        <w:br w:type="page"/>
      </w:r>
    </w:p>
    <w:p w14:paraId="0CEE6E8A" w14:textId="77777777" w:rsidR="00C30199" w:rsidRPr="00D97A05" w:rsidRDefault="00C30199" w:rsidP="00D97A05">
      <w:pPr>
        <w:pStyle w:val="texto"/>
        <w:numPr>
          <w:ilvl w:val="0"/>
          <w:numId w:val="28"/>
        </w:numPr>
        <w:tabs>
          <w:tab w:val="clear" w:pos="2835"/>
          <w:tab w:val="clear" w:pos="3969"/>
          <w:tab w:val="clear" w:pos="5103"/>
          <w:tab w:val="clear" w:pos="6237"/>
          <w:tab w:val="clear" w:pos="7371"/>
        </w:tabs>
        <w:ind w:left="0" w:firstLine="284"/>
        <w:rPr>
          <w:i/>
          <w:szCs w:val="26"/>
        </w:rPr>
      </w:pPr>
      <w:r w:rsidRPr="00D97A05">
        <w:rPr>
          <w:i/>
          <w:szCs w:val="26"/>
        </w:rPr>
        <w:t xml:space="preserve">Reequilibrios ampliación 1ª fase: </w:t>
      </w:r>
    </w:p>
    <w:p w14:paraId="32136F23" w14:textId="77777777" w:rsidR="00C30199" w:rsidRPr="00002498" w:rsidRDefault="00C30199" w:rsidP="00C30199">
      <w:pPr>
        <w:pStyle w:val="texto"/>
        <w:tabs>
          <w:tab w:val="clear" w:pos="2835"/>
          <w:tab w:val="clear" w:pos="3969"/>
          <w:tab w:val="clear" w:pos="5103"/>
          <w:tab w:val="clear" w:pos="6237"/>
          <w:tab w:val="clear" w:pos="7371"/>
        </w:tabs>
        <w:rPr>
          <w:i/>
          <w:szCs w:val="26"/>
        </w:rPr>
      </w:pPr>
      <w:r>
        <w:rPr>
          <w:szCs w:val="26"/>
        </w:rPr>
        <w:t>El último aprobado</w:t>
      </w:r>
      <w:r w:rsidR="004D5198">
        <w:rPr>
          <w:szCs w:val="26"/>
        </w:rPr>
        <w:t xml:space="preserve">, </w:t>
      </w:r>
      <w:r w:rsidR="00021A82" w:rsidRPr="00021A82">
        <w:rPr>
          <w:szCs w:val="26"/>
        </w:rPr>
        <w:t>en el periodo objeto de fiscalización,</w:t>
      </w:r>
      <w:r w:rsidRPr="00021A82">
        <w:rPr>
          <w:szCs w:val="26"/>
        </w:rPr>
        <w:t xml:space="preserve"> </w:t>
      </w:r>
      <w:r>
        <w:rPr>
          <w:szCs w:val="26"/>
        </w:rPr>
        <w:t>con efecto en 2</w:t>
      </w:r>
      <w:r w:rsidR="009E3198">
        <w:rPr>
          <w:szCs w:val="26"/>
        </w:rPr>
        <w:t xml:space="preserve">021 fue </w:t>
      </w:r>
      <w:r w:rsidR="009E3198" w:rsidRPr="00D761B0">
        <w:rPr>
          <w:szCs w:val="26"/>
        </w:rPr>
        <w:t xml:space="preserve">el quinto de fecha 18 de mayo de </w:t>
      </w:r>
      <w:r w:rsidRPr="00D761B0">
        <w:rPr>
          <w:szCs w:val="26"/>
        </w:rPr>
        <w:t>2021</w:t>
      </w:r>
      <w:r>
        <w:rPr>
          <w:szCs w:val="26"/>
        </w:rPr>
        <w:t xml:space="preserve">. </w:t>
      </w:r>
      <w:r w:rsidRPr="00C112D0">
        <w:rPr>
          <w:szCs w:val="26"/>
        </w:rPr>
        <w:t>El efecto neto de estos reequilibri</w:t>
      </w:r>
      <w:r>
        <w:rPr>
          <w:szCs w:val="26"/>
        </w:rPr>
        <w:t>os supone un incremento del 49,4</w:t>
      </w:r>
      <w:r w:rsidRPr="00C112D0">
        <w:rPr>
          <w:szCs w:val="26"/>
        </w:rPr>
        <w:t xml:space="preserve">1 por ciento sobre </w:t>
      </w:r>
      <w:r w:rsidR="0009019E">
        <w:rPr>
          <w:szCs w:val="26"/>
        </w:rPr>
        <w:t>las tarifas ofertadas.</w:t>
      </w:r>
      <w:r w:rsidR="009E3198">
        <w:rPr>
          <w:szCs w:val="26"/>
        </w:rPr>
        <w:t xml:space="preserve"> </w:t>
      </w:r>
    </w:p>
    <w:tbl>
      <w:tblPr>
        <w:tblW w:w="9072"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3119"/>
        <w:gridCol w:w="775"/>
        <w:gridCol w:w="784"/>
        <w:gridCol w:w="775"/>
        <w:gridCol w:w="926"/>
        <w:gridCol w:w="775"/>
        <w:gridCol w:w="780"/>
        <w:gridCol w:w="1138"/>
      </w:tblGrid>
      <w:tr w:rsidR="00C30199" w:rsidRPr="00E72391" w14:paraId="6BA12E8B" w14:textId="77777777" w:rsidTr="00F1415E">
        <w:trPr>
          <w:trHeight w:val="255"/>
        </w:trPr>
        <w:tc>
          <w:tcPr>
            <w:tcW w:w="3119" w:type="dxa"/>
            <w:tcBorders>
              <w:top w:val="single" w:sz="4" w:space="0" w:color="auto"/>
              <w:bottom w:val="single" w:sz="4" w:space="0" w:color="auto"/>
            </w:tcBorders>
            <w:shd w:val="clear" w:color="auto" w:fill="B8CCE4" w:themeFill="accent1" w:themeFillTint="66"/>
            <w:noWrap/>
            <w:vAlign w:val="center"/>
            <w:hideMark/>
          </w:tcPr>
          <w:p w14:paraId="2E9B64BD" w14:textId="77777777" w:rsidR="005C0319" w:rsidRDefault="00C30199" w:rsidP="00205778">
            <w:pPr>
              <w:pStyle w:val="cuadroCabe"/>
              <w:jc w:val="left"/>
              <w:rPr>
                <w:sz w:val="16"/>
                <w:szCs w:val="16"/>
                <w:lang w:val="es-ES" w:eastAsia="es-ES"/>
              </w:rPr>
            </w:pPr>
            <w:r w:rsidRPr="00E72391">
              <w:rPr>
                <w:sz w:val="16"/>
                <w:szCs w:val="16"/>
                <w:lang w:val="es-ES" w:eastAsia="es-ES"/>
              </w:rPr>
              <w:t>Reequilibrios ampliación</w:t>
            </w:r>
          </w:p>
          <w:p w14:paraId="1A746407" w14:textId="77777777" w:rsidR="00C30199" w:rsidRPr="00E72391" w:rsidRDefault="00C30199" w:rsidP="00205778">
            <w:pPr>
              <w:pStyle w:val="cuadroCabe"/>
              <w:jc w:val="left"/>
              <w:rPr>
                <w:sz w:val="16"/>
                <w:szCs w:val="16"/>
                <w:lang w:val="es-ES" w:eastAsia="es-ES"/>
              </w:rPr>
            </w:pPr>
            <w:r w:rsidRPr="00E72391">
              <w:rPr>
                <w:sz w:val="16"/>
                <w:szCs w:val="16"/>
                <w:lang w:val="es-ES" w:eastAsia="es-ES"/>
              </w:rPr>
              <w:t>1ª fase Canal</w:t>
            </w:r>
          </w:p>
        </w:tc>
        <w:tc>
          <w:tcPr>
            <w:tcW w:w="775" w:type="dxa"/>
            <w:tcBorders>
              <w:top w:val="single" w:sz="4" w:space="0" w:color="auto"/>
              <w:bottom w:val="single" w:sz="4" w:space="0" w:color="auto"/>
            </w:tcBorders>
            <w:shd w:val="clear" w:color="auto" w:fill="B8CCE4" w:themeFill="accent1" w:themeFillTint="66"/>
            <w:noWrap/>
            <w:vAlign w:val="center"/>
            <w:hideMark/>
          </w:tcPr>
          <w:p w14:paraId="7E2E3150" w14:textId="77777777" w:rsidR="00C30199" w:rsidRPr="00E72391" w:rsidRDefault="00C30199" w:rsidP="007B2B72">
            <w:pPr>
              <w:pStyle w:val="cuadroCabe"/>
              <w:jc w:val="right"/>
              <w:rPr>
                <w:sz w:val="16"/>
                <w:szCs w:val="16"/>
                <w:lang w:val="es-ES" w:eastAsia="es-ES"/>
              </w:rPr>
            </w:pPr>
            <w:r w:rsidRPr="00E72391">
              <w:rPr>
                <w:sz w:val="16"/>
                <w:szCs w:val="16"/>
                <w:lang w:val="es-ES" w:eastAsia="es-ES"/>
              </w:rPr>
              <w:t>Oferta</w:t>
            </w:r>
          </w:p>
        </w:tc>
        <w:tc>
          <w:tcPr>
            <w:tcW w:w="784" w:type="dxa"/>
            <w:tcBorders>
              <w:top w:val="single" w:sz="4" w:space="0" w:color="auto"/>
              <w:bottom w:val="single" w:sz="4" w:space="0" w:color="auto"/>
            </w:tcBorders>
            <w:shd w:val="clear" w:color="auto" w:fill="B8CCE4" w:themeFill="accent1" w:themeFillTint="66"/>
            <w:noWrap/>
            <w:vAlign w:val="center"/>
            <w:hideMark/>
          </w:tcPr>
          <w:p w14:paraId="4D26C2EC" w14:textId="77777777" w:rsidR="00C30199" w:rsidRPr="00E72391" w:rsidRDefault="00C30199" w:rsidP="007B2B72">
            <w:pPr>
              <w:pStyle w:val="cuadroCabe"/>
              <w:jc w:val="right"/>
              <w:rPr>
                <w:sz w:val="16"/>
                <w:szCs w:val="16"/>
                <w:lang w:val="es-ES" w:eastAsia="es-ES"/>
              </w:rPr>
            </w:pPr>
            <w:r w:rsidRPr="00E72391">
              <w:rPr>
                <w:sz w:val="16"/>
                <w:szCs w:val="16"/>
                <w:lang w:val="es-ES" w:eastAsia="es-ES"/>
              </w:rPr>
              <w:t xml:space="preserve">R 1 </w:t>
            </w:r>
          </w:p>
        </w:tc>
        <w:tc>
          <w:tcPr>
            <w:tcW w:w="775" w:type="dxa"/>
            <w:tcBorders>
              <w:top w:val="single" w:sz="4" w:space="0" w:color="auto"/>
              <w:bottom w:val="single" w:sz="4" w:space="0" w:color="auto"/>
            </w:tcBorders>
            <w:shd w:val="clear" w:color="auto" w:fill="B8CCE4" w:themeFill="accent1" w:themeFillTint="66"/>
            <w:noWrap/>
            <w:vAlign w:val="center"/>
            <w:hideMark/>
          </w:tcPr>
          <w:p w14:paraId="6310B11F" w14:textId="77777777" w:rsidR="00C30199" w:rsidRPr="00E72391" w:rsidRDefault="00C30199" w:rsidP="007B2B72">
            <w:pPr>
              <w:pStyle w:val="cuadroCabe"/>
              <w:jc w:val="right"/>
              <w:rPr>
                <w:sz w:val="16"/>
                <w:szCs w:val="16"/>
                <w:lang w:val="es-ES" w:eastAsia="es-ES"/>
              </w:rPr>
            </w:pPr>
            <w:r w:rsidRPr="00E72391">
              <w:rPr>
                <w:sz w:val="16"/>
                <w:szCs w:val="16"/>
                <w:lang w:val="es-ES" w:eastAsia="es-ES"/>
              </w:rPr>
              <w:t xml:space="preserve">R 2 </w:t>
            </w:r>
          </w:p>
        </w:tc>
        <w:tc>
          <w:tcPr>
            <w:tcW w:w="926" w:type="dxa"/>
            <w:tcBorders>
              <w:top w:val="single" w:sz="4" w:space="0" w:color="auto"/>
              <w:bottom w:val="single" w:sz="4" w:space="0" w:color="auto"/>
            </w:tcBorders>
            <w:shd w:val="clear" w:color="auto" w:fill="B8CCE4" w:themeFill="accent1" w:themeFillTint="66"/>
            <w:noWrap/>
            <w:vAlign w:val="center"/>
            <w:hideMark/>
          </w:tcPr>
          <w:p w14:paraId="1267E6DA" w14:textId="77777777" w:rsidR="00C30199" w:rsidRPr="00E72391" w:rsidRDefault="00C30199" w:rsidP="007B2B72">
            <w:pPr>
              <w:pStyle w:val="cuadroCabe"/>
              <w:jc w:val="right"/>
              <w:rPr>
                <w:sz w:val="16"/>
                <w:szCs w:val="16"/>
                <w:lang w:val="es-ES" w:eastAsia="es-ES"/>
              </w:rPr>
            </w:pPr>
            <w:r w:rsidRPr="00E72391">
              <w:rPr>
                <w:sz w:val="16"/>
                <w:szCs w:val="16"/>
                <w:lang w:val="es-ES" w:eastAsia="es-ES"/>
              </w:rPr>
              <w:t xml:space="preserve">R 3 </w:t>
            </w:r>
          </w:p>
        </w:tc>
        <w:tc>
          <w:tcPr>
            <w:tcW w:w="775" w:type="dxa"/>
            <w:tcBorders>
              <w:top w:val="single" w:sz="4" w:space="0" w:color="auto"/>
              <w:bottom w:val="single" w:sz="4" w:space="0" w:color="auto"/>
            </w:tcBorders>
            <w:shd w:val="clear" w:color="auto" w:fill="B8CCE4" w:themeFill="accent1" w:themeFillTint="66"/>
            <w:noWrap/>
            <w:vAlign w:val="center"/>
            <w:hideMark/>
          </w:tcPr>
          <w:p w14:paraId="371004F3" w14:textId="77777777" w:rsidR="00C30199" w:rsidRPr="00E72391" w:rsidRDefault="00C30199" w:rsidP="007B2B72">
            <w:pPr>
              <w:pStyle w:val="cuadroCabe"/>
              <w:jc w:val="right"/>
              <w:rPr>
                <w:sz w:val="16"/>
                <w:szCs w:val="16"/>
                <w:lang w:val="es-ES" w:eastAsia="es-ES"/>
              </w:rPr>
            </w:pPr>
            <w:r w:rsidRPr="00E72391">
              <w:rPr>
                <w:sz w:val="16"/>
                <w:szCs w:val="16"/>
                <w:lang w:val="es-ES" w:eastAsia="es-ES"/>
              </w:rPr>
              <w:t xml:space="preserve">R 4 </w:t>
            </w:r>
          </w:p>
        </w:tc>
        <w:tc>
          <w:tcPr>
            <w:tcW w:w="780" w:type="dxa"/>
            <w:tcBorders>
              <w:top w:val="single" w:sz="4" w:space="0" w:color="auto"/>
              <w:bottom w:val="single" w:sz="4" w:space="0" w:color="auto"/>
            </w:tcBorders>
            <w:shd w:val="clear" w:color="auto" w:fill="B8CCE4" w:themeFill="accent1" w:themeFillTint="66"/>
            <w:noWrap/>
            <w:vAlign w:val="center"/>
            <w:hideMark/>
          </w:tcPr>
          <w:p w14:paraId="7C9AAA40" w14:textId="77777777" w:rsidR="00C30199" w:rsidRPr="00E72391" w:rsidRDefault="00C30199" w:rsidP="007B2B72">
            <w:pPr>
              <w:pStyle w:val="cuadroCabe"/>
              <w:jc w:val="right"/>
              <w:rPr>
                <w:sz w:val="16"/>
                <w:szCs w:val="16"/>
                <w:lang w:val="es-ES" w:eastAsia="es-ES"/>
              </w:rPr>
            </w:pPr>
            <w:r w:rsidRPr="00E72391">
              <w:rPr>
                <w:sz w:val="16"/>
                <w:szCs w:val="16"/>
                <w:lang w:val="es-ES" w:eastAsia="es-ES"/>
              </w:rPr>
              <w:t>R 5</w:t>
            </w:r>
          </w:p>
        </w:tc>
        <w:tc>
          <w:tcPr>
            <w:tcW w:w="1138" w:type="dxa"/>
            <w:tcBorders>
              <w:top w:val="single" w:sz="4" w:space="0" w:color="auto"/>
              <w:bottom w:val="single" w:sz="4" w:space="0" w:color="auto"/>
            </w:tcBorders>
            <w:shd w:val="clear" w:color="auto" w:fill="B8CCE4" w:themeFill="accent1" w:themeFillTint="66"/>
            <w:vAlign w:val="center"/>
            <w:hideMark/>
          </w:tcPr>
          <w:p w14:paraId="5482607F" w14:textId="77777777" w:rsidR="007B2B72" w:rsidRPr="002F5288" w:rsidRDefault="0009019E" w:rsidP="007B2B72">
            <w:pPr>
              <w:pStyle w:val="cuadroCabe"/>
              <w:jc w:val="right"/>
              <w:rPr>
                <w:sz w:val="16"/>
                <w:szCs w:val="16"/>
                <w:lang w:val="es-ES" w:eastAsia="es-ES"/>
              </w:rPr>
            </w:pPr>
            <w:r w:rsidRPr="002F5288">
              <w:rPr>
                <w:sz w:val="16"/>
                <w:szCs w:val="16"/>
                <w:lang w:val="es-ES" w:eastAsia="es-ES"/>
              </w:rPr>
              <w:t xml:space="preserve">Acumulado </w:t>
            </w:r>
          </w:p>
          <w:p w14:paraId="28BCBCBC" w14:textId="77777777" w:rsidR="00C30199" w:rsidRPr="00E72391" w:rsidRDefault="00C30199" w:rsidP="007B2B72">
            <w:pPr>
              <w:pStyle w:val="cuadroCabe"/>
              <w:jc w:val="right"/>
              <w:rPr>
                <w:sz w:val="16"/>
                <w:szCs w:val="16"/>
                <w:lang w:val="es-ES" w:eastAsia="es-ES"/>
              </w:rPr>
            </w:pPr>
            <w:r w:rsidRPr="002F5288">
              <w:rPr>
                <w:sz w:val="16"/>
                <w:szCs w:val="16"/>
                <w:lang w:val="es-ES" w:eastAsia="es-ES"/>
              </w:rPr>
              <w:t>reequilibrios</w:t>
            </w:r>
          </w:p>
        </w:tc>
      </w:tr>
      <w:tr w:rsidR="00C30199" w:rsidRPr="00FC52D5" w14:paraId="33AA3E9C" w14:textId="77777777" w:rsidTr="00F1415E">
        <w:trPr>
          <w:trHeight w:val="255"/>
        </w:trPr>
        <w:tc>
          <w:tcPr>
            <w:tcW w:w="3119" w:type="dxa"/>
            <w:tcBorders>
              <w:top w:val="single" w:sz="4" w:space="0" w:color="auto"/>
            </w:tcBorders>
            <w:shd w:val="clear" w:color="auto" w:fill="auto"/>
            <w:noWrap/>
            <w:vAlign w:val="center"/>
            <w:hideMark/>
          </w:tcPr>
          <w:p w14:paraId="218377D2" w14:textId="77777777" w:rsidR="00C30199" w:rsidRPr="00FC52D5" w:rsidRDefault="005038AD" w:rsidP="00966B96">
            <w:pPr>
              <w:pStyle w:val="cuatexto"/>
              <w:jc w:val="left"/>
              <w:rPr>
                <w:lang w:val="es-ES" w:eastAsia="es-ES"/>
              </w:rPr>
            </w:pPr>
            <w:r>
              <w:rPr>
                <w:lang w:val="es-ES" w:eastAsia="es-ES"/>
              </w:rPr>
              <w:t xml:space="preserve">Canon de demanda </w:t>
            </w:r>
            <w:r w:rsidRPr="00A84A4A">
              <w:rPr>
                <w:lang w:val="es-ES" w:eastAsia="es-ES"/>
              </w:rPr>
              <w:t>(</w:t>
            </w:r>
            <w:r w:rsidR="00966B96">
              <w:rPr>
                <w:lang w:val="es-ES" w:eastAsia="es-ES"/>
              </w:rPr>
              <w:t>€</w:t>
            </w:r>
            <w:r w:rsidRPr="00A84A4A">
              <w:rPr>
                <w:lang w:val="es-ES" w:eastAsia="es-ES"/>
              </w:rPr>
              <w:t xml:space="preserve"> </w:t>
            </w:r>
            <w:r w:rsidR="00C30199" w:rsidRPr="00A84A4A">
              <w:rPr>
                <w:lang w:val="es-ES" w:eastAsia="es-ES"/>
              </w:rPr>
              <w:t>2014)</w:t>
            </w:r>
          </w:p>
        </w:tc>
        <w:tc>
          <w:tcPr>
            <w:tcW w:w="775" w:type="dxa"/>
            <w:tcBorders>
              <w:top w:val="single" w:sz="4" w:space="0" w:color="auto"/>
            </w:tcBorders>
            <w:shd w:val="clear" w:color="auto" w:fill="auto"/>
            <w:noWrap/>
            <w:vAlign w:val="center"/>
            <w:hideMark/>
          </w:tcPr>
          <w:p w14:paraId="4B98675D" w14:textId="77777777" w:rsidR="00C30199" w:rsidRPr="00FC52D5" w:rsidRDefault="00C30199" w:rsidP="007B2B72">
            <w:pPr>
              <w:pStyle w:val="cuatexto"/>
              <w:jc w:val="right"/>
              <w:rPr>
                <w:lang w:val="es-ES" w:eastAsia="es-ES"/>
              </w:rPr>
            </w:pPr>
            <w:r w:rsidRPr="00FC52D5">
              <w:rPr>
                <w:lang w:val="es-ES" w:eastAsia="es-ES"/>
              </w:rPr>
              <w:t>0,02197</w:t>
            </w:r>
          </w:p>
        </w:tc>
        <w:tc>
          <w:tcPr>
            <w:tcW w:w="784" w:type="dxa"/>
            <w:tcBorders>
              <w:top w:val="single" w:sz="4" w:space="0" w:color="auto"/>
            </w:tcBorders>
            <w:shd w:val="clear" w:color="auto" w:fill="auto"/>
            <w:noWrap/>
            <w:vAlign w:val="center"/>
            <w:hideMark/>
          </w:tcPr>
          <w:p w14:paraId="30C23DD7" w14:textId="77777777" w:rsidR="00C30199" w:rsidRPr="00FC52D5" w:rsidRDefault="00C30199" w:rsidP="007B2B72">
            <w:pPr>
              <w:pStyle w:val="cuatexto"/>
              <w:jc w:val="right"/>
              <w:rPr>
                <w:lang w:val="es-ES" w:eastAsia="es-ES"/>
              </w:rPr>
            </w:pPr>
            <w:r w:rsidRPr="00FC52D5">
              <w:rPr>
                <w:lang w:val="es-ES" w:eastAsia="es-ES"/>
              </w:rPr>
              <w:t>0,02268</w:t>
            </w:r>
          </w:p>
        </w:tc>
        <w:tc>
          <w:tcPr>
            <w:tcW w:w="775" w:type="dxa"/>
            <w:tcBorders>
              <w:top w:val="single" w:sz="4" w:space="0" w:color="auto"/>
            </w:tcBorders>
            <w:shd w:val="clear" w:color="auto" w:fill="auto"/>
            <w:noWrap/>
            <w:vAlign w:val="center"/>
            <w:hideMark/>
          </w:tcPr>
          <w:p w14:paraId="26CB3FE4" w14:textId="77777777" w:rsidR="00C30199" w:rsidRPr="00FC52D5" w:rsidRDefault="00C30199" w:rsidP="007B2B72">
            <w:pPr>
              <w:pStyle w:val="cuatexto"/>
              <w:jc w:val="right"/>
              <w:rPr>
                <w:lang w:val="es-ES" w:eastAsia="es-ES"/>
              </w:rPr>
            </w:pPr>
            <w:r w:rsidRPr="00FC52D5">
              <w:rPr>
                <w:lang w:val="es-ES" w:eastAsia="es-ES"/>
              </w:rPr>
              <w:t>0,02528</w:t>
            </w:r>
          </w:p>
        </w:tc>
        <w:tc>
          <w:tcPr>
            <w:tcW w:w="926" w:type="dxa"/>
            <w:tcBorders>
              <w:top w:val="single" w:sz="4" w:space="0" w:color="auto"/>
            </w:tcBorders>
            <w:shd w:val="clear" w:color="auto" w:fill="auto"/>
            <w:noWrap/>
            <w:vAlign w:val="center"/>
            <w:hideMark/>
          </w:tcPr>
          <w:p w14:paraId="5E5EDF0D" w14:textId="77777777" w:rsidR="00C30199" w:rsidRPr="00FC52D5" w:rsidRDefault="00C30199" w:rsidP="007B2B72">
            <w:pPr>
              <w:pStyle w:val="cuatexto"/>
              <w:jc w:val="right"/>
              <w:rPr>
                <w:lang w:val="es-ES" w:eastAsia="es-ES"/>
              </w:rPr>
            </w:pPr>
            <w:r w:rsidRPr="00FC52D5">
              <w:rPr>
                <w:lang w:val="es-ES" w:eastAsia="es-ES"/>
              </w:rPr>
              <w:t>0,02656</w:t>
            </w:r>
          </w:p>
        </w:tc>
        <w:tc>
          <w:tcPr>
            <w:tcW w:w="775" w:type="dxa"/>
            <w:tcBorders>
              <w:top w:val="single" w:sz="4" w:space="0" w:color="auto"/>
            </w:tcBorders>
            <w:shd w:val="clear" w:color="auto" w:fill="auto"/>
            <w:noWrap/>
            <w:vAlign w:val="center"/>
            <w:hideMark/>
          </w:tcPr>
          <w:p w14:paraId="789FCBAA" w14:textId="77777777" w:rsidR="00C30199" w:rsidRPr="00FC52D5" w:rsidRDefault="00C30199" w:rsidP="007B2B72">
            <w:pPr>
              <w:pStyle w:val="cuatexto"/>
              <w:jc w:val="right"/>
              <w:rPr>
                <w:lang w:val="es-ES" w:eastAsia="es-ES"/>
              </w:rPr>
            </w:pPr>
            <w:r w:rsidRPr="00FC52D5">
              <w:rPr>
                <w:lang w:val="es-ES" w:eastAsia="es-ES"/>
              </w:rPr>
              <w:t>0,03276</w:t>
            </w:r>
          </w:p>
        </w:tc>
        <w:tc>
          <w:tcPr>
            <w:tcW w:w="780" w:type="dxa"/>
            <w:tcBorders>
              <w:top w:val="single" w:sz="4" w:space="0" w:color="auto"/>
            </w:tcBorders>
            <w:shd w:val="clear" w:color="auto" w:fill="auto"/>
            <w:noWrap/>
            <w:vAlign w:val="center"/>
            <w:hideMark/>
          </w:tcPr>
          <w:p w14:paraId="25551FB6" w14:textId="77777777" w:rsidR="00C30199" w:rsidRPr="00FC52D5" w:rsidRDefault="00C30199" w:rsidP="007B2B72">
            <w:pPr>
              <w:pStyle w:val="cuatexto"/>
              <w:jc w:val="right"/>
              <w:rPr>
                <w:lang w:val="es-ES" w:eastAsia="es-ES"/>
              </w:rPr>
            </w:pPr>
            <w:r w:rsidRPr="00FC52D5">
              <w:rPr>
                <w:lang w:val="es-ES" w:eastAsia="es-ES"/>
              </w:rPr>
              <w:t>0,03282</w:t>
            </w:r>
          </w:p>
        </w:tc>
        <w:tc>
          <w:tcPr>
            <w:tcW w:w="1138" w:type="dxa"/>
            <w:tcBorders>
              <w:top w:val="single" w:sz="4" w:space="0" w:color="auto"/>
            </w:tcBorders>
            <w:shd w:val="clear" w:color="auto" w:fill="auto"/>
            <w:noWrap/>
            <w:vAlign w:val="center"/>
            <w:hideMark/>
          </w:tcPr>
          <w:p w14:paraId="4DAE52C5" w14:textId="77777777" w:rsidR="00C30199" w:rsidRPr="00FC52D5" w:rsidRDefault="00C30199" w:rsidP="007B2B72">
            <w:pPr>
              <w:pStyle w:val="cuatexto"/>
              <w:jc w:val="right"/>
              <w:rPr>
                <w:lang w:val="es-ES" w:eastAsia="es-ES"/>
              </w:rPr>
            </w:pPr>
            <w:r w:rsidRPr="00FC52D5">
              <w:rPr>
                <w:lang w:val="es-ES" w:eastAsia="es-ES"/>
              </w:rPr>
              <w:t>0,03282</w:t>
            </w:r>
          </w:p>
        </w:tc>
      </w:tr>
      <w:tr w:rsidR="00C30199" w:rsidRPr="00FC52D5" w14:paraId="1F81E59C" w14:textId="77777777" w:rsidTr="00966B96">
        <w:trPr>
          <w:trHeight w:val="255"/>
        </w:trPr>
        <w:tc>
          <w:tcPr>
            <w:tcW w:w="3119" w:type="dxa"/>
            <w:shd w:val="clear" w:color="auto" w:fill="auto"/>
            <w:noWrap/>
            <w:vAlign w:val="center"/>
            <w:hideMark/>
          </w:tcPr>
          <w:p w14:paraId="2530C7DB" w14:textId="77777777" w:rsidR="005C0319" w:rsidRDefault="00C30199" w:rsidP="00205778">
            <w:pPr>
              <w:pStyle w:val="cuatexto"/>
              <w:jc w:val="left"/>
              <w:rPr>
                <w:lang w:val="es-ES" w:eastAsia="es-ES"/>
              </w:rPr>
            </w:pPr>
            <w:r w:rsidRPr="00FC52D5">
              <w:rPr>
                <w:lang w:val="es-ES" w:eastAsia="es-ES"/>
              </w:rPr>
              <w:t xml:space="preserve">Fecha efectos incrementos por </w:t>
            </w:r>
          </w:p>
          <w:p w14:paraId="5B6FE696" w14:textId="77777777" w:rsidR="00C30199" w:rsidRPr="00FC52D5" w:rsidRDefault="00C30199" w:rsidP="00205778">
            <w:pPr>
              <w:pStyle w:val="cuatexto"/>
              <w:jc w:val="left"/>
              <w:rPr>
                <w:lang w:val="es-ES" w:eastAsia="es-ES"/>
              </w:rPr>
            </w:pPr>
            <w:r w:rsidRPr="00FC52D5">
              <w:rPr>
                <w:lang w:val="es-ES" w:eastAsia="es-ES"/>
              </w:rPr>
              <w:t>reequilibrios</w:t>
            </w:r>
          </w:p>
        </w:tc>
        <w:tc>
          <w:tcPr>
            <w:tcW w:w="1559" w:type="dxa"/>
            <w:gridSpan w:val="2"/>
            <w:shd w:val="clear" w:color="auto" w:fill="auto"/>
            <w:noWrap/>
            <w:vAlign w:val="center"/>
            <w:hideMark/>
          </w:tcPr>
          <w:p w14:paraId="6EEDF403" w14:textId="77777777" w:rsidR="00C30199" w:rsidRPr="00FC52D5" w:rsidRDefault="00C30199" w:rsidP="007B2B72">
            <w:pPr>
              <w:pStyle w:val="cuatexto"/>
              <w:jc w:val="right"/>
              <w:rPr>
                <w:lang w:val="es-ES" w:eastAsia="es-ES"/>
              </w:rPr>
            </w:pPr>
            <w:r w:rsidRPr="00FC52D5">
              <w:rPr>
                <w:lang w:val="es-ES" w:eastAsia="es-ES"/>
              </w:rPr>
              <w:t>2.017</w:t>
            </w:r>
          </w:p>
        </w:tc>
        <w:tc>
          <w:tcPr>
            <w:tcW w:w="775" w:type="dxa"/>
            <w:shd w:val="clear" w:color="auto" w:fill="auto"/>
            <w:noWrap/>
            <w:vAlign w:val="center"/>
            <w:hideMark/>
          </w:tcPr>
          <w:p w14:paraId="39B70A08" w14:textId="77777777" w:rsidR="00C30199" w:rsidRPr="00FC52D5" w:rsidRDefault="00C30199" w:rsidP="007B2B72">
            <w:pPr>
              <w:pStyle w:val="cuatexto"/>
              <w:jc w:val="right"/>
              <w:rPr>
                <w:lang w:val="es-ES" w:eastAsia="es-ES"/>
              </w:rPr>
            </w:pPr>
            <w:r w:rsidRPr="00FC52D5">
              <w:rPr>
                <w:lang w:val="es-ES" w:eastAsia="es-ES"/>
              </w:rPr>
              <w:t>2.019</w:t>
            </w:r>
          </w:p>
        </w:tc>
        <w:tc>
          <w:tcPr>
            <w:tcW w:w="926" w:type="dxa"/>
            <w:shd w:val="clear" w:color="auto" w:fill="auto"/>
            <w:noWrap/>
            <w:vAlign w:val="center"/>
            <w:hideMark/>
          </w:tcPr>
          <w:p w14:paraId="3E08A0F5" w14:textId="77777777" w:rsidR="00C30199" w:rsidRPr="00FC52D5" w:rsidRDefault="00C30199" w:rsidP="007B2B72">
            <w:pPr>
              <w:pStyle w:val="cuatexto"/>
              <w:jc w:val="right"/>
              <w:rPr>
                <w:lang w:val="es-ES" w:eastAsia="es-ES"/>
              </w:rPr>
            </w:pPr>
            <w:r w:rsidRPr="00FC52D5">
              <w:rPr>
                <w:lang w:val="es-ES" w:eastAsia="es-ES"/>
              </w:rPr>
              <w:t>2.020</w:t>
            </w:r>
          </w:p>
        </w:tc>
        <w:tc>
          <w:tcPr>
            <w:tcW w:w="775" w:type="dxa"/>
            <w:shd w:val="clear" w:color="auto" w:fill="auto"/>
            <w:noWrap/>
            <w:vAlign w:val="center"/>
            <w:hideMark/>
          </w:tcPr>
          <w:p w14:paraId="6C13BEDA" w14:textId="77777777" w:rsidR="00C30199" w:rsidRPr="00FC52D5" w:rsidRDefault="00C30199" w:rsidP="007B2B72">
            <w:pPr>
              <w:pStyle w:val="cuatexto"/>
              <w:jc w:val="right"/>
              <w:rPr>
                <w:lang w:val="es-ES" w:eastAsia="es-ES"/>
              </w:rPr>
            </w:pPr>
            <w:r w:rsidRPr="00FC52D5">
              <w:rPr>
                <w:lang w:val="es-ES" w:eastAsia="es-ES"/>
              </w:rPr>
              <w:t>2.021</w:t>
            </w:r>
          </w:p>
        </w:tc>
        <w:tc>
          <w:tcPr>
            <w:tcW w:w="780" w:type="dxa"/>
            <w:shd w:val="clear" w:color="auto" w:fill="auto"/>
            <w:noWrap/>
            <w:vAlign w:val="center"/>
            <w:hideMark/>
          </w:tcPr>
          <w:p w14:paraId="4C8DA7F5" w14:textId="77777777" w:rsidR="00C30199" w:rsidRPr="00FC52D5" w:rsidRDefault="00C30199" w:rsidP="007B2B72">
            <w:pPr>
              <w:pStyle w:val="cuatexto"/>
              <w:jc w:val="right"/>
              <w:rPr>
                <w:lang w:val="es-ES" w:eastAsia="es-ES"/>
              </w:rPr>
            </w:pPr>
            <w:r w:rsidRPr="00FC52D5">
              <w:rPr>
                <w:lang w:val="es-ES" w:eastAsia="es-ES"/>
              </w:rPr>
              <w:t>2.021</w:t>
            </w:r>
          </w:p>
        </w:tc>
        <w:tc>
          <w:tcPr>
            <w:tcW w:w="1138" w:type="dxa"/>
            <w:shd w:val="clear" w:color="auto" w:fill="auto"/>
            <w:noWrap/>
            <w:vAlign w:val="center"/>
            <w:hideMark/>
          </w:tcPr>
          <w:p w14:paraId="71713818" w14:textId="77777777" w:rsidR="00C30199" w:rsidRPr="00FC52D5" w:rsidRDefault="00C30199" w:rsidP="007B2B72">
            <w:pPr>
              <w:pStyle w:val="cuatexto"/>
              <w:jc w:val="right"/>
              <w:rPr>
                <w:rFonts w:ascii="Calibri" w:hAnsi="Calibri"/>
                <w:sz w:val="22"/>
                <w:szCs w:val="22"/>
                <w:lang w:val="es-ES" w:eastAsia="es-ES"/>
              </w:rPr>
            </w:pPr>
          </w:p>
        </w:tc>
      </w:tr>
      <w:tr w:rsidR="00C30199" w:rsidRPr="00FC52D5" w14:paraId="19B11617" w14:textId="77777777" w:rsidTr="00966B96">
        <w:trPr>
          <w:trHeight w:val="255"/>
        </w:trPr>
        <w:tc>
          <w:tcPr>
            <w:tcW w:w="3119" w:type="dxa"/>
            <w:shd w:val="clear" w:color="auto" w:fill="auto"/>
            <w:noWrap/>
            <w:vAlign w:val="center"/>
            <w:hideMark/>
          </w:tcPr>
          <w:p w14:paraId="555252EF" w14:textId="77777777" w:rsidR="00C30199" w:rsidRPr="00FC52D5" w:rsidRDefault="00FB4A8C" w:rsidP="00966B96">
            <w:pPr>
              <w:pStyle w:val="cuatexto"/>
              <w:jc w:val="left"/>
              <w:rPr>
                <w:lang w:val="es-ES" w:eastAsia="es-ES"/>
              </w:rPr>
            </w:pPr>
            <w:r>
              <w:rPr>
                <w:lang w:val="es-ES" w:eastAsia="es-ES"/>
              </w:rPr>
              <w:t>Incremento</w:t>
            </w:r>
            <w:r w:rsidR="00C30199" w:rsidRPr="00FC52D5">
              <w:rPr>
                <w:lang w:val="es-ES" w:eastAsia="es-ES"/>
              </w:rPr>
              <w:t xml:space="preserve"> </w:t>
            </w:r>
            <w:r w:rsidR="00C30199" w:rsidRPr="00A84A4A">
              <w:rPr>
                <w:lang w:val="es-ES" w:eastAsia="es-ES"/>
              </w:rPr>
              <w:t>tarifas</w:t>
            </w:r>
            <w:r w:rsidR="00B65E58" w:rsidRPr="00A84A4A">
              <w:rPr>
                <w:lang w:val="es-ES" w:eastAsia="es-ES"/>
              </w:rPr>
              <w:t xml:space="preserve"> </w:t>
            </w:r>
            <w:r w:rsidR="00B65E58" w:rsidRPr="00A84A4A">
              <w:rPr>
                <w:sz w:val="18"/>
                <w:szCs w:val="18"/>
                <w:lang w:val="es-ES" w:eastAsia="es-ES"/>
              </w:rPr>
              <w:t>(% s/tarifa inicial)</w:t>
            </w:r>
          </w:p>
        </w:tc>
        <w:tc>
          <w:tcPr>
            <w:tcW w:w="775" w:type="dxa"/>
            <w:shd w:val="clear" w:color="auto" w:fill="auto"/>
            <w:noWrap/>
            <w:vAlign w:val="center"/>
            <w:hideMark/>
          </w:tcPr>
          <w:p w14:paraId="52447CAE" w14:textId="77777777" w:rsidR="00C30199" w:rsidRPr="00FC52D5" w:rsidRDefault="00C30199" w:rsidP="007B2B72">
            <w:pPr>
              <w:pStyle w:val="cuatexto"/>
              <w:jc w:val="right"/>
              <w:rPr>
                <w:lang w:val="es-ES" w:eastAsia="es-ES"/>
              </w:rPr>
            </w:pPr>
          </w:p>
        </w:tc>
        <w:tc>
          <w:tcPr>
            <w:tcW w:w="784" w:type="dxa"/>
            <w:shd w:val="clear" w:color="auto" w:fill="auto"/>
            <w:noWrap/>
            <w:vAlign w:val="center"/>
            <w:hideMark/>
          </w:tcPr>
          <w:p w14:paraId="28700198" w14:textId="77777777" w:rsidR="00C30199" w:rsidRPr="00FC52D5" w:rsidRDefault="00C30199" w:rsidP="007B2B72">
            <w:pPr>
              <w:pStyle w:val="cuatexto"/>
              <w:jc w:val="right"/>
              <w:rPr>
                <w:lang w:val="es-ES" w:eastAsia="es-ES"/>
              </w:rPr>
            </w:pPr>
            <w:r w:rsidRPr="00FC52D5">
              <w:rPr>
                <w:lang w:val="es-ES" w:eastAsia="es-ES"/>
              </w:rPr>
              <w:t>3,24</w:t>
            </w:r>
          </w:p>
        </w:tc>
        <w:tc>
          <w:tcPr>
            <w:tcW w:w="775" w:type="dxa"/>
            <w:shd w:val="clear" w:color="auto" w:fill="auto"/>
            <w:noWrap/>
            <w:vAlign w:val="center"/>
            <w:hideMark/>
          </w:tcPr>
          <w:p w14:paraId="6BF9EAA6" w14:textId="77777777" w:rsidR="00C30199" w:rsidRPr="00FC52D5" w:rsidRDefault="00C30199" w:rsidP="007B2B72">
            <w:pPr>
              <w:pStyle w:val="cuatexto"/>
              <w:jc w:val="right"/>
              <w:rPr>
                <w:lang w:val="es-ES" w:eastAsia="es-ES"/>
              </w:rPr>
            </w:pPr>
            <w:r w:rsidRPr="00FC52D5">
              <w:rPr>
                <w:lang w:val="es-ES" w:eastAsia="es-ES"/>
              </w:rPr>
              <w:t>11,86</w:t>
            </w:r>
          </w:p>
        </w:tc>
        <w:tc>
          <w:tcPr>
            <w:tcW w:w="926" w:type="dxa"/>
            <w:shd w:val="clear" w:color="auto" w:fill="auto"/>
            <w:noWrap/>
            <w:vAlign w:val="center"/>
            <w:hideMark/>
          </w:tcPr>
          <w:p w14:paraId="6DABD89D" w14:textId="77777777" w:rsidR="00C30199" w:rsidRPr="00FC52D5" w:rsidRDefault="00C30199" w:rsidP="007B2B72">
            <w:pPr>
              <w:pStyle w:val="cuatexto"/>
              <w:jc w:val="right"/>
              <w:rPr>
                <w:lang w:val="es-ES" w:eastAsia="es-ES"/>
              </w:rPr>
            </w:pPr>
            <w:r w:rsidRPr="00FC52D5">
              <w:rPr>
                <w:lang w:val="es-ES" w:eastAsia="es-ES"/>
              </w:rPr>
              <w:t>5,81</w:t>
            </w:r>
          </w:p>
        </w:tc>
        <w:tc>
          <w:tcPr>
            <w:tcW w:w="775" w:type="dxa"/>
            <w:shd w:val="clear" w:color="auto" w:fill="auto"/>
            <w:noWrap/>
            <w:vAlign w:val="center"/>
            <w:hideMark/>
          </w:tcPr>
          <w:p w14:paraId="74A1F80B" w14:textId="77777777" w:rsidR="00C30199" w:rsidRPr="00FC52D5" w:rsidRDefault="00C30199" w:rsidP="007B2B72">
            <w:pPr>
              <w:pStyle w:val="cuatexto"/>
              <w:jc w:val="right"/>
              <w:rPr>
                <w:lang w:val="es-ES" w:eastAsia="es-ES"/>
              </w:rPr>
            </w:pPr>
            <w:r w:rsidRPr="00FC52D5">
              <w:rPr>
                <w:lang w:val="es-ES" w:eastAsia="es-ES"/>
              </w:rPr>
              <w:t>28,23</w:t>
            </w:r>
          </w:p>
        </w:tc>
        <w:tc>
          <w:tcPr>
            <w:tcW w:w="780" w:type="dxa"/>
            <w:shd w:val="clear" w:color="auto" w:fill="auto"/>
            <w:noWrap/>
            <w:vAlign w:val="center"/>
            <w:hideMark/>
          </w:tcPr>
          <w:p w14:paraId="04B5A553" w14:textId="77777777" w:rsidR="00C30199" w:rsidRPr="00FC52D5" w:rsidRDefault="00C30199" w:rsidP="007B2B72">
            <w:pPr>
              <w:pStyle w:val="cuatexto"/>
              <w:jc w:val="right"/>
              <w:rPr>
                <w:lang w:val="es-ES" w:eastAsia="es-ES"/>
              </w:rPr>
            </w:pPr>
            <w:r w:rsidRPr="00FC52D5">
              <w:rPr>
                <w:lang w:val="es-ES" w:eastAsia="es-ES"/>
              </w:rPr>
              <w:t>0,27</w:t>
            </w:r>
          </w:p>
        </w:tc>
        <w:tc>
          <w:tcPr>
            <w:tcW w:w="1138" w:type="dxa"/>
            <w:shd w:val="clear" w:color="auto" w:fill="auto"/>
            <w:noWrap/>
            <w:vAlign w:val="center"/>
            <w:hideMark/>
          </w:tcPr>
          <w:p w14:paraId="47942736" w14:textId="77777777" w:rsidR="00C30199" w:rsidRPr="00FC52D5" w:rsidRDefault="00C30199" w:rsidP="007B2B72">
            <w:pPr>
              <w:pStyle w:val="cuatexto"/>
              <w:jc w:val="right"/>
              <w:rPr>
                <w:lang w:val="es-ES" w:eastAsia="es-ES"/>
              </w:rPr>
            </w:pPr>
            <w:r w:rsidRPr="00FC52D5">
              <w:rPr>
                <w:lang w:val="es-ES" w:eastAsia="es-ES"/>
              </w:rPr>
              <w:t>49,41</w:t>
            </w:r>
          </w:p>
        </w:tc>
      </w:tr>
    </w:tbl>
    <w:p w14:paraId="39A9312B" w14:textId="77777777" w:rsidR="00C30199" w:rsidRDefault="0009019E" w:rsidP="007B2B72">
      <w:pPr>
        <w:pStyle w:val="texto"/>
        <w:tabs>
          <w:tab w:val="clear" w:pos="2835"/>
          <w:tab w:val="clear" w:pos="3969"/>
          <w:tab w:val="clear" w:pos="5103"/>
          <w:tab w:val="clear" w:pos="6237"/>
          <w:tab w:val="clear" w:pos="7371"/>
        </w:tabs>
        <w:spacing w:before="240"/>
        <w:rPr>
          <w:szCs w:val="26"/>
        </w:rPr>
      </w:pPr>
      <w:r>
        <w:rPr>
          <w:szCs w:val="26"/>
        </w:rPr>
        <w:t>El incremento de la</w:t>
      </w:r>
      <w:r w:rsidR="00C30199">
        <w:rPr>
          <w:szCs w:val="26"/>
        </w:rPr>
        <w:t xml:space="preserve">s </w:t>
      </w:r>
      <w:r w:rsidR="004D5198">
        <w:rPr>
          <w:szCs w:val="26"/>
        </w:rPr>
        <w:t xml:space="preserve">tarifas </w:t>
      </w:r>
      <w:r w:rsidR="00C30199">
        <w:rPr>
          <w:szCs w:val="26"/>
        </w:rPr>
        <w:t>de CCGI y CVA se realiza en el mismo porcentaje. No</w:t>
      </w:r>
      <w:r w:rsidR="00C30199" w:rsidRPr="00A84A4A">
        <w:rPr>
          <w:szCs w:val="26"/>
        </w:rPr>
        <w:t xml:space="preserve"> </w:t>
      </w:r>
      <w:r w:rsidR="009E3198" w:rsidRPr="00A84A4A">
        <w:rPr>
          <w:szCs w:val="26"/>
        </w:rPr>
        <w:t>incluimos</w:t>
      </w:r>
      <w:r w:rsidR="00C30199" w:rsidRPr="00A84A4A">
        <w:rPr>
          <w:szCs w:val="26"/>
        </w:rPr>
        <w:t xml:space="preserve"> </w:t>
      </w:r>
      <w:r w:rsidR="00C30199">
        <w:rPr>
          <w:szCs w:val="26"/>
        </w:rPr>
        <w:t xml:space="preserve">la evolución de las tarifas CCGI porque son diferentes para cada sector o área de riego.  </w:t>
      </w:r>
    </w:p>
    <w:p w14:paraId="2AD01D08" w14:textId="77777777" w:rsidR="00841D16" w:rsidRDefault="00D761B0" w:rsidP="005C0319">
      <w:pPr>
        <w:pStyle w:val="texto"/>
        <w:tabs>
          <w:tab w:val="clear" w:pos="2835"/>
          <w:tab w:val="clear" w:pos="3969"/>
          <w:tab w:val="clear" w:pos="5103"/>
          <w:tab w:val="clear" w:pos="6237"/>
          <w:tab w:val="clear" w:pos="7371"/>
        </w:tabs>
        <w:rPr>
          <w:szCs w:val="26"/>
        </w:rPr>
      </w:pPr>
      <w:r>
        <w:rPr>
          <w:szCs w:val="26"/>
        </w:rPr>
        <w:t>Con</w:t>
      </w:r>
      <w:r w:rsidR="00841D16">
        <w:rPr>
          <w:szCs w:val="26"/>
        </w:rPr>
        <w:t xml:space="preserve"> efectos en 2022, se</w:t>
      </w:r>
      <w:r w:rsidR="008D45FF">
        <w:rPr>
          <w:szCs w:val="26"/>
        </w:rPr>
        <w:t xml:space="preserve"> aprueban dos reequilibrios, y </w:t>
      </w:r>
      <w:r w:rsidR="008D45FF" w:rsidRPr="005C57BD">
        <w:rPr>
          <w:szCs w:val="26"/>
        </w:rPr>
        <w:t>uno más con efectos en 2023</w:t>
      </w:r>
      <w:r w:rsidR="009E3198" w:rsidRPr="005C57BD">
        <w:rPr>
          <w:szCs w:val="26"/>
        </w:rPr>
        <w:t>. E</w:t>
      </w:r>
      <w:r w:rsidR="00841D16" w:rsidRPr="005C57BD">
        <w:rPr>
          <w:szCs w:val="26"/>
        </w:rPr>
        <w:t xml:space="preserve">l efecto acumulado de los </w:t>
      </w:r>
      <w:r w:rsidR="008D45FF" w:rsidRPr="005C57BD">
        <w:rPr>
          <w:szCs w:val="26"/>
        </w:rPr>
        <w:t>ocho</w:t>
      </w:r>
      <w:r w:rsidR="00841D16" w:rsidRPr="005C57BD">
        <w:rPr>
          <w:szCs w:val="26"/>
        </w:rPr>
        <w:t xml:space="preserve"> reequilibrios supone un </w:t>
      </w:r>
      <w:r w:rsidR="008D45FF" w:rsidRPr="005C57BD">
        <w:rPr>
          <w:szCs w:val="26"/>
        </w:rPr>
        <w:t>49,23</w:t>
      </w:r>
      <w:r w:rsidR="00841D16" w:rsidRPr="005C57BD">
        <w:rPr>
          <w:szCs w:val="26"/>
        </w:rPr>
        <w:t xml:space="preserve"> </w:t>
      </w:r>
      <w:r w:rsidR="00841D16">
        <w:rPr>
          <w:szCs w:val="26"/>
        </w:rPr>
        <w:t>sobre la tarifa ofertada.</w:t>
      </w:r>
    </w:p>
    <w:p w14:paraId="0CF690A7" w14:textId="77777777" w:rsidR="00C30199" w:rsidRDefault="00C30199" w:rsidP="005C0319">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 w:val="num" w:pos="2062"/>
        </w:tabs>
        <w:ind w:left="0" w:firstLine="289"/>
        <w:rPr>
          <w:szCs w:val="26"/>
        </w:rPr>
      </w:pPr>
      <w:r>
        <w:rPr>
          <w:szCs w:val="26"/>
        </w:rPr>
        <w:t xml:space="preserve">Los dos primeros reequilibrios han </w:t>
      </w:r>
      <w:r w:rsidR="0057528F">
        <w:rPr>
          <w:szCs w:val="26"/>
        </w:rPr>
        <w:t>supuesto,</w:t>
      </w:r>
      <w:r>
        <w:rPr>
          <w:szCs w:val="26"/>
        </w:rPr>
        <w:t xml:space="preserve"> además de un incremento en la ta</w:t>
      </w:r>
      <w:r w:rsidR="004D5198">
        <w:rPr>
          <w:szCs w:val="26"/>
        </w:rPr>
        <w:t>rifa</w:t>
      </w:r>
      <w:r>
        <w:rPr>
          <w:szCs w:val="26"/>
        </w:rPr>
        <w:t>, pagos a la sociedad concesionaria de una cantidad compensatoria (pagos up-</w:t>
      </w:r>
      <w:proofErr w:type="spellStart"/>
      <w:r>
        <w:rPr>
          <w:szCs w:val="26"/>
        </w:rPr>
        <w:t>front</w:t>
      </w:r>
      <w:proofErr w:type="spellEnd"/>
      <w:r>
        <w:rPr>
          <w:szCs w:val="26"/>
        </w:rPr>
        <w:t xml:space="preserve">) por un total de 5,3 millones. </w:t>
      </w:r>
    </w:p>
    <w:p w14:paraId="6A181ADA" w14:textId="77777777" w:rsidR="00C30199" w:rsidRPr="002F265D" w:rsidRDefault="00110BE9" w:rsidP="005C0319">
      <w:pPr>
        <w:pStyle w:val="texto"/>
      </w:pPr>
      <w:r>
        <w:t xml:space="preserve">a) </w:t>
      </w:r>
      <w:r w:rsidR="00C30199" w:rsidRPr="002F265D">
        <w:t>La aprobación del primer reequilibrio con fecha 9 de febrero de 2018 supone un incremento del 3,24 por ciento en las retribuciones de CCGI y CVA, más una cantidad compensatoria de 1,3 millones, IVA incluido.</w:t>
      </w:r>
    </w:p>
    <w:p w14:paraId="39CB0246" w14:textId="77777777" w:rsidR="00C30199" w:rsidRDefault="00110BE9" w:rsidP="005C0319">
      <w:pPr>
        <w:pStyle w:val="texto"/>
        <w:rPr>
          <w:szCs w:val="26"/>
        </w:rPr>
      </w:pPr>
      <w:r>
        <w:rPr>
          <w:szCs w:val="26"/>
        </w:rPr>
        <w:t xml:space="preserve">b) </w:t>
      </w:r>
      <w:r w:rsidR="00C30199" w:rsidRPr="002F265D">
        <w:rPr>
          <w:szCs w:val="26"/>
        </w:rPr>
        <w:t xml:space="preserve">La </w:t>
      </w:r>
      <w:r w:rsidR="00C30199" w:rsidRPr="002F265D">
        <w:t>aprobación</w:t>
      </w:r>
      <w:r w:rsidR="00C30199" w:rsidRPr="002F265D">
        <w:rPr>
          <w:szCs w:val="26"/>
        </w:rPr>
        <w:t xml:space="preserve"> del segundo reequilibrio con fecha 31 de diciembre de 2019, que obedece a la aprobación de una modificación contractual de convalidación de todos los sectores en explotación a dicha fecha, se materializa, además del incremento del 11,86 por ciento</w:t>
      </w:r>
      <w:r w:rsidR="004D5198" w:rsidRPr="002F265D">
        <w:rPr>
          <w:szCs w:val="26"/>
        </w:rPr>
        <w:t xml:space="preserve"> adicional de la tarifa</w:t>
      </w:r>
      <w:r w:rsidR="00C30199" w:rsidRPr="002F265D">
        <w:rPr>
          <w:szCs w:val="26"/>
        </w:rPr>
        <w:t xml:space="preserve">, </w:t>
      </w:r>
      <w:r w:rsidR="00D84F41">
        <w:rPr>
          <w:szCs w:val="26"/>
        </w:rPr>
        <w:t>en</w:t>
      </w:r>
      <w:r w:rsidR="00C30199" w:rsidRPr="002F265D">
        <w:rPr>
          <w:szCs w:val="26"/>
        </w:rPr>
        <w:t xml:space="preserve"> un pago a la sociedad concesionaria de una cantidad compensatoria de 4 millones, IVA incluido.</w:t>
      </w:r>
    </w:p>
    <w:p w14:paraId="3C23128B" w14:textId="77777777" w:rsidR="00C30199" w:rsidRPr="00C46821" w:rsidRDefault="00C30199" w:rsidP="005C0319">
      <w:pPr>
        <w:pStyle w:val="texto"/>
        <w:numPr>
          <w:ilvl w:val="0"/>
          <w:numId w:val="9"/>
        </w:numPr>
        <w:tabs>
          <w:tab w:val="clear" w:pos="2835"/>
          <w:tab w:val="clear" w:pos="3969"/>
          <w:tab w:val="clear" w:pos="5103"/>
          <w:tab w:val="clear" w:pos="6237"/>
          <w:tab w:val="clear" w:pos="7371"/>
          <w:tab w:val="num" w:pos="360"/>
          <w:tab w:val="left" w:pos="480"/>
          <w:tab w:val="num" w:pos="600"/>
          <w:tab w:val="num" w:pos="720"/>
          <w:tab w:val="num" w:pos="1320"/>
          <w:tab w:val="num" w:pos="2062"/>
        </w:tabs>
        <w:ind w:left="0" w:firstLine="289"/>
        <w:rPr>
          <w:szCs w:val="26"/>
        </w:rPr>
      </w:pPr>
      <w:r>
        <w:rPr>
          <w:szCs w:val="26"/>
        </w:rPr>
        <w:t>El impacto económico financiero del reequilibrio número cuatro es el más significativo y se debe fundamentalmente a la imposibilidad de cumplir con el calendario de construcción.</w:t>
      </w:r>
      <w:r w:rsidRPr="00817FC4">
        <w:rPr>
          <w:szCs w:val="26"/>
        </w:rPr>
        <w:t xml:space="preserve"> Los retrasos producidos en algunos sectores de riego se traducen en un retraso del final de obra</w:t>
      </w:r>
      <w:r w:rsidR="00D84F41">
        <w:rPr>
          <w:szCs w:val="26"/>
        </w:rPr>
        <w:t>, E</w:t>
      </w:r>
      <w:r w:rsidRPr="00817FC4">
        <w:rPr>
          <w:szCs w:val="26"/>
        </w:rPr>
        <w:t>n consecuencia</w:t>
      </w:r>
      <w:r>
        <w:rPr>
          <w:szCs w:val="26"/>
        </w:rPr>
        <w:t>,</w:t>
      </w:r>
      <w:r w:rsidRPr="00817FC4">
        <w:rPr>
          <w:szCs w:val="26"/>
        </w:rPr>
        <w:t xml:space="preserve"> el periodo de explotación previsto inicialmente se reduce de 26 a 22 años</w:t>
      </w:r>
      <w:r w:rsidR="009513E0">
        <w:rPr>
          <w:szCs w:val="26"/>
        </w:rPr>
        <w:t xml:space="preserve"> y, </w:t>
      </w:r>
      <w:r w:rsidR="00D84F41">
        <w:rPr>
          <w:szCs w:val="26"/>
        </w:rPr>
        <w:t>por tanto</w:t>
      </w:r>
      <w:r w:rsidR="009513E0">
        <w:rPr>
          <w:szCs w:val="26"/>
        </w:rPr>
        <w:t>, se reduce el</w:t>
      </w:r>
      <w:r>
        <w:rPr>
          <w:szCs w:val="26"/>
        </w:rPr>
        <w:t xml:space="preserve"> plazo de la concesión sujeto a retribución</w:t>
      </w:r>
      <w:r w:rsidR="004D0ED7">
        <w:rPr>
          <w:szCs w:val="26"/>
        </w:rPr>
        <w:t xml:space="preserve">. </w:t>
      </w:r>
    </w:p>
    <w:p w14:paraId="288B338B" w14:textId="77777777" w:rsidR="00D014C6" w:rsidRDefault="00D014C6" w:rsidP="005C0319">
      <w:pPr>
        <w:pStyle w:val="texto"/>
        <w:tabs>
          <w:tab w:val="clear" w:pos="2835"/>
          <w:tab w:val="clear" w:pos="3969"/>
          <w:tab w:val="clear" w:pos="5103"/>
          <w:tab w:val="clear" w:pos="6237"/>
          <w:tab w:val="clear" w:pos="7371"/>
        </w:tabs>
        <w:rPr>
          <w:szCs w:val="26"/>
        </w:rPr>
      </w:pPr>
      <w:r w:rsidRPr="00817FC4">
        <w:rPr>
          <w:szCs w:val="26"/>
        </w:rPr>
        <w:t>Las principales causas que han motivado el incremento de tarifa son,</w:t>
      </w:r>
      <w:r>
        <w:rPr>
          <w:szCs w:val="26"/>
        </w:rPr>
        <w:t xml:space="preserve"> entre otr</w:t>
      </w:r>
      <w:r w:rsidR="00D84F41">
        <w:rPr>
          <w:szCs w:val="26"/>
        </w:rPr>
        <w:t>a</w:t>
      </w:r>
      <w:r>
        <w:rPr>
          <w:szCs w:val="26"/>
        </w:rPr>
        <w:t>s, la</w:t>
      </w:r>
      <w:r w:rsidRPr="00817FC4">
        <w:rPr>
          <w:szCs w:val="26"/>
        </w:rPr>
        <w:t xml:space="preserve"> aprobación de</w:t>
      </w:r>
      <w:r>
        <w:rPr>
          <w:szCs w:val="26"/>
        </w:rPr>
        <w:t xml:space="preserve"> nuevos</w:t>
      </w:r>
      <w:r w:rsidRPr="00817FC4">
        <w:rPr>
          <w:szCs w:val="26"/>
        </w:rPr>
        <w:t xml:space="preserve"> proyectos de actuaciones</w:t>
      </w:r>
      <w:r w:rsidR="00D84F41">
        <w:rPr>
          <w:szCs w:val="26"/>
        </w:rPr>
        <w:t xml:space="preserve"> en regadío de algunos sectores;</w:t>
      </w:r>
      <w:r w:rsidRPr="00817FC4">
        <w:rPr>
          <w:szCs w:val="26"/>
        </w:rPr>
        <w:t xml:space="preserve"> la reducción de un 15 por ciento de la superficie regad</w:t>
      </w:r>
      <w:r w:rsidR="00D84F41">
        <w:rPr>
          <w:szCs w:val="26"/>
        </w:rPr>
        <w:t>a neta respecto a la del pliego;</w:t>
      </w:r>
      <w:r w:rsidRPr="00817FC4">
        <w:rPr>
          <w:szCs w:val="26"/>
        </w:rPr>
        <w:t xml:space="preserve"> el incremento de</w:t>
      </w:r>
      <w:r w:rsidR="00F755B2">
        <w:rPr>
          <w:szCs w:val="26"/>
        </w:rPr>
        <w:t>l</w:t>
      </w:r>
      <w:r w:rsidRPr="00817FC4">
        <w:rPr>
          <w:szCs w:val="26"/>
        </w:rPr>
        <w:t xml:space="preserve"> 19 por ciento de la inversión en obra</w:t>
      </w:r>
      <w:r w:rsidR="00FA22E5">
        <w:rPr>
          <w:szCs w:val="26"/>
        </w:rPr>
        <w:t>; y</w:t>
      </w:r>
      <w:r w:rsidRPr="00817FC4">
        <w:rPr>
          <w:szCs w:val="26"/>
        </w:rPr>
        <w:t xml:space="preserve"> las modificaciones del calendario de obras y fechas de inicio de explotación.</w:t>
      </w:r>
    </w:p>
    <w:p w14:paraId="7F451530" w14:textId="77777777" w:rsidR="00C46821" w:rsidRDefault="00C46821" w:rsidP="00D014C6">
      <w:pPr>
        <w:pStyle w:val="texto"/>
        <w:tabs>
          <w:tab w:val="clear" w:pos="2835"/>
          <w:tab w:val="clear" w:pos="3969"/>
          <w:tab w:val="clear" w:pos="5103"/>
          <w:tab w:val="clear" w:pos="6237"/>
          <w:tab w:val="clear" w:pos="7371"/>
        </w:tabs>
        <w:rPr>
          <w:szCs w:val="26"/>
        </w:rPr>
      </w:pPr>
    </w:p>
    <w:p w14:paraId="184ACD66" w14:textId="77777777" w:rsidR="00745A41" w:rsidRDefault="00745A41" w:rsidP="00745A41">
      <w:pPr>
        <w:spacing w:after="100"/>
        <w:ind w:firstLine="284"/>
        <w:rPr>
          <w:i/>
          <w:iCs/>
          <w:spacing w:val="6"/>
          <w:sz w:val="26"/>
          <w:szCs w:val="26"/>
        </w:rPr>
      </w:pPr>
      <w:r>
        <w:rPr>
          <w:spacing w:val="6"/>
          <w:sz w:val="26"/>
          <w:szCs w:val="26"/>
        </w:rPr>
        <w:t xml:space="preserve">Hay que señalar que el modelo financiero de cálculo de estos reequilibrios es muy complejo. Los informes técnicos de reequilibrio los realiza en primera instancia la adjudicataria del contrato de asistencia técnica debido a su complejidad. Posteriormente los reequilibrios son analizados y verificados con medios propios de la Administración. En este aspecto, el Servicio de Gestión Económico-Presupuestaria y Control del Gasto, del Departamento de Cohesión Territorial ha verificado los datos económicos de las propuestas de reequilibrio. </w:t>
      </w:r>
    </w:p>
    <w:p w14:paraId="08B67862" w14:textId="77777777" w:rsidR="00C30199" w:rsidRPr="001522CA" w:rsidRDefault="00C30199" w:rsidP="00205778">
      <w:pPr>
        <w:pStyle w:val="texto"/>
        <w:tabs>
          <w:tab w:val="clear" w:pos="2835"/>
          <w:tab w:val="clear" w:pos="3969"/>
          <w:tab w:val="clear" w:pos="5103"/>
          <w:tab w:val="clear" w:pos="6237"/>
          <w:tab w:val="clear" w:pos="7371"/>
        </w:tabs>
        <w:spacing w:after="240"/>
        <w:rPr>
          <w:szCs w:val="26"/>
        </w:rPr>
      </w:pPr>
      <w:r w:rsidRPr="001522CA">
        <w:rPr>
          <w:szCs w:val="26"/>
        </w:rPr>
        <w:t xml:space="preserve">Los expedientes de reequilibrio </w:t>
      </w:r>
      <w:r w:rsidR="00537838" w:rsidRPr="001522CA">
        <w:rPr>
          <w:szCs w:val="26"/>
        </w:rPr>
        <w:t xml:space="preserve">tercero, cuarto y quinto </w:t>
      </w:r>
      <w:r w:rsidRPr="001522CA">
        <w:rPr>
          <w:szCs w:val="26"/>
        </w:rPr>
        <w:t xml:space="preserve">han sido objeto de </w:t>
      </w:r>
      <w:r w:rsidR="00B60EC9" w:rsidRPr="001522CA">
        <w:rPr>
          <w:szCs w:val="26"/>
        </w:rPr>
        <w:t>reparo</w:t>
      </w:r>
      <w:r w:rsidR="00D82734">
        <w:rPr>
          <w:szCs w:val="26"/>
        </w:rPr>
        <w:t>s</w:t>
      </w:r>
      <w:r w:rsidR="00B60EC9" w:rsidRPr="001522CA">
        <w:rPr>
          <w:szCs w:val="26"/>
        </w:rPr>
        <w:t xml:space="preserve"> </w:t>
      </w:r>
      <w:r w:rsidR="00D85D97" w:rsidRPr="001522CA">
        <w:rPr>
          <w:szCs w:val="26"/>
        </w:rPr>
        <w:t>suspensivo</w:t>
      </w:r>
      <w:r w:rsidR="00D82734">
        <w:rPr>
          <w:szCs w:val="26"/>
        </w:rPr>
        <w:t>s</w:t>
      </w:r>
      <w:r w:rsidR="00D85D97" w:rsidRPr="001522CA">
        <w:rPr>
          <w:szCs w:val="26"/>
        </w:rPr>
        <w:t xml:space="preserve"> </w:t>
      </w:r>
      <w:r w:rsidR="00B60EC9" w:rsidRPr="001522CA">
        <w:rPr>
          <w:szCs w:val="26"/>
        </w:rPr>
        <w:t>por parte de la Intervención General</w:t>
      </w:r>
      <w:r w:rsidR="00D85D97" w:rsidRPr="001522CA">
        <w:rPr>
          <w:szCs w:val="26"/>
        </w:rPr>
        <w:t>. Estos reparos</w:t>
      </w:r>
      <w:r w:rsidR="00B60EC9" w:rsidRPr="001522CA">
        <w:rPr>
          <w:szCs w:val="26"/>
        </w:rPr>
        <w:t xml:space="preserve"> </w:t>
      </w:r>
      <w:r w:rsidRPr="001522CA">
        <w:rPr>
          <w:szCs w:val="26"/>
        </w:rPr>
        <w:t>se</w:t>
      </w:r>
      <w:r w:rsidR="0057528F">
        <w:rPr>
          <w:szCs w:val="26"/>
        </w:rPr>
        <w:t xml:space="preserve"> </w:t>
      </w:r>
      <w:r w:rsidR="002664D4" w:rsidRPr="002664D4">
        <w:rPr>
          <w:szCs w:val="26"/>
        </w:rPr>
        <w:t>resolvieron</w:t>
      </w:r>
      <w:r w:rsidR="002664D4" w:rsidRPr="001522CA">
        <w:rPr>
          <w:szCs w:val="26"/>
        </w:rPr>
        <w:t xml:space="preserve"> por</w:t>
      </w:r>
      <w:r w:rsidR="00D82734" w:rsidRPr="001522CA">
        <w:rPr>
          <w:szCs w:val="26"/>
        </w:rPr>
        <w:t xml:space="preserve"> </w:t>
      </w:r>
      <w:r w:rsidR="00D82734">
        <w:rPr>
          <w:szCs w:val="26"/>
        </w:rPr>
        <w:t xml:space="preserve">sendos </w:t>
      </w:r>
      <w:r w:rsidR="00B60EC9" w:rsidRPr="001522CA">
        <w:rPr>
          <w:szCs w:val="26"/>
        </w:rPr>
        <w:t>Acuerdo</w:t>
      </w:r>
      <w:r w:rsidR="00D82734">
        <w:rPr>
          <w:szCs w:val="26"/>
        </w:rPr>
        <w:t>s</w:t>
      </w:r>
      <w:r w:rsidR="00B60EC9" w:rsidRPr="001522CA">
        <w:rPr>
          <w:szCs w:val="26"/>
        </w:rPr>
        <w:t xml:space="preserve"> de</w:t>
      </w:r>
      <w:r w:rsidR="00D82734">
        <w:rPr>
          <w:szCs w:val="26"/>
        </w:rPr>
        <w:t>l</w:t>
      </w:r>
      <w:r w:rsidR="00B60EC9" w:rsidRPr="001522CA">
        <w:rPr>
          <w:szCs w:val="26"/>
        </w:rPr>
        <w:t xml:space="preserve"> G</w:t>
      </w:r>
      <w:r w:rsidRPr="001522CA">
        <w:rPr>
          <w:szCs w:val="26"/>
        </w:rPr>
        <w:t>obierno</w:t>
      </w:r>
      <w:r w:rsidR="00DB10E2" w:rsidRPr="001522CA">
        <w:rPr>
          <w:szCs w:val="26"/>
        </w:rPr>
        <w:t xml:space="preserve"> </w:t>
      </w:r>
      <w:r w:rsidR="00537838" w:rsidRPr="001522CA">
        <w:rPr>
          <w:szCs w:val="26"/>
        </w:rPr>
        <w:t xml:space="preserve">en sentido favorable al </w:t>
      </w:r>
      <w:r w:rsidR="00D741FD" w:rsidRPr="001522CA">
        <w:rPr>
          <w:szCs w:val="26"/>
        </w:rPr>
        <w:t>órgano gestor</w:t>
      </w:r>
      <w:r w:rsidRPr="001522CA">
        <w:rPr>
          <w:szCs w:val="26"/>
        </w:rPr>
        <w:t xml:space="preserve">. </w:t>
      </w:r>
    </w:p>
    <w:p w14:paraId="5B34EF2A" w14:textId="77777777" w:rsidR="00C30199" w:rsidRPr="00205778" w:rsidRDefault="00C30199" w:rsidP="00205778">
      <w:pPr>
        <w:pStyle w:val="texto"/>
        <w:tabs>
          <w:tab w:val="clear" w:pos="2835"/>
          <w:tab w:val="clear" w:pos="3969"/>
          <w:tab w:val="clear" w:pos="5103"/>
          <w:tab w:val="clear" w:pos="6237"/>
          <w:tab w:val="clear" w:pos="7371"/>
        </w:tabs>
        <w:spacing w:after="240"/>
        <w:rPr>
          <w:b/>
          <w:szCs w:val="26"/>
        </w:rPr>
      </w:pPr>
      <w:r w:rsidRPr="00205778">
        <w:rPr>
          <w:b/>
          <w:szCs w:val="26"/>
        </w:rPr>
        <w:t xml:space="preserve">Análisis </w:t>
      </w:r>
      <w:r w:rsidR="001859F0" w:rsidRPr="002664D4">
        <w:rPr>
          <w:b/>
          <w:szCs w:val="26"/>
        </w:rPr>
        <w:t xml:space="preserve">de las </w:t>
      </w:r>
      <w:r w:rsidRPr="00205778">
        <w:rPr>
          <w:b/>
          <w:szCs w:val="26"/>
        </w:rPr>
        <w:t>desviaciones entre las previsiones y los pagos efectiv</w:t>
      </w:r>
      <w:r w:rsidR="00F1415E">
        <w:rPr>
          <w:b/>
          <w:szCs w:val="26"/>
        </w:rPr>
        <w:t>os</w:t>
      </w:r>
    </w:p>
    <w:p w14:paraId="18C7F481" w14:textId="77777777" w:rsidR="00C30199" w:rsidRDefault="00C30199" w:rsidP="00C30199">
      <w:pPr>
        <w:pStyle w:val="texto"/>
        <w:tabs>
          <w:tab w:val="clear" w:pos="2835"/>
          <w:tab w:val="clear" w:pos="3969"/>
          <w:tab w:val="clear" w:pos="5103"/>
          <w:tab w:val="clear" w:pos="6237"/>
          <w:tab w:val="clear" w:pos="7371"/>
        </w:tabs>
        <w:rPr>
          <w:szCs w:val="26"/>
        </w:rPr>
      </w:pPr>
      <w:r>
        <w:rPr>
          <w:szCs w:val="26"/>
        </w:rPr>
        <w:t xml:space="preserve">En este epígrafe analizamos, en </w:t>
      </w:r>
      <w:r w:rsidR="004406AB" w:rsidRPr="002664D4">
        <w:rPr>
          <w:szCs w:val="26"/>
        </w:rPr>
        <w:t>euros</w:t>
      </w:r>
      <w:r w:rsidRPr="002664D4">
        <w:rPr>
          <w:szCs w:val="26"/>
        </w:rPr>
        <w:t xml:space="preserve"> </w:t>
      </w:r>
      <w:r>
        <w:rPr>
          <w:szCs w:val="26"/>
        </w:rPr>
        <w:t xml:space="preserve">corrientes, las desviaciones en el periodo de explotación de las concesiones hasta 2021, entre la </w:t>
      </w:r>
      <w:r w:rsidRPr="00831E32">
        <w:rPr>
          <w:szCs w:val="26"/>
        </w:rPr>
        <w:t>realidad</w:t>
      </w:r>
      <w:r>
        <w:rPr>
          <w:szCs w:val="26"/>
        </w:rPr>
        <w:t xml:space="preserve"> y las previsiones contenidas en el PEF de la oferta y el PEF vigente.</w:t>
      </w:r>
    </w:p>
    <w:p w14:paraId="49FBAEF6" w14:textId="77777777" w:rsidR="00C30199" w:rsidRPr="00D741FD" w:rsidRDefault="00C30199" w:rsidP="00C30199">
      <w:pPr>
        <w:pStyle w:val="texto"/>
        <w:numPr>
          <w:ilvl w:val="0"/>
          <w:numId w:val="33"/>
        </w:numPr>
        <w:tabs>
          <w:tab w:val="clear" w:pos="2835"/>
          <w:tab w:val="clear" w:pos="3969"/>
          <w:tab w:val="clear" w:pos="5103"/>
          <w:tab w:val="clear" w:pos="6237"/>
          <w:tab w:val="clear" w:pos="7371"/>
        </w:tabs>
        <w:ind w:left="0" w:firstLine="284"/>
        <w:rPr>
          <w:i/>
          <w:szCs w:val="26"/>
        </w:rPr>
      </w:pPr>
      <w:r w:rsidRPr="00D741FD">
        <w:rPr>
          <w:i/>
          <w:szCs w:val="26"/>
        </w:rPr>
        <w:t>Desviaciones</w:t>
      </w:r>
      <w:r w:rsidR="004D0ED7">
        <w:rPr>
          <w:i/>
          <w:szCs w:val="26"/>
        </w:rPr>
        <w:t xml:space="preserve"> </w:t>
      </w:r>
      <w:r w:rsidR="004D0ED7" w:rsidRPr="002664D4">
        <w:rPr>
          <w:i/>
          <w:szCs w:val="26"/>
        </w:rPr>
        <w:t>de la</w:t>
      </w:r>
      <w:r w:rsidRPr="002664D4">
        <w:rPr>
          <w:i/>
          <w:szCs w:val="26"/>
        </w:rPr>
        <w:t xml:space="preserve"> </w:t>
      </w:r>
      <w:r w:rsidR="001055C3">
        <w:rPr>
          <w:i/>
          <w:szCs w:val="26"/>
        </w:rPr>
        <w:t>Primera F</w:t>
      </w:r>
      <w:r w:rsidRPr="00D741FD">
        <w:rPr>
          <w:i/>
          <w:szCs w:val="26"/>
        </w:rPr>
        <w:t>ase del Canal de Navarra</w:t>
      </w:r>
      <w:r w:rsidR="00F1102B">
        <w:rPr>
          <w:i/>
          <w:szCs w:val="26"/>
        </w:rPr>
        <w:t xml:space="preserve"> </w:t>
      </w:r>
      <w:r w:rsidR="0053202F">
        <w:rPr>
          <w:i/>
          <w:szCs w:val="26"/>
        </w:rPr>
        <w:t>en la fase de explotación</w:t>
      </w:r>
    </w:p>
    <w:p w14:paraId="5773F2C0" w14:textId="77777777" w:rsidR="00AA0E1E" w:rsidRPr="005B06AB" w:rsidRDefault="00AA0E1E" w:rsidP="00C46821">
      <w:pPr>
        <w:pStyle w:val="texto"/>
        <w:tabs>
          <w:tab w:val="clear" w:pos="2835"/>
          <w:tab w:val="clear" w:pos="3969"/>
          <w:tab w:val="clear" w:pos="5103"/>
          <w:tab w:val="clear" w:pos="6237"/>
          <w:tab w:val="clear" w:pos="7371"/>
        </w:tabs>
        <w:spacing w:before="120" w:after="360"/>
        <w:rPr>
          <w:rFonts w:eastAsia="Calibri"/>
          <w:szCs w:val="26"/>
          <w:lang w:eastAsia="es-ES"/>
        </w:rPr>
      </w:pPr>
      <w:r w:rsidRPr="006F52CF">
        <w:rPr>
          <w:szCs w:val="26"/>
        </w:rPr>
        <w:t xml:space="preserve">La comparativa entre el </w:t>
      </w:r>
      <w:r>
        <w:rPr>
          <w:szCs w:val="26"/>
        </w:rPr>
        <w:t>volumen de agua</w:t>
      </w:r>
      <w:r w:rsidRPr="006F52CF">
        <w:rPr>
          <w:szCs w:val="26"/>
        </w:rPr>
        <w:t xml:space="preserve"> </w:t>
      </w:r>
      <w:r w:rsidR="00D00BCD">
        <w:rPr>
          <w:szCs w:val="26"/>
        </w:rPr>
        <w:t xml:space="preserve">consumido </w:t>
      </w:r>
      <w:r w:rsidRPr="006F52CF">
        <w:rPr>
          <w:szCs w:val="26"/>
        </w:rPr>
        <w:t xml:space="preserve">real y </w:t>
      </w:r>
      <w:r w:rsidR="00D00BCD">
        <w:rPr>
          <w:szCs w:val="26"/>
        </w:rPr>
        <w:t>estimado</w:t>
      </w:r>
      <w:r w:rsidRPr="003D0B68">
        <w:rPr>
          <w:szCs w:val="26"/>
        </w:rPr>
        <w:t xml:space="preserve"> </w:t>
      </w:r>
      <w:r>
        <w:rPr>
          <w:szCs w:val="26"/>
        </w:rPr>
        <w:t>desde el inicio de la explotación en 2012 hasta 2021, se refleja en el gráfico siguiente</w:t>
      </w:r>
      <w:r>
        <w:rPr>
          <w:rFonts w:eastAsia="Calibri"/>
          <w:szCs w:val="26"/>
          <w:lang w:eastAsia="es-ES"/>
        </w:rPr>
        <w:t>:</w:t>
      </w:r>
    </w:p>
    <w:p w14:paraId="1634925C" w14:textId="77777777" w:rsidR="00AA0E1E" w:rsidRDefault="00F558D4" w:rsidP="005C0319">
      <w:pPr>
        <w:pStyle w:val="texto"/>
        <w:tabs>
          <w:tab w:val="clear" w:pos="2835"/>
          <w:tab w:val="clear" w:pos="3969"/>
          <w:tab w:val="clear" w:pos="5103"/>
          <w:tab w:val="clear" w:pos="6237"/>
          <w:tab w:val="clear" w:pos="7371"/>
        </w:tabs>
        <w:ind w:firstLine="0"/>
        <w:jc w:val="center"/>
        <w:rPr>
          <w:szCs w:val="26"/>
        </w:rPr>
      </w:pPr>
      <w:r>
        <w:rPr>
          <w:noProof/>
          <w:lang w:val="es-ES" w:eastAsia="es-ES"/>
        </w:rPr>
        <w:drawing>
          <wp:inline distT="0" distB="0" distL="0" distR="0" wp14:anchorId="6133AEE2" wp14:editId="16C8F5D0">
            <wp:extent cx="4907280" cy="2994660"/>
            <wp:effectExtent l="0" t="0" r="7620" b="1524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DF8865" w14:textId="77777777" w:rsidR="00841D16" w:rsidRDefault="00841D16" w:rsidP="00AA0E1E">
      <w:pPr>
        <w:pStyle w:val="texto"/>
        <w:tabs>
          <w:tab w:val="clear" w:pos="2835"/>
          <w:tab w:val="clear" w:pos="3969"/>
          <w:tab w:val="clear" w:pos="5103"/>
          <w:tab w:val="clear" w:pos="6237"/>
          <w:tab w:val="clear" w:pos="7371"/>
        </w:tabs>
        <w:rPr>
          <w:rFonts w:eastAsia="Calibri"/>
          <w:lang w:eastAsia="es-ES"/>
        </w:rPr>
      </w:pPr>
    </w:p>
    <w:p w14:paraId="0F8074A5" w14:textId="77777777" w:rsidR="00AA0E1E" w:rsidRPr="00027613" w:rsidRDefault="00AA0E1E" w:rsidP="00AA0E1E">
      <w:pPr>
        <w:pStyle w:val="texto"/>
        <w:tabs>
          <w:tab w:val="clear" w:pos="2835"/>
          <w:tab w:val="clear" w:pos="3969"/>
          <w:tab w:val="clear" w:pos="5103"/>
          <w:tab w:val="clear" w:pos="6237"/>
          <w:tab w:val="clear" w:pos="7371"/>
        </w:tabs>
        <w:rPr>
          <w:szCs w:val="26"/>
        </w:rPr>
      </w:pPr>
      <w:r w:rsidRPr="00027613">
        <w:rPr>
          <w:rFonts w:eastAsia="Calibri"/>
          <w:lang w:eastAsia="es-ES"/>
        </w:rPr>
        <w:t>El volumen de agua consumido ha sido significativamente inferior a las previsiones,</w:t>
      </w:r>
      <w:r w:rsidR="00027613" w:rsidRPr="00027613">
        <w:rPr>
          <w:szCs w:val="26"/>
        </w:rPr>
        <w:t xml:space="preserve"> en un 25</w:t>
      </w:r>
      <w:r w:rsidRPr="00027613">
        <w:rPr>
          <w:szCs w:val="26"/>
        </w:rPr>
        <w:t xml:space="preserve"> por ciento de promedio a lo largo de los años 2012 a 2021, </w:t>
      </w:r>
      <w:r w:rsidR="00027613" w:rsidRPr="00027613">
        <w:rPr>
          <w:szCs w:val="26"/>
        </w:rPr>
        <w:t>alcanzando</w:t>
      </w:r>
      <w:r w:rsidRPr="00027613">
        <w:rPr>
          <w:szCs w:val="26"/>
        </w:rPr>
        <w:t xml:space="preserve"> </w:t>
      </w:r>
      <w:r w:rsidR="00027613" w:rsidRPr="00027613">
        <w:rPr>
          <w:szCs w:val="26"/>
        </w:rPr>
        <w:t>un 35</w:t>
      </w:r>
      <w:r w:rsidRPr="00027613">
        <w:rPr>
          <w:szCs w:val="26"/>
        </w:rPr>
        <w:t xml:space="preserve"> por ciento la desviación en el año 2013 y un </w:t>
      </w:r>
      <w:r w:rsidR="00915BF4">
        <w:rPr>
          <w:szCs w:val="26"/>
        </w:rPr>
        <w:t>27</w:t>
      </w:r>
      <w:r w:rsidRPr="00027613">
        <w:rPr>
          <w:szCs w:val="26"/>
        </w:rPr>
        <w:t xml:space="preserve"> por ciento en 20</w:t>
      </w:r>
      <w:r w:rsidR="00915BF4">
        <w:rPr>
          <w:szCs w:val="26"/>
        </w:rPr>
        <w:t>21</w:t>
      </w:r>
      <w:r w:rsidRPr="00027613">
        <w:rPr>
          <w:szCs w:val="26"/>
        </w:rPr>
        <w:t xml:space="preserve">. </w:t>
      </w:r>
    </w:p>
    <w:p w14:paraId="4E078B6C" w14:textId="77777777" w:rsidR="000C76F1" w:rsidRDefault="00AA0E1E" w:rsidP="00205778">
      <w:pPr>
        <w:pStyle w:val="texto"/>
        <w:tabs>
          <w:tab w:val="clear" w:pos="2835"/>
          <w:tab w:val="clear" w:pos="3969"/>
          <w:tab w:val="clear" w:pos="5103"/>
          <w:tab w:val="clear" w:pos="6237"/>
          <w:tab w:val="clear" w:pos="7371"/>
        </w:tabs>
        <w:spacing w:after="240"/>
        <w:rPr>
          <w:szCs w:val="26"/>
        </w:rPr>
      </w:pPr>
      <w:r>
        <w:t xml:space="preserve">La comparativa </w:t>
      </w:r>
      <w:r w:rsidR="000C76F1">
        <w:rPr>
          <w:szCs w:val="26"/>
        </w:rPr>
        <w:t xml:space="preserve">entre los datos reales de canon abonado, y las previsiones incluidas en la oferta y en el PEF actualizado en 2011 con el último reequilibrio aprobado, se resumen en el cuadro siguiente: </w:t>
      </w:r>
    </w:p>
    <w:p w14:paraId="127C91E4" w14:textId="77777777" w:rsidR="00C30199" w:rsidRDefault="00C30199" w:rsidP="005C0319">
      <w:pPr>
        <w:pStyle w:val="texto"/>
        <w:tabs>
          <w:tab w:val="clear" w:pos="2835"/>
          <w:tab w:val="clear" w:pos="3969"/>
          <w:tab w:val="clear" w:pos="5103"/>
          <w:tab w:val="clear" w:pos="6237"/>
          <w:tab w:val="clear" w:pos="7371"/>
        </w:tabs>
        <w:ind w:firstLine="0"/>
        <w:jc w:val="center"/>
        <w:rPr>
          <w:szCs w:val="26"/>
        </w:rPr>
      </w:pPr>
      <w:r>
        <w:rPr>
          <w:noProof/>
          <w:lang w:val="es-ES" w:eastAsia="es-ES"/>
        </w:rPr>
        <w:drawing>
          <wp:inline distT="0" distB="0" distL="0" distR="0" wp14:anchorId="368ADAA5" wp14:editId="07F2BA9F">
            <wp:extent cx="4062046" cy="2145323"/>
            <wp:effectExtent l="0" t="0" r="15240" b="762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FF5A1A2" w14:textId="77777777" w:rsidR="00731D83" w:rsidRDefault="00C30199" w:rsidP="005C0319">
      <w:pPr>
        <w:pStyle w:val="texto"/>
        <w:tabs>
          <w:tab w:val="clear" w:pos="2835"/>
          <w:tab w:val="clear" w:pos="3969"/>
          <w:tab w:val="clear" w:pos="5103"/>
          <w:tab w:val="clear" w:pos="6237"/>
          <w:tab w:val="clear" w:pos="7371"/>
        </w:tabs>
        <w:spacing w:before="240"/>
        <w:rPr>
          <w:szCs w:val="26"/>
        </w:rPr>
      </w:pPr>
      <w:r>
        <w:rPr>
          <w:szCs w:val="26"/>
        </w:rPr>
        <w:t xml:space="preserve">El canon conjunto abonado </w:t>
      </w:r>
      <w:r w:rsidR="00831E32" w:rsidRPr="002F265D">
        <w:rPr>
          <w:szCs w:val="26"/>
        </w:rPr>
        <w:t>en</w:t>
      </w:r>
      <w:r w:rsidR="00831E32">
        <w:rPr>
          <w:szCs w:val="26"/>
        </w:rPr>
        <w:t xml:space="preserve"> </w:t>
      </w:r>
      <w:r>
        <w:rPr>
          <w:szCs w:val="26"/>
        </w:rPr>
        <w:t xml:space="preserve">el periodo analizado es de media 12,28 millones, IVA excluido. Este importe es inferior </w:t>
      </w:r>
      <w:r w:rsidR="005C15A8">
        <w:rPr>
          <w:szCs w:val="26"/>
        </w:rPr>
        <w:t xml:space="preserve">en un dos por ciento con respecto </w:t>
      </w:r>
      <w:r>
        <w:rPr>
          <w:szCs w:val="26"/>
        </w:rPr>
        <w:t>a</w:t>
      </w:r>
      <w:r w:rsidR="00831E32">
        <w:rPr>
          <w:szCs w:val="26"/>
        </w:rPr>
        <w:t xml:space="preserve">l ofertado </w:t>
      </w:r>
      <w:r>
        <w:rPr>
          <w:szCs w:val="26"/>
        </w:rPr>
        <w:t xml:space="preserve">y un 18 por ciento inferior </w:t>
      </w:r>
      <w:r w:rsidR="005C15A8">
        <w:rPr>
          <w:szCs w:val="26"/>
        </w:rPr>
        <w:t xml:space="preserve">con respecto </w:t>
      </w:r>
      <w:r>
        <w:rPr>
          <w:szCs w:val="26"/>
        </w:rPr>
        <w:t xml:space="preserve">al último PEF actualizado. </w:t>
      </w:r>
    </w:p>
    <w:p w14:paraId="1D469A79" w14:textId="77777777" w:rsidR="00C30199" w:rsidRPr="00731D83" w:rsidRDefault="00C30199" w:rsidP="00731D83">
      <w:pPr>
        <w:pStyle w:val="texto"/>
        <w:tabs>
          <w:tab w:val="clear" w:pos="2835"/>
          <w:tab w:val="clear" w:pos="3969"/>
          <w:tab w:val="clear" w:pos="5103"/>
          <w:tab w:val="clear" w:pos="6237"/>
          <w:tab w:val="clear" w:pos="7371"/>
        </w:tabs>
        <w:rPr>
          <w:i/>
          <w:szCs w:val="26"/>
        </w:rPr>
      </w:pPr>
      <w:r w:rsidRPr="00731D83">
        <w:rPr>
          <w:i/>
          <w:szCs w:val="26"/>
        </w:rPr>
        <w:t>Desviaciones</w:t>
      </w:r>
      <w:r w:rsidR="00831E32" w:rsidRPr="00731D83">
        <w:rPr>
          <w:i/>
          <w:szCs w:val="26"/>
        </w:rPr>
        <w:t xml:space="preserve"> en la</w:t>
      </w:r>
      <w:r w:rsidR="001055C3">
        <w:rPr>
          <w:i/>
          <w:szCs w:val="26"/>
        </w:rPr>
        <w:t xml:space="preserve"> Ampliación de la Primera F</w:t>
      </w:r>
      <w:r w:rsidRPr="00731D83">
        <w:rPr>
          <w:i/>
          <w:szCs w:val="26"/>
        </w:rPr>
        <w:t>ase del Canal de Navarra</w:t>
      </w:r>
      <w:r w:rsidR="004E0FC2" w:rsidRPr="00731D83">
        <w:rPr>
          <w:i/>
          <w:szCs w:val="26"/>
        </w:rPr>
        <w:t xml:space="preserve"> </w:t>
      </w:r>
      <w:r w:rsidR="00831E32" w:rsidRPr="00731D83">
        <w:rPr>
          <w:i/>
          <w:szCs w:val="26"/>
        </w:rPr>
        <w:t xml:space="preserve">en </w:t>
      </w:r>
      <w:r w:rsidR="004E0FC2" w:rsidRPr="00731D83">
        <w:rPr>
          <w:i/>
          <w:szCs w:val="26"/>
        </w:rPr>
        <w:t>la fase de explotación</w:t>
      </w:r>
      <w:r w:rsidRPr="00731D83">
        <w:rPr>
          <w:i/>
          <w:szCs w:val="26"/>
        </w:rPr>
        <w:t xml:space="preserve">: </w:t>
      </w:r>
    </w:p>
    <w:p w14:paraId="38A0C689" w14:textId="77777777" w:rsidR="000C76F1" w:rsidRPr="005B06AB" w:rsidRDefault="000C76F1" w:rsidP="00205778">
      <w:pPr>
        <w:pStyle w:val="texto"/>
        <w:tabs>
          <w:tab w:val="clear" w:pos="2835"/>
          <w:tab w:val="clear" w:pos="3969"/>
          <w:tab w:val="clear" w:pos="5103"/>
          <w:tab w:val="clear" w:pos="6237"/>
          <w:tab w:val="clear" w:pos="7371"/>
        </w:tabs>
        <w:spacing w:after="240"/>
        <w:rPr>
          <w:rFonts w:eastAsia="Calibri"/>
          <w:szCs w:val="26"/>
          <w:lang w:eastAsia="es-ES"/>
        </w:rPr>
      </w:pPr>
      <w:r w:rsidRPr="006F52CF">
        <w:rPr>
          <w:szCs w:val="26"/>
        </w:rPr>
        <w:t xml:space="preserve">La comparativa entre el </w:t>
      </w:r>
      <w:r>
        <w:rPr>
          <w:szCs w:val="26"/>
        </w:rPr>
        <w:t>volumen de agua</w:t>
      </w:r>
      <w:r w:rsidRPr="006F52CF">
        <w:rPr>
          <w:szCs w:val="26"/>
        </w:rPr>
        <w:t xml:space="preserve"> </w:t>
      </w:r>
      <w:r w:rsidR="00D00BCD">
        <w:rPr>
          <w:szCs w:val="26"/>
        </w:rPr>
        <w:t xml:space="preserve">consumido </w:t>
      </w:r>
      <w:r w:rsidRPr="006F52CF">
        <w:rPr>
          <w:szCs w:val="26"/>
        </w:rPr>
        <w:t xml:space="preserve">real y </w:t>
      </w:r>
      <w:r w:rsidR="002513F9">
        <w:rPr>
          <w:szCs w:val="26"/>
        </w:rPr>
        <w:t xml:space="preserve">las previsiones incluidas tanto en la oferta como en el PEF vigente en 2021, </w:t>
      </w:r>
      <w:r>
        <w:rPr>
          <w:szCs w:val="26"/>
        </w:rPr>
        <w:t xml:space="preserve">desde el </w:t>
      </w:r>
      <w:r w:rsidR="002513F9">
        <w:rPr>
          <w:szCs w:val="26"/>
        </w:rPr>
        <w:t>inicio de la explotación en 2015</w:t>
      </w:r>
      <w:r>
        <w:rPr>
          <w:szCs w:val="26"/>
        </w:rPr>
        <w:t xml:space="preserve"> hasta 2021, se refleja en el gráfico siguiente</w:t>
      </w:r>
      <w:r>
        <w:rPr>
          <w:rFonts w:eastAsia="Calibri"/>
          <w:szCs w:val="26"/>
          <w:lang w:eastAsia="es-ES"/>
        </w:rPr>
        <w:t>:</w:t>
      </w:r>
    </w:p>
    <w:p w14:paraId="0AED408D" w14:textId="77777777" w:rsidR="000C76F1" w:rsidRDefault="00F558D4" w:rsidP="005C0319">
      <w:pPr>
        <w:pStyle w:val="texto"/>
        <w:tabs>
          <w:tab w:val="clear" w:pos="2835"/>
          <w:tab w:val="clear" w:pos="3969"/>
          <w:tab w:val="clear" w:pos="5103"/>
          <w:tab w:val="clear" w:pos="6237"/>
          <w:tab w:val="clear" w:pos="7371"/>
        </w:tabs>
        <w:ind w:firstLine="0"/>
        <w:jc w:val="center"/>
        <w:rPr>
          <w:szCs w:val="26"/>
        </w:rPr>
      </w:pPr>
      <w:r>
        <w:rPr>
          <w:noProof/>
          <w:lang w:val="es-ES" w:eastAsia="es-ES"/>
        </w:rPr>
        <w:drawing>
          <wp:inline distT="0" distB="0" distL="0" distR="0" wp14:anchorId="05EE0E9A" wp14:editId="18B2DD33">
            <wp:extent cx="4264269" cy="2365131"/>
            <wp:effectExtent l="0" t="0" r="3175" b="1651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AD21F56" w14:textId="77777777" w:rsidR="002513F9" w:rsidRPr="00915BF4" w:rsidRDefault="002513F9" w:rsidP="00C46821">
      <w:pPr>
        <w:pStyle w:val="texto"/>
        <w:spacing w:before="240"/>
        <w:rPr>
          <w:szCs w:val="26"/>
          <w:lang w:val="es-ES"/>
        </w:rPr>
      </w:pPr>
      <w:r w:rsidRPr="002358E3">
        <w:rPr>
          <w:rFonts w:eastAsia="Calibri"/>
          <w:lang w:eastAsia="es-ES"/>
        </w:rPr>
        <w:t xml:space="preserve">El volumen de agua consumido ha sido significativamente inferior </w:t>
      </w:r>
      <w:r w:rsidR="00915BF4">
        <w:rPr>
          <w:rFonts w:eastAsia="Calibri"/>
          <w:lang w:eastAsia="es-ES"/>
        </w:rPr>
        <w:t>al previsto</w:t>
      </w:r>
      <w:r w:rsidRPr="002358E3">
        <w:rPr>
          <w:szCs w:val="26"/>
          <w:lang w:val="es-ES"/>
        </w:rPr>
        <w:t xml:space="preserve">. </w:t>
      </w:r>
      <w:r w:rsidR="002358E3" w:rsidRPr="002358E3">
        <w:rPr>
          <w:szCs w:val="26"/>
          <w:lang w:val="es-ES"/>
        </w:rPr>
        <w:t>El consumo</w:t>
      </w:r>
      <w:r w:rsidRPr="002358E3">
        <w:rPr>
          <w:szCs w:val="26"/>
          <w:lang w:val="es-ES"/>
        </w:rPr>
        <w:t xml:space="preserve"> acumulado </w:t>
      </w:r>
      <w:r w:rsidR="002358E3" w:rsidRPr="002358E3">
        <w:rPr>
          <w:szCs w:val="26"/>
          <w:lang w:val="es-ES"/>
        </w:rPr>
        <w:t>entre los años 2017 y 2021</w:t>
      </w:r>
      <w:r w:rsidRPr="002358E3">
        <w:rPr>
          <w:szCs w:val="26"/>
          <w:lang w:val="es-ES"/>
        </w:rPr>
        <w:t xml:space="preserve"> es un 41,8 por ciento infe</w:t>
      </w:r>
      <w:r w:rsidR="002358E3" w:rsidRPr="002358E3">
        <w:rPr>
          <w:szCs w:val="26"/>
          <w:lang w:val="es-ES"/>
        </w:rPr>
        <w:t>rior al previsto en el PEF vigente</w:t>
      </w:r>
      <w:r w:rsidR="00915BF4">
        <w:rPr>
          <w:szCs w:val="26"/>
          <w:lang w:val="es-ES"/>
        </w:rPr>
        <w:t xml:space="preserve">, </w:t>
      </w:r>
      <w:r w:rsidR="00915BF4" w:rsidRPr="00915BF4">
        <w:rPr>
          <w:szCs w:val="26"/>
          <w:lang w:val="es-ES"/>
        </w:rPr>
        <w:t>debido fundamentalmente al retraso en el inicio de la explotación.</w:t>
      </w:r>
    </w:p>
    <w:p w14:paraId="7A091655" w14:textId="77777777" w:rsidR="00C30199" w:rsidRPr="00E62FAA" w:rsidRDefault="002513F9" w:rsidP="00205778">
      <w:pPr>
        <w:pStyle w:val="texto"/>
        <w:tabs>
          <w:tab w:val="clear" w:pos="2835"/>
          <w:tab w:val="clear" w:pos="3969"/>
          <w:tab w:val="clear" w:pos="5103"/>
          <w:tab w:val="clear" w:pos="6237"/>
          <w:tab w:val="clear" w:pos="7371"/>
        </w:tabs>
        <w:spacing w:after="240"/>
        <w:rPr>
          <w:szCs w:val="26"/>
        </w:rPr>
      </w:pPr>
      <w:r>
        <w:rPr>
          <w:szCs w:val="26"/>
        </w:rPr>
        <w:t xml:space="preserve">La comparativa </w:t>
      </w:r>
      <w:r w:rsidR="00C30199">
        <w:rPr>
          <w:szCs w:val="26"/>
        </w:rPr>
        <w:t>entre los datos reale</w:t>
      </w:r>
      <w:r w:rsidR="005F50AD">
        <w:rPr>
          <w:szCs w:val="26"/>
        </w:rPr>
        <w:t>s de canon abonado entre</w:t>
      </w:r>
      <w:r w:rsidR="00C30199" w:rsidRPr="00E44689">
        <w:rPr>
          <w:szCs w:val="26"/>
        </w:rPr>
        <w:t xml:space="preserve"> </w:t>
      </w:r>
      <w:r w:rsidR="00C30199">
        <w:rPr>
          <w:szCs w:val="26"/>
        </w:rPr>
        <w:t>los prim</w:t>
      </w:r>
      <w:r w:rsidR="005F50AD">
        <w:rPr>
          <w:szCs w:val="26"/>
        </w:rPr>
        <w:t>eros años de explotación y 2021</w:t>
      </w:r>
      <w:r w:rsidR="00C30199">
        <w:rPr>
          <w:szCs w:val="26"/>
        </w:rPr>
        <w:t xml:space="preserve"> y</w:t>
      </w:r>
      <w:r w:rsidR="000055C1">
        <w:rPr>
          <w:szCs w:val="26"/>
        </w:rPr>
        <w:t xml:space="preserve"> las previsiones incluidas </w:t>
      </w:r>
      <w:r w:rsidR="00F01F6A">
        <w:rPr>
          <w:szCs w:val="26"/>
        </w:rPr>
        <w:t xml:space="preserve">tanto </w:t>
      </w:r>
      <w:r w:rsidR="000055C1">
        <w:rPr>
          <w:szCs w:val="26"/>
        </w:rPr>
        <w:t xml:space="preserve">en la oferta </w:t>
      </w:r>
      <w:r w:rsidR="00F01F6A">
        <w:rPr>
          <w:szCs w:val="26"/>
        </w:rPr>
        <w:t xml:space="preserve">como en </w:t>
      </w:r>
      <w:r w:rsidR="000055C1">
        <w:rPr>
          <w:szCs w:val="26"/>
        </w:rPr>
        <w:t xml:space="preserve">el PEF </w:t>
      </w:r>
      <w:r w:rsidR="00F01F6A">
        <w:rPr>
          <w:szCs w:val="26"/>
        </w:rPr>
        <w:t xml:space="preserve">vigente en 2021, </w:t>
      </w:r>
      <w:r w:rsidR="00C30199">
        <w:rPr>
          <w:szCs w:val="26"/>
        </w:rPr>
        <w:t>se resumen en el cuadro siguiente</w:t>
      </w:r>
      <w:r w:rsidR="000055C1">
        <w:rPr>
          <w:szCs w:val="26"/>
        </w:rPr>
        <w:t>:</w:t>
      </w:r>
    </w:p>
    <w:p w14:paraId="49AAB0E4" w14:textId="77777777" w:rsidR="00C30199" w:rsidRPr="000F026B" w:rsidRDefault="00F558D4" w:rsidP="005C0319">
      <w:pPr>
        <w:pStyle w:val="texto"/>
        <w:tabs>
          <w:tab w:val="clear" w:pos="2835"/>
          <w:tab w:val="clear" w:pos="3969"/>
          <w:tab w:val="clear" w:pos="5103"/>
          <w:tab w:val="clear" w:pos="6237"/>
          <w:tab w:val="clear" w:pos="7371"/>
        </w:tabs>
        <w:ind w:firstLine="0"/>
        <w:jc w:val="center"/>
        <w:rPr>
          <w:szCs w:val="26"/>
        </w:rPr>
      </w:pPr>
      <w:r>
        <w:rPr>
          <w:noProof/>
          <w:lang w:val="es-ES" w:eastAsia="es-ES"/>
        </w:rPr>
        <w:drawing>
          <wp:inline distT="0" distB="0" distL="0" distR="0" wp14:anchorId="20DCAA4C" wp14:editId="4C7DE500">
            <wp:extent cx="4549140" cy="2872740"/>
            <wp:effectExtent l="0" t="0" r="3810" b="381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450F7F7" w14:textId="77777777" w:rsidR="00C30199" w:rsidRPr="002358E3" w:rsidRDefault="00C30199" w:rsidP="003174FF">
      <w:pPr>
        <w:pStyle w:val="texto"/>
        <w:tabs>
          <w:tab w:val="clear" w:pos="2835"/>
          <w:tab w:val="clear" w:pos="3969"/>
          <w:tab w:val="clear" w:pos="5103"/>
          <w:tab w:val="clear" w:pos="6237"/>
          <w:tab w:val="clear" w:pos="7371"/>
        </w:tabs>
        <w:spacing w:before="240"/>
        <w:rPr>
          <w:strike/>
          <w:szCs w:val="26"/>
        </w:rPr>
      </w:pPr>
      <w:r>
        <w:rPr>
          <w:szCs w:val="26"/>
        </w:rPr>
        <w:t xml:space="preserve">El </w:t>
      </w:r>
      <w:r w:rsidR="00BD189C">
        <w:rPr>
          <w:szCs w:val="26"/>
        </w:rPr>
        <w:t xml:space="preserve">reequilibrio número </w:t>
      </w:r>
      <w:r w:rsidR="001A5C47" w:rsidRPr="005C57BD">
        <w:rPr>
          <w:szCs w:val="26"/>
        </w:rPr>
        <w:t>cuatro</w:t>
      </w:r>
      <w:r>
        <w:rPr>
          <w:szCs w:val="26"/>
        </w:rPr>
        <w:t xml:space="preserve"> hace necesario reajustar las anualidades a la baja </w:t>
      </w:r>
      <w:r w:rsidR="00182897" w:rsidRPr="00182897">
        <w:rPr>
          <w:szCs w:val="26"/>
        </w:rPr>
        <w:t>por el</w:t>
      </w:r>
      <w:r w:rsidRPr="00182897">
        <w:rPr>
          <w:szCs w:val="26"/>
        </w:rPr>
        <w:t xml:space="preserve"> </w:t>
      </w:r>
      <w:r>
        <w:rPr>
          <w:szCs w:val="26"/>
        </w:rPr>
        <w:t>retraso en las obras</w:t>
      </w:r>
      <w:r w:rsidR="00182897">
        <w:rPr>
          <w:szCs w:val="26"/>
        </w:rPr>
        <w:t xml:space="preserve"> y</w:t>
      </w:r>
      <w:r>
        <w:rPr>
          <w:szCs w:val="26"/>
        </w:rPr>
        <w:t xml:space="preserve"> que se irá compensando en ejercicios futuros</w:t>
      </w:r>
      <w:r w:rsidRPr="002358E3">
        <w:rPr>
          <w:szCs w:val="26"/>
        </w:rPr>
        <w:t xml:space="preserve">. </w:t>
      </w:r>
      <w:r w:rsidRPr="00182897">
        <w:rPr>
          <w:szCs w:val="26"/>
        </w:rPr>
        <w:t xml:space="preserve">El canon </w:t>
      </w:r>
      <w:r w:rsidR="004E0FC2" w:rsidRPr="00182897">
        <w:rPr>
          <w:szCs w:val="26"/>
        </w:rPr>
        <w:t xml:space="preserve">medio </w:t>
      </w:r>
      <w:r w:rsidRPr="00182897">
        <w:rPr>
          <w:szCs w:val="26"/>
        </w:rPr>
        <w:t xml:space="preserve">abonado representa un 68 </w:t>
      </w:r>
      <w:r w:rsidR="00BD189C" w:rsidRPr="00182897">
        <w:rPr>
          <w:szCs w:val="26"/>
        </w:rPr>
        <w:t xml:space="preserve">del canon medio previsto </w:t>
      </w:r>
      <w:r w:rsidR="004E0FC2" w:rsidRPr="00182897">
        <w:rPr>
          <w:szCs w:val="26"/>
        </w:rPr>
        <w:t>para el mismo periodo</w:t>
      </w:r>
      <w:r w:rsidR="004E0FC2" w:rsidRPr="002358E3">
        <w:rPr>
          <w:szCs w:val="26"/>
        </w:rPr>
        <w:t xml:space="preserve">. </w:t>
      </w:r>
      <w:r w:rsidR="00181EFD" w:rsidRPr="002358E3">
        <w:rPr>
          <w:szCs w:val="26"/>
        </w:rPr>
        <w:t xml:space="preserve"> </w:t>
      </w:r>
    </w:p>
    <w:p w14:paraId="2145901B" w14:textId="77777777" w:rsidR="00B6639A" w:rsidRPr="002E1EF4" w:rsidRDefault="00B6639A" w:rsidP="00B6639A">
      <w:pPr>
        <w:pStyle w:val="texto"/>
        <w:tabs>
          <w:tab w:val="clear" w:pos="2835"/>
          <w:tab w:val="clear" w:pos="3969"/>
          <w:tab w:val="clear" w:pos="5103"/>
          <w:tab w:val="clear" w:pos="6237"/>
          <w:tab w:val="clear" w:pos="7371"/>
          <w:tab w:val="left" w:pos="480"/>
          <w:tab w:val="num" w:pos="600"/>
          <w:tab w:val="num" w:pos="720"/>
          <w:tab w:val="num" w:pos="1320"/>
          <w:tab w:val="num" w:pos="2062"/>
        </w:tabs>
        <w:spacing w:after="240"/>
      </w:pPr>
      <w:r>
        <w:t xml:space="preserve">Finalmente, y para las dos concesiones, </w:t>
      </w:r>
      <w:proofErr w:type="gramStart"/>
      <w:r w:rsidRPr="00C878D6">
        <w:t>en relación a</w:t>
      </w:r>
      <w:proofErr w:type="gramEnd"/>
      <w:r w:rsidRPr="00C878D6">
        <w:t xml:space="preserve"> las tarifas </w:t>
      </w:r>
      <w:r>
        <w:t>no existe variación significativa, el incremento previsto es del 2,5 por ciento anual</w:t>
      </w:r>
      <w:r w:rsidRPr="002E1EF4">
        <w:t>. La inflación promedio durante el periodo de explotación</w:t>
      </w:r>
      <w:r w:rsidR="00182897" w:rsidRPr="002E1EF4">
        <w:t xml:space="preserve"> ha sido inferior a la prevista.</w:t>
      </w:r>
    </w:p>
    <w:p w14:paraId="04B61954" w14:textId="77777777" w:rsidR="00C30199" w:rsidRDefault="00474A7C" w:rsidP="0040652A">
      <w:pPr>
        <w:pStyle w:val="atitulo3"/>
      </w:pPr>
      <w:r>
        <w:t>2</w:t>
      </w:r>
      <w:r w:rsidR="00C30199" w:rsidRPr="00DC5AFD">
        <w:t>.2</w:t>
      </w:r>
      <w:r w:rsidR="00C30199">
        <w:t>.2</w:t>
      </w:r>
      <w:r w:rsidR="00F1415E">
        <w:t>.</w:t>
      </w:r>
      <w:r w:rsidR="00C30199" w:rsidRPr="00DC5AFD">
        <w:t xml:space="preserve"> Información presupuestaria </w:t>
      </w:r>
    </w:p>
    <w:p w14:paraId="58F663DC" w14:textId="77777777" w:rsidR="00C30199" w:rsidRDefault="00C30199" w:rsidP="00C30199">
      <w:pPr>
        <w:pStyle w:val="texto"/>
        <w:tabs>
          <w:tab w:val="clear" w:pos="2835"/>
          <w:tab w:val="clear" w:pos="3969"/>
          <w:tab w:val="clear" w:pos="5103"/>
          <w:tab w:val="clear" w:pos="6237"/>
          <w:tab w:val="clear" w:pos="7371"/>
        </w:tabs>
        <w:rPr>
          <w:szCs w:val="26"/>
        </w:rPr>
      </w:pPr>
      <w:r w:rsidRPr="00E678BB">
        <w:rPr>
          <w:szCs w:val="26"/>
        </w:rPr>
        <w:t xml:space="preserve">Los importes anuales del canon están registrados dentro del capítulo </w:t>
      </w:r>
      <w:r>
        <w:rPr>
          <w:szCs w:val="26"/>
        </w:rPr>
        <w:t>4</w:t>
      </w:r>
      <w:r w:rsidRPr="00E678BB">
        <w:rPr>
          <w:szCs w:val="26"/>
        </w:rPr>
        <w:t xml:space="preserve"> del presupuesto (</w:t>
      </w:r>
      <w:r>
        <w:rPr>
          <w:szCs w:val="26"/>
        </w:rPr>
        <w:t>transferencias corrientes</w:t>
      </w:r>
      <w:r w:rsidRPr="00E678BB">
        <w:rPr>
          <w:szCs w:val="26"/>
        </w:rPr>
        <w:t xml:space="preserve">) en el concepto </w:t>
      </w:r>
      <w:r>
        <w:rPr>
          <w:szCs w:val="26"/>
        </w:rPr>
        <w:t>4700</w:t>
      </w:r>
      <w:r w:rsidRPr="00E678BB">
        <w:rPr>
          <w:szCs w:val="26"/>
        </w:rPr>
        <w:t xml:space="preserve">. Este canon </w:t>
      </w:r>
      <w:r>
        <w:rPr>
          <w:szCs w:val="26"/>
        </w:rPr>
        <w:t>se abona a INTIA quien hace de intermediaria.</w:t>
      </w:r>
    </w:p>
    <w:p w14:paraId="7F61DF89" w14:textId="77777777" w:rsidR="00C30199" w:rsidRDefault="00C30199" w:rsidP="004A2D3C">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ind w:firstLine="289"/>
        <w:rPr>
          <w:szCs w:val="26"/>
        </w:rPr>
      </w:pPr>
      <w:r w:rsidRPr="00E678BB">
        <w:rPr>
          <w:szCs w:val="26"/>
        </w:rPr>
        <w:t>E</w:t>
      </w:r>
      <w:r>
        <w:rPr>
          <w:szCs w:val="26"/>
        </w:rPr>
        <w:t>n</w:t>
      </w:r>
      <w:r w:rsidRPr="008949EA">
        <w:rPr>
          <w:szCs w:val="26"/>
        </w:rPr>
        <w:t xml:space="preserve"> </w:t>
      </w:r>
      <w:r>
        <w:rPr>
          <w:szCs w:val="26"/>
        </w:rPr>
        <w:t xml:space="preserve">definitiva, hasta 2021 se han reconocido en los presupuestos </w:t>
      </w:r>
      <w:r w:rsidR="00EA01DB" w:rsidRPr="002664D4">
        <w:rPr>
          <w:szCs w:val="26"/>
        </w:rPr>
        <w:t>generales</w:t>
      </w:r>
      <w:r w:rsidR="00EA01DB">
        <w:rPr>
          <w:szCs w:val="26"/>
        </w:rPr>
        <w:t xml:space="preserve"> </w:t>
      </w:r>
      <w:r>
        <w:rPr>
          <w:szCs w:val="26"/>
        </w:rPr>
        <w:t xml:space="preserve">de Navarra los siguientes pagos por las zonas regables del </w:t>
      </w:r>
      <w:r w:rsidR="004D3B65">
        <w:rPr>
          <w:szCs w:val="26"/>
        </w:rPr>
        <w:t>Canal:</w:t>
      </w:r>
    </w:p>
    <w:p w14:paraId="68C98B32" w14:textId="77777777" w:rsidR="007B2B72" w:rsidRPr="007B2B72" w:rsidRDefault="00C46821" w:rsidP="00C46821">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jc w:val="right"/>
        <w:rPr>
          <w:rFonts w:ascii="Arial Narrow" w:hAnsi="Arial Narrow"/>
          <w:sz w:val="16"/>
          <w:szCs w:val="16"/>
        </w:rPr>
      </w:pPr>
      <w:r>
        <w:rPr>
          <w:rFonts w:ascii="Arial Narrow" w:hAnsi="Arial Narrow"/>
          <w:sz w:val="16"/>
          <w:szCs w:val="16"/>
        </w:rPr>
        <w:t>(</w:t>
      </w:r>
      <w:r w:rsidR="00A5731A">
        <w:rPr>
          <w:rFonts w:ascii="Arial Narrow" w:hAnsi="Arial Narrow"/>
          <w:sz w:val="16"/>
          <w:szCs w:val="16"/>
        </w:rPr>
        <w:t>Miles</w:t>
      </w:r>
      <w:r>
        <w:rPr>
          <w:rFonts w:ascii="Arial Narrow" w:hAnsi="Arial Narrow"/>
          <w:sz w:val="16"/>
          <w:szCs w:val="16"/>
        </w:rPr>
        <w:t>)</w:t>
      </w:r>
    </w:p>
    <w:tbl>
      <w:tblPr>
        <w:tblW w:w="9072" w:type="dxa"/>
        <w:tblCellMar>
          <w:left w:w="70" w:type="dxa"/>
          <w:right w:w="70" w:type="dxa"/>
        </w:tblCellMar>
        <w:tblLook w:val="04A0" w:firstRow="1" w:lastRow="0" w:firstColumn="1" w:lastColumn="0" w:noHBand="0" w:noVBand="1"/>
      </w:tblPr>
      <w:tblGrid>
        <w:gridCol w:w="6378"/>
        <w:gridCol w:w="2694"/>
      </w:tblGrid>
      <w:tr w:rsidR="00C30199" w:rsidRPr="004A3EE6" w14:paraId="745C3EDA" w14:textId="77777777" w:rsidTr="004A2D3C">
        <w:trPr>
          <w:trHeight w:val="227"/>
        </w:trPr>
        <w:tc>
          <w:tcPr>
            <w:tcW w:w="6378" w:type="dxa"/>
            <w:tcBorders>
              <w:top w:val="single" w:sz="4" w:space="0" w:color="auto"/>
              <w:left w:val="nil"/>
              <w:bottom w:val="single" w:sz="4" w:space="0" w:color="auto"/>
              <w:right w:val="nil"/>
            </w:tcBorders>
            <w:shd w:val="clear" w:color="auto" w:fill="B8CCE4" w:themeFill="accent1" w:themeFillTint="66"/>
            <w:noWrap/>
            <w:vAlign w:val="center"/>
            <w:hideMark/>
          </w:tcPr>
          <w:p w14:paraId="16EDE3E5" w14:textId="77777777" w:rsidR="00C30199" w:rsidRPr="004A3EE6" w:rsidRDefault="00C30199" w:rsidP="004211B2">
            <w:pPr>
              <w:pStyle w:val="cuadroCabe"/>
              <w:spacing w:line="240" w:lineRule="auto"/>
              <w:rPr>
                <w:lang w:val="es-ES" w:eastAsia="es-ES"/>
              </w:rPr>
            </w:pPr>
            <w:r w:rsidRPr="004A3EE6">
              <w:rPr>
                <w:lang w:val="es-ES" w:eastAsia="es-ES"/>
              </w:rPr>
              <w:t>Concepto</w:t>
            </w:r>
          </w:p>
        </w:tc>
        <w:tc>
          <w:tcPr>
            <w:tcW w:w="2694" w:type="dxa"/>
            <w:tcBorders>
              <w:top w:val="single" w:sz="4" w:space="0" w:color="auto"/>
              <w:left w:val="nil"/>
              <w:bottom w:val="single" w:sz="4" w:space="0" w:color="auto"/>
              <w:right w:val="nil"/>
            </w:tcBorders>
            <w:shd w:val="clear" w:color="auto" w:fill="B8CCE4" w:themeFill="accent1" w:themeFillTint="66"/>
            <w:noWrap/>
            <w:vAlign w:val="center"/>
            <w:hideMark/>
          </w:tcPr>
          <w:p w14:paraId="3F4C7CCB" w14:textId="77777777" w:rsidR="00C30199" w:rsidRPr="004A3EE6" w:rsidRDefault="00C30199" w:rsidP="004211B2">
            <w:pPr>
              <w:pStyle w:val="cuadroCabe"/>
              <w:spacing w:line="240" w:lineRule="auto"/>
              <w:jc w:val="right"/>
              <w:rPr>
                <w:lang w:val="es-ES" w:eastAsia="es-ES"/>
              </w:rPr>
            </w:pPr>
            <w:r w:rsidRPr="004A3EE6">
              <w:rPr>
                <w:lang w:val="es-ES" w:eastAsia="es-ES"/>
              </w:rPr>
              <w:t>Importe</w:t>
            </w:r>
          </w:p>
        </w:tc>
      </w:tr>
      <w:tr w:rsidR="00C30199" w:rsidRPr="004A3EE6" w14:paraId="49D3B0D7" w14:textId="77777777" w:rsidTr="004A2D3C">
        <w:trPr>
          <w:trHeight w:val="227"/>
        </w:trPr>
        <w:tc>
          <w:tcPr>
            <w:tcW w:w="6378" w:type="dxa"/>
            <w:tcBorders>
              <w:top w:val="single" w:sz="4" w:space="0" w:color="auto"/>
              <w:left w:val="nil"/>
              <w:bottom w:val="single" w:sz="2" w:space="0" w:color="auto"/>
              <w:right w:val="nil"/>
            </w:tcBorders>
            <w:shd w:val="clear" w:color="auto" w:fill="auto"/>
            <w:noWrap/>
            <w:vAlign w:val="center"/>
            <w:hideMark/>
          </w:tcPr>
          <w:p w14:paraId="11E41980" w14:textId="77777777" w:rsidR="00C30199" w:rsidRPr="004A3EE6" w:rsidRDefault="00C30199" w:rsidP="004211B2">
            <w:pPr>
              <w:pStyle w:val="cuatexto"/>
              <w:spacing w:line="240" w:lineRule="auto"/>
              <w:rPr>
                <w:lang w:val="es-ES" w:eastAsia="es-ES"/>
              </w:rPr>
            </w:pPr>
            <w:r w:rsidRPr="004A3EE6">
              <w:rPr>
                <w:lang w:val="es-ES" w:eastAsia="es-ES"/>
              </w:rPr>
              <w:t>Zonas reg</w:t>
            </w:r>
            <w:r w:rsidR="00FB245E">
              <w:rPr>
                <w:lang w:val="es-ES" w:eastAsia="es-ES"/>
              </w:rPr>
              <w:t>ables del Canal de Navarra (1ª F</w:t>
            </w:r>
            <w:r w:rsidRPr="004A3EE6">
              <w:rPr>
                <w:lang w:val="es-ES" w:eastAsia="es-ES"/>
              </w:rPr>
              <w:t>ase)</w:t>
            </w:r>
          </w:p>
        </w:tc>
        <w:tc>
          <w:tcPr>
            <w:tcW w:w="2694" w:type="dxa"/>
            <w:tcBorders>
              <w:top w:val="single" w:sz="4" w:space="0" w:color="auto"/>
              <w:left w:val="nil"/>
              <w:bottom w:val="single" w:sz="2" w:space="0" w:color="auto"/>
              <w:right w:val="nil"/>
            </w:tcBorders>
            <w:shd w:val="clear" w:color="auto" w:fill="auto"/>
            <w:noWrap/>
            <w:vAlign w:val="center"/>
            <w:hideMark/>
          </w:tcPr>
          <w:p w14:paraId="76B2F0FA" w14:textId="77777777" w:rsidR="00C30199" w:rsidRPr="004A3EE6" w:rsidRDefault="00C30199" w:rsidP="004211B2">
            <w:pPr>
              <w:pStyle w:val="cuatexto"/>
              <w:spacing w:line="240" w:lineRule="auto"/>
              <w:jc w:val="right"/>
              <w:rPr>
                <w:lang w:val="es-ES" w:eastAsia="es-ES"/>
              </w:rPr>
            </w:pPr>
            <w:r w:rsidRPr="004A3EE6">
              <w:rPr>
                <w:lang w:val="es-ES" w:eastAsia="es-ES"/>
              </w:rPr>
              <w:t>169.721</w:t>
            </w:r>
          </w:p>
        </w:tc>
      </w:tr>
      <w:tr w:rsidR="00C30199" w:rsidRPr="004A3EE6" w14:paraId="20580D10" w14:textId="77777777" w:rsidTr="004A2D3C">
        <w:trPr>
          <w:trHeight w:val="227"/>
        </w:trPr>
        <w:tc>
          <w:tcPr>
            <w:tcW w:w="6378" w:type="dxa"/>
            <w:tcBorders>
              <w:top w:val="single" w:sz="2" w:space="0" w:color="auto"/>
              <w:left w:val="nil"/>
              <w:bottom w:val="nil"/>
              <w:right w:val="nil"/>
            </w:tcBorders>
            <w:shd w:val="clear" w:color="auto" w:fill="auto"/>
            <w:noWrap/>
            <w:vAlign w:val="center"/>
            <w:hideMark/>
          </w:tcPr>
          <w:p w14:paraId="5933F20F" w14:textId="77777777" w:rsidR="00C30199" w:rsidRPr="004A3EE6" w:rsidRDefault="00C30199" w:rsidP="004211B2">
            <w:pPr>
              <w:pStyle w:val="cuatexto"/>
              <w:spacing w:line="240" w:lineRule="auto"/>
              <w:rPr>
                <w:lang w:val="es-ES" w:eastAsia="es-ES"/>
              </w:rPr>
            </w:pPr>
            <w:r w:rsidRPr="004A3EE6">
              <w:rPr>
                <w:lang w:val="es-ES" w:eastAsia="es-ES"/>
              </w:rPr>
              <w:t>Zonas regables Canal de Navarra. Ampliación 1ª Fase</w:t>
            </w:r>
          </w:p>
        </w:tc>
        <w:tc>
          <w:tcPr>
            <w:tcW w:w="2694" w:type="dxa"/>
            <w:tcBorders>
              <w:top w:val="single" w:sz="2" w:space="0" w:color="auto"/>
              <w:left w:val="nil"/>
              <w:bottom w:val="nil"/>
              <w:right w:val="nil"/>
            </w:tcBorders>
            <w:shd w:val="clear" w:color="auto" w:fill="auto"/>
            <w:noWrap/>
            <w:vAlign w:val="center"/>
            <w:hideMark/>
          </w:tcPr>
          <w:p w14:paraId="38DA0E01" w14:textId="77777777" w:rsidR="00C30199" w:rsidRPr="004A3EE6" w:rsidRDefault="00C30199" w:rsidP="004211B2">
            <w:pPr>
              <w:pStyle w:val="cuatexto"/>
              <w:spacing w:line="240" w:lineRule="auto"/>
              <w:jc w:val="right"/>
              <w:rPr>
                <w:lang w:val="es-ES" w:eastAsia="es-ES"/>
              </w:rPr>
            </w:pPr>
            <w:r w:rsidRPr="004A3EE6">
              <w:rPr>
                <w:lang w:val="es-ES" w:eastAsia="es-ES"/>
              </w:rPr>
              <w:t>35.394</w:t>
            </w:r>
          </w:p>
        </w:tc>
      </w:tr>
      <w:tr w:rsidR="00C30199" w:rsidRPr="004211B2" w14:paraId="73BC11F3" w14:textId="77777777" w:rsidTr="004A2D3C">
        <w:trPr>
          <w:trHeight w:val="227"/>
        </w:trPr>
        <w:tc>
          <w:tcPr>
            <w:tcW w:w="6378" w:type="dxa"/>
            <w:tcBorders>
              <w:top w:val="single" w:sz="4" w:space="0" w:color="auto"/>
              <w:left w:val="nil"/>
              <w:bottom w:val="single" w:sz="4" w:space="0" w:color="auto"/>
              <w:right w:val="nil"/>
            </w:tcBorders>
            <w:shd w:val="clear" w:color="auto" w:fill="B8CCE4" w:themeFill="accent1" w:themeFillTint="66"/>
            <w:noWrap/>
            <w:vAlign w:val="center"/>
            <w:hideMark/>
          </w:tcPr>
          <w:p w14:paraId="6CF9EA56" w14:textId="77777777" w:rsidR="00C30199" w:rsidRPr="004211B2" w:rsidRDefault="00C30199" w:rsidP="004211B2">
            <w:pPr>
              <w:pStyle w:val="cuadroCabe"/>
              <w:spacing w:line="240" w:lineRule="auto"/>
            </w:pPr>
            <w:r w:rsidRPr="004211B2">
              <w:t>Total</w:t>
            </w:r>
          </w:p>
        </w:tc>
        <w:tc>
          <w:tcPr>
            <w:tcW w:w="2694" w:type="dxa"/>
            <w:tcBorders>
              <w:top w:val="single" w:sz="4" w:space="0" w:color="auto"/>
              <w:left w:val="nil"/>
              <w:bottom w:val="single" w:sz="4" w:space="0" w:color="auto"/>
              <w:right w:val="nil"/>
            </w:tcBorders>
            <w:shd w:val="clear" w:color="auto" w:fill="B8CCE4" w:themeFill="accent1" w:themeFillTint="66"/>
            <w:noWrap/>
            <w:vAlign w:val="center"/>
            <w:hideMark/>
          </w:tcPr>
          <w:p w14:paraId="4A9FE90A" w14:textId="77777777" w:rsidR="00C30199" w:rsidRPr="004211B2" w:rsidRDefault="00C30199" w:rsidP="004211B2">
            <w:pPr>
              <w:pStyle w:val="cuadroCabe"/>
              <w:spacing w:line="240" w:lineRule="auto"/>
              <w:jc w:val="right"/>
            </w:pPr>
            <w:r w:rsidRPr="004211B2">
              <w:t>205.115</w:t>
            </w:r>
          </w:p>
        </w:tc>
      </w:tr>
    </w:tbl>
    <w:p w14:paraId="11099802" w14:textId="77777777" w:rsidR="00DE0C74" w:rsidRDefault="00DE0C74" w:rsidP="00205778">
      <w:pPr>
        <w:pStyle w:val="texto"/>
        <w:tabs>
          <w:tab w:val="clear" w:pos="2835"/>
          <w:tab w:val="clear" w:pos="3969"/>
          <w:tab w:val="clear" w:pos="5103"/>
          <w:tab w:val="clear" w:pos="6237"/>
          <w:tab w:val="clear" w:pos="7371"/>
        </w:tabs>
        <w:spacing w:after="0"/>
        <w:ind w:left="284" w:firstLine="0"/>
        <w:rPr>
          <w:i/>
          <w:szCs w:val="26"/>
        </w:rPr>
      </w:pPr>
    </w:p>
    <w:p w14:paraId="38193A9A" w14:textId="77777777" w:rsidR="00F01F6A" w:rsidRPr="00F01F6A" w:rsidRDefault="00F01F6A" w:rsidP="00F01F6A">
      <w:pPr>
        <w:pStyle w:val="texto"/>
        <w:numPr>
          <w:ilvl w:val="0"/>
          <w:numId w:val="33"/>
        </w:numPr>
        <w:tabs>
          <w:tab w:val="clear" w:pos="2835"/>
          <w:tab w:val="clear" w:pos="3969"/>
          <w:tab w:val="clear" w:pos="5103"/>
          <w:tab w:val="clear" w:pos="6237"/>
          <w:tab w:val="clear" w:pos="7371"/>
        </w:tabs>
        <w:ind w:left="0" w:firstLine="284"/>
        <w:rPr>
          <w:i/>
          <w:szCs w:val="26"/>
        </w:rPr>
      </w:pPr>
      <w:r>
        <w:rPr>
          <w:i/>
          <w:szCs w:val="26"/>
        </w:rPr>
        <w:t>Primera</w:t>
      </w:r>
      <w:r w:rsidR="00FB245E">
        <w:rPr>
          <w:i/>
          <w:szCs w:val="26"/>
        </w:rPr>
        <w:t xml:space="preserve"> F</w:t>
      </w:r>
      <w:r w:rsidRPr="00D741FD">
        <w:rPr>
          <w:i/>
          <w:szCs w:val="26"/>
        </w:rPr>
        <w:t>ase del Canal de Navarra</w:t>
      </w:r>
    </w:p>
    <w:p w14:paraId="3AE9F06D" w14:textId="77777777" w:rsidR="00C30199" w:rsidRDefault="00C30199" w:rsidP="004211B2">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240" w:after="120"/>
        <w:rPr>
          <w:szCs w:val="26"/>
        </w:rPr>
      </w:pPr>
      <w:r>
        <w:rPr>
          <w:szCs w:val="26"/>
        </w:rPr>
        <w:t>Un análisis más detallado del devengo e imputación al presupuesto anual, así como la evolución del consumo de agua y la superficie (Ha) en explotación, desde el i</w:t>
      </w:r>
      <w:r w:rsidR="00FB245E">
        <w:rPr>
          <w:szCs w:val="26"/>
        </w:rPr>
        <w:t>nicio de la concesión para la Primera F</w:t>
      </w:r>
      <w:r w:rsidR="00D00BCD">
        <w:rPr>
          <w:szCs w:val="26"/>
        </w:rPr>
        <w:t>ase de las Zonas R</w:t>
      </w:r>
      <w:r>
        <w:rPr>
          <w:szCs w:val="26"/>
        </w:rPr>
        <w:t>egables del Canal de Navarra sería el siguiente:</w:t>
      </w:r>
    </w:p>
    <w:p w14:paraId="3BB94E34" w14:textId="77777777" w:rsidR="007B2B72" w:rsidRPr="007B2B72" w:rsidRDefault="00CD3E31" w:rsidP="007B2B72">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jc w:val="right"/>
        <w:rPr>
          <w:rFonts w:ascii="Arial Narrow" w:hAnsi="Arial Narrow"/>
          <w:sz w:val="16"/>
          <w:szCs w:val="16"/>
        </w:rPr>
      </w:pPr>
      <w:r>
        <w:rPr>
          <w:rFonts w:ascii="Arial Narrow" w:hAnsi="Arial Narrow"/>
          <w:sz w:val="16"/>
          <w:szCs w:val="16"/>
        </w:rPr>
        <w:t>(</w:t>
      </w:r>
      <w:r w:rsidR="007B2B72" w:rsidRPr="007B2B72">
        <w:rPr>
          <w:rFonts w:ascii="Arial Narrow" w:hAnsi="Arial Narrow"/>
          <w:sz w:val="16"/>
          <w:szCs w:val="16"/>
        </w:rPr>
        <w:t>Miles</w:t>
      </w:r>
      <w:r w:rsidR="000217F2">
        <w:rPr>
          <w:rFonts w:ascii="Arial Narrow" w:hAnsi="Arial Narrow"/>
          <w:sz w:val="16"/>
          <w:szCs w:val="16"/>
        </w:rPr>
        <w:t>, salvo consumos y superficies</w:t>
      </w:r>
      <w:r>
        <w:rPr>
          <w:rFonts w:ascii="Arial Narrow" w:hAnsi="Arial Narrow"/>
          <w:sz w:val="16"/>
          <w:szCs w:val="16"/>
        </w:rPr>
        <w:t>)</w:t>
      </w:r>
    </w:p>
    <w:tbl>
      <w:tblPr>
        <w:tblW w:w="9072" w:type="dxa"/>
        <w:tblCellMar>
          <w:left w:w="70" w:type="dxa"/>
          <w:right w:w="70" w:type="dxa"/>
        </w:tblCellMar>
        <w:tblLook w:val="04A0" w:firstRow="1" w:lastRow="0" w:firstColumn="1" w:lastColumn="0" w:noHBand="0" w:noVBand="1"/>
      </w:tblPr>
      <w:tblGrid>
        <w:gridCol w:w="1701"/>
        <w:gridCol w:w="1134"/>
        <w:gridCol w:w="1276"/>
        <w:gridCol w:w="1434"/>
        <w:gridCol w:w="976"/>
        <w:gridCol w:w="1310"/>
        <w:gridCol w:w="1241"/>
      </w:tblGrid>
      <w:tr w:rsidR="00C30199" w:rsidRPr="007B2B72" w14:paraId="53A0C85C" w14:textId="77777777" w:rsidTr="004A2D3C">
        <w:trPr>
          <w:trHeight w:val="227"/>
        </w:trPr>
        <w:tc>
          <w:tcPr>
            <w:tcW w:w="1701" w:type="dxa"/>
            <w:tcBorders>
              <w:top w:val="single" w:sz="4" w:space="0" w:color="auto"/>
              <w:left w:val="nil"/>
              <w:bottom w:val="single" w:sz="4" w:space="0" w:color="auto"/>
              <w:right w:val="nil"/>
            </w:tcBorders>
            <w:shd w:val="clear" w:color="auto" w:fill="B8CCE4" w:themeFill="accent1" w:themeFillTint="66"/>
            <w:vAlign w:val="center"/>
            <w:hideMark/>
          </w:tcPr>
          <w:p w14:paraId="4EF9FB1B" w14:textId="77777777" w:rsidR="00C30199" w:rsidRPr="007B2B72" w:rsidRDefault="00C30199" w:rsidP="00D71071">
            <w:pPr>
              <w:pStyle w:val="cuadroCabe"/>
              <w:spacing w:line="240" w:lineRule="auto"/>
              <w:rPr>
                <w:sz w:val="16"/>
                <w:szCs w:val="16"/>
                <w:lang w:val="es-ES" w:eastAsia="es-ES"/>
              </w:rPr>
            </w:pPr>
            <w:r w:rsidRPr="007B2B72">
              <w:rPr>
                <w:sz w:val="16"/>
                <w:szCs w:val="16"/>
                <w:lang w:val="es-ES" w:eastAsia="es-ES"/>
              </w:rPr>
              <w:t>Año</w:t>
            </w:r>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672308F5" w14:textId="77777777" w:rsidR="007B2B72" w:rsidRDefault="00C30199" w:rsidP="00D71071">
            <w:pPr>
              <w:pStyle w:val="cuadroCabe"/>
              <w:spacing w:line="240" w:lineRule="auto"/>
              <w:jc w:val="right"/>
              <w:rPr>
                <w:sz w:val="16"/>
                <w:szCs w:val="16"/>
                <w:lang w:val="es-ES" w:eastAsia="es-ES"/>
              </w:rPr>
            </w:pPr>
            <w:r w:rsidRPr="007B2B72">
              <w:rPr>
                <w:sz w:val="16"/>
                <w:szCs w:val="16"/>
                <w:lang w:val="es-ES" w:eastAsia="es-ES"/>
              </w:rPr>
              <w:t>Consumos</w:t>
            </w:r>
          </w:p>
          <w:p w14:paraId="461B8A27" w14:textId="77777777" w:rsidR="00C30199" w:rsidRPr="007B2B72" w:rsidRDefault="00C30199" w:rsidP="00D71071">
            <w:pPr>
              <w:pStyle w:val="cuadroCabe"/>
              <w:spacing w:line="240" w:lineRule="auto"/>
              <w:jc w:val="right"/>
              <w:rPr>
                <w:sz w:val="16"/>
                <w:szCs w:val="16"/>
                <w:lang w:val="es-ES" w:eastAsia="es-ES"/>
              </w:rPr>
            </w:pPr>
            <w:r w:rsidRPr="007B2B72">
              <w:rPr>
                <w:sz w:val="16"/>
                <w:szCs w:val="16"/>
                <w:lang w:val="es-ES" w:eastAsia="es-ES"/>
              </w:rPr>
              <w:t xml:space="preserve"> (m</w:t>
            </w:r>
            <w:r w:rsidR="007B2B72" w:rsidRPr="007B2B72">
              <w:rPr>
                <w:sz w:val="16"/>
                <w:szCs w:val="16"/>
                <w:vertAlign w:val="superscript"/>
                <w:lang w:val="es-ES" w:eastAsia="es-ES"/>
              </w:rPr>
              <w:t>3</w:t>
            </w:r>
            <w:r w:rsidRPr="007B2B72">
              <w:rPr>
                <w:sz w:val="16"/>
                <w:szCs w:val="16"/>
                <w:lang w:val="es-ES" w:eastAsia="es-ES"/>
              </w:rPr>
              <w:t>)</w:t>
            </w:r>
          </w:p>
        </w:tc>
        <w:tc>
          <w:tcPr>
            <w:tcW w:w="1276" w:type="dxa"/>
            <w:tcBorders>
              <w:top w:val="single" w:sz="4" w:space="0" w:color="auto"/>
              <w:left w:val="nil"/>
              <w:bottom w:val="single" w:sz="4" w:space="0" w:color="auto"/>
              <w:right w:val="nil"/>
            </w:tcBorders>
            <w:shd w:val="clear" w:color="auto" w:fill="B8CCE4" w:themeFill="accent1" w:themeFillTint="66"/>
            <w:vAlign w:val="center"/>
            <w:hideMark/>
          </w:tcPr>
          <w:p w14:paraId="298FCA45" w14:textId="77777777" w:rsidR="004A2D3C" w:rsidRDefault="00C30199" w:rsidP="00D71071">
            <w:pPr>
              <w:pStyle w:val="cuadroCabe"/>
              <w:spacing w:line="240" w:lineRule="auto"/>
              <w:jc w:val="right"/>
              <w:rPr>
                <w:sz w:val="16"/>
                <w:szCs w:val="16"/>
                <w:lang w:val="es-ES" w:eastAsia="es-ES"/>
              </w:rPr>
            </w:pPr>
            <w:r w:rsidRPr="007B2B72">
              <w:rPr>
                <w:sz w:val="16"/>
                <w:szCs w:val="16"/>
                <w:lang w:val="es-ES" w:eastAsia="es-ES"/>
              </w:rPr>
              <w:t>Superficies</w:t>
            </w:r>
          </w:p>
          <w:p w14:paraId="0C4F7337" w14:textId="77777777" w:rsidR="00C30199" w:rsidRPr="007B2B72" w:rsidRDefault="00C30199" w:rsidP="00D71071">
            <w:pPr>
              <w:pStyle w:val="cuadroCabe"/>
              <w:spacing w:line="240" w:lineRule="auto"/>
              <w:jc w:val="right"/>
              <w:rPr>
                <w:sz w:val="16"/>
                <w:szCs w:val="16"/>
                <w:lang w:val="es-ES" w:eastAsia="es-ES"/>
              </w:rPr>
            </w:pPr>
            <w:r w:rsidRPr="007B2B72">
              <w:rPr>
                <w:sz w:val="16"/>
                <w:szCs w:val="16"/>
                <w:lang w:val="es-ES" w:eastAsia="es-ES"/>
              </w:rPr>
              <w:t xml:space="preserve"> (H</w:t>
            </w:r>
            <w:r w:rsidR="007B2B72" w:rsidRPr="007B2B72">
              <w:rPr>
                <w:sz w:val="16"/>
                <w:szCs w:val="16"/>
                <w:lang w:val="es-ES" w:eastAsia="es-ES"/>
              </w:rPr>
              <w:t>a</w:t>
            </w:r>
            <w:r w:rsidRPr="007B2B72">
              <w:rPr>
                <w:sz w:val="16"/>
                <w:szCs w:val="16"/>
                <w:lang w:val="es-ES" w:eastAsia="es-ES"/>
              </w:rPr>
              <w:t>)</w:t>
            </w:r>
          </w:p>
        </w:tc>
        <w:tc>
          <w:tcPr>
            <w:tcW w:w="1434" w:type="dxa"/>
            <w:tcBorders>
              <w:top w:val="single" w:sz="4" w:space="0" w:color="auto"/>
              <w:left w:val="nil"/>
              <w:bottom w:val="single" w:sz="4" w:space="0" w:color="auto"/>
              <w:right w:val="nil"/>
            </w:tcBorders>
            <w:shd w:val="clear" w:color="auto" w:fill="B8CCE4" w:themeFill="accent1" w:themeFillTint="66"/>
            <w:vAlign w:val="center"/>
            <w:hideMark/>
          </w:tcPr>
          <w:p w14:paraId="5F03B6A8" w14:textId="77777777" w:rsidR="00C30199" w:rsidRPr="007B2B72" w:rsidRDefault="00C30199" w:rsidP="00D71071">
            <w:pPr>
              <w:pStyle w:val="cuadroCabe"/>
              <w:spacing w:line="240" w:lineRule="auto"/>
              <w:jc w:val="right"/>
              <w:rPr>
                <w:sz w:val="16"/>
                <w:szCs w:val="16"/>
                <w:lang w:val="es-ES" w:eastAsia="es-ES"/>
              </w:rPr>
            </w:pPr>
            <w:r w:rsidRPr="007B2B72">
              <w:rPr>
                <w:sz w:val="16"/>
                <w:szCs w:val="16"/>
                <w:lang w:val="es-ES" w:eastAsia="es-ES"/>
              </w:rPr>
              <w:t xml:space="preserve">Devengo </w:t>
            </w:r>
            <w:r w:rsidR="001D3F2F" w:rsidRPr="007B2B72">
              <w:rPr>
                <w:sz w:val="16"/>
                <w:szCs w:val="16"/>
                <w:lang w:val="es-ES" w:eastAsia="es-ES"/>
              </w:rPr>
              <w:t>Canon</w:t>
            </w:r>
            <w:r w:rsidR="001D3F2F">
              <w:rPr>
                <w:sz w:val="16"/>
                <w:szCs w:val="16"/>
                <w:lang w:val="es-ES" w:eastAsia="es-ES"/>
              </w:rPr>
              <w:t xml:space="preserve"> d</w:t>
            </w:r>
            <w:r w:rsidR="001D3F2F" w:rsidRPr="007B2B72">
              <w:rPr>
                <w:sz w:val="16"/>
                <w:szCs w:val="16"/>
                <w:lang w:val="es-ES" w:eastAsia="es-ES"/>
              </w:rPr>
              <w:t>emanda</w:t>
            </w:r>
          </w:p>
        </w:tc>
        <w:tc>
          <w:tcPr>
            <w:tcW w:w="976" w:type="dxa"/>
            <w:tcBorders>
              <w:top w:val="single" w:sz="4" w:space="0" w:color="auto"/>
              <w:left w:val="nil"/>
              <w:bottom w:val="single" w:sz="4" w:space="0" w:color="auto"/>
              <w:right w:val="nil"/>
            </w:tcBorders>
            <w:shd w:val="clear" w:color="auto" w:fill="B8CCE4" w:themeFill="accent1" w:themeFillTint="66"/>
            <w:vAlign w:val="center"/>
            <w:hideMark/>
          </w:tcPr>
          <w:p w14:paraId="2C833548" w14:textId="77777777" w:rsidR="00C30199" w:rsidRPr="007B2B72" w:rsidRDefault="00C30199" w:rsidP="00D71071">
            <w:pPr>
              <w:pStyle w:val="cuadroCabe"/>
              <w:spacing w:line="240" w:lineRule="auto"/>
              <w:jc w:val="right"/>
              <w:rPr>
                <w:sz w:val="16"/>
                <w:szCs w:val="16"/>
                <w:lang w:val="es-ES" w:eastAsia="es-ES"/>
              </w:rPr>
            </w:pPr>
            <w:r w:rsidRPr="007B2B72">
              <w:rPr>
                <w:sz w:val="16"/>
                <w:szCs w:val="16"/>
                <w:lang w:val="es-ES" w:eastAsia="es-ES"/>
              </w:rPr>
              <w:t>Devengo CCGI</w:t>
            </w:r>
          </w:p>
        </w:tc>
        <w:tc>
          <w:tcPr>
            <w:tcW w:w="1310" w:type="dxa"/>
            <w:tcBorders>
              <w:top w:val="single" w:sz="4" w:space="0" w:color="auto"/>
              <w:left w:val="nil"/>
              <w:bottom w:val="single" w:sz="4" w:space="0" w:color="auto"/>
              <w:right w:val="nil"/>
            </w:tcBorders>
            <w:shd w:val="clear" w:color="auto" w:fill="B8CCE4" w:themeFill="accent1" w:themeFillTint="66"/>
            <w:vAlign w:val="center"/>
            <w:hideMark/>
          </w:tcPr>
          <w:p w14:paraId="409FD45D" w14:textId="77777777" w:rsidR="00C30199" w:rsidRPr="007B2B72" w:rsidRDefault="00C30199" w:rsidP="00D71071">
            <w:pPr>
              <w:pStyle w:val="cuadroCabe"/>
              <w:spacing w:line="240" w:lineRule="auto"/>
              <w:jc w:val="right"/>
              <w:rPr>
                <w:sz w:val="16"/>
                <w:szCs w:val="16"/>
                <w:lang w:val="es-ES" w:eastAsia="es-ES"/>
              </w:rPr>
            </w:pPr>
            <w:proofErr w:type="gramStart"/>
            <w:r w:rsidRPr="007B2B72">
              <w:rPr>
                <w:sz w:val="16"/>
                <w:szCs w:val="16"/>
                <w:lang w:val="es-ES" w:eastAsia="es-ES"/>
              </w:rPr>
              <w:t>Total</w:t>
            </w:r>
            <w:proofErr w:type="gramEnd"/>
            <w:r w:rsidRPr="007B2B72">
              <w:rPr>
                <w:sz w:val="16"/>
                <w:szCs w:val="16"/>
                <w:lang w:val="es-ES" w:eastAsia="es-ES"/>
              </w:rPr>
              <w:t xml:space="preserve"> devengo IVA incluido</w:t>
            </w:r>
          </w:p>
        </w:tc>
        <w:tc>
          <w:tcPr>
            <w:tcW w:w="1241" w:type="dxa"/>
            <w:tcBorders>
              <w:top w:val="single" w:sz="4" w:space="0" w:color="auto"/>
              <w:left w:val="nil"/>
              <w:bottom w:val="single" w:sz="4" w:space="0" w:color="auto"/>
              <w:right w:val="nil"/>
            </w:tcBorders>
            <w:shd w:val="clear" w:color="auto" w:fill="B8CCE4" w:themeFill="accent1" w:themeFillTint="66"/>
            <w:vAlign w:val="center"/>
            <w:hideMark/>
          </w:tcPr>
          <w:p w14:paraId="4EA2B905" w14:textId="77777777" w:rsidR="00C30199" w:rsidRPr="007B2B72" w:rsidRDefault="00C30199" w:rsidP="00D71071">
            <w:pPr>
              <w:pStyle w:val="cuadroCabe"/>
              <w:spacing w:line="240" w:lineRule="auto"/>
              <w:jc w:val="right"/>
              <w:rPr>
                <w:sz w:val="16"/>
                <w:szCs w:val="16"/>
                <w:lang w:val="es-ES" w:eastAsia="es-ES"/>
              </w:rPr>
            </w:pPr>
            <w:proofErr w:type="gramStart"/>
            <w:r w:rsidRPr="007B2B72">
              <w:rPr>
                <w:sz w:val="16"/>
                <w:szCs w:val="16"/>
                <w:lang w:val="es-ES" w:eastAsia="es-ES"/>
              </w:rPr>
              <w:t>Total</w:t>
            </w:r>
            <w:proofErr w:type="gramEnd"/>
            <w:r w:rsidRPr="007B2B72">
              <w:rPr>
                <w:sz w:val="16"/>
                <w:szCs w:val="16"/>
                <w:lang w:val="es-ES" w:eastAsia="es-ES"/>
              </w:rPr>
              <w:t xml:space="preserve"> gasto en presupuesto</w:t>
            </w:r>
          </w:p>
        </w:tc>
      </w:tr>
      <w:tr w:rsidR="00C30199" w:rsidRPr="00356F40" w14:paraId="66771510" w14:textId="77777777" w:rsidTr="004A2D3C">
        <w:trPr>
          <w:trHeight w:val="227"/>
        </w:trPr>
        <w:tc>
          <w:tcPr>
            <w:tcW w:w="1701" w:type="dxa"/>
            <w:tcBorders>
              <w:top w:val="nil"/>
              <w:left w:val="nil"/>
              <w:bottom w:val="single" w:sz="2" w:space="0" w:color="auto"/>
              <w:right w:val="nil"/>
            </w:tcBorders>
            <w:shd w:val="clear" w:color="auto" w:fill="auto"/>
            <w:noWrap/>
            <w:vAlign w:val="center"/>
            <w:hideMark/>
          </w:tcPr>
          <w:p w14:paraId="5A335F91" w14:textId="77777777" w:rsidR="00C30199" w:rsidRPr="00356F40" w:rsidRDefault="00C30199" w:rsidP="00D71071">
            <w:pPr>
              <w:pStyle w:val="cuatexto"/>
              <w:spacing w:line="240" w:lineRule="auto"/>
              <w:rPr>
                <w:lang w:val="es-ES" w:eastAsia="es-ES"/>
              </w:rPr>
            </w:pPr>
            <w:r w:rsidRPr="00356F40">
              <w:rPr>
                <w:lang w:val="es-ES" w:eastAsia="es-ES"/>
              </w:rPr>
              <w:t>2007</w:t>
            </w:r>
          </w:p>
        </w:tc>
        <w:tc>
          <w:tcPr>
            <w:tcW w:w="1134" w:type="dxa"/>
            <w:tcBorders>
              <w:top w:val="nil"/>
              <w:left w:val="nil"/>
              <w:bottom w:val="single" w:sz="2" w:space="0" w:color="auto"/>
              <w:right w:val="nil"/>
            </w:tcBorders>
            <w:shd w:val="clear" w:color="auto" w:fill="auto"/>
            <w:noWrap/>
            <w:vAlign w:val="center"/>
            <w:hideMark/>
          </w:tcPr>
          <w:p w14:paraId="7FE617F6" w14:textId="77777777" w:rsidR="00C30199" w:rsidRPr="00356F40" w:rsidRDefault="00C30199" w:rsidP="00D71071">
            <w:pPr>
              <w:pStyle w:val="cuatexto"/>
              <w:spacing w:line="240" w:lineRule="auto"/>
              <w:jc w:val="right"/>
              <w:rPr>
                <w:lang w:val="es-ES" w:eastAsia="es-ES"/>
              </w:rPr>
            </w:pPr>
            <w:r w:rsidRPr="00356F40">
              <w:rPr>
                <w:lang w:val="es-ES" w:eastAsia="es-ES"/>
              </w:rPr>
              <w:t>1.423.879</w:t>
            </w:r>
          </w:p>
        </w:tc>
        <w:tc>
          <w:tcPr>
            <w:tcW w:w="1276" w:type="dxa"/>
            <w:tcBorders>
              <w:top w:val="nil"/>
              <w:left w:val="nil"/>
              <w:bottom w:val="single" w:sz="2" w:space="0" w:color="auto"/>
              <w:right w:val="nil"/>
            </w:tcBorders>
            <w:shd w:val="clear" w:color="auto" w:fill="auto"/>
            <w:noWrap/>
            <w:vAlign w:val="center"/>
            <w:hideMark/>
          </w:tcPr>
          <w:p w14:paraId="393233DA" w14:textId="77777777" w:rsidR="00C30199" w:rsidRPr="00356F40" w:rsidRDefault="00C30199" w:rsidP="00D71071">
            <w:pPr>
              <w:pStyle w:val="cuatexto"/>
              <w:spacing w:line="240" w:lineRule="auto"/>
              <w:jc w:val="right"/>
              <w:rPr>
                <w:lang w:val="es-ES" w:eastAsia="es-ES"/>
              </w:rPr>
            </w:pPr>
            <w:r w:rsidRPr="00356F40">
              <w:rPr>
                <w:lang w:val="es-ES" w:eastAsia="es-ES"/>
              </w:rPr>
              <w:t>1.164</w:t>
            </w:r>
          </w:p>
        </w:tc>
        <w:tc>
          <w:tcPr>
            <w:tcW w:w="1434" w:type="dxa"/>
            <w:tcBorders>
              <w:top w:val="nil"/>
              <w:left w:val="nil"/>
              <w:bottom w:val="single" w:sz="2" w:space="0" w:color="auto"/>
              <w:right w:val="nil"/>
            </w:tcBorders>
            <w:shd w:val="clear" w:color="auto" w:fill="auto"/>
            <w:noWrap/>
            <w:vAlign w:val="center"/>
            <w:hideMark/>
          </w:tcPr>
          <w:p w14:paraId="55FBF2DB" w14:textId="77777777" w:rsidR="00C30199" w:rsidRPr="00356F40" w:rsidRDefault="00C30199" w:rsidP="00D71071">
            <w:pPr>
              <w:pStyle w:val="cuatexto"/>
              <w:spacing w:line="240" w:lineRule="auto"/>
              <w:jc w:val="right"/>
              <w:rPr>
                <w:lang w:val="es-ES" w:eastAsia="es-ES"/>
              </w:rPr>
            </w:pPr>
            <w:r w:rsidRPr="00356F40">
              <w:rPr>
                <w:lang w:val="es-ES" w:eastAsia="es-ES"/>
              </w:rPr>
              <w:t>70</w:t>
            </w:r>
          </w:p>
        </w:tc>
        <w:tc>
          <w:tcPr>
            <w:tcW w:w="976" w:type="dxa"/>
            <w:tcBorders>
              <w:top w:val="nil"/>
              <w:left w:val="nil"/>
              <w:bottom w:val="single" w:sz="2" w:space="0" w:color="auto"/>
              <w:right w:val="nil"/>
            </w:tcBorders>
            <w:shd w:val="clear" w:color="auto" w:fill="auto"/>
            <w:noWrap/>
            <w:vAlign w:val="center"/>
            <w:hideMark/>
          </w:tcPr>
          <w:p w14:paraId="3DA0B265" w14:textId="77777777" w:rsidR="00C30199" w:rsidRPr="00356F40" w:rsidRDefault="00C30199" w:rsidP="00D71071">
            <w:pPr>
              <w:pStyle w:val="cuatexto"/>
              <w:spacing w:line="240" w:lineRule="auto"/>
              <w:jc w:val="right"/>
              <w:rPr>
                <w:lang w:val="es-ES" w:eastAsia="es-ES"/>
              </w:rPr>
            </w:pPr>
            <w:r w:rsidRPr="00356F40">
              <w:rPr>
                <w:lang w:val="es-ES" w:eastAsia="es-ES"/>
              </w:rPr>
              <w:t>316</w:t>
            </w:r>
          </w:p>
        </w:tc>
        <w:tc>
          <w:tcPr>
            <w:tcW w:w="1310" w:type="dxa"/>
            <w:tcBorders>
              <w:top w:val="nil"/>
              <w:left w:val="nil"/>
              <w:bottom w:val="single" w:sz="2" w:space="0" w:color="auto"/>
              <w:right w:val="nil"/>
            </w:tcBorders>
            <w:shd w:val="clear" w:color="auto" w:fill="auto"/>
            <w:noWrap/>
            <w:vAlign w:val="center"/>
            <w:hideMark/>
          </w:tcPr>
          <w:p w14:paraId="58E8A9AD" w14:textId="77777777" w:rsidR="00C30199" w:rsidRPr="00356F40" w:rsidRDefault="00C30199" w:rsidP="00D71071">
            <w:pPr>
              <w:pStyle w:val="cuatexto"/>
              <w:spacing w:line="240" w:lineRule="auto"/>
              <w:jc w:val="right"/>
              <w:rPr>
                <w:lang w:val="es-ES" w:eastAsia="es-ES"/>
              </w:rPr>
            </w:pPr>
            <w:r w:rsidRPr="00356F40">
              <w:rPr>
                <w:lang w:val="es-ES" w:eastAsia="es-ES"/>
              </w:rPr>
              <w:t>448</w:t>
            </w:r>
          </w:p>
        </w:tc>
        <w:tc>
          <w:tcPr>
            <w:tcW w:w="1241" w:type="dxa"/>
            <w:tcBorders>
              <w:top w:val="nil"/>
              <w:left w:val="nil"/>
              <w:bottom w:val="single" w:sz="2" w:space="0" w:color="auto"/>
              <w:right w:val="nil"/>
            </w:tcBorders>
            <w:shd w:val="clear" w:color="auto" w:fill="auto"/>
            <w:noWrap/>
            <w:vAlign w:val="center"/>
            <w:hideMark/>
          </w:tcPr>
          <w:p w14:paraId="70C23BA5" w14:textId="77777777" w:rsidR="00C30199" w:rsidRPr="00356F40" w:rsidRDefault="00C30199" w:rsidP="00D71071">
            <w:pPr>
              <w:pStyle w:val="cuatexto"/>
              <w:spacing w:line="240" w:lineRule="auto"/>
              <w:jc w:val="right"/>
              <w:rPr>
                <w:lang w:val="es-ES" w:eastAsia="es-ES"/>
              </w:rPr>
            </w:pPr>
            <w:r w:rsidRPr="00356F40">
              <w:rPr>
                <w:lang w:val="es-ES" w:eastAsia="es-ES"/>
              </w:rPr>
              <w:t>448</w:t>
            </w:r>
          </w:p>
        </w:tc>
      </w:tr>
      <w:tr w:rsidR="00C30199" w:rsidRPr="00356F40" w14:paraId="727FAF41"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016FE4DA" w14:textId="77777777" w:rsidR="00C30199" w:rsidRPr="00356F40" w:rsidRDefault="00C30199" w:rsidP="00D71071">
            <w:pPr>
              <w:pStyle w:val="cuatexto"/>
              <w:spacing w:line="240" w:lineRule="auto"/>
              <w:rPr>
                <w:lang w:val="es-ES" w:eastAsia="es-ES"/>
              </w:rPr>
            </w:pPr>
            <w:r w:rsidRPr="00356F40">
              <w:rPr>
                <w:lang w:val="es-ES" w:eastAsia="es-ES"/>
              </w:rPr>
              <w:t>2008</w:t>
            </w:r>
          </w:p>
        </w:tc>
        <w:tc>
          <w:tcPr>
            <w:tcW w:w="1134" w:type="dxa"/>
            <w:tcBorders>
              <w:top w:val="single" w:sz="2" w:space="0" w:color="auto"/>
              <w:left w:val="nil"/>
              <w:bottom w:val="single" w:sz="2" w:space="0" w:color="auto"/>
              <w:right w:val="nil"/>
            </w:tcBorders>
            <w:shd w:val="clear" w:color="auto" w:fill="auto"/>
            <w:noWrap/>
            <w:vAlign w:val="center"/>
            <w:hideMark/>
          </w:tcPr>
          <w:p w14:paraId="3CAB3119" w14:textId="77777777" w:rsidR="00C30199" w:rsidRPr="00356F40" w:rsidRDefault="00C30199" w:rsidP="00D71071">
            <w:pPr>
              <w:pStyle w:val="cuatexto"/>
              <w:spacing w:line="240" w:lineRule="auto"/>
              <w:jc w:val="right"/>
              <w:rPr>
                <w:lang w:val="es-ES" w:eastAsia="es-ES"/>
              </w:rPr>
            </w:pPr>
            <w:r w:rsidRPr="00356F40">
              <w:rPr>
                <w:lang w:val="es-ES" w:eastAsia="es-ES"/>
              </w:rPr>
              <w:t>4.693.560</w:t>
            </w:r>
          </w:p>
        </w:tc>
        <w:tc>
          <w:tcPr>
            <w:tcW w:w="1276" w:type="dxa"/>
            <w:tcBorders>
              <w:top w:val="single" w:sz="2" w:space="0" w:color="auto"/>
              <w:left w:val="nil"/>
              <w:bottom w:val="single" w:sz="2" w:space="0" w:color="auto"/>
              <w:right w:val="nil"/>
            </w:tcBorders>
            <w:shd w:val="clear" w:color="auto" w:fill="auto"/>
            <w:noWrap/>
            <w:vAlign w:val="center"/>
            <w:hideMark/>
          </w:tcPr>
          <w:p w14:paraId="0E8764E0" w14:textId="77777777" w:rsidR="00C30199" w:rsidRPr="00356F40" w:rsidRDefault="00C30199" w:rsidP="00D71071">
            <w:pPr>
              <w:pStyle w:val="cuatexto"/>
              <w:spacing w:line="240" w:lineRule="auto"/>
              <w:jc w:val="right"/>
              <w:rPr>
                <w:lang w:val="es-ES" w:eastAsia="es-ES"/>
              </w:rPr>
            </w:pPr>
            <w:r w:rsidRPr="00356F40">
              <w:rPr>
                <w:lang w:val="es-ES" w:eastAsia="es-ES"/>
              </w:rPr>
              <w:t>6.494</w:t>
            </w:r>
          </w:p>
        </w:tc>
        <w:tc>
          <w:tcPr>
            <w:tcW w:w="1434" w:type="dxa"/>
            <w:tcBorders>
              <w:top w:val="single" w:sz="2" w:space="0" w:color="auto"/>
              <w:left w:val="nil"/>
              <w:bottom w:val="single" w:sz="2" w:space="0" w:color="auto"/>
              <w:right w:val="nil"/>
            </w:tcBorders>
            <w:shd w:val="clear" w:color="auto" w:fill="auto"/>
            <w:noWrap/>
            <w:vAlign w:val="center"/>
            <w:hideMark/>
          </w:tcPr>
          <w:p w14:paraId="7B35ADAD" w14:textId="77777777" w:rsidR="00C30199" w:rsidRPr="00356F40" w:rsidRDefault="00C30199" w:rsidP="00D71071">
            <w:pPr>
              <w:pStyle w:val="cuatexto"/>
              <w:spacing w:line="240" w:lineRule="auto"/>
              <w:jc w:val="right"/>
              <w:rPr>
                <w:lang w:val="es-ES" w:eastAsia="es-ES"/>
              </w:rPr>
            </w:pPr>
            <w:r w:rsidRPr="00356F40">
              <w:rPr>
                <w:lang w:val="es-ES" w:eastAsia="es-ES"/>
              </w:rPr>
              <w:t>220</w:t>
            </w:r>
          </w:p>
        </w:tc>
        <w:tc>
          <w:tcPr>
            <w:tcW w:w="976" w:type="dxa"/>
            <w:tcBorders>
              <w:top w:val="single" w:sz="2" w:space="0" w:color="auto"/>
              <w:left w:val="nil"/>
              <w:bottom w:val="single" w:sz="2" w:space="0" w:color="auto"/>
              <w:right w:val="nil"/>
            </w:tcBorders>
            <w:shd w:val="clear" w:color="auto" w:fill="auto"/>
            <w:noWrap/>
            <w:vAlign w:val="center"/>
            <w:hideMark/>
          </w:tcPr>
          <w:p w14:paraId="5554D0EA" w14:textId="77777777" w:rsidR="00C30199" w:rsidRPr="00356F40" w:rsidRDefault="00C30199" w:rsidP="00D71071">
            <w:pPr>
              <w:pStyle w:val="cuatexto"/>
              <w:spacing w:line="240" w:lineRule="auto"/>
              <w:jc w:val="right"/>
              <w:rPr>
                <w:lang w:val="es-ES" w:eastAsia="es-ES"/>
              </w:rPr>
            </w:pPr>
            <w:r w:rsidRPr="00356F40">
              <w:rPr>
                <w:lang w:val="es-ES" w:eastAsia="es-ES"/>
              </w:rPr>
              <w:t>969</w:t>
            </w:r>
          </w:p>
        </w:tc>
        <w:tc>
          <w:tcPr>
            <w:tcW w:w="1310" w:type="dxa"/>
            <w:tcBorders>
              <w:top w:val="single" w:sz="2" w:space="0" w:color="auto"/>
              <w:left w:val="nil"/>
              <w:bottom w:val="single" w:sz="2" w:space="0" w:color="auto"/>
              <w:right w:val="nil"/>
            </w:tcBorders>
            <w:shd w:val="clear" w:color="auto" w:fill="auto"/>
            <w:noWrap/>
            <w:vAlign w:val="center"/>
            <w:hideMark/>
          </w:tcPr>
          <w:p w14:paraId="31DF7FA5" w14:textId="77777777" w:rsidR="00C30199" w:rsidRPr="00356F40" w:rsidRDefault="00C30199" w:rsidP="00D71071">
            <w:pPr>
              <w:pStyle w:val="cuatexto"/>
              <w:spacing w:line="240" w:lineRule="auto"/>
              <w:jc w:val="right"/>
              <w:rPr>
                <w:lang w:val="es-ES" w:eastAsia="es-ES"/>
              </w:rPr>
            </w:pPr>
            <w:r w:rsidRPr="00356F40">
              <w:rPr>
                <w:lang w:val="es-ES" w:eastAsia="es-ES"/>
              </w:rPr>
              <w:t>1.380</w:t>
            </w:r>
          </w:p>
        </w:tc>
        <w:tc>
          <w:tcPr>
            <w:tcW w:w="1241" w:type="dxa"/>
            <w:tcBorders>
              <w:top w:val="single" w:sz="2" w:space="0" w:color="auto"/>
              <w:left w:val="nil"/>
              <w:bottom w:val="single" w:sz="2" w:space="0" w:color="auto"/>
              <w:right w:val="nil"/>
            </w:tcBorders>
            <w:shd w:val="clear" w:color="auto" w:fill="auto"/>
            <w:noWrap/>
            <w:vAlign w:val="center"/>
            <w:hideMark/>
          </w:tcPr>
          <w:p w14:paraId="6630A03A" w14:textId="77777777" w:rsidR="00C30199" w:rsidRPr="00356F40" w:rsidRDefault="00C30199" w:rsidP="00D71071">
            <w:pPr>
              <w:pStyle w:val="cuatexto"/>
              <w:spacing w:line="240" w:lineRule="auto"/>
              <w:jc w:val="right"/>
              <w:rPr>
                <w:lang w:val="es-ES" w:eastAsia="es-ES"/>
              </w:rPr>
            </w:pPr>
            <w:r w:rsidRPr="00356F40">
              <w:rPr>
                <w:lang w:val="es-ES" w:eastAsia="es-ES"/>
              </w:rPr>
              <w:t>1.380</w:t>
            </w:r>
          </w:p>
        </w:tc>
      </w:tr>
      <w:tr w:rsidR="00C30199" w:rsidRPr="00356F40" w14:paraId="4F96E962"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277336D1" w14:textId="77777777" w:rsidR="00C30199" w:rsidRPr="00356F40" w:rsidRDefault="00C30199" w:rsidP="00D71071">
            <w:pPr>
              <w:pStyle w:val="cuatexto"/>
              <w:spacing w:line="240" w:lineRule="auto"/>
              <w:rPr>
                <w:lang w:val="es-ES" w:eastAsia="es-ES"/>
              </w:rPr>
            </w:pPr>
            <w:r w:rsidRPr="00356F40">
              <w:rPr>
                <w:lang w:val="es-ES" w:eastAsia="es-ES"/>
              </w:rPr>
              <w:t>2009</w:t>
            </w:r>
          </w:p>
        </w:tc>
        <w:tc>
          <w:tcPr>
            <w:tcW w:w="1134" w:type="dxa"/>
            <w:tcBorders>
              <w:top w:val="single" w:sz="2" w:space="0" w:color="auto"/>
              <w:left w:val="nil"/>
              <w:bottom w:val="single" w:sz="2" w:space="0" w:color="auto"/>
              <w:right w:val="nil"/>
            </w:tcBorders>
            <w:shd w:val="clear" w:color="auto" w:fill="auto"/>
            <w:noWrap/>
            <w:vAlign w:val="center"/>
            <w:hideMark/>
          </w:tcPr>
          <w:p w14:paraId="0A0AC07A" w14:textId="77777777" w:rsidR="00C30199" w:rsidRPr="00356F40" w:rsidRDefault="00C30199" w:rsidP="00D71071">
            <w:pPr>
              <w:pStyle w:val="cuatexto"/>
              <w:spacing w:line="240" w:lineRule="auto"/>
              <w:jc w:val="right"/>
              <w:rPr>
                <w:lang w:val="es-ES" w:eastAsia="es-ES"/>
              </w:rPr>
            </w:pPr>
            <w:r w:rsidRPr="00356F40">
              <w:rPr>
                <w:lang w:val="es-ES" w:eastAsia="es-ES"/>
              </w:rPr>
              <w:t>18.418.986</w:t>
            </w:r>
          </w:p>
        </w:tc>
        <w:tc>
          <w:tcPr>
            <w:tcW w:w="1276" w:type="dxa"/>
            <w:tcBorders>
              <w:top w:val="single" w:sz="2" w:space="0" w:color="auto"/>
              <w:left w:val="nil"/>
              <w:bottom w:val="single" w:sz="2" w:space="0" w:color="auto"/>
              <w:right w:val="nil"/>
            </w:tcBorders>
            <w:shd w:val="clear" w:color="auto" w:fill="auto"/>
            <w:noWrap/>
            <w:vAlign w:val="center"/>
            <w:hideMark/>
          </w:tcPr>
          <w:p w14:paraId="5986C5E9" w14:textId="77777777" w:rsidR="00C30199" w:rsidRPr="00356F40" w:rsidRDefault="00C30199" w:rsidP="00D71071">
            <w:pPr>
              <w:pStyle w:val="cuatexto"/>
              <w:spacing w:line="240" w:lineRule="auto"/>
              <w:jc w:val="right"/>
              <w:rPr>
                <w:lang w:val="es-ES" w:eastAsia="es-ES"/>
              </w:rPr>
            </w:pPr>
            <w:r w:rsidRPr="00356F40">
              <w:rPr>
                <w:lang w:val="es-ES" w:eastAsia="es-ES"/>
              </w:rPr>
              <w:t>13.332</w:t>
            </w:r>
          </w:p>
        </w:tc>
        <w:tc>
          <w:tcPr>
            <w:tcW w:w="1434" w:type="dxa"/>
            <w:tcBorders>
              <w:top w:val="single" w:sz="2" w:space="0" w:color="auto"/>
              <w:left w:val="nil"/>
              <w:bottom w:val="single" w:sz="2" w:space="0" w:color="auto"/>
              <w:right w:val="nil"/>
            </w:tcBorders>
            <w:shd w:val="clear" w:color="auto" w:fill="auto"/>
            <w:noWrap/>
            <w:vAlign w:val="center"/>
            <w:hideMark/>
          </w:tcPr>
          <w:p w14:paraId="22636153" w14:textId="77777777" w:rsidR="00C30199" w:rsidRPr="00356F40" w:rsidRDefault="00C30199" w:rsidP="00D71071">
            <w:pPr>
              <w:pStyle w:val="cuatexto"/>
              <w:spacing w:line="240" w:lineRule="auto"/>
              <w:jc w:val="right"/>
              <w:rPr>
                <w:lang w:val="es-ES" w:eastAsia="es-ES"/>
              </w:rPr>
            </w:pPr>
            <w:r w:rsidRPr="00356F40">
              <w:rPr>
                <w:lang w:val="es-ES" w:eastAsia="es-ES"/>
              </w:rPr>
              <w:t>903</w:t>
            </w:r>
          </w:p>
        </w:tc>
        <w:tc>
          <w:tcPr>
            <w:tcW w:w="976" w:type="dxa"/>
            <w:tcBorders>
              <w:top w:val="single" w:sz="2" w:space="0" w:color="auto"/>
              <w:left w:val="nil"/>
              <w:bottom w:val="single" w:sz="2" w:space="0" w:color="auto"/>
              <w:right w:val="nil"/>
            </w:tcBorders>
            <w:shd w:val="clear" w:color="auto" w:fill="auto"/>
            <w:noWrap/>
            <w:vAlign w:val="center"/>
            <w:hideMark/>
          </w:tcPr>
          <w:p w14:paraId="59997349" w14:textId="77777777" w:rsidR="00C30199" w:rsidRPr="00356F40" w:rsidRDefault="00C30199" w:rsidP="00D71071">
            <w:pPr>
              <w:pStyle w:val="cuatexto"/>
              <w:spacing w:line="240" w:lineRule="auto"/>
              <w:jc w:val="right"/>
              <w:rPr>
                <w:lang w:val="es-ES" w:eastAsia="es-ES"/>
              </w:rPr>
            </w:pPr>
            <w:r w:rsidRPr="00356F40">
              <w:rPr>
                <w:lang w:val="es-ES" w:eastAsia="es-ES"/>
              </w:rPr>
              <w:t>2.470</w:t>
            </w:r>
          </w:p>
        </w:tc>
        <w:tc>
          <w:tcPr>
            <w:tcW w:w="1310" w:type="dxa"/>
            <w:tcBorders>
              <w:top w:val="single" w:sz="2" w:space="0" w:color="auto"/>
              <w:left w:val="nil"/>
              <w:bottom w:val="single" w:sz="2" w:space="0" w:color="auto"/>
              <w:right w:val="nil"/>
            </w:tcBorders>
            <w:shd w:val="clear" w:color="auto" w:fill="auto"/>
            <w:noWrap/>
            <w:vAlign w:val="center"/>
            <w:hideMark/>
          </w:tcPr>
          <w:p w14:paraId="6EE891F5" w14:textId="77777777" w:rsidR="00C30199" w:rsidRPr="00356F40" w:rsidRDefault="00C30199" w:rsidP="00D71071">
            <w:pPr>
              <w:pStyle w:val="cuatexto"/>
              <w:spacing w:line="240" w:lineRule="auto"/>
              <w:jc w:val="right"/>
              <w:rPr>
                <w:lang w:val="es-ES" w:eastAsia="es-ES"/>
              </w:rPr>
            </w:pPr>
            <w:r w:rsidRPr="00356F40">
              <w:rPr>
                <w:lang w:val="es-ES" w:eastAsia="es-ES"/>
              </w:rPr>
              <w:t>3.912</w:t>
            </w:r>
          </w:p>
        </w:tc>
        <w:tc>
          <w:tcPr>
            <w:tcW w:w="1241" w:type="dxa"/>
            <w:tcBorders>
              <w:top w:val="single" w:sz="2" w:space="0" w:color="auto"/>
              <w:left w:val="nil"/>
              <w:bottom w:val="single" w:sz="2" w:space="0" w:color="auto"/>
              <w:right w:val="nil"/>
            </w:tcBorders>
            <w:shd w:val="clear" w:color="auto" w:fill="auto"/>
            <w:noWrap/>
            <w:vAlign w:val="center"/>
            <w:hideMark/>
          </w:tcPr>
          <w:p w14:paraId="6B34470F" w14:textId="77777777" w:rsidR="00C30199" w:rsidRPr="00356F40" w:rsidRDefault="00C30199" w:rsidP="00D71071">
            <w:pPr>
              <w:pStyle w:val="cuatexto"/>
              <w:spacing w:line="240" w:lineRule="auto"/>
              <w:jc w:val="right"/>
              <w:rPr>
                <w:lang w:val="es-ES" w:eastAsia="es-ES"/>
              </w:rPr>
            </w:pPr>
            <w:r w:rsidRPr="00356F40">
              <w:rPr>
                <w:lang w:val="es-ES" w:eastAsia="es-ES"/>
              </w:rPr>
              <w:t>3.912</w:t>
            </w:r>
          </w:p>
        </w:tc>
      </w:tr>
      <w:tr w:rsidR="00C30199" w:rsidRPr="00356F40" w14:paraId="74D203F3"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6B8433D5" w14:textId="77777777" w:rsidR="00C30199" w:rsidRPr="00356F40" w:rsidRDefault="00C30199" w:rsidP="00D71071">
            <w:pPr>
              <w:pStyle w:val="cuatexto"/>
              <w:spacing w:line="240" w:lineRule="auto"/>
              <w:rPr>
                <w:lang w:val="es-ES" w:eastAsia="es-ES"/>
              </w:rPr>
            </w:pPr>
            <w:r w:rsidRPr="00356F40">
              <w:rPr>
                <w:lang w:val="es-ES" w:eastAsia="es-ES"/>
              </w:rPr>
              <w:t>2010</w:t>
            </w:r>
          </w:p>
        </w:tc>
        <w:tc>
          <w:tcPr>
            <w:tcW w:w="1134" w:type="dxa"/>
            <w:tcBorders>
              <w:top w:val="single" w:sz="2" w:space="0" w:color="auto"/>
              <w:left w:val="nil"/>
              <w:bottom w:val="single" w:sz="2" w:space="0" w:color="auto"/>
              <w:right w:val="nil"/>
            </w:tcBorders>
            <w:shd w:val="clear" w:color="auto" w:fill="auto"/>
            <w:noWrap/>
            <w:vAlign w:val="center"/>
            <w:hideMark/>
          </w:tcPr>
          <w:p w14:paraId="49C56D69" w14:textId="77777777" w:rsidR="00C30199" w:rsidRPr="00356F40" w:rsidRDefault="00C30199" w:rsidP="00D71071">
            <w:pPr>
              <w:pStyle w:val="cuatexto"/>
              <w:spacing w:line="240" w:lineRule="auto"/>
              <w:jc w:val="right"/>
              <w:rPr>
                <w:lang w:val="es-ES" w:eastAsia="es-ES"/>
              </w:rPr>
            </w:pPr>
            <w:r w:rsidRPr="00356F40">
              <w:rPr>
                <w:lang w:val="es-ES" w:eastAsia="es-ES"/>
              </w:rPr>
              <w:t>32.840.294</w:t>
            </w:r>
          </w:p>
        </w:tc>
        <w:tc>
          <w:tcPr>
            <w:tcW w:w="1276" w:type="dxa"/>
            <w:tcBorders>
              <w:top w:val="single" w:sz="2" w:space="0" w:color="auto"/>
              <w:left w:val="nil"/>
              <w:bottom w:val="single" w:sz="2" w:space="0" w:color="auto"/>
              <w:right w:val="nil"/>
            </w:tcBorders>
            <w:shd w:val="clear" w:color="auto" w:fill="auto"/>
            <w:noWrap/>
            <w:vAlign w:val="center"/>
            <w:hideMark/>
          </w:tcPr>
          <w:p w14:paraId="360338E0" w14:textId="77777777" w:rsidR="00C30199" w:rsidRPr="00356F40" w:rsidRDefault="00C30199" w:rsidP="00D71071">
            <w:pPr>
              <w:pStyle w:val="cuatexto"/>
              <w:spacing w:line="240" w:lineRule="auto"/>
              <w:jc w:val="right"/>
              <w:rPr>
                <w:lang w:val="es-ES" w:eastAsia="es-ES"/>
              </w:rPr>
            </w:pPr>
            <w:r w:rsidRPr="00356F40">
              <w:rPr>
                <w:lang w:val="es-ES" w:eastAsia="es-ES"/>
              </w:rPr>
              <w:t>16.622</w:t>
            </w:r>
          </w:p>
        </w:tc>
        <w:tc>
          <w:tcPr>
            <w:tcW w:w="1434" w:type="dxa"/>
            <w:tcBorders>
              <w:top w:val="single" w:sz="2" w:space="0" w:color="auto"/>
              <w:left w:val="nil"/>
              <w:bottom w:val="single" w:sz="2" w:space="0" w:color="auto"/>
              <w:right w:val="nil"/>
            </w:tcBorders>
            <w:shd w:val="clear" w:color="auto" w:fill="auto"/>
            <w:noWrap/>
            <w:vAlign w:val="center"/>
            <w:hideMark/>
          </w:tcPr>
          <w:p w14:paraId="34A9BA26" w14:textId="77777777" w:rsidR="00C30199" w:rsidRPr="00356F40" w:rsidRDefault="00C30199" w:rsidP="00D71071">
            <w:pPr>
              <w:pStyle w:val="cuatexto"/>
              <w:spacing w:line="240" w:lineRule="auto"/>
              <w:jc w:val="right"/>
              <w:rPr>
                <w:lang w:val="es-ES" w:eastAsia="es-ES"/>
              </w:rPr>
            </w:pPr>
            <w:r w:rsidRPr="00356F40">
              <w:rPr>
                <w:lang w:val="es-ES" w:eastAsia="es-ES"/>
              </w:rPr>
              <w:t>1.697</w:t>
            </w:r>
          </w:p>
        </w:tc>
        <w:tc>
          <w:tcPr>
            <w:tcW w:w="976" w:type="dxa"/>
            <w:tcBorders>
              <w:top w:val="single" w:sz="2" w:space="0" w:color="auto"/>
              <w:left w:val="nil"/>
              <w:bottom w:val="single" w:sz="2" w:space="0" w:color="auto"/>
              <w:right w:val="nil"/>
            </w:tcBorders>
            <w:shd w:val="clear" w:color="auto" w:fill="auto"/>
            <w:noWrap/>
            <w:vAlign w:val="center"/>
            <w:hideMark/>
          </w:tcPr>
          <w:p w14:paraId="6E57164C" w14:textId="77777777" w:rsidR="00C30199" w:rsidRPr="00356F40" w:rsidRDefault="00C30199" w:rsidP="00D71071">
            <w:pPr>
              <w:pStyle w:val="cuatexto"/>
              <w:spacing w:line="240" w:lineRule="auto"/>
              <w:jc w:val="right"/>
              <w:rPr>
                <w:lang w:val="es-ES" w:eastAsia="es-ES"/>
              </w:rPr>
            </w:pPr>
            <w:r w:rsidRPr="00356F40">
              <w:rPr>
                <w:lang w:val="es-ES" w:eastAsia="es-ES"/>
              </w:rPr>
              <w:t>3.642</w:t>
            </w:r>
          </w:p>
        </w:tc>
        <w:tc>
          <w:tcPr>
            <w:tcW w:w="1310" w:type="dxa"/>
            <w:tcBorders>
              <w:top w:val="single" w:sz="2" w:space="0" w:color="auto"/>
              <w:left w:val="nil"/>
              <w:bottom w:val="single" w:sz="2" w:space="0" w:color="auto"/>
              <w:right w:val="nil"/>
            </w:tcBorders>
            <w:shd w:val="clear" w:color="auto" w:fill="auto"/>
            <w:noWrap/>
            <w:vAlign w:val="center"/>
            <w:hideMark/>
          </w:tcPr>
          <w:p w14:paraId="1DFF614A" w14:textId="77777777" w:rsidR="00C30199" w:rsidRPr="00356F40" w:rsidRDefault="00C30199" w:rsidP="00D71071">
            <w:pPr>
              <w:pStyle w:val="cuatexto"/>
              <w:spacing w:line="240" w:lineRule="auto"/>
              <w:jc w:val="right"/>
              <w:rPr>
                <w:lang w:val="es-ES" w:eastAsia="es-ES"/>
              </w:rPr>
            </w:pPr>
            <w:r w:rsidRPr="00356F40">
              <w:rPr>
                <w:lang w:val="es-ES" w:eastAsia="es-ES"/>
              </w:rPr>
              <w:t>6.256</w:t>
            </w:r>
          </w:p>
        </w:tc>
        <w:tc>
          <w:tcPr>
            <w:tcW w:w="1241" w:type="dxa"/>
            <w:tcBorders>
              <w:top w:val="single" w:sz="2" w:space="0" w:color="auto"/>
              <w:left w:val="nil"/>
              <w:bottom w:val="single" w:sz="2" w:space="0" w:color="auto"/>
              <w:right w:val="nil"/>
            </w:tcBorders>
            <w:shd w:val="clear" w:color="auto" w:fill="auto"/>
            <w:noWrap/>
            <w:vAlign w:val="center"/>
            <w:hideMark/>
          </w:tcPr>
          <w:p w14:paraId="69441B23" w14:textId="77777777" w:rsidR="00C30199" w:rsidRPr="00356F40" w:rsidRDefault="00C30199" w:rsidP="00D71071">
            <w:pPr>
              <w:pStyle w:val="cuatexto"/>
              <w:spacing w:line="240" w:lineRule="auto"/>
              <w:jc w:val="right"/>
              <w:rPr>
                <w:lang w:val="es-ES" w:eastAsia="es-ES"/>
              </w:rPr>
            </w:pPr>
            <w:r w:rsidRPr="00356F40">
              <w:rPr>
                <w:lang w:val="es-ES" w:eastAsia="es-ES"/>
              </w:rPr>
              <w:t>6.256</w:t>
            </w:r>
          </w:p>
        </w:tc>
      </w:tr>
      <w:tr w:rsidR="00C30199" w:rsidRPr="00356F40" w14:paraId="43B47A77"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37EE733E" w14:textId="77777777" w:rsidR="00C30199" w:rsidRPr="00356F40" w:rsidRDefault="00C30199" w:rsidP="00D71071">
            <w:pPr>
              <w:pStyle w:val="cuatexto"/>
              <w:spacing w:line="240" w:lineRule="auto"/>
              <w:rPr>
                <w:lang w:val="es-ES" w:eastAsia="es-ES"/>
              </w:rPr>
            </w:pPr>
            <w:r w:rsidRPr="00356F40">
              <w:rPr>
                <w:lang w:val="es-ES" w:eastAsia="es-ES"/>
              </w:rPr>
              <w:t>2011</w:t>
            </w:r>
          </w:p>
        </w:tc>
        <w:tc>
          <w:tcPr>
            <w:tcW w:w="1134" w:type="dxa"/>
            <w:tcBorders>
              <w:top w:val="single" w:sz="2" w:space="0" w:color="auto"/>
              <w:left w:val="nil"/>
              <w:bottom w:val="single" w:sz="2" w:space="0" w:color="auto"/>
              <w:right w:val="nil"/>
            </w:tcBorders>
            <w:shd w:val="clear" w:color="auto" w:fill="auto"/>
            <w:noWrap/>
            <w:vAlign w:val="center"/>
            <w:hideMark/>
          </w:tcPr>
          <w:p w14:paraId="51C7F600" w14:textId="77777777" w:rsidR="00C30199" w:rsidRPr="00356F40" w:rsidRDefault="00C30199" w:rsidP="00D71071">
            <w:pPr>
              <w:pStyle w:val="cuatexto"/>
              <w:spacing w:line="240" w:lineRule="auto"/>
              <w:jc w:val="right"/>
              <w:rPr>
                <w:lang w:val="es-ES" w:eastAsia="es-ES"/>
              </w:rPr>
            </w:pPr>
            <w:r w:rsidRPr="00356F40">
              <w:rPr>
                <w:lang w:val="es-ES" w:eastAsia="es-ES"/>
              </w:rPr>
              <w:t>62.477.661</w:t>
            </w:r>
          </w:p>
        </w:tc>
        <w:tc>
          <w:tcPr>
            <w:tcW w:w="1276" w:type="dxa"/>
            <w:tcBorders>
              <w:top w:val="single" w:sz="2" w:space="0" w:color="auto"/>
              <w:left w:val="nil"/>
              <w:bottom w:val="single" w:sz="2" w:space="0" w:color="auto"/>
              <w:right w:val="nil"/>
            </w:tcBorders>
            <w:shd w:val="clear" w:color="auto" w:fill="auto"/>
            <w:noWrap/>
            <w:vAlign w:val="center"/>
            <w:hideMark/>
          </w:tcPr>
          <w:p w14:paraId="7F354E17" w14:textId="77777777" w:rsidR="00C30199" w:rsidRPr="00356F40" w:rsidRDefault="00C30199" w:rsidP="00D71071">
            <w:pPr>
              <w:pStyle w:val="cuatexto"/>
              <w:spacing w:line="240" w:lineRule="auto"/>
              <w:jc w:val="right"/>
              <w:rPr>
                <w:lang w:val="es-ES" w:eastAsia="es-ES"/>
              </w:rPr>
            </w:pPr>
            <w:r w:rsidRPr="00356F40">
              <w:rPr>
                <w:lang w:val="es-ES" w:eastAsia="es-ES"/>
              </w:rPr>
              <w:t>22.353</w:t>
            </w:r>
          </w:p>
        </w:tc>
        <w:tc>
          <w:tcPr>
            <w:tcW w:w="1434" w:type="dxa"/>
            <w:tcBorders>
              <w:top w:val="single" w:sz="2" w:space="0" w:color="auto"/>
              <w:left w:val="nil"/>
              <w:bottom w:val="single" w:sz="2" w:space="0" w:color="auto"/>
              <w:right w:val="nil"/>
            </w:tcBorders>
            <w:shd w:val="clear" w:color="auto" w:fill="auto"/>
            <w:noWrap/>
            <w:vAlign w:val="center"/>
            <w:hideMark/>
          </w:tcPr>
          <w:p w14:paraId="3B01BE5E" w14:textId="77777777" w:rsidR="00C30199" w:rsidRPr="00356F40" w:rsidRDefault="00C30199" w:rsidP="00D71071">
            <w:pPr>
              <w:pStyle w:val="cuatexto"/>
              <w:spacing w:line="240" w:lineRule="auto"/>
              <w:jc w:val="right"/>
              <w:rPr>
                <w:lang w:val="es-ES" w:eastAsia="es-ES"/>
              </w:rPr>
            </w:pPr>
            <w:r w:rsidRPr="00356F40">
              <w:rPr>
                <w:lang w:val="es-ES" w:eastAsia="es-ES"/>
              </w:rPr>
              <w:t>3.376</w:t>
            </w:r>
          </w:p>
        </w:tc>
        <w:tc>
          <w:tcPr>
            <w:tcW w:w="976" w:type="dxa"/>
            <w:tcBorders>
              <w:top w:val="single" w:sz="2" w:space="0" w:color="auto"/>
              <w:left w:val="nil"/>
              <w:bottom w:val="single" w:sz="2" w:space="0" w:color="auto"/>
              <w:right w:val="nil"/>
            </w:tcBorders>
            <w:shd w:val="clear" w:color="auto" w:fill="auto"/>
            <w:noWrap/>
            <w:vAlign w:val="center"/>
            <w:hideMark/>
          </w:tcPr>
          <w:p w14:paraId="4CF0F949" w14:textId="77777777" w:rsidR="00C30199" w:rsidRPr="00356F40" w:rsidRDefault="00C30199" w:rsidP="00D71071">
            <w:pPr>
              <w:pStyle w:val="cuatexto"/>
              <w:spacing w:line="240" w:lineRule="auto"/>
              <w:jc w:val="right"/>
              <w:rPr>
                <w:lang w:val="es-ES" w:eastAsia="es-ES"/>
              </w:rPr>
            </w:pPr>
            <w:r w:rsidRPr="00356F40">
              <w:rPr>
                <w:lang w:val="es-ES" w:eastAsia="es-ES"/>
              </w:rPr>
              <w:t>5.120</w:t>
            </w:r>
          </w:p>
        </w:tc>
        <w:tc>
          <w:tcPr>
            <w:tcW w:w="1310" w:type="dxa"/>
            <w:tcBorders>
              <w:top w:val="single" w:sz="2" w:space="0" w:color="auto"/>
              <w:left w:val="nil"/>
              <w:bottom w:val="single" w:sz="2" w:space="0" w:color="auto"/>
              <w:right w:val="nil"/>
            </w:tcBorders>
            <w:shd w:val="clear" w:color="auto" w:fill="auto"/>
            <w:noWrap/>
            <w:vAlign w:val="center"/>
            <w:hideMark/>
          </w:tcPr>
          <w:p w14:paraId="539836E4" w14:textId="77777777" w:rsidR="00C30199" w:rsidRPr="00356F40" w:rsidRDefault="00C30199" w:rsidP="00D71071">
            <w:pPr>
              <w:pStyle w:val="cuatexto"/>
              <w:spacing w:line="240" w:lineRule="auto"/>
              <w:jc w:val="right"/>
              <w:rPr>
                <w:lang w:val="es-ES" w:eastAsia="es-ES"/>
              </w:rPr>
            </w:pPr>
            <w:r w:rsidRPr="00356F40">
              <w:rPr>
                <w:lang w:val="es-ES" w:eastAsia="es-ES"/>
              </w:rPr>
              <w:t>10.025</w:t>
            </w:r>
          </w:p>
        </w:tc>
        <w:tc>
          <w:tcPr>
            <w:tcW w:w="1241" w:type="dxa"/>
            <w:tcBorders>
              <w:top w:val="single" w:sz="2" w:space="0" w:color="auto"/>
              <w:left w:val="nil"/>
              <w:bottom w:val="single" w:sz="2" w:space="0" w:color="auto"/>
              <w:right w:val="nil"/>
            </w:tcBorders>
            <w:shd w:val="clear" w:color="auto" w:fill="auto"/>
            <w:noWrap/>
            <w:vAlign w:val="center"/>
            <w:hideMark/>
          </w:tcPr>
          <w:p w14:paraId="117EACB6" w14:textId="77777777" w:rsidR="00C30199" w:rsidRPr="00356F40" w:rsidRDefault="00C30199" w:rsidP="00D71071">
            <w:pPr>
              <w:pStyle w:val="cuatexto"/>
              <w:spacing w:line="240" w:lineRule="auto"/>
              <w:jc w:val="right"/>
              <w:rPr>
                <w:lang w:val="es-ES" w:eastAsia="es-ES"/>
              </w:rPr>
            </w:pPr>
            <w:r w:rsidRPr="00356F40">
              <w:rPr>
                <w:lang w:val="es-ES" w:eastAsia="es-ES"/>
              </w:rPr>
              <w:t>10.025</w:t>
            </w:r>
          </w:p>
        </w:tc>
      </w:tr>
      <w:tr w:rsidR="00C30199" w:rsidRPr="00356F40" w14:paraId="332982D7"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7DCAF17B" w14:textId="77777777" w:rsidR="00C30199" w:rsidRPr="00356F40" w:rsidRDefault="00C30199" w:rsidP="00D71071">
            <w:pPr>
              <w:pStyle w:val="cuatexto"/>
              <w:spacing w:line="240" w:lineRule="auto"/>
              <w:rPr>
                <w:lang w:val="es-ES" w:eastAsia="es-ES"/>
              </w:rPr>
            </w:pPr>
            <w:r w:rsidRPr="00356F40">
              <w:rPr>
                <w:lang w:val="es-ES" w:eastAsia="es-ES"/>
              </w:rPr>
              <w:t>2012</w:t>
            </w:r>
          </w:p>
        </w:tc>
        <w:tc>
          <w:tcPr>
            <w:tcW w:w="1134" w:type="dxa"/>
            <w:tcBorders>
              <w:top w:val="single" w:sz="2" w:space="0" w:color="auto"/>
              <w:left w:val="nil"/>
              <w:bottom w:val="single" w:sz="2" w:space="0" w:color="auto"/>
              <w:right w:val="nil"/>
            </w:tcBorders>
            <w:shd w:val="clear" w:color="auto" w:fill="auto"/>
            <w:noWrap/>
            <w:vAlign w:val="center"/>
            <w:hideMark/>
          </w:tcPr>
          <w:p w14:paraId="6D9EFC1C" w14:textId="77777777" w:rsidR="00C30199" w:rsidRPr="00356F40" w:rsidRDefault="00C30199" w:rsidP="00D71071">
            <w:pPr>
              <w:pStyle w:val="cuatexto"/>
              <w:spacing w:line="240" w:lineRule="auto"/>
              <w:jc w:val="right"/>
              <w:rPr>
                <w:lang w:val="es-ES" w:eastAsia="es-ES"/>
              </w:rPr>
            </w:pPr>
            <w:r w:rsidRPr="00356F40">
              <w:rPr>
                <w:lang w:val="es-ES" w:eastAsia="es-ES"/>
              </w:rPr>
              <w:t>91.735.636</w:t>
            </w:r>
          </w:p>
        </w:tc>
        <w:tc>
          <w:tcPr>
            <w:tcW w:w="1276" w:type="dxa"/>
            <w:tcBorders>
              <w:top w:val="single" w:sz="2" w:space="0" w:color="auto"/>
              <w:left w:val="nil"/>
              <w:bottom w:val="single" w:sz="2" w:space="0" w:color="auto"/>
              <w:right w:val="nil"/>
            </w:tcBorders>
            <w:shd w:val="clear" w:color="auto" w:fill="auto"/>
            <w:noWrap/>
            <w:vAlign w:val="center"/>
            <w:hideMark/>
          </w:tcPr>
          <w:p w14:paraId="073AA4E7" w14:textId="77777777" w:rsidR="00C30199" w:rsidRPr="00356F40" w:rsidRDefault="00C30199" w:rsidP="00D71071">
            <w:pPr>
              <w:pStyle w:val="cuatexto"/>
              <w:spacing w:line="240" w:lineRule="auto"/>
              <w:jc w:val="right"/>
              <w:rPr>
                <w:lang w:val="es-ES" w:eastAsia="es-ES"/>
              </w:rPr>
            </w:pPr>
            <w:r w:rsidRPr="00356F40">
              <w:rPr>
                <w:lang w:val="es-ES" w:eastAsia="es-ES"/>
              </w:rPr>
              <w:t>22.370</w:t>
            </w:r>
          </w:p>
        </w:tc>
        <w:tc>
          <w:tcPr>
            <w:tcW w:w="1434" w:type="dxa"/>
            <w:tcBorders>
              <w:top w:val="single" w:sz="2" w:space="0" w:color="auto"/>
              <w:left w:val="nil"/>
              <w:bottom w:val="single" w:sz="2" w:space="0" w:color="auto"/>
              <w:right w:val="nil"/>
            </w:tcBorders>
            <w:shd w:val="clear" w:color="auto" w:fill="auto"/>
            <w:noWrap/>
            <w:vAlign w:val="center"/>
            <w:hideMark/>
          </w:tcPr>
          <w:p w14:paraId="6FD4E697" w14:textId="77777777" w:rsidR="00C30199" w:rsidRPr="00356F40" w:rsidRDefault="00C30199" w:rsidP="00D71071">
            <w:pPr>
              <w:pStyle w:val="cuatexto"/>
              <w:spacing w:line="240" w:lineRule="auto"/>
              <w:jc w:val="right"/>
              <w:rPr>
                <w:lang w:val="es-ES" w:eastAsia="es-ES"/>
              </w:rPr>
            </w:pPr>
            <w:r w:rsidRPr="00356F40">
              <w:rPr>
                <w:lang w:val="es-ES" w:eastAsia="es-ES"/>
              </w:rPr>
              <w:t>5.369</w:t>
            </w:r>
          </w:p>
        </w:tc>
        <w:tc>
          <w:tcPr>
            <w:tcW w:w="976" w:type="dxa"/>
            <w:tcBorders>
              <w:top w:val="single" w:sz="2" w:space="0" w:color="auto"/>
              <w:left w:val="nil"/>
              <w:bottom w:val="single" w:sz="2" w:space="0" w:color="auto"/>
              <w:right w:val="nil"/>
            </w:tcBorders>
            <w:shd w:val="clear" w:color="auto" w:fill="auto"/>
            <w:noWrap/>
            <w:vAlign w:val="center"/>
            <w:hideMark/>
          </w:tcPr>
          <w:p w14:paraId="559F234B" w14:textId="77777777" w:rsidR="00C30199" w:rsidRPr="00356F40" w:rsidRDefault="00C30199" w:rsidP="00D71071">
            <w:pPr>
              <w:pStyle w:val="cuatexto"/>
              <w:spacing w:line="240" w:lineRule="auto"/>
              <w:jc w:val="right"/>
              <w:rPr>
                <w:lang w:val="es-ES" w:eastAsia="es-ES"/>
              </w:rPr>
            </w:pPr>
            <w:r w:rsidRPr="00356F40">
              <w:rPr>
                <w:lang w:val="es-ES" w:eastAsia="es-ES"/>
              </w:rPr>
              <w:t>6.489</w:t>
            </w:r>
          </w:p>
        </w:tc>
        <w:tc>
          <w:tcPr>
            <w:tcW w:w="1310" w:type="dxa"/>
            <w:tcBorders>
              <w:top w:val="single" w:sz="2" w:space="0" w:color="auto"/>
              <w:left w:val="nil"/>
              <w:bottom w:val="single" w:sz="2" w:space="0" w:color="auto"/>
              <w:right w:val="nil"/>
            </w:tcBorders>
            <w:shd w:val="clear" w:color="auto" w:fill="auto"/>
            <w:noWrap/>
            <w:vAlign w:val="center"/>
            <w:hideMark/>
          </w:tcPr>
          <w:p w14:paraId="5519D893" w14:textId="77777777" w:rsidR="00C30199" w:rsidRPr="00356F40" w:rsidRDefault="00C30199" w:rsidP="00D71071">
            <w:pPr>
              <w:pStyle w:val="cuatexto"/>
              <w:spacing w:line="240" w:lineRule="auto"/>
              <w:jc w:val="right"/>
              <w:rPr>
                <w:lang w:val="es-ES" w:eastAsia="es-ES"/>
              </w:rPr>
            </w:pPr>
            <w:r w:rsidRPr="00356F40">
              <w:rPr>
                <w:lang w:val="es-ES" w:eastAsia="es-ES"/>
              </w:rPr>
              <w:t>14.157</w:t>
            </w:r>
          </w:p>
        </w:tc>
        <w:tc>
          <w:tcPr>
            <w:tcW w:w="1241" w:type="dxa"/>
            <w:tcBorders>
              <w:top w:val="single" w:sz="2" w:space="0" w:color="auto"/>
              <w:left w:val="nil"/>
              <w:bottom w:val="single" w:sz="2" w:space="0" w:color="auto"/>
              <w:right w:val="nil"/>
            </w:tcBorders>
            <w:shd w:val="clear" w:color="auto" w:fill="auto"/>
            <w:noWrap/>
            <w:vAlign w:val="center"/>
            <w:hideMark/>
          </w:tcPr>
          <w:p w14:paraId="5B96618F" w14:textId="77777777" w:rsidR="00C30199" w:rsidRPr="00356F40" w:rsidRDefault="00C30199" w:rsidP="00D71071">
            <w:pPr>
              <w:pStyle w:val="cuatexto"/>
              <w:spacing w:line="240" w:lineRule="auto"/>
              <w:jc w:val="right"/>
              <w:rPr>
                <w:lang w:val="es-ES" w:eastAsia="es-ES"/>
              </w:rPr>
            </w:pPr>
            <w:r w:rsidRPr="00356F40">
              <w:rPr>
                <w:lang w:val="es-ES" w:eastAsia="es-ES"/>
              </w:rPr>
              <w:t>14.157</w:t>
            </w:r>
          </w:p>
        </w:tc>
      </w:tr>
      <w:tr w:rsidR="00C30199" w:rsidRPr="00356F40" w14:paraId="573E0F75"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5A8D4E6A" w14:textId="77777777" w:rsidR="00C30199" w:rsidRPr="00356F40" w:rsidRDefault="00C30199" w:rsidP="00D71071">
            <w:pPr>
              <w:pStyle w:val="cuatexto"/>
              <w:spacing w:line="240" w:lineRule="auto"/>
              <w:rPr>
                <w:lang w:val="es-ES" w:eastAsia="es-ES"/>
              </w:rPr>
            </w:pPr>
            <w:r w:rsidRPr="00356F40">
              <w:rPr>
                <w:lang w:val="es-ES" w:eastAsia="es-ES"/>
              </w:rPr>
              <w:t>2013</w:t>
            </w:r>
          </w:p>
        </w:tc>
        <w:tc>
          <w:tcPr>
            <w:tcW w:w="1134" w:type="dxa"/>
            <w:tcBorders>
              <w:top w:val="single" w:sz="2" w:space="0" w:color="auto"/>
              <w:left w:val="nil"/>
              <w:bottom w:val="single" w:sz="2" w:space="0" w:color="auto"/>
              <w:right w:val="nil"/>
            </w:tcBorders>
            <w:shd w:val="clear" w:color="auto" w:fill="auto"/>
            <w:noWrap/>
            <w:vAlign w:val="center"/>
            <w:hideMark/>
          </w:tcPr>
          <w:p w14:paraId="7A063051" w14:textId="77777777" w:rsidR="00C30199" w:rsidRPr="00356F40" w:rsidRDefault="00C30199" w:rsidP="00D71071">
            <w:pPr>
              <w:pStyle w:val="cuatexto"/>
              <w:spacing w:line="240" w:lineRule="auto"/>
              <w:jc w:val="right"/>
              <w:rPr>
                <w:lang w:val="es-ES" w:eastAsia="es-ES"/>
              </w:rPr>
            </w:pPr>
            <w:r w:rsidRPr="00356F40">
              <w:rPr>
                <w:lang w:val="es-ES" w:eastAsia="es-ES"/>
              </w:rPr>
              <w:t>76.004.672</w:t>
            </w:r>
          </w:p>
        </w:tc>
        <w:tc>
          <w:tcPr>
            <w:tcW w:w="1276" w:type="dxa"/>
            <w:tcBorders>
              <w:top w:val="single" w:sz="2" w:space="0" w:color="auto"/>
              <w:left w:val="nil"/>
              <w:bottom w:val="single" w:sz="2" w:space="0" w:color="auto"/>
              <w:right w:val="nil"/>
            </w:tcBorders>
            <w:shd w:val="clear" w:color="auto" w:fill="auto"/>
            <w:noWrap/>
            <w:vAlign w:val="center"/>
            <w:hideMark/>
          </w:tcPr>
          <w:p w14:paraId="5A787E46" w14:textId="77777777" w:rsidR="00C30199" w:rsidRPr="00356F40" w:rsidRDefault="00C30199" w:rsidP="00D71071">
            <w:pPr>
              <w:pStyle w:val="cuatexto"/>
              <w:spacing w:line="240" w:lineRule="auto"/>
              <w:jc w:val="right"/>
              <w:rPr>
                <w:lang w:val="es-ES" w:eastAsia="es-ES"/>
              </w:rPr>
            </w:pPr>
            <w:r w:rsidRPr="00356F40">
              <w:rPr>
                <w:lang w:val="es-ES" w:eastAsia="es-ES"/>
              </w:rPr>
              <w:t>22.412</w:t>
            </w:r>
          </w:p>
        </w:tc>
        <w:tc>
          <w:tcPr>
            <w:tcW w:w="1434" w:type="dxa"/>
            <w:tcBorders>
              <w:top w:val="single" w:sz="2" w:space="0" w:color="auto"/>
              <w:left w:val="nil"/>
              <w:bottom w:val="single" w:sz="2" w:space="0" w:color="auto"/>
              <w:right w:val="nil"/>
            </w:tcBorders>
            <w:shd w:val="clear" w:color="auto" w:fill="auto"/>
            <w:noWrap/>
            <w:vAlign w:val="center"/>
            <w:hideMark/>
          </w:tcPr>
          <w:p w14:paraId="5B911E2B" w14:textId="77777777" w:rsidR="00C30199" w:rsidRPr="00356F40" w:rsidRDefault="00C30199" w:rsidP="00D71071">
            <w:pPr>
              <w:pStyle w:val="cuatexto"/>
              <w:spacing w:line="240" w:lineRule="auto"/>
              <w:jc w:val="right"/>
              <w:rPr>
                <w:lang w:val="es-ES" w:eastAsia="es-ES"/>
              </w:rPr>
            </w:pPr>
            <w:r w:rsidRPr="00356F40">
              <w:rPr>
                <w:lang w:val="es-ES" w:eastAsia="es-ES"/>
              </w:rPr>
              <w:t>4.868</w:t>
            </w:r>
          </w:p>
        </w:tc>
        <w:tc>
          <w:tcPr>
            <w:tcW w:w="976" w:type="dxa"/>
            <w:tcBorders>
              <w:top w:val="single" w:sz="2" w:space="0" w:color="auto"/>
              <w:left w:val="nil"/>
              <w:bottom w:val="single" w:sz="2" w:space="0" w:color="auto"/>
              <w:right w:val="nil"/>
            </w:tcBorders>
            <w:shd w:val="clear" w:color="auto" w:fill="auto"/>
            <w:noWrap/>
            <w:vAlign w:val="center"/>
            <w:hideMark/>
          </w:tcPr>
          <w:p w14:paraId="693F302F" w14:textId="77777777" w:rsidR="00C30199" w:rsidRPr="00356F40" w:rsidRDefault="00C30199" w:rsidP="00D71071">
            <w:pPr>
              <w:pStyle w:val="cuatexto"/>
              <w:spacing w:line="240" w:lineRule="auto"/>
              <w:jc w:val="right"/>
              <w:rPr>
                <w:lang w:val="es-ES" w:eastAsia="es-ES"/>
              </w:rPr>
            </w:pPr>
            <w:r w:rsidRPr="00356F40">
              <w:rPr>
                <w:lang w:val="es-ES" w:eastAsia="es-ES"/>
              </w:rPr>
              <w:t>6.688</w:t>
            </w:r>
          </w:p>
        </w:tc>
        <w:tc>
          <w:tcPr>
            <w:tcW w:w="1310" w:type="dxa"/>
            <w:tcBorders>
              <w:top w:val="single" w:sz="2" w:space="0" w:color="auto"/>
              <w:left w:val="nil"/>
              <w:bottom w:val="single" w:sz="2" w:space="0" w:color="auto"/>
              <w:right w:val="nil"/>
            </w:tcBorders>
            <w:shd w:val="clear" w:color="auto" w:fill="auto"/>
            <w:noWrap/>
            <w:vAlign w:val="center"/>
            <w:hideMark/>
          </w:tcPr>
          <w:p w14:paraId="38286FBD" w14:textId="77777777" w:rsidR="00C30199" w:rsidRPr="00356F40" w:rsidRDefault="00C30199" w:rsidP="00D71071">
            <w:pPr>
              <w:pStyle w:val="cuatexto"/>
              <w:spacing w:line="240" w:lineRule="auto"/>
              <w:jc w:val="right"/>
              <w:rPr>
                <w:lang w:val="es-ES" w:eastAsia="es-ES"/>
              </w:rPr>
            </w:pPr>
            <w:r w:rsidRPr="00356F40">
              <w:rPr>
                <w:lang w:val="es-ES" w:eastAsia="es-ES"/>
              </w:rPr>
              <w:t>13.983</w:t>
            </w:r>
          </w:p>
        </w:tc>
        <w:tc>
          <w:tcPr>
            <w:tcW w:w="1241" w:type="dxa"/>
            <w:tcBorders>
              <w:top w:val="single" w:sz="2" w:space="0" w:color="auto"/>
              <w:left w:val="nil"/>
              <w:bottom w:val="single" w:sz="2" w:space="0" w:color="auto"/>
              <w:right w:val="nil"/>
            </w:tcBorders>
            <w:shd w:val="clear" w:color="auto" w:fill="auto"/>
            <w:noWrap/>
            <w:vAlign w:val="center"/>
            <w:hideMark/>
          </w:tcPr>
          <w:p w14:paraId="02537863" w14:textId="77777777" w:rsidR="00C30199" w:rsidRPr="00356F40" w:rsidRDefault="00C30199" w:rsidP="00D71071">
            <w:pPr>
              <w:pStyle w:val="cuatexto"/>
              <w:spacing w:line="240" w:lineRule="auto"/>
              <w:jc w:val="right"/>
              <w:rPr>
                <w:lang w:val="es-ES" w:eastAsia="es-ES"/>
              </w:rPr>
            </w:pPr>
            <w:r w:rsidRPr="00356F40">
              <w:rPr>
                <w:lang w:val="es-ES" w:eastAsia="es-ES"/>
              </w:rPr>
              <w:t>13.983</w:t>
            </w:r>
          </w:p>
        </w:tc>
      </w:tr>
      <w:tr w:rsidR="00C30199" w:rsidRPr="00356F40" w14:paraId="3D4B6AB6"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02E3DCC4" w14:textId="77777777" w:rsidR="00C30199" w:rsidRPr="00356F40" w:rsidRDefault="00C30199" w:rsidP="00D71071">
            <w:pPr>
              <w:pStyle w:val="cuatexto"/>
              <w:spacing w:line="240" w:lineRule="auto"/>
              <w:rPr>
                <w:lang w:val="es-ES" w:eastAsia="es-ES"/>
              </w:rPr>
            </w:pPr>
            <w:r w:rsidRPr="00356F40">
              <w:rPr>
                <w:lang w:val="es-ES" w:eastAsia="es-ES"/>
              </w:rPr>
              <w:t>2014</w:t>
            </w:r>
          </w:p>
        </w:tc>
        <w:tc>
          <w:tcPr>
            <w:tcW w:w="1134" w:type="dxa"/>
            <w:tcBorders>
              <w:top w:val="single" w:sz="2" w:space="0" w:color="auto"/>
              <w:left w:val="nil"/>
              <w:bottom w:val="single" w:sz="2" w:space="0" w:color="auto"/>
              <w:right w:val="nil"/>
            </w:tcBorders>
            <w:shd w:val="clear" w:color="auto" w:fill="auto"/>
            <w:noWrap/>
            <w:vAlign w:val="center"/>
            <w:hideMark/>
          </w:tcPr>
          <w:p w14:paraId="7A990CD6" w14:textId="77777777" w:rsidR="00C30199" w:rsidRPr="00356F40" w:rsidRDefault="00C30199" w:rsidP="00D71071">
            <w:pPr>
              <w:pStyle w:val="cuatexto"/>
              <w:spacing w:line="240" w:lineRule="auto"/>
              <w:jc w:val="right"/>
              <w:rPr>
                <w:lang w:val="es-ES" w:eastAsia="es-ES"/>
              </w:rPr>
            </w:pPr>
            <w:r w:rsidRPr="00356F40">
              <w:rPr>
                <w:lang w:val="es-ES" w:eastAsia="es-ES"/>
              </w:rPr>
              <w:t>90.296.525</w:t>
            </w:r>
          </w:p>
        </w:tc>
        <w:tc>
          <w:tcPr>
            <w:tcW w:w="1276" w:type="dxa"/>
            <w:tcBorders>
              <w:top w:val="single" w:sz="2" w:space="0" w:color="auto"/>
              <w:left w:val="nil"/>
              <w:bottom w:val="single" w:sz="2" w:space="0" w:color="auto"/>
              <w:right w:val="nil"/>
            </w:tcBorders>
            <w:shd w:val="clear" w:color="auto" w:fill="auto"/>
            <w:noWrap/>
            <w:vAlign w:val="center"/>
            <w:hideMark/>
          </w:tcPr>
          <w:p w14:paraId="5C8E7271" w14:textId="77777777" w:rsidR="00C30199" w:rsidRPr="00356F40" w:rsidRDefault="00C30199" w:rsidP="00D71071">
            <w:pPr>
              <w:pStyle w:val="cuatexto"/>
              <w:spacing w:line="240" w:lineRule="auto"/>
              <w:jc w:val="right"/>
              <w:rPr>
                <w:lang w:val="es-ES" w:eastAsia="es-ES"/>
              </w:rPr>
            </w:pPr>
            <w:r w:rsidRPr="00356F40">
              <w:rPr>
                <w:lang w:val="es-ES" w:eastAsia="es-ES"/>
              </w:rPr>
              <w:t>22.445</w:t>
            </w:r>
          </w:p>
        </w:tc>
        <w:tc>
          <w:tcPr>
            <w:tcW w:w="1434" w:type="dxa"/>
            <w:tcBorders>
              <w:top w:val="single" w:sz="2" w:space="0" w:color="auto"/>
              <w:left w:val="nil"/>
              <w:bottom w:val="single" w:sz="2" w:space="0" w:color="auto"/>
              <w:right w:val="nil"/>
            </w:tcBorders>
            <w:shd w:val="clear" w:color="auto" w:fill="auto"/>
            <w:noWrap/>
            <w:vAlign w:val="center"/>
            <w:hideMark/>
          </w:tcPr>
          <w:p w14:paraId="5FC93DD4" w14:textId="77777777" w:rsidR="00C30199" w:rsidRPr="00356F40" w:rsidRDefault="00C30199" w:rsidP="00D71071">
            <w:pPr>
              <w:pStyle w:val="cuatexto"/>
              <w:spacing w:line="240" w:lineRule="auto"/>
              <w:jc w:val="right"/>
              <w:rPr>
                <w:lang w:val="es-ES" w:eastAsia="es-ES"/>
              </w:rPr>
            </w:pPr>
            <w:r w:rsidRPr="00356F40">
              <w:rPr>
                <w:lang w:val="es-ES" w:eastAsia="es-ES"/>
              </w:rPr>
              <w:t>5.629</w:t>
            </w:r>
          </w:p>
        </w:tc>
        <w:tc>
          <w:tcPr>
            <w:tcW w:w="976" w:type="dxa"/>
            <w:tcBorders>
              <w:top w:val="single" w:sz="2" w:space="0" w:color="auto"/>
              <w:left w:val="nil"/>
              <w:bottom w:val="single" w:sz="2" w:space="0" w:color="auto"/>
              <w:right w:val="nil"/>
            </w:tcBorders>
            <w:shd w:val="clear" w:color="auto" w:fill="auto"/>
            <w:noWrap/>
            <w:vAlign w:val="center"/>
            <w:hideMark/>
          </w:tcPr>
          <w:p w14:paraId="4655D39E" w14:textId="77777777" w:rsidR="00C30199" w:rsidRPr="00356F40" w:rsidRDefault="00C30199" w:rsidP="00D71071">
            <w:pPr>
              <w:pStyle w:val="cuatexto"/>
              <w:spacing w:line="240" w:lineRule="auto"/>
              <w:jc w:val="right"/>
              <w:rPr>
                <w:lang w:val="es-ES" w:eastAsia="es-ES"/>
              </w:rPr>
            </w:pPr>
            <w:r w:rsidRPr="00356F40">
              <w:rPr>
                <w:lang w:val="es-ES" w:eastAsia="es-ES"/>
              </w:rPr>
              <w:t>6.715</w:t>
            </w:r>
          </w:p>
        </w:tc>
        <w:tc>
          <w:tcPr>
            <w:tcW w:w="1310" w:type="dxa"/>
            <w:tcBorders>
              <w:top w:val="single" w:sz="2" w:space="0" w:color="auto"/>
              <w:left w:val="nil"/>
              <w:bottom w:val="single" w:sz="2" w:space="0" w:color="auto"/>
              <w:right w:val="nil"/>
            </w:tcBorders>
            <w:shd w:val="clear" w:color="auto" w:fill="auto"/>
            <w:noWrap/>
            <w:vAlign w:val="center"/>
            <w:hideMark/>
          </w:tcPr>
          <w:p w14:paraId="65A439ED" w14:textId="77777777" w:rsidR="00C30199" w:rsidRPr="00356F40" w:rsidRDefault="00C30199" w:rsidP="00D71071">
            <w:pPr>
              <w:pStyle w:val="cuatexto"/>
              <w:spacing w:line="240" w:lineRule="auto"/>
              <w:jc w:val="right"/>
              <w:rPr>
                <w:lang w:val="es-ES" w:eastAsia="es-ES"/>
              </w:rPr>
            </w:pPr>
            <w:r w:rsidRPr="00356F40">
              <w:rPr>
                <w:lang w:val="es-ES" w:eastAsia="es-ES"/>
              </w:rPr>
              <w:t>14.936</w:t>
            </w:r>
          </w:p>
        </w:tc>
        <w:tc>
          <w:tcPr>
            <w:tcW w:w="1241" w:type="dxa"/>
            <w:tcBorders>
              <w:top w:val="single" w:sz="2" w:space="0" w:color="auto"/>
              <w:left w:val="nil"/>
              <w:bottom w:val="single" w:sz="2" w:space="0" w:color="auto"/>
              <w:right w:val="nil"/>
            </w:tcBorders>
            <w:shd w:val="clear" w:color="auto" w:fill="auto"/>
            <w:noWrap/>
            <w:vAlign w:val="center"/>
            <w:hideMark/>
          </w:tcPr>
          <w:p w14:paraId="684F17A8" w14:textId="77777777" w:rsidR="00C30199" w:rsidRPr="00356F40" w:rsidRDefault="00C30199" w:rsidP="00D71071">
            <w:pPr>
              <w:pStyle w:val="cuatexto"/>
              <w:spacing w:line="240" w:lineRule="auto"/>
              <w:jc w:val="right"/>
              <w:rPr>
                <w:lang w:val="es-ES" w:eastAsia="es-ES"/>
              </w:rPr>
            </w:pPr>
            <w:r w:rsidRPr="00356F40">
              <w:rPr>
                <w:lang w:val="es-ES" w:eastAsia="es-ES"/>
              </w:rPr>
              <w:t>14.935</w:t>
            </w:r>
          </w:p>
        </w:tc>
      </w:tr>
      <w:tr w:rsidR="00C30199" w:rsidRPr="00356F40" w14:paraId="576345AF"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1149AA6D" w14:textId="77777777" w:rsidR="00C30199" w:rsidRPr="00356F40" w:rsidRDefault="00C30199" w:rsidP="00D71071">
            <w:pPr>
              <w:pStyle w:val="cuatexto"/>
              <w:spacing w:line="240" w:lineRule="auto"/>
              <w:rPr>
                <w:lang w:val="es-ES" w:eastAsia="es-ES"/>
              </w:rPr>
            </w:pPr>
            <w:r w:rsidRPr="00356F40">
              <w:rPr>
                <w:lang w:val="es-ES" w:eastAsia="es-ES"/>
              </w:rPr>
              <w:t>2015</w:t>
            </w:r>
          </w:p>
        </w:tc>
        <w:tc>
          <w:tcPr>
            <w:tcW w:w="1134" w:type="dxa"/>
            <w:tcBorders>
              <w:top w:val="single" w:sz="2" w:space="0" w:color="auto"/>
              <w:left w:val="nil"/>
              <w:bottom w:val="single" w:sz="2" w:space="0" w:color="auto"/>
              <w:right w:val="nil"/>
            </w:tcBorders>
            <w:shd w:val="clear" w:color="auto" w:fill="auto"/>
            <w:noWrap/>
            <w:vAlign w:val="center"/>
            <w:hideMark/>
          </w:tcPr>
          <w:p w14:paraId="521BD710" w14:textId="77777777" w:rsidR="00C30199" w:rsidRPr="00356F40" w:rsidRDefault="00C30199" w:rsidP="00D71071">
            <w:pPr>
              <w:pStyle w:val="cuatexto"/>
              <w:spacing w:line="240" w:lineRule="auto"/>
              <w:jc w:val="right"/>
              <w:rPr>
                <w:lang w:val="es-ES" w:eastAsia="es-ES"/>
              </w:rPr>
            </w:pPr>
            <w:r w:rsidRPr="00356F40">
              <w:rPr>
                <w:lang w:val="es-ES" w:eastAsia="es-ES"/>
              </w:rPr>
              <w:t>94.166.393</w:t>
            </w:r>
          </w:p>
        </w:tc>
        <w:tc>
          <w:tcPr>
            <w:tcW w:w="1276" w:type="dxa"/>
            <w:tcBorders>
              <w:top w:val="single" w:sz="2" w:space="0" w:color="auto"/>
              <w:left w:val="nil"/>
              <w:bottom w:val="single" w:sz="2" w:space="0" w:color="auto"/>
              <w:right w:val="nil"/>
            </w:tcBorders>
            <w:shd w:val="clear" w:color="auto" w:fill="auto"/>
            <w:noWrap/>
            <w:vAlign w:val="center"/>
            <w:hideMark/>
          </w:tcPr>
          <w:p w14:paraId="111654E3" w14:textId="77777777" w:rsidR="00C30199" w:rsidRPr="00356F40" w:rsidRDefault="00C30199" w:rsidP="00D71071">
            <w:pPr>
              <w:pStyle w:val="cuatexto"/>
              <w:spacing w:line="240" w:lineRule="auto"/>
              <w:jc w:val="right"/>
              <w:rPr>
                <w:lang w:val="es-ES" w:eastAsia="es-ES"/>
              </w:rPr>
            </w:pPr>
            <w:r w:rsidRPr="00356F40">
              <w:rPr>
                <w:lang w:val="es-ES" w:eastAsia="es-ES"/>
              </w:rPr>
              <w:t>22.464</w:t>
            </w:r>
          </w:p>
        </w:tc>
        <w:tc>
          <w:tcPr>
            <w:tcW w:w="1434" w:type="dxa"/>
            <w:tcBorders>
              <w:top w:val="single" w:sz="2" w:space="0" w:color="auto"/>
              <w:left w:val="nil"/>
              <w:bottom w:val="single" w:sz="2" w:space="0" w:color="auto"/>
              <w:right w:val="nil"/>
            </w:tcBorders>
            <w:shd w:val="clear" w:color="auto" w:fill="auto"/>
            <w:noWrap/>
            <w:vAlign w:val="center"/>
            <w:hideMark/>
          </w:tcPr>
          <w:p w14:paraId="20C3344D" w14:textId="77777777" w:rsidR="00C30199" w:rsidRPr="00356F40" w:rsidRDefault="00C30199" w:rsidP="00D71071">
            <w:pPr>
              <w:pStyle w:val="cuatexto"/>
              <w:spacing w:line="240" w:lineRule="auto"/>
              <w:jc w:val="right"/>
              <w:rPr>
                <w:lang w:val="es-ES" w:eastAsia="es-ES"/>
              </w:rPr>
            </w:pPr>
            <w:r w:rsidRPr="00356F40">
              <w:rPr>
                <w:lang w:val="es-ES" w:eastAsia="es-ES"/>
              </w:rPr>
              <w:t>5.889</w:t>
            </w:r>
          </w:p>
        </w:tc>
        <w:tc>
          <w:tcPr>
            <w:tcW w:w="976" w:type="dxa"/>
            <w:tcBorders>
              <w:top w:val="single" w:sz="2" w:space="0" w:color="auto"/>
              <w:left w:val="nil"/>
              <w:bottom w:val="single" w:sz="2" w:space="0" w:color="auto"/>
              <w:right w:val="nil"/>
            </w:tcBorders>
            <w:shd w:val="clear" w:color="auto" w:fill="auto"/>
            <w:noWrap/>
            <w:vAlign w:val="center"/>
            <w:hideMark/>
          </w:tcPr>
          <w:p w14:paraId="7BBA2B69" w14:textId="77777777" w:rsidR="00C30199" w:rsidRPr="00356F40" w:rsidRDefault="00C30199" w:rsidP="00D71071">
            <w:pPr>
              <w:pStyle w:val="cuatexto"/>
              <w:spacing w:line="240" w:lineRule="auto"/>
              <w:jc w:val="right"/>
              <w:rPr>
                <w:lang w:val="es-ES" w:eastAsia="es-ES"/>
              </w:rPr>
            </w:pPr>
            <w:r w:rsidRPr="00356F40">
              <w:rPr>
                <w:lang w:val="es-ES" w:eastAsia="es-ES"/>
              </w:rPr>
              <w:t>6.651</w:t>
            </w:r>
          </w:p>
        </w:tc>
        <w:tc>
          <w:tcPr>
            <w:tcW w:w="1310" w:type="dxa"/>
            <w:tcBorders>
              <w:top w:val="single" w:sz="2" w:space="0" w:color="auto"/>
              <w:left w:val="nil"/>
              <w:bottom w:val="single" w:sz="2" w:space="0" w:color="auto"/>
              <w:right w:val="nil"/>
            </w:tcBorders>
            <w:shd w:val="clear" w:color="auto" w:fill="auto"/>
            <w:noWrap/>
            <w:vAlign w:val="center"/>
            <w:hideMark/>
          </w:tcPr>
          <w:p w14:paraId="30205940" w14:textId="77777777" w:rsidR="00C30199" w:rsidRPr="00356F40" w:rsidRDefault="00C30199" w:rsidP="00D71071">
            <w:pPr>
              <w:pStyle w:val="cuatexto"/>
              <w:spacing w:line="240" w:lineRule="auto"/>
              <w:jc w:val="right"/>
              <w:rPr>
                <w:lang w:val="es-ES" w:eastAsia="es-ES"/>
              </w:rPr>
            </w:pPr>
            <w:r w:rsidRPr="00356F40">
              <w:rPr>
                <w:lang w:val="es-ES" w:eastAsia="es-ES"/>
              </w:rPr>
              <w:t>15.173</w:t>
            </w:r>
          </w:p>
        </w:tc>
        <w:tc>
          <w:tcPr>
            <w:tcW w:w="1241" w:type="dxa"/>
            <w:tcBorders>
              <w:top w:val="single" w:sz="2" w:space="0" w:color="auto"/>
              <w:left w:val="nil"/>
              <w:bottom w:val="single" w:sz="2" w:space="0" w:color="auto"/>
              <w:right w:val="nil"/>
            </w:tcBorders>
            <w:shd w:val="clear" w:color="auto" w:fill="auto"/>
            <w:noWrap/>
            <w:vAlign w:val="center"/>
            <w:hideMark/>
          </w:tcPr>
          <w:p w14:paraId="640CBAB3" w14:textId="77777777" w:rsidR="00C30199" w:rsidRPr="00356F40" w:rsidRDefault="00C30199" w:rsidP="00D71071">
            <w:pPr>
              <w:pStyle w:val="cuatexto"/>
              <w:spacing w:line="240" w:lineRule="auto"/>
              <w:jc w:val="right"/>
              <w:rPr>
                <w:lang w:val="es-ES" w:eastAsia="es-ES"/>
              </w:rPr>
            </w:pPr>
            <w:r w:rsidRPr="00356F40">
              <w:rPr>
                <w:lang w:val="es-ES" w:eastAsia="es-ES"/>
              </w:rPr>
              <w:t>15.173</w:t>
            </w:r>
          </w:p>
        </w:tc>
      </w:tr>
      <w:tr w:rsidR="00C30199" w:rsidRPr="00356F40" w14:paraId="0D52ADCB"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1675308E" w14:textId="77777777" w:rsidR="00C30199" w:rsidRPr="00356F40" w:rsidRDefault="00C30199" w:rsidP="00D71071">
            <w:pPr>
              <w:pStyle w:val="cuatexto"/>
              <w:spacing w:line="240" w:lineRule="auto"/>
              <w:rPr>
                <w:lang w:val="es-ES" w:eastAsia="es-ES"/>
              </w:rPr>
            </w:pPr>
            <w:r w:rsidRPr="00356F40">
              <w:rPr>
                <w:lang w:val="es-ES" w:eastAsia="es-ES"/>
              </w:rPr>
              <w:t>2016</w:t>
            </w:r>
          </w:p>
        </w:tc>
        <w:tc>
          <w:tcPr>
            <w:tcW w:w="1134" w:type="dxa"/>
            <w:tcBorders>
              <w:top w:val="single" w:sz="2" w:space="0" w:color="auto"/>
              <w:left w:val="nil"/>
              <w:bottom w:val="single" w:sz="2" w:space="0" w:color="auto"/>
              <w:right w:val="nil"/>
            </w:tcBorders>
            <w:shd w:val="clear" w:color="auto" w:fill="auto"/>
            <w:noWrap/>
            <w:vAlign w:val="center"/>
            <w:hideMark/>
          </w:tcPr>
          <w:p w14:paraId="28D4733B" w14:textId="77777777" w:rsidR="00C30199" w:rsidRPr="00356F40" w:rsidRDefault="00C30199" w:rsidP="00D71071">
            <w:pPr>
              <w:pStyle w:val="cuatexto"/>
              <w:spacing w:line="240" w:lineRule="auto"/>
              <w:jc w:val="right"/>
              <w:rPr>
                <w:lang w:val="es-ES" w:eastAsia="es-ES"/>
              </w:rPr>
            </w:pPr>
            <w:r w:rsidRPr="00356F40">
              <w:rPr>
                <w:lang w:val="es-ES" w:eastAsia="es-ES"/>
              </w:rPr>
              <w:t>93.788.682</w:t>
            </w:r>
          </w:p>
        </w:tc>
        <w:tc>
          <w:tcPr>
            <w:tcW w:w="1276" w:type="dxa"/>
            <w:tcBorders>
              <w:top w:val="single" w:sz="2" w:space="0" w:color="auto"/>
              <w:left w:val="nil"/>
              <w:bottom w:val="single" w:sz="2" w:space="0" w:color="auto"/>
              <w:right w:val="nil"/>
            </w:tcBorders>
            <w:shd w:val="clear" w:color="auto" w:fill="auto"/>
            <w:noWrap/>
            <w:vAlign w:val="center"/>
            <w:hideMark/>
          </w:tcPr>
          <w:p w14:paraId="79556862" w14:textId="77777777" w:rsidR="00C30199" w:rsidRPr="00356F40" w:rsidRDefault="00C30199" w:rsidP="00D71071">
            <w:pPr>
              <w:pStyle w:val="cuatexto"/>
              <w:spacing w:line="240" w:lineRule="auto"/>
              <w:jc w:val="right"/>
              <w:rPr>
                <w:lang w:val="es-ES" w:eastAsia="es-ES"/>
              </w:rPr>
            </w:pPr>
            <w:r w:rsidRPr="00356F40">
              <w:rPr>
                <w:lang w:val="es-ES" w:eastAsia="es-ES"/>
              </w:rPr>
              <w:t>22.473</w:t>
            </w:r>
          </w:p>
        </w:tc>
        <w:tc>
          <w:tcPr>
            <w:tcW w:w="1434" w:type="dxa"/>
            <w:tcBorders>
              <w:top w:val="single" w:sz="2" w:space="0" w:color="auto"/>
              <w:left w:val="nil"/>
              <w:bottom w:val="single" w:sz="2" w:space="0" w:color="auto"/>
              <w:right w:val="nil"/>
            </w:tcBorders>
            <w:shd w:val="clear" w:color="auto" w:fill="auto"/>
            <w:noWrap/>
            <w:vAlign w:val="center"/>
            <w:hideMark/>
          </w:tcPr>
          <w:p w14:paraId="5C928284" w14:textId="77777777" w:rsidR="00C30199" w:rsidRPr="00356F40" w:rsidRDefault="00C30199" w:rsidP="00D71071">
            <w:pPr>
              <w:pStyle w:val="cuatexto"/>
              <w:spacing w:line="240" w:lineRule="auto"/>
              <w:jc w:val="right"/>
              <w:rPr>
                <w:lang w:val="es-ES" w:eastAsia="es-ES"/>
              </w:rPr>
            </w:pPr>
            <w:r w:rsidRPr="00356F40">
              <w:rPr>
                <w:lang w:val="es-ES" w:eastAsia="es-ES"/>
              </w:rPr>
              <w:t>5.709</w:t>
            </w:r>
          </w:p>
        </w:tc>
        <w:tc>
          <w:tcPr>
            <w:tcW w:w="976" w:type="dxa"/>
            <w:tcBorders>
              <w:top w:val="single" w:sz="2" w:space="0" w:color="auto"/>
              <w:left w:val="nil"/>
              <w:bottom w:val="single" w:sz="2" w:space="0" w:color="auto"/>
              <w:right w:val="nil"/>
            </w:tcBorders>
            <w:shd w:val="clear" w:color="auto" w:fill="auto"/>
            <w:noWrap/>
            <w:vAlign w:val="center"/>
            <w:hideMark/>
          </w:tcPr>
          <w:p w14:paraId="7BA5F929" w14:textId="77777777" w:rsidR="00C30199" w:rsidRPr="00356F40" w:rsidRDefault="00C30199" w:rsidP="00D71071">
            <w:pPr>
              <w:pStyle w:val="cuatexto"/>
              <w:spacing w:line="240" w:lineRule="auto"/>
              <w:jc w:val="right"/>
              <w:rPr>
                <w:lang w:val="es-ES" w:eastAsia="es-ES"/>
              </w:rPr>
            </w:pPr>
            <w:r w:rsidRPr="00356F40">
              <w:rPr>
                <w:lang w:val="es-ES" w:eastAsia="es-ES"/>
              </w:rPr>
              <w:t>6.655</w:t>
            </w:r>
          </w:p>
        </w:tc>
        <w:tc>
          <w:tcPr>
            <w:tcW w:w="1310" w:type="dxa"/>
            <w:tcBorders>
              <w:top w:val="single" w:sz="2" w:space="0" w:color="auto"/>
              <w:left w:val="nil"/>
              <w:bottom w:val="single" w:sz="2" w:space="0" w:color="auto"/>
              <w:right w:val="nil"/>
            </w:tcBorders>
            <w:shd w:val="clear" w:color="auto" w:fill="auto"/>
            <w:noWrap/>
            <w:vAlign w:val="center"/>
            <w:hideMark/>
          </w:tcPr>
          <w:p w14:paraId="295499B9" w14:textId="77777777" w:rsidR="00C30199" w:rsidRPr="00356F40" w:rsidRDefault="00C30199" w:rsidP="00D71071">
            <w:pPr>
              <w:pStyle w:val="cuatexto"/>
              <w:spacing w:line="240" w:lineRule="auto"/>
              <w:jc w:val="right"/>
              <w:rPr>
                <w:lang w:val="es-ES" w:eastAsia="es-ES"/>
              </w:rPr>
            </w:pPr>
            <w:r w:rsidRPr="00356F40">
              <w:rPr>
                <w:lang w:val="es-ES" w:eastAsia="es-ES"/>
              </w:rPr>
              <w:t>14.960</w:t>
            </w:r>
          </w:p>
        </w:tc>
        <w:tc>
          <w:tcPr>
            <w:tcW w:w="1241" w:type="dxa"/>
            <w:tcBorders>
              <w:top w:val="single" w:sz="2" w:space="0" w:color="auto"/>
              <w:left w:val="nil"/>
              <w:bottom w:val="single" w:sz="2" w:space="0" w:color="auto"/>
              <w:right w:val="nil"/>
            </w:tcBorders>
            <w:shd w:val="clear" w:color="auto" w:fill="auto"/>
            <w:noWrap/>
            <w:vAlign w:val="center"/>
            <w:hideMark/>
          </w:tcPr>
          <w:p w14:paraId="2D9A238D" w14:textId="77777777" w:rsidR="00C30199" w:rsidRPr="00356F40" w:rsidRDefault="00C30199" w:rsidP="00D71071">
            <w:pPr>
              <w:pStyle w:val="cuatexto"/>
              <w:spacing w:line="240" w:lineRule="auto"/>
              <w:jc w:val="right"/>
              <w:rPr>
                <w:lang w:val="es-ES" w:eastAsia="es-ES"/>
              </w:rPr>
            </w:pPr>
            <w:r w:rsidRPr="00356F40">
              <w:rPr>
                <w:lang w:val="es-ES" w:eastAsia="es-ES"/>
              </w:rPr>
              <w:t>14.960</w:t>
            </w:r>
          </w:p>
        </w:tc>
      </w:tr>
      <w:tr w:rsidR="00C30199" w:rsidRPr="00356F40" w14:paraId="0A183DA9"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37E208DB" w14:textId="77777777" w:rsidR="00C30199" w:rsidRPr="00356F40" w:rsidRDefault="00C30199" w:rsidP="00D71071">
            <w:pPr>
              <w:pStyle w:val="cuatexto"/>
              <w:spacing w:line="240" w:lineRule="auto"/>
              <w:rPr>
                <w:lang w:val="es-ES" w:eastAsia="es-ES"/>
              </w:rPr>
            </w:pPr>
            <w:r w:rsidRPr="00356F40">
              <w:rPr>
                <w:lang w:val="es-ES" w:eastAsia="es-ES"/>
              </w:rPr>
              <w:t>2017</w:t>
            </w:r>
          </w:p>
        </w:tc>
        <w:tc>
          <w:tcPr>
            <w:tcW w:w="1134" w:type="dxa"/>
            <w:tcBorders>
              <w:top w:val="single" w:sz="2" w:space="0" w:color="auto"/>
              <w:left w:val="nil"/>
              <w:bottom w:val="single" w:sz="2" w:space="0" w:color="auto"/>
              <w:right w:val="nil"/>
            </w:tcBorders>
            <w:shd w:val="clear" w:color="auto" w:fill="auto"/>
            <w:noWrap/>
            <w:vAlign w:val="center"/>
            <w:hideMark/>
          </w:tcPr>
          <w:p w14:paraId="757A97AA" w14:textId="77777777" w:rsidR="00C30199" w:rsidRPr="00356F40" w:rsidRDefault="00C30199" w:rsidP="00D71071">
            <w:pPr>
              <w:pStyle w:val="cuatexto"/>
              <w:spacing w:line="240" w:lineRule="auto"/>
              <w:jc w:val="right"/>
              <w:rPr>
                <w:lang w:val="es-ES" w:eastAsia="es-ES"/>
              </w:rPr>
            </w:pPr>
            <w:r w:rsidRPr="00356F40">
              <w:rPr>
                <w:lang w:val="es-ES" w:eastAsia="es-ES"/>
              </w:rPr>
              <w:t>87.425.080</w:t>
            </w:r>
          </w:p>
        </w:tc>
        <w:tc>
          <w:tcPr>
            <w:tcW w:w="1276" w:type="dxa"/>
            <w:tcBorders>
              <w:top w:val="single" w:sz="2" w:space="0" w:color="auto"/>
              <w:left w:val="nil"/>
              <w:bottom w:val="single" w:sz="2" w:space="0" w:color="auto"/>
              <w:right w:val="nil"/>
            </w:tcBorders>
            <w:shd w:val="clear" w:color="auto" w:fill="auto"/>
            <w:noWrap/>
            <w:vAlign w:val="center"/>
            <w:hideMark/>
          </w:tcPr>
          <w:p w14:paraId="7B195A5A" w14:textId="77777777" w:rsidR="00C30199" w:rsidRPr="00356F40" w:rsidRDefault="00C30199" w:rsidP="00D71071">
            <w:pPr>
              <w:pStyle w:val="cuatexto"/>
              <w:spacing w:line="240" w:lineRule="auto"/>
              <w:jc w:val="right"/>
              <w:rPr>
                <w:lang w:val="es-ES" w:eastAsia="es-ES"/>
              </w:rPr>
            </w:pPr>
            <w:r w:rsidRPr="00356F40">
              <w:rPr>
                <w:lang w:val="es-ES" w:eastAsia="es-ES"/>
              </w:rPr>
              <w:t>22.472</w:t>
            </w:r>
          </w:p>
        </w:tc>
        <w:tc>
          <w:tcPr>
            <w:tcW w:w="1434" w:type="dxa"/>
            <w:tcBorders>
              <w:top w:val="single" w:sz="2" w:space="0" w:color="auto"/>
              <w:left w:val="nil"/>
              <w:bottom w:val="single" w:sz="2" w:space="0" w:color="auto"/>
              <w:right w:val="nil"/>
            </w:tcBorders>
            <w:shd w:val="clear" w:color="auto" w:fill="auto"/>
            <w:noWrap/>
            <w:vAlign w:val="center"/>
            <w:hideMark/>
          </w:tcPr>
          <w:p w14:paraId="16AC29CE" w14:textId="77777777" w:rsidR="00C30199" w:rsidRPr="00356F40" w:rsidRDefault="00C30199" w:rsidP="00D71071">
            <w:pPr>
              <w:pStyle w:val="cuatexto"/>
              <w:spacing w:line="240" w:lineRule="auto"/>
              <w:jc w:val="right"/>
              <w:rPr>
                <w:lang w:val="es-ES" w:eastAsia="es-ES"/>
              </w:rPr>
            </w:pPr>
            <w:r w:rsidRPr="00356F40">
              <w:rPr>
                <w:lang w:val="es-ES" w:eastAsia="es-ES"/>
              </w:rPr>
              <w:t>5.524</w:t>
            </w:r>
          </w:p>
        </w:tc>
        <w:tc>
          <w:tcPr>
            <w:tcW w:w="976" w:type="dxa"/>
            <w:tcBorders>
              <w:top w:val="single" w:sz="2" w:space="0" w:color="auto"/>
              <w:left w:val="nil"/>
              <w:bottom w:val="single" w:sz="2" w:space="0" w:color="auto"/>
              <w:right w:val="nil"/>
            </w:tcBorders>
            <w:shd w:val="clear" w:color="auto" w:fill="auto"/>
            <w:noWrap/>
            <w:vAlign w:val="center"/>
            <w:hideMark/>
          </w:tcPr>
          <w:p w14:paraId="65CC8818" w14:textId="77777777" w:rsidR="00C30199" w:rsidRPr="00356F40" w:rsidRDefault="00C30199" w:rsidP="00D71071">
            <w:pPr>
              <w:pStyle w:val="cuatexto"/>
              <w:spacing w:line="240" w:lineRule="auto"/>
              <w:jc w:val="right"/>
              <w:rPr>
                <w:lang w:val="es-ES" w:eastAsia="es-ES"/>
              </w:rPr>
            </w:pPr>
            <w:r w:rsidRPr="00356F40">
              <w:rPr>
                <w:lang w:val="es-ES" w:eastAsia="es-ES"/>
              </w:rPr>
              <w:t>6.759</w:t>
            </w:r>
          </w:p>
        </w:tc>
        <w:tc>
          <w:tcPr>
            <w:tcW w:w="1310" w:type="dxa"/>
            <w:tcBorders>
              <w:top w:val="single" w:sz="2" w:space="0" w:color="auto"/>
              <w:left w:val="nil"/>
              <w:bottom w:val="single" w:sz="2" w:space="0" w:color="auto"/>
              <w:right w:val="nil"/>
            </w:tcBorders>
            <w:shd w:val="clear" w:color="auto" w:fill="auto"/>
            <w:noWrap/>
            <w:vAlign w:val="center"/>
            <w:hideMark/>
          </w:tcPr>
          <w:p w14:paraId="728DECC3" w14:textId="77777777" w:rsidR="00C30199" w:rsidRPr="00356F40" w:rsidRDefault="00C30199" w:rsidP="00D71071">
            <w:pPr>
              <w:pStyle w:val="cuatexto"/>
              <w:spacing w:line="240" w:lineRule="auto"/>
              <w:jc w:val="right"/>
              <w:rPr>
                <w:lang w:val="es-ES" w:eastAsia="es-ES"/>
              </w:rPr>
            </w:pPr>
            <w:r w:rsidRPr="00356F40">
              <w:rPr>
                <w:lang w:val="es-ES" w:eastAsia="es-ES"/>
              </w:rPr>
              <w:t>14.862</w:t>
            </w:r>
          </w:p>
        </w:tc>
        <w:tc>
          <w:tcPr>
            <w:tcW w:w="1241" w:type="dxa"/>
            <w:tcBorders>
              <w:top w:val="single" w:sz="2" w:space="0" w:color="auto"/>
              <w:left w:val="nil"/>
              <w:bottom w:val="single" w:sz="2" w:space="0" w:color="auto"/>
              <w:right w:val="nil"/>
            </w:tcBorders>
            <w:shd w:val="clear" w:color="auto" w:fill="auto"/>
            <w:noWrap/>
            <w:vAlign w:val="center"/>
            <w:hideMark/>
          </w:tcPr>
          <w:p w14:paraId="49C0F232" w14:textId="77777777" w:rsidR="00C30199" w:rsidRPr="00356F40" w:rsidRDefault="00C30199" w:rsidP="00D71071">
            <w:pPr>
              <w:pStyle w:val="cuatexto"/>
              <w:spacing w:line="240" w:lineRule="auto"/>
              <w:jc w:val="right"/>
              <w:rPr>
                <w:lang w:val="es-ES" w:eastAsia="es-ES"/>
              </w:rPr>
            </w:pPr>
            <w:r w:rsidRPr="00356F40">
              <w:rPr>
                <w:lang w:val="es-ES" w:eastAsia="es-ES"/>
              </w:rPr>
              <w:t>14.160</w:t>
            </w:r>
          </w:p>
        </w:tc>
      </w:tr>
      <w:tr w:rsidR="00C30199" w:rsidRPr="00356F40" w14:paraId="35189173"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5F023989" w14:textId="77777777" w:rsidR="00C30199" w:rsidRPr="00356F40" w:rsidRDefault="00C30199" w:rsidP="00D71071">
            <w:pPr>
              <w:pStyle w:val="cuatexto"/>
              <w:spacing w:line="240" w:lineRule="auto"/>
              <w:rPr>
                <w:lang w:val="es-ES" w:eastAsia="es-ES"/>
              </w:rPr>
            </w:pPr>
            <w:r w:rsidRPr="00356F40">
              <w:rPr>
                <w:lang w:val="es-ES" w:eastAsia="es-ES"/>
              </w:rPr>
              <w:t>2018</w:t>
            </w:r>
          </w:p>
        </w:tc>
        <w:tc>
          <w:tcPr>
            <w:tcW w:w="1134" w:type="dxa"/>
            <w:tcBorders>
              <w:top w:val="single" w:sz="2" w:space="0" w:color="auto"/>
              <w:left w:val="nil"/>
              <w:bottom w:val="single" w:sz="2" w:space="0" w:color="auto"/>
              <w:right w:val="nil"/>
            </w:tcBorders>
            <w:shd w:val="clear" w:color="auto" w:fill="auto"/>
            <w:noWrap/>
            <w:vAlign w:val="center"/>
            <w:hideMark/>
          </w:tcPr>
          <w:p w14:paraId="73661EFF" w14:textId="77777777" w:rsidR="00C30199" w:rsidRPr="00356F40" w:rsidRDefault="00C30199" w:rsidP="00D71071">
            <w:pPr>
              <w:pStyle w:val="cuatexto"/>
              <w:spacing w:line="240" w:lineRule="auto"/>
              <w:jc w:val="right"/>
              <w:rPr>
                <w:lang w:val="es-ES" w:eastAsia="es-ES"/>
              </w:rPr>
            </w:pPr>
            <w:r w:rsidRPr="00356F40">
              <w:rPr>
                <w:lang w:val="es-ES" w:eastAsia="es-ES"/>
              </w:rPr>
              <w:t>79.130.220</w:t>
            </w:r>
          </w:p>
        </w:tc>
        <w:tc>
          <w:tcPr>
            <w:tcW w:w="1276" w:type="dxa"/>
            <w:tcBorders>
              <w:top w:val="single" w:sz="2" w:space="0" w:color="auto"/>
              <w:left w:val="nil"/>
              <w:bottom w:val="single" w:sz="2" w:space="0" w:color="auto"/>
              <w:right w:val="nil"/>
            </w:tcBorders>
            <w:shd w:val="clear" w:color="auto" w:fill="auto"/>
            <w:noWrap/>
            <w:vAlign w:val="center"/>
            <w:hideMark/>
          </w:tcPr>
          <w:p w14:paraId="2FC021DC" w14:textId="77777777" w:rsidR="00C30199" w:rsidRPr="00356F40" w:rsidRDefault="00C30199" w:rsidP="00D71071">
            <w:pPr>
              <w:pStyle w:val="cuatexto"/>
              <w:spacing w:line="240" w:lineRule="auto"/>
              <w:jc w:val="right"/>
              <w:rPr>
                <w:lang w:val="es-ES" w:eastAsia="es-ES"/>
              </w:rPr>
            </w:pPr>
            <w:r w:rsidRPr="00356F40">
              <w:rPr>
                <w:lang w:val="es-ES" w:eastAsia="es-ES"/>
              </w:rPr>
              <w:t>22.470</w:t>
            </w:r>
          </w:p>
        </w:tc>
        <w:tc>
          <w:tcPr>
            <w:tcW w:w="1434" w:type="dxa"/>
            <w:tcBorders>
              <w:top w:val="single" w:sz="2" w:space="0" w:color="auto"/>
              <w:left w:val="nil"/>
              <w:bottom w:val="single" w:sz="2" w:space="0" w:color="auto"/>
              <w:right w:val="nil"/>
            </w:tcBorders>
            <w:shd w:val="clear" w:color="auto" w:fill="auto"/>
            <w:noWrap/>
            <w:vAlign w:val="center"/>
            <w:hideMark/>
          </w:tcPr>
          <w:p w14:paraId="78DFCD42" w14:textId="77777777" w:rsidR="00C30199" w:rsidRPr="00356F40" w:rsidRDefault="00C30199" w:rsidP="00D71071">
            <w:pPr>
              <w:pStyle w:val="cuatexto"/>
              <w:spacing w:line="240" w:lineRule="auto"/>
              <w:jc w:val="right"/>
              <w:rPr>
                <w:lang w:val="es-ES" w:eastAsia="es-ES"/>
              </w:rPr>
            </w:pPr>
            <w:r w:rsidRPr="00356F40">
              <w:rPr>
                <w:lang w:val="es-ES" w:eastAsia="es-ES"/>
              </w:rPr>
              <w:t>5.146</w:t>
            </w:r>
          </w:p>
        </w:tc>
        <w:tc>
          <w:tcPr>
            <w:tcW w:w="976" w:type="dxa"/>
            <w:tcBorders>
              <w:top w:val="single" w:sz="2" w:space="0" w:color="auto"/>
              <w:left w:val="nil"/>
              <w:bottom w:val="single" w:sz="2" w:space="0" w:color="auto"/>
              <w:right w:val="nil"/>
            </w:tcBorders>
            <w:shd w:val="clear" w:color="auto" w:fill="auto"/>
            <w:noWrap/>
            <w:vAlign w:val="center"/>
            <w:hideMark/>
          </w:tcPr>
          <w:p w14:paraId="3CD26319" w14:textId="77777777" w:rsidR="00C30199" w:rsidRPr="00356F40" w:rsidRDefault="00C30199" w:rsidP="00D71071">
            <w:pPr>
              <w:pStyle w:val="cuatexto"/>
              <w:spacing w:line="240" w:lineRule="auto"/>
              <w:jc w:val="right"/>
              <w:rPr>
                <w:lang w:val="es-ES" w:eastAsia="es-ES"/>
              </w:rPr>
            </w:pPr>
            <w:r w:rsidRPr="00356F40">
              <w:rPr>
                <w:lang w:val="es-ES" w:eastAsia="es-ES"/>
              </w:rPr>
              <w:t>6.834</w:t>
            </w:r>
          </w:p>
        </w:tc>
        <w:tc>
          <w:tcPr>
            <w:tcW w:w="1310" w:type="dxa"/>
            <w:tcBorders>
              <w:top w:val="single" w:sz="2" w:space="0" w:color="auto"/>
              <w:left w:val="nil"/>
              <w:bottom w:val="single" w:sz="2" w:space="0" w:color="auto"/>
              <w:right w:val="nil"/>
            </w:tcBorders>
            <w:shd w:val="clear" w:color="auto" w:fill="auto"/>
            <w:noWrap/>
            <w:vAlign w:val="center"/>
            <w:hideMark/>
          </w:tcPr>
          <w:p w14:paraId="6E309550" w14:textId="77777777" w:rsidR="00C30199" w:rsidRPr="00356F40" w:rsidRDefault="00C30199" w:rsidP="00D71071">
            <w:pPr>
              <w:pStyle w:val="cuatexto"/>
              <w:spacing w:line="240" w:lineRule="auto"/>
              <w:jc w:val="right"/>
              <w:rPr>
                <w:lang w:val="es-ES" w:eastAsia="es-ES"/>
              </w:rPr>
            </w:pPr>
            <w:r w:rsidRPr="00356F40">
              <w:rPr>
                <w:lang w:val="es-ES" w:eastAsia="es-ES"/>
              </w:rPr>
              <w:t>14.496</w:t>
            </w:r>
          </w:p>
        </w:tc>
        <w:tc>
          <w:tcPr>
            <w:tcW w:w="1241" w:type="dxa"/>
            <w:tcBorders>
              <w:top w:val="single" w:sz="2" w:space="0" w:color="auto"/>
              <w:left w:val="nil"/>
              <w:bottom w:val="single" w:sz="2" w:space="0" w:color="auto"/>
              <w:right w:val="nil"/>
            </w:tcBorders>
            <w:shd w:val="clear" w:color="auto" w:fill="auto"/>
            <w:noWrap/>
            <w:vAlign w:val="center"/>
            <w:hideMark/>
          </w:tcPr>
          <w:p w14:paraId="58DD1918" w14:textId="77777777" w:rsidR="00C30199" w:rsidRPr="00356F40" w:rsidRDefault="00C30199" w:rsidP="00D71071">
            <w:pPr>
              <w:pStyle w:val="cuatexto"/>
              <w:spacing w:line="240" w:lineRule="auto"/>
              <w:jc w:val="right"/>
              <w:rPr>
                <w:lang w:val="es-ES" w:eastAsia="es-ES"/>
              </w:rPr>
            </w:pPr>
            <w:r w:rsidRPr="00356F40">
              <w:rPr>
                <w:lang w:val="es-ES" w:eastAsia="es-ES"/>
              </w:rPr>
              <w:t>13.808</w:t>
            </w:r>
          </w:p>
        </w:tc>
      </w:tr>
      <w:tr w:rsidR="00C30199" w:rsidRPr="00356F40" w14:paraId="06762AAD"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0A90B98E" w14:textId="77777777" w:rsidR="00C30199" w:rsidRPr="00356F40" w:rsidRDefault="00C30199" w:rsidP="00D71071">
            <w:pPr>
              <w:pStyle w:val="cuatexto"/>
              <w:spacing w:line="240" w:lineRule="auto"/>
              <w:rPr>
                <w:lang w:val="es-ES" w:eastAsia="es-ES"/>
              </w:rPr>
            </w:pPr>
            <w:r w:rsidRPr="00356F40">
              <w:rPr>
                <w:lang w:val="es-ES" w:eastAsia="es-ES"/>
              </w:rPr>
              <w:t>2019</w:t>
            </w:r>
          </w:p>
        </w:tc>
        <w:tc>
          <w:tcPr>
            <w:tcW w:w="1134" w:type="dxa"/>
            <w:tcBorders>
              <w:top w:val="single" w:sz="2" w:space="0" w:color="auto"/>
              <w:left w:val="nil"/>
              <w:bottom w:val="single" w:sz="2" w:space="0" w:color="auto"/>
              <w:right w:val="nil"/>
            </w:tcBorders>
            <w:shd w:val="clear" w:color="auto" w:fill="auto"/>
            <w:noWrap/>
            <w:vAlign w:val="center"/>
            <w:hideMark/>
          </w:tcPr>
          <w:p w14:paraId="6D2B28B7" w14:textId="77777777" w:rsidR="00C30199" w:rsidRPr="00356F40" w:rsidRDefault="00C30199" w:rsidP="00D71071">
            <w:pPr>
              <w:pStyle w:val="cuatexto"/>
              <w:spacing w:line="240" w:lineRule="auto"/>
              <w:jc w:val="right"/>
              <w:rPr>
                <w:lang w:val="es-ES" w:eastAsia="es-ES"/>
              </w:rPr>
            </w:pPr>
            <w:r w:rsidRPr="00356F40">
              <w:rPr>
                <w:lang w:val="es-ES" w:eastAsia="es-ES"/>
              </w:rPr>
              <w:t>98.752.369</w:t>
            </w:r>
          </w:p>
        </w:tc>
        <w:tc>
          <w:tcPr>
            <w:tcW w:w="1276" w:type="dxa"/>
            <w:tcBorders>
              <w:top w:val="single" w:sz="2" w:space="0" w:color="auto"/>
              <w:left w:val="nil"/>
              <w:bottom w:val="single" w:sz="2" w:space="0" w:color="auto"/>
              <w:right w:val="nil"/>
            </w:tcBorders>
            <w:shd w:val="clear" w:color="auto" w:fill="auto"/>
            <w:noWrap/>
            <w:vAlign w:val="center"/>
            <w:hideMark/>
          </w:tcPr>
          <w:p w14:paraId="2BC5F429" w14:textId="77777777" w:rsidR="00C30199" w:rsidRPr="00356F40" w:rsidRDefault="00C30199" w:rsidP="00D71071">
            <w:pPr>
              <w:pStyle w:val="cuatexto"/>
              <w:spacing w:line="240" w:lineRule="auto"/>
              <w:jc w:val="right"/>
              <w:rPr>
                <w:lang w:val="es-ES" w:eastAsia="es-ES"/>
              </w:rPr>
            </w:pPr>
            <w:r w:rsidRPr="00356F40">
              <w:rPr>
                <w:lang w:val="es-ES" w:eastAsia="es-ES"/>
              </w:rPr>
              <w:t>22.469</w:t>
            </w:r>
          </w:p>
        </w:tc>
        <w:tc>
          <w:tcPr>
            <w:tcW w:w="1434" w:type="dxa"/>
            <w:tcBorders>
              <w:top w:val="single" w:sz="2" w:space="0" w:color="auto"/>
              <w:left w:val="nil"/>
              <w:bottom w:val="single" w:sz="2" w:space="0" w:color="auto"/>
              <w:right w:val="nil"/>
            </w:tcBorders>
            <w:shd w:val="clear" w:color="auto" w:fill="auto"/>
            <w:noWrap/>
            <w:vAlign w:val="center"/>
            <w:hideMark/>
          </w:tcPr>
          <w:p w14:paraId="64349026" w14:textId="77777777" w:rsidR="00C30199" w:rsidRPr="00356F40" w:rsidRDefault="00C30199" w:rsidP="00D71071">
            <w:pPr>
              <w:pStyle w:val="cuatexto"/>
              <w:spacing w:line="240" w:lineRule="auto"/>
              <w:jc w:val="right"/>
              <w:rPr>
                <w:lang w:val="es-ES" w:eastAsia="es-ES"/>
              </w:rPr>
            </w:pPr>
            <w:r w:rsidRPr="00356F40">
              <w:rPr>
                <w:lang w:val="es-ES" w:eastAsia="es-ES"/>
              </w:rPr>
              <w:t>6.128</w:t>
            </w:r>
          </w:p>
        </w:tc>
        <w:tc>
          <w:tcPr>
            <w:tcW w:w="976" w:type="dxa"/>
            <w:tcBorders>
              <w:top w:val="single" w:sz="2" w:space="0" w:color="auto"/>
              <w:left w:val="nil"/>
              <w:bottom w:val="single" w:sz="2" w:space="0" w:color="auto"/>
              <w:right w:val="nil"/>
            </w:tcBorders>
            <w:shd w:val="clear" w:color="auto" w:fill="auto"/>
            <w:noWrap/>
            <w:vAlign w:val="center"/>
            <w:hideMark/>
          </w:tcPr>
          <w:p w14:paraId="4F8AF80A" w14:textId="77777777" w:rsidR="00C30199" w:rsidRPr="00356F40" w:rsidRDefault="00C30199" w:rsidP="00D71071">
            <w:pPr>
              <w:pStyle w:val="cuatexto"/>
              <w:spacing w:line="240" w:lineRule="auto"/>
              <w:jc w:val="right"/>
              <w:rPr>
                <w:lang w:val="es-ES" w:eastAsia="es-ES"/>
              </w:rPr>
            </w:pPr>
            <w:r w:rsidRPr="00356F40">
              <w:rPr>
                <w:lang w:val="es-ES" w:eastAsia="es-ES"/>
              </w:rPr>
              <w:t>6.914</w:t>
            </w:r>
          </w:p>
        </w:tc>
        <w:tc>
          <w:tcPr>
            <w:tcW w:w="1310" w:type="dxa"/>
            <w:tcBorders>
              <w:top w:val="single" w:sz="2" w:space="0" w:color="auto"/>
              <w:left w:val="nil"/>
              <w:bottom w:val="single" w:sz="2" w:space="0" w:color="auto"/>
              <w:right w:val="nil"/>
            </w:tcBorders>
            <w:shd w:val="clear" w:color="auto" w:fill="auto"/>
            <w:noWrap/>
            <w:vAlign w:val="center"/>
            <w:hideMark/>
          </w:tcPr>
          <w:p w14:paraId="215A899A" w14:textId="77777777" w:rsidR="00C30199" w:rsidRPr="00356F40" w:rsidRDefault="00C30199" w:rsidP="00D71071">
            <w:pPr>
              <w:pStyle w:val="cuatexto"/>
              <w:spacing w:line="240" w:lineRule="auto"/>
              <w:jc w:val="right"/>
              <w:rPr>
                <w:lang w:val="es-ES" w:eastAsia="es-ES"/>
              </w:rPr>
            </w:pPr>
            <w:r w:rsidRPr="00356F40">
              <w:rPr>
                <w:lang w:val="es-ES" w:eastAsia="es-ES"/>
              </w:rPr>
              <w:t>15.781</w:t>
            </w:r>
          </w:p>
        </w:tc>
        <w:tc>
          <w:tcPr>
            <w:tcW w:w="1241" w:type="dxa"/>
            <w:tcBorders>
              <w:top w:val="single" w:sz="2" w:space="0" w:color="auto"/>
              <w:left w:val="nil"/>
              <w:bottom w:val="single" w:sz="2" w:space="0" w:color="auto"/>
              <w:right w:val="nil"/>
            </w:tcBorders>
            <w:shd w:val="clear" w:color="auto" w:fill="auto"/>
            <w:noWrap/>
            <w:vAlign w:val="center"/>
            <w:hideMark/>
          </w:tcPr>
          <w:p w14:paraId="295D96FD" w14:textId="77777777" w:rsidR="00C30199" w:rsidRPr="00356F40" w:rsidRDefault="00C30199" w:rsidP="00D71071">
            <w:pPr>
              <w:pStyle w:val="cuatexto"/>
              <w:spacing w:line="240" w:lineRule="auto"/>
              <w:jc w:val="right"/>
              <w:rPr>
                <w:lang w:val="es-ES" w:eastAsia="es-ES"/>
              </w:rPr>
            </w:pPr>
            <w:r w:rsidRPr="00356F40">
              <w:rPr>
                <w:lang w:val="es-ES" w:eastAsia="es-ES"/>
              </w:rPr>
              <w:t>16.472</w:t>
            </w:r>
          </w:p>
        </w:tc>
      </w:tr>
      <w:tr w:rsidR="00C30199" w:rsidRPr="00356F40" w14:paraId="5A4BA72A" w14:textId="77777777" w:rsidTr="004A2D3C">
        <w:trPr>
          <w:trHeight w:val="227"/>
        </w:trPr>
        <w:tc>
          <w:tcPr>
            <w:tcW w:w="1701" w:type="dxa"/>
            <w:tcBorders>
              <w:top w:val="single" w:sz="2" w:space="0" w:color="auto"/>
              <w:left w:val="nil"/>
              <w:bottom w:val="single" w:sz="2" w:space="0" w:color="auto"/>
              <w:right w:val="nil"/>
            </w:tcBorders>
            <w:shd w:val="clear" w:color="auto" w:fill="auto"/>
            <w:noWrap/>
            <w:vAlign w:val="center"/>
            <w:hideMark/>
          </w:tcPr>
          <w:p w14:paraId="7E4FDC40" w14:textId="77777777" w:rsidR="00C30199" w:rsidRPr="00356F40" w:rsidRDefault="00C30199" w:rsidP="00D71071">
            <w:pPr>
              <w:pStyle w:val="cuatexto"/>
              <w:spacing w:line="240" w:lineRule="auto"/>
              <w:rPr>
                <w:lang w:val="es-ES" w:eastAsia="es-ES"/>
              </w:rPr>
            </w:pPr>
            <w:r w:rsidRPr="00356F40">
              <w:rPr>
                <w:lang w:val="es-ES" w:eastAsia="es-ES"/>
              </w:rPr>
              <w:t>2020</w:t>
            </w:r>
          </w:p>
        </w:tc>
        <w:tc>
          <w:tcPr>
            <w:tcW w:w="1134" w:type="dxa"/>
            <w:tcBorders>
              <w:top w:val="single" w:sz="2" w:space="0" w:color="auto"/>
              <w:left w:val="nil"/>
              <w:bottom w:val="single" w:sz="2" w:space="0" w:color="auto"/>
              <w:right w:val="nil"/>
            </w:tcBorders>
            <w:shd w:val="clear" w:color="auto" w:fill="auto"/>
            <w:noWrap/>
            <w:vAlign w:val="center"/>
            <w:hideMark/>
          </w:tcPr>
          <w:p w14:paraId="58C1864C" w14:textId="77777777" w:rsidR="00C30199" w:rsidRPr="00356F40" w:rsidRDefault="00C30199" w:rsidP="00D71071">
            <w:pPr>
              <w:pStyle w:val="cuatexto"/>
              <w:spacing w:line="240" w:lineRule="auto"/>
              <w:jc w:val="right"/>
              <w:rPr>
                <w:lang w:val="es-ES" w:eastAsia="es-ES"/>
              </w:rPr>
            </w:pPr>
            <w:r w:rsidRPr="00356F40">
              <w:rPr>
                <w:lang w:val="es-ES" w:eastAsia="es-ES"/>
              </w:rPr>
              <w:t>81.607.196</w:t>
            </w:r>
          </w:p>
        </w:tc>
        <w:tc>
          <w:tcPr>
            <w:tcW w:w="1276" w:type="dxa"/>
            <w:tcBorders>
              <w:top w:val="single" w:sz="2" w:space="0" w:color="auto"/>
              <w:left w:val="nil"/>
              <w:bottom w:val="single" w:sz="2" w:space="0" w:color="auto"/>
              <w:right w:val="nil"/>
            </w:tcBorders>
            <w:shd w:val="clear" w:color="auto" w:fill="auto"/>
            <w:noWrap/>
            <w:vAlign w:val="center"/>
            <w:hideMark/>
          </w:tcPr>
          <w:p w14:paraId="134A05FA" w14:textId="77777777" w:rsidR="00C30199" w:rsidRPr="00356F40" w:rsidRDefault="00C30199" w:rsidP="00D71071">
            <w:pPr>
              <w:pStyle w:val="cuatexto"/>
              <w:spacing w:line="240" w:lineRule="auto"/>
              <w:jc w:val="right"/>
              <w:rPr>
                <w:lang w:val="es-ES" w:eastAsia="es-ES"/>
              </w:rPr>
            </w:pPr>
            <w:r w:rsidRPr="00356F40">
              <w:rPr>
                <w:lang w:val="es-ES" w:eastAsia="es-ES"/>
              </w:rPr>
              <w:t>22.404</w:t>
            </w:r>
          </w:p>
        </w:tc>
        <w:tc>
          <w:tcPr>
            <w:tcW w:w="1434" w:type="dxa"/>
            <w:tcBorders>
              <w:top w:val="single" w:sz="2" w:space="0" w:color="auto"/>
              <w:left w:val="nil"/>
              <w:bottom w:val="single" w:sz="2" w:space="0" w:color="auto"/>
              <w:right w:val="nil"/>
            </w:tcBorders>
            <w:shd w:val="clear" w:color="auto" w:fill="auto"/>
            <w:noWrap/>
            <w:vAlign w:val="center"/>
            <w:hideMark/>
          </w:tcPr>
          <w:p w14:paraId="19D3FEAC" w14:textId="77777777" w:rsidR="00C30199" w:rsidRPr="00356F40" w:rsidRDefault="00C30199" w:rsidP="00D71071">
            <w:pPr>
              <w:pStyle w:val="cuatexto"/>
              <w:spacing w:line="240" w:lineRule="auto"/>
              <w:jc w:val="right"/>
              <w:rPr>
                <w:lang w:val="es-ES" w:eastAsia="es-ES"/>
              </w:rPr>
            </w:pPr>
            <w:r w:rsidRPr="00356F40">
              <w:rPr>
                <w:lang w:val="es-ES" w:eastAsia="es-ES"/>
              </w:rPr>
              <w:t>5.407</w:t>
            </w:r>
          </w:p>
        </w:tc>
        <w:tc>
          <w:tcPr>
            <w:tcW w:w="976" w:type="dxa"/>
            <w:tcBorders>
              <w:top w:val="single" w:sz="2" w:space="0" w:color="auto"/>
              <w:left w:val="nil"/>
              <w:bottom w:val="single" w:sz="2" w:space="0" w:color="auto"/>
              <w:right w:val="nil"/>
            </w:tcBorders>
            <w:shd w:val="clear" w:color="auto" w:fill="auto"/>
            <w:noWrap/>
            <w:vAlign w:val="center"/>
            <w:hideMark/>
          </w:tcPr>
          <w:p w14:paraId="74DDBE75" w14:textId="77777777" w:rsidR="00C30199" w:rsidRPr="00356F40" w:rsidRDefault="00C30199" w:rsidP="00D71071">
            <w:pPr>
              <w:pStyle w:val="cuatexto"/>
              <w:spacing w:line="240" w:lineRule="auto"/>
              <w:jc w:val="right"/>
              <w:rPr>
                <w:lang w:val="es-ES" w:eastAsia="es-ES"/>
              </w:rPr>
            </w:pPr>
            <w:r w:rsidRPr="00356F40">
              <w:rPr>
                <w:lang w:val="es-ES" w:eastAsia="es-ES"/>
              </w:rPr>
              <w:t>6.949</w:t>
            </w:r>
          </w:p>
        </w:tc>
        <w:tc>
          <w:tcPr>
            <w:tcW w:w="1310" w:type="dxa"/>
            <w:tcBorders>
              <w:top w:val="single" w:sz="2" w:space="0" w:color="auto"/>
              <w:left w:val="nil"/>
              <w:bottom w:val="single" w:sz="2" w:space="0" w:color="auto"/>
              <w:right w:val="nil"/>
            </w:tcBorders>
            <w:shd w:val="clear" w:color="auto" w:fill="auto"/>
            <w:noWrap/>
            <w:vAlign w:val="center"/>
            <w:hideMark/>
          </w:tcPr>
          <w:p w14:paraId="79E0949F" w14:textId="77777777" w:rsidR="00C30199" w:rsidRPr="00356F40" w:rsidRDefault="00C30199" w:rsidP="00D71071">
            <w:pPr>
              <w:pStyle w:val="cuatexto"/>
              <w:spacing w:line="240" w:lineRule="auto"/>
              <w:jc w:val="right"/>
              <w:rPr>
                <w:lang w:val="es-ES" w:eastAsia="es-ES"/>
              </w:rPr>
            </w:pPr>
            <w:r w:rsidRPr="00356F40">
              <w:rPr>
                <w:lang w:val="es-ES" w:eastAsia="es-ES"/>
              </w:rPr>
              <w:t>14.950</w:t>
            </w:r>
          </w:p>
        </w:tc>
        <w:tc>
          <w:tcPr>
            <w:tcW w:w="1241" w:type="dxa"/>
            <w:tcBorders>
              <w:top w:val="single" w:sz="2" w:space="0" w:color="auto"/>
              <w:left w:val="nil"/>
              <w:bottom w:val="single" w:sz="2" w:space="0" w:color="auto"/>
              <w:right w:val="nil"/>
            </w:tcBorders>
            <w:shd w:val="clear" w:color="auto" w:fill="auto"/>
            <w:noWrap/>
            <w:vAlign w:val="center"/>
            <w:hideMark/>
          </w:tcPr>
          <w:p w14:paraId="37B29D5C" w14:textId="77777777" w:rsidR="00C30199" w:rsidRPr="00356F40" w:rsidRDefault="00C30199" w:rsidP="00D71071">
            <w:pPr>
              <w:pStyle w:val="cuatexto"/>
              <w:spacing w:line="240" w:lineRule="auto"/>
              <w:jc w:val="right"/>
              <w:rPr>
                <w:lang w:val="es-ES" w:eastAsia="es-ES"/>
              </w:rPr>
            </w:pPr>
            <w:r w:rsidRPr="00356F40">
              <w:rPr>
                <w:lang w:val="es-ES" w:eastAsia="es-ES"/>
              </w:rPr>
              <w:t>14.914</w:t>
            </w:r>
          </w:p>
        </w:tc>
      </w:tr>
      <w:tr w:rsidR="00C30199" w:rsidRPr="00356F40" w14:paraId="0A2B5268" w14:textId="77777777" w:rsidTr="004A2D3C">
        <w:trPr>
          <w:trHeight w:val="227"/>
        </w:trPr>
        <w:tc>
          <w:tcPr>
            <w:tcW w:w="1701" w:type="dxa"/>
            <w:tcBorders>
              <w:top w:val="single" w:sz="2" w:space="0" w:color="auto"/>
              <w:left w:val="nil"/>
              <w:bottom w:val="single" w:sz="4" w:space="0" w:color="auto"/>
              <w:right w:val="nil"/>
            </w:tcBorders>
            <w:shd w:val="clear" w:color="auto" w:fill="auto"/>
            <w:noWrap/>
            <w:vAlign w:val="center"/>
            <w:hideMark/>
          </w:tcPr>
          <w:p w14:paraId="2358E0CF" w14:textId="77777777" w:rsidR="00C30199" w:rsidRPr="00356F40" w:rsidRDefault="00C30199" w:rsidP="00D71071">
            <w:pPr>
              <w:pStyle w:val="cuatexto"/>
              <w:spacing w:line="240" w:lineRule="auto"/>
              <w:rPr>
                <w:lang w:val="es-ES" w:eastAsia="es-ES"/>
              </w:rPr>
            </w:pPr>
            <w:r w:rsidRPr="00356F40">
              <w:rPr>
                <w:lang w:val="es-ES" w:eastAsia="es-ES"/>
              </w:rPr>
              <w:t>2021</w:t>
            </w:r>
          </w:p>
        </w:tc>
        <w:tc>
          <w:tcPr>
            <w:tcW w:w="1134" w:type="dxa"/>
            <w:tcBorders>
              <w:top w:val="single" w:sz="2" w:space="0" w:color="auto"/>
              <w:left w:val="nil"/>
              <w:bottom w:val="single" w:sz="4" w:space="0" w:color="auto"/>
              <w:right w:val="nil"/>
            </w:tcBorders>
            <w:shd w:val="clear" w:color="auto" w:fill="auto"/>
            <w:noWrap/>
            <w:vAlign w:val="center"/>
            <w:hideMark/>
          </w:tcPr>
          <w:p w14:paraId="23B523EB" w14:textId="77777777" w:rsidR="00C30199" w:rsidRPr="00356F40" w:rsidRDefault="00C30199" w:rsidP="00D71071">
            <w:pPr>
              <w:pStyle w:val="cuatexto"/>
              <w:spacing w:line="240" w:lineRule="auto"/>
              <w:jc w:val="right"/>
              <w:rPr>
                <w:lang w:val="es-ES" w:eastAsia="es-ES"/>
              </w:rPr>
            </w:pPr>
            <w:r w:rsidRPr="00356F40">
              <w:rPr>
                <w:lang w:val="es-ES" w:eastAsia="es-ES"/>
              </w:rPr>
              <w:t>86.220.081</w:t>
            </w:r>
          </w:p>
        </w:tc>
        <w:tc>
          <w:tcPr>
            <w:tcW w:w="1276" w:type="dxa"/>
            <w:tcBorders>
              <w:top w:val="single" w:sz="2" w:space="0" w:color="auto"/>
              <w:left w:val="nil"/>
              <w:bottom w:val="single" w:sz="4" w:space="0" w:color="auto"/>
              <w:right w:val="nil"/>
            </w:tcBorders>
            <w:shd w:val="clear" w:color="auto" w:fill="auto"/>
            <w:noWrap/>
            <w:vAlign w:val="center"/>
            <w:hideMark/>
          </w:tcPr>
          <w:p w14:paraId="772FA31E" w14:textId="77777777" w:rsidR="00C30199" w:rsidRPr="00356F40" w:rsidRDefault="00C30199" w:rsidP="00D71071">
            <w:pPr>
              <w:pStyle w:val="cuatexto"/>
              <w:spacing w:line="240" w:lineRule="auto"/>
              <w:jc w:val="right"/>
              <w:rPr>
                <w:lang w:val="es-ES" w:eastAsia="es-ES"/>
              </w:rPr>
            </w:pPr>
            <w:r w:rsidRPr="00356F40">
              <w:rPr>
                <w:lang w:val="es-ES" w:eastAsia="es-ES"/>
              </w:rPr>
              <w:t>22.398</w:t>
            </w:r>
          </w:p>
        </w:tc>
        <w:tc>
          <w:tcPr>
            <w:tcW w:w="1434" w:type="dxa"/>
            <w:tcBorders>
              <w:top w:val="single" w:sz="2" w:space="0" w:color="auto"/>
              <w:left w:val="nil"/>
              <w:bottom w:val="single" w:sz="4" w:space="0" w:color="auto"/>
              <w:right w:val="nil"/>
            </w:tcBorders>
            <w:shd w:val="clear" w:color="auto" w:fill="auto"/>
            <w:noWrap/>
            <w:vAlign w:val="center"/>
            <w:hideMark/>
          </w:tcPr>
          <w:p w14:paraId="7991B14D" w14:textId="77777777" w:rsidR="00C30199" w:rsidRPr="00356F40" w:rsidRDefault="00C30199" w:rsidP="00D71071">
            <w:pPr>
              <w:pStyle w:val="cuatexto"/>
              <w:spacing w:line="240" w:lineRule="auto"/>
              <w:jc w:val="right"/>
              <w:rPr>
                <w:lang w:val="es-ES" w:eastAsia="es-ES"/>
              </w:rPr>
            </w:pPr>
            <w:r w:rsidRPr="00356F40">
              <w:rPr>
                <w:lang w:val="es-ES" w:eastAsia="es-ES"/>
              </w:rPr>
              <w:t>5.573</w:t>
            </w:r>
          </w:p>
        </w:tc>
        <w:tc>
          <w:tcPr>
            <w:tcW w:w="976" w:type="dxa"/>
            <w:tcBorders>
              <w:top w:val="single" w:sz="2" w:space="0" w:color="auto"/>
              <w:left w:val="nil"/>
              <w:bottom w:val="single" w:sz="4" w:space="0" w:color="auto"/>
              <w:right w:val="nil"/>
            </w:tcBorders>
            <w:shd w:val="clear" w:color="auto" w:fill="auto"/>
            <w:noWrap/>
            <w:vAlign w:val="center"/>
            <w:hideMark/>
          </w:tcPr>
          <w:p w14:paraId="654BDD78" w14:textId="77777777" w:rsidR="00C30199" w:rsidRPr="00356F40" w:rsidRDefault="00C30199" w:rsidP="00D71071">
            <w:pPr>
              <w:pStyle w:val="cuatexto"/>
              <w:spacing w:line="240" w:lineRule="auto"/>
              <w:jc w:val="right"/>
              <w:rPr>
                <w:lang w:val="es-ES" w:eastAsia="es-ES"/>
              </w:rPr>
            </w:pPr>
            <w:r w:rsidRPr="00356F40">
              <w:rPr>
                <w:lang w:val="es-ES" w:eastAsia="es-ES"/>
              </w:rPr>
              <w:t>6.909</w:t>
            </w:r>
          </w:p>
        </w:tc>
        <w:tc>
          <w:tcPr>
            <w:tcW w:w="1310" w:type="dxa"/>
            <w:tcBorders>
              <w:top w:val="single" w:sz="2" w:space="0" w:color="auto"/>
              <w:left w:val="nil"/>
              <w:bottom w:val="single" w:sz="4" w:space="0" w:color="auto"/>
              <w:right w:val="nil"/>
            </w:tcBorders>
            <w:shd w:val="clear" w:color="auto" w:fill="auto"/>
            <w:noWrap/>
            <w:vAlign w:val="center"/>
            <w:hideMark/>
          </w:tcPr>
          <w:p w14:paraId="2A7C203C" w14:textId="77777777" w:rsidR="00C30199" w:rsidRPr="00356F40" w:rsidRDefault="00C30199" w:rsidP="00D71071">
            <w:pPr>
              <w:pStyle w:val="cuatexto"/>
              <w:spacing w:line="240" w:lineRule="auto"/>
              <w:jc w:val="right"/>
              <w:rPr>
                <w:lang w:val="es-ES" w:eastAsia="es-ES"/>
              </w:rPr>
            </w:pPr>
            <w:r w:rsidRPr="00356F40">
              <w:rPr>
                <w:lang w:val="es-ES" w:eastAsia="es-ES"/>
              </w:rPr>
              <w:t>15.104</w:t>
            </w:r>
          </w:p>
        </w:tc>
        <w:tc>
          <w:tcPr>
            <w:tcW w:w="1241" w:type="dxa"/>
            <w:tcBorders>
              <w:top w:val="single" w:sz="2" w:space="0" w:color="auto"/>
              <w:left w:val="nil"/>
              <w:bottom w:val="single" w:sz="4" w:space="0" w:color="auto"/>
              <w:right w:val="nil"/>
            </w:tcBorders>
            <w:shd w:val="clear" w:color="auto" w:fill="auto"/>
            <w:noWrap/>
            <w:vAlign w:val="center"/>
            <w:hideMark/>
          </w:tcPr>
          <w:p w14:paraId="76ED56E4" w14:textId="77777777" w:rsidR="00C30199" w:rsidRPr="00356F40" w:rsidRDefault="00C30199" w:rsidP="00D71071">
            <w:pPr>
              <w:pStyle w:val="cuatexto"/>
              <w:spacing w:line="240" w:lineRule="auto"/>
              <w:jc w:val="right"/>
              <w:rPr>
                <w:lang w:val="es-ES" w:eastAsia="es-ES"/>
              </w:rPr>
            </w:pPr>
            <w:r w:rsidRPr="00356F40">
              <w:rPr>
                <w:lang w:val="es-ES" w:eastAsia="es-ES"/>
              </w:rPr>
              <w:t>15.138</w:t>
            </w:r>
          </w:p>
        </w:tc>
      </w:tr>
      <w:tr w:rsidR="00C30199" w:rsidRPr="007B2B72" w14:paraId="721632E1" w14:textId="77777777" w:rsidTr="004A2D3C">
        <w:trPr>
          <w:trHeight w:val="227"/>
        </w:trPr>
        <w:tc>
          <w:tcPr>
            <w:tcW w:w="1701" w:type="dxa"/>
            <w:tcBorders>
              <w:top w:val="single" w:sz="4" w:space="0" w:color="auto"/>
              <w:left w:val="nil"/>
              <w:bottom w:val="single" w:sz="4" w:space="0" w:color="auto"/>
              <w:right w:val="nil"/>
            </w:tcBorders>
            <w:shd w:val="clear" w:color="auto" w:fill="B8CCE4" w:themeFill="accent1" w:themeFillTint="66"/>
            <w:noWrap/>
            <w:vAlign w:val="center"/>
            <w:hideMark/>
          </w:tcPr>
          <w:p w14:paraId="3B0510B6" w14:textId="77777777" w:rsidR="00C30199" w:rsidRPr="007B2B72" w:rsidRDefault="00C30199" w:rsidP="00D71071">
            <w:pPr>
              <w:pStyle w:val="cuadroCabe"/>
              <w:spacing w:line="240" w:lineRule="auto"/>
              <w:rPr>
                <w:lang w:val="es-ES" w:eastAsia="es-ES"/>
              </w:rPr>
            </w:pPr>
            <w:r w:rsidRPr="007B2B72">
              <w:rPr>
                <w:lang w:val="es-ES" w:eastAsia="es-ES"/>
              </w:rPr>
              <w:t>Total</w:t>
            </w:r>
          </w:p>
        </w:tc>
        <w:tc>
          <w:tcPr>
            <w:tcW w:w="1134" w:type="dxa"/>
            <w:tcBorders>
              <w:top w:val="single" w:sz="4" w:space="0" w:color="auto"/>
              <w:left w:val="nil"/>
              <w:bottom w:val="single" w:sz="4" w:space="0" w:color="auto"/>
              <w:right w:val="nil"/>
            </w:tcBorders>
            <w:shd w:val="clear" w:color="auto" w:fill="B8CCE4" w:themeFill="accent1" w:themeFillTint="66"/>
            <w:noWrap/>
            <w:vAlign w:val="center"/>
            <w:hideMark/>
          </w:tcPr>
          <w:p w14:paraId="4C5EE10C" w14:textId="77777777" w:rsidR="00C30199" w:rsidRPr="007B2B72" w:rsidRDefault="00C30199" w:rsidP="00D71071">
            <w:pPr>
              <w:pStyle w:val="cuadroCabe"/>
              <w:spacing w:line="240" w:lineRule="auto"/>
              <w:jc w:val="right"/>
              <w:rPr>
                <w:lang w:val="es-ES" w:eastAsia="es-ES"/>
              </w:rPr>
            </w:pPr>
            <w:r w:rsidRPr="007B2B72">
              <w:rPr>
                <w:lang w:val="es-ES" w:eastAsia="es-ES"/>
              </w:rPr>
              <w:t> </w:t>
            </w:r>
          </w:p>
        </w:tc>
        <w:tc>
          <w:tcPr>
            <w:tcW w:w="1276" w:type="dxa"/>
            <w:tcBorders>
              <w:top w:val="single" w:sz="4" w:space="0" w:color="auto"/>
              <w:left w:val="nil"/>
              <w:bottom w:val="single" w:sz="4" w:space="0" w:color="auto"/>
              <w:right w:val="nil"/>
            </w:tcBorders>
            <w:shd w:val="clear" w:color="auto" w:fill="B8CCE4" w:themeFill="accent1" w:themeFillTint="66"/>
            <w:noWrap/>
            <w:vAlign w:val="center"/>
            <w:hideMark/>
          </w:tcPr>
          <w:p w14:paraId="6EEC5569" w14:textId="77777777" w:rsidR="00C30199" w:rsidRPr="007B2B72" w:rsidRDefault="00C30199" w:rsidP="00D71071">
            <w:pPr>
              <w:pStyle w:val="cuadroCabe"/>
              <w:spacing w:line="240" w:lineRule="auto"/>
              <w:jc w:val="right"/>
              <w:rPr>
                <w:lang w:val="es-ES" w:eastAsia="es-ES"/>
              </w:rPr>
            </w:pPr>
            <w:r w:rsidRPr="007B2B72">
              <w:rPr>
                <w:lang w:val="es-ES" w:eastAsia="es-ES"/>
              </w:rPr>
              <w:t> </w:t>
            </w:r>
          </w:p>
        </w:tc>
        <w:tc>
          <w:tcPr>
            <w:tcW w:w="1434" w:type="dxa"/>
            <w:tcBorders>
              <w:top w:val="single" w:sz="4" w:space="0" w:color="auto"/>
              <w:left w:val="nil"/>
              <w:bottom w:val="single" w:sz="4" w:space="0" w:color="auto"/>
              <w:right w:val="nil"/>
            </w:tcBorders>
            <w:shd w:val="clear" w:color="auto" w:fill="B8CCE4" w:themeFill="accent1" w:themeFillTint="66"/>
            <w:noWrap/>
            <w:vAlign w:val="center"/>
            <w:hideMark/>
          </w:tcPr>
          <w:p w14:paraId="7B9584FE" w14:textId="77777777" w:rsidR="00C30199" w:rsidRPr="007B2B72" w:rsidRDefault="00C30199" w:rsidP="00D71071">
            <w:pPr>
              <w:pStyle w:val="cuadroCabe"/>
              <w:spacing w:line="240" w:lineRule="auto"/>
              <w:jc w:val="right"/>
              <w:rPr>
                <w:bCs/>
                <w:lang w:val="es-ES" w:eastAsia="es-ES"/>
              </w:rPr>
            </w:pPr>
            <w:r w:rsidRPr="007B2B72">
              <w:rPr>
                <w:bCs/>
                <w:lang w:val="es-ES" w:eastAsia="es-ES"/>
              </w:rPr>
              <w:t>61.508</w:t>
            </w:r>
          </w:p>
        </w:tc>
        <w:tc>
          <w:tcPr>
            <w:tcW w:w="976" w:type="dxa"/>
            <w:tcBorders>
              <w:top w:val="single" w:sz="4" w:space="0" w:color="auto"/>
              <w:left w:val="nil"/>
              <w:bottom w:val="single" w:sz="4" w:space="0" w:color="auto"/>
              <w:right w:val="nil"/>
            </w:tcBorders>
            <w:shd w:val="clear" w:color="auto" w:fill="B8CCE4" w:themeFill="accent1" w:themeFillTint="66"/>
            <w:noWrap/>
            <w:vAlign w:val="center"/>
            <w:hideMark/>
          </w:tcPr>
          <w:p w14:paraId="321BFB30" w14:textId="77777777" w:rsidR="00C30199" w:rsidRPr="007B2B72" w:rsidRDefault="00C30199" w:rsidP="00D71071">
            <w:pPr>
              <w:pStyle w:val="cuadroCabe"/>
              <w:spacing w:line="240" w:lineRule="auto"/>
              <w:jc w:val="right"/>
              <w:rPr>
                <w:bCs/>
                <w:lang w:val="es-ES" w:eastAsia="es-ES"/>
              </w:rPr>
            </w:pPr>
            <w:r w:rsidRPr="007B2B72">
              <w:rPr>
                <w:bCs/>
                <w:lang w:val="es-ES" w:eastAsia="es-ES"/>
              </w:rPr>
              <w:t>80.079</w:t>
            </w:r>
          </w:p>
        </w:tc>
        <w:tc>
          <w:tcPr>
            <w:tcW w:w="1310" w:type="dxa"/>
            <w:tcBorders>
              <w:top w:val="single" w:sz="4" w:space="0" w:color="auto"/>
              <w:left w:val="nil"/>
              <w:bottom w:val="single" w:sz="4" w:space="0" w:color="auto"/>
              <w:right w:val="nil"/>
            </w:tcBorders>
            <w:shd w:val="clear" w:color="auto" w:fill="B8CCE4" w:themeFill="accent1" w:themeFillTint="66"/>
            <w:noWrap/>
            <w:vAlign w:val="center"/>
            <w:hideMark/>
          </w:tcPr>
          <w:p w14:paraId="76801E1A" w14:textId="77777777" w:rsidR="00C30199" w:rsidRPr="007B2B72" w:rsidRDefault="00C30199" w:rsidP="00D71071">
            <w:pPr>
              <w:pStyle w:val="cuadroCabe"/>
              <w:spacing w:line="240" w:lineRule="auto"/>
              <w:jc w:val="right"/>
              <w:rPr>
                <w:bCs/>
                <w:lang w:val="es-ES" w:eastAsia="es-ES"/>
              </w:rPr>
            </w:pPr>
            <w:r w:rsidRPr="007B2B72">
              <w:rPr>
                <w:bCs/>
                <w:lang w:val="es-ES" w:eastAsia="es-ES"/>
              </w:rPr>
              <w:t>170.424</w:t>
            </w:r>
          </w:p>
        </w:tc>
        <w:tc>
          <w:tcPr>
            <w:tcW w:w="1241" w:type="dxa"/>
            <w:tcBorders>
              <w:top w:val="single" w:sz="4" w:space="0" w:color="auto"/>
              <w:left w:val="nil"/>
              <w:bottom w:val="single" w:sz="4" w:space="0" w:color="auto"/>
              <w:right w:val="nil"/>
            </w:tcBorders>
            <w:shd w:val="clear" w:color="auto" w:fill="B8CCE4" w:themeFill="accent1" w:themeFillTint="66"/>
            <w:noWrap/>
            <w:vAlign w:val="center"/>
            <w:hideMark/>
          </w:tcPr>
          <w:p w14:paraId="2C0FB818" w14:textId="77777777" w:rsidR="00C30199" w:rsidRPr="007B2B72" w:rsidRDefault="00C30199" w:rsidP="00D71071">
            <w:pPr>
              <w:pStyle w:val="cuadroCabe"/>
              <w:spacing w:line="240" w:lineRule="auto"/>
              <w:jc w:val="right"/>
              <w:rPr>
                <w:bCs/>
                <w:lang w:val="es-ES" w:eastAsia="es-ES"/>
              </w:rPr>
            </w:pPr>
            <w:r w:rsidRPr="007B2B72">
              <w:rPr>
                <w:bCs/>
                <w:lang w:val="es-ES" w:eastAsia="es-ES"/>
              </w:rPr>
              <w:t>169.721</w:t>
            </w:r>
          </w:p>
        </w:tc>
      </w:tr>
    </w:tbl>
    <w:p w14:paraId="58AACA7D" w14:textId="77777777" w:rsidR="00C30199" w:rsidRDefault="00C30199" w:rsidP="007B2B72">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rPr>
          <w:szCs w:val="26"/>
        </w:rPr>
      </w:pPr>
    </w:p>
    <w:p w14:paraId="2B26F4DA" w14:textId="77777777" w:rsidR="001522CA" w:rsidRDefault="001522CA" w:rsidP="001522CA">
      <w:pPr>
        <w:pStyle w:val="texto"/>
        <w:tabs>
          <w:tab w:val="clear" w:pos="2835"/>
          <w:tab w:val="clear" w:pos="3969"/>
          <w:tab w:val="clear" w:pos="5103"/>
          <w:tab w:val="clear" w:pos="6237"/>
          <w:tab w:val="clear" w:pos="7371"/>
          <w:tab w:val="left" w:pos="480"/>
          <w:tab w:val="num" w:pos="600"/>
          <w:tab w:val="num" w:pos="720"/>
          <w:tab w:val="num" w:pos="1320"/>
          <w:tab w:val="num" w:pos="2062"/>
        </w:tabs>
        <w:ind w:firstLine="289"/>
        <w:rPr>
          <w:szCs w:val="26"/>
        </w:rPr>
      </w:pPr>
      <w:r>
        <w:rPr>
          <w:szCs w:val="26"/>
        </w:rPr>
        <w:t xml:space="preserve">Se producen diferencias entre el devengo anual y los apuntes presupuestarios. Los </w:t>
      </w:r>
      <w:r w:rsidR="002F265D">
        <w:rPr>
          <w:szCs w:val="26"/>
        </w:rPr>
        <w:t xml:space="preserve">0,7 millones </w:t>
      </w:r>
      <w:r>
        <w:rPr>
          <w:szCs w:val="26"/>
        </w:rPr>
        <w:t>de diferencia, devengados y no reflejados en presupuesto,</w:t>
      </w:r>
      <w:r w:rsidRPr="00145789">
        <w:rPr>
          <w:color w:val="FF0000"/>
          <w:szCs w:val="26"/>
        </w:rPr>
        <w:t xml:space="preserve"> </w:t>
      </w:r>
      <w:r>
        <w:rPr>
          <w:szCs w:val="26"/>
        </w:rPr>
        <w:t>están imputados al presupuesto de 2022 y corresponde</w:t>
      </w:r>
      <w:r w:rsidR="00A45163">
        <w:rPr>
          <w:szCs w:val="26"/>
        </w:rPr>
        <w:t>n</w:t>
      </w:r>
      <w:r>
        <w:rPr>
          <w:szCs w:val="26"/>
        </w:rPr>
        <w:t xml:space="preserve"> a la liquidación del mes de diciembre de 2021.</w:t>
      </w:r>
    </w:p>
    <w:p w14:paraId="108C2810" w14:textId="77777777" w:rsidR="00223A4E" w:rsidRDefault="00C30199" w:rsidP="004211B2">
      <w:pPr>
        <w:pStyle w:val="texto"/>
      </w:pPr>
      <w:r w:rsidRPr="002348E8">
        <w:t>De los</w:t>
      </w:r>
      <w:r>
        <w:t xml:space="preserve"> 141</w:t>
      </w:r>
      <w:r w:rsidRPr="002348E8">
        <w:t xml:space="preserve"> millones (IVA excluido) que </w:t>
      </w:r>
      <w:r w:rsidR="002F265D">
        <w:t>cobró</w:t>
      </w:r>
      <w:r w:rsidRPr="002348E8">
        <w:t xml:space="preserve"> la concesionaria hasta diciembre de 2021,</w:t>
      </w:r>
      <w:r w:rsidRPr="00D501C9">
        <w:t xml:space="preserve"> </w:t>
      </w:r>
      <w:r w:rsidRPr="00EC7AF8">
        <w:t>el</w:t>
      </w:r>
      <w:r>
        <w:t xml:space="preserve"> 43</w:t>
      </w:r>
      <w:r w:rsidRPr="00EC7AF8">
        <w:t xml:space="preserve"> por ciento co</w:t>
      </w:r>
      <w:r>
        <w:t>rresponde al canon por demanda y el 56</w:t>
      </w:r>
      <w:r w:rsidRPr="002348E8">
        <w:t xml:space="preserve"> por ciento </w:t>
      </w:r>
      <w:r>
        <w:t xml:space="preserve">a la disponibilidad de la infraestructura </w:t>
      </w:r>
      <w:r w:rsidR="00A45163">
        <w:t>y,</w:t>
      </w:r>
      <w:r>
        <w:t xml:space="preserve"> por tanto</w:t>
      </w:r>
      <w:r w:rsidR="00A45163">
        <w:t>,</w:t>
      </w:r>
      <w:r>
        <w:t xml:space="preserve"> </w:t>
      </w:r>
      <w:r w:rsidRPr="002348E8">
        <w:t xml:space="preserve">no dependen </w:t>
      </w:r>
      <w:r>
        <w:t>del consumo de agua</w:t>
      </w:r>
      <w:r w:rsidRPr="002348E8">
        <w:t>.</w:t>
      </w:r>
    </w:p>
    <w:p w14:paraId="6BE9B19F" w14:textId="77777777" w:rsidR="00D71071" w:rsidRDefault="00D71071">
      <w:pPr>
        <w:spacing w:after="0"/>
        <w:ind w:firstLine="0"/>
        <w:jc w:val="left"/>
        <w:rPr>
          <w:i/>
          <w:spacing w:val="6"/>
          <w:sz w:val="26"/>
          <w:szCs w:val="26"/>
        </w:rPr>
      </w:pPr>
      <w:r>
        <w:rPr>
          <w:i/>
          <w:szCs w:val="26"/>
        </w:rPr>
        <w:br w:type="page"/>
      </w:r>
    </w:p>
    <w:p w14:paraId="7F50095C" w14:textId="77777777" w:rsidR="000217F2" w:rsidRPr="000217F2" w:rsidRDefault="00FB245E" w:rsidP="000217F2">
      <w:pPr>
        <w:pStyle w:val="texto"/>
        <w:numPr>
          <w:ilvl w:val="0"/>
          <w:numId w:val="33"/>
        </w:numPr>
        <w:tabs>
          <w:tab w:val="clear" w:pos="2835"/>
          <w:tab w:val="clear" w:pos="3969"/>
          <w:tab w:val="clear" w:pos="5103"/>
          <w:tab w:val="clear" w:pos="6237"/>
          <w:tab w:val="clear" w:pos="7371"/>
        </w:tabs>
        <w:ind w:left="0" w:firstLine="284"/>
        <w:rPr>
          <w:i/>
          <w:szCs w:val="26"/>
        </w:rPr>
      </w:pPr>
      <w:r>
        <w:rPr>
          <w:i/>
          <w:szCs w:val="26"/>
        </w:rPr>
        <w:t>Ampliación de la P</w:t>
      </w:r>
      <w:r w:rsidR="000217F2">
        <w:rPr>
          <w:i/>
          <w:szCs w:val="26"/>
        </w:rPr>
        <w:t>rimera</w:t>
      </w:r>
      <w:r>
        <w:rPr>
          <w:i/>
          <w:szCs w:val="26"/>
        </w:rPr>
        <w:t xml:space="preserve"> F</w:t>
      </w:r>
      <w:r w:rsidR="000217F2" w:rsidRPr="00D741FD">
        <w:rPr>
          <w:i/>
          <w:szCs w:val="26"/>
        </w:rPr>
        <w:t>ase del Canal de Navarra</w:t>
      </w:r>
    </w:p>
    <w:p w14:paraId="3C83FE24" w14:textId="77777777" w:rsidR="00C30199" w:rsidRDefault="00C30199" w:rsidP="00C30199">
      <w:pPr>
        <w:pStyle w:val="texto"/>
        <w:tabs>
          <w:tab w:val="clear" w:pos="2835"/>
          <w:tab w:val="clear" w:pos="3969"/>
          <w:tab w:val="clear" w:pos="5103"/>
          <w:tab w:val="clear" w:pos="6237"/>
          <w:tab w:val="clear" w:pos="7371"/>
        </w:tabs>
        <w:rPr>
          <w:szCs w:val="26"/>
        </w:rPr>
      </w:pPr>
      <w:r>
        <w:rPr>
          <w:szCs w:val="26"/>
        </w:rPr>
        <w:t xml:space="preserve">Un análisis más detallado del devengo </w:t>
      </w:r>
      <w:r w:rsidR="004E0AB6">
        <w:rPr>
          <w:szCs w:val="26"/>
        </w:rPr>
        <w:t xml:space="preserve">del canon </w:t>
      </w:r>
      <w:r>
        <w:rPr>
          <w:szCs w:val="26"/>
        </w:rPr>
        <w:t xml:space="preserve">e imputación al presupuesto anual, así como la evolución del consumo de agua y la superficie (Ha) en explotación, desde el </w:t>
      </w:r>
      <w:r w:rsidR="00736F56">
        <w:rPr>
          <w:szCs w:val="26"/>
        </w:rPr>
        <w:t>inicio de la concesión para la A</w:t>
      </w:r>
      <w:r>
        <w:rPr>
          <w:szCs w:val="26"/>
        </w:rPr>
        <w:t>mp</w:t>
      </w:r>
      <w:r w:rsidR="00736F56">
        <w:rPr>
          <w:szCs w:val="26"/>
        </w:rPr>
        <w:t>liación de la Primera Fase de las Zonas R</w:t>
      </w:r>
      <w:r>
        <w:rPr>
          <w:szCs w:val="26"/>
        </w:rPr>
        <w:t>egables del Canal de Navarra</w:t>
      </w:r>
      <w:r w:rsidR="00A45163">
        <w:rPr>
          <w:szCs w:val="26"/>
        </w:rPr>
        <w:t>,</w:t>
      </w:r>
      <w:r>
        <w:rPr>
          <w:szCs w:val="26"/>
        </w:rPr>
        <w:t xml:space="preserve"> sería el siguiente:</w:t>
      </w:r>
    </w:p>
    <w:p w14:paraId="2EB97E53" w14:textId="77777777" w:rsidR="0054359F" w:rsidRPr="007B2B72" w:rsidRDefault="00CD3E31" w:rsidP="0054359F">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jc w:val="right"/>
        <w:rPr>
          <w:rFonts w:ascii="Arial Narrow" w:hAnsi="Arial Narrow"/>
          <w:sz w:val="16"/>
          <w:szCs w:val="16"/>
        </w:rPr>
      </w:pPr>
      <w:r>
        <w:rPr>
          <w:rFonts w:ascii="Arial Narrow" w:hAnsi="Arial Narrow"/>
          <w:sz w:val="16"/>
          <w:szCs w:val="16"/>
        </w:rPr>
        <w:t>(</w:t>
      </w:r>
      <w:r w:rsidR="0054359F" w:rsidRPr="007B2B72">
        <w:rPr>
          <w:rFonts w:ascii="Arial Narrow" w:hAnsi="Arial Narrow"/>
          <w:sz w:val="16"/>
          <w:szCs w:val="16"/>
        </w:rPr>
        <w:t>Miles</w:t>
      </w:r>
      <w:r w:rsidR="007576AC">
        <w:rPr>
          <w:rFonts w:ascii="Arial Narrow" w:hAnsi="Arial Narrow"/>
          <w:sz w:val="16"/>
          <w:szCs w:val="16"/>
        </w:rPr>
        <w:t>, salvo consumos y superficies</w:t>
      </w:r>
      <w:r>
        <w:rPr>
          <w:rFonts w:ascii="Arial Narrow" w:hAnsi="Arial Narrow"/>
          <w:sz w:val="16"/>
          <w:szCs w:val="16"/>
        </w:rPr>
        <w:t>)</w:t>
      </w:r>
    </w:p>
    <w:tbl>
      <w:tblPr>
        <w:tblW w:w="9072" w:type="dxa"/>
        <w:tblCellMar>
          <w:left w:w="70" w:type="dxa"/>
          <w:right w:w="70" w:type="dxa"/>
        </w:tblCellMar>
        <w:tblLook w:val="04A0" w:firstRow="1" w:lastRow="0" w:firstColumn="1" w:lastColumn="0" w:noHBand="0" w:noVBand="1"/>
      </w:tblPr>
      <w:tblGrid>
        <w:gridCol w:w="2268"/>
        <w:gridCol w:w="1134"/>
        <w:gridCol w:w="1134"/>
        <w:gridCol w:w="993"/>
        <w:gridCol w:w="976"/>
        <w:gridCol w:w="1310"/>
        <w:gridCol w:w="1257"/>
      </w:tblGrid>
      <w:tr w:rsidR="0054359F" w:rsidRPr="007B2B72" w14:paraId="005A01C8" w14:textId="77777777" w:rsidTr="004A2D3C">
        <w:trPr>
          <w:trHeight w:val="255"/>
        </w:trPr>
        <w:tc>
          <w:tcPr>
            <w:tcW w:w="2268" w:type="dxa"/>
            <w:tcBorders>
              <w:top w:val="single" w:sz="4" w:space="0" w:color="auto"/>
              <w:left w:val="nil"/>
              <w:bottom w:val="single" w:sz="4" w:space="0" w:color="auto"/>
              <w:right w:val="nil"/>
            </w:tcBorders>
            <w:shd w:val="clear" w:color="auto" w:fill="B8CCE4" w:themeFill="accent1" w:themeFillTint="66"/>
            <w:vAlign w:val="center"/>
            <w:hideMark/>
          </w:tcPr>
          <w:p w14:paraId="1D30086D" w14:textId="77777777" w:rsidR="0054359F" w:rsidRPr="007B2B72" w:rsidRDefault="0054359F" w:rsidP="00D71071">
            <w:pPr>
              <w:pStyle w:val="cuadroCabe"/>
              <w:spacing w:line="240" w:lineRule="auto"/>
              <w:jc w:val="left"/>
              <w:rPr>
                <w:sz w:val="16"/>
                <w:szCs w:val="16"/>
                <w:lang w:val="es-ES" w:eastAsia="es-ES"/>
              </w:rPr>
            </w:pPr>
            <w:r w:rsidRPr="007B2B72">
              <w:rPr>
                <w:sz w:val="16"/>
                <w:szCs w:val="16"/>
                <w:lang w:val="es-ES" w:eastAsia="es-ES"/>
              </w:rPr>
              <w:t>Año</w:t>
            </w:r>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56C00202" w14:textId="77777777" w:rsidR="0054359F" w:rsidRDefault="0054359F" w:rsidP="00D71071">
            <w:pPr>
              <w:pStyle w:val="cuadroCabe"/>
              <w:spacing w:line="240" w:lineRule="auto"/>
              <w:jc w:val="right"/>
              <w:rPr>
                <w:sz w:val="16"/>
                <w:szCs w:val="16"/>
                <w:lang w:val="es-ES" w:eastAsia="es-ES"/>
              </w:rPr>
            </w:pPr>
            <w:r w:rsidRPr="007B2B72">
              <w:rPr>
                <w:sz w:val="16"/>
                <w:szCs w:val="16"/>
                <w:lang w:val="es-ES" w:eastAsia="es-ES"/>
              </w:rPr>
              <w:t>Consumos</w:t>
            </w:r>
          </w:p>
          <w:p w14:paraId="1F19DA59" w14:textId="77777777" w:rsidR="0054359F" w:rsidRPr="007B2B72" w:rsidRDefault="0054359F" w:rsidP="00D71071">
            <w:pPr>
              <w:pStyle w:val="cuadroCabe"/>
              <w:spacing w:line="240" w:lineRule="auto"/>
              <w:jc w:val="right"/>
              <w:rPr>
                <w:sz w:val="16"/>
                <w:szCs w:val="16"/>
                <w:lang w:val="es-ES" w:eastAsia="es-ES"/>
              </w:rPr>
            </w:pPr>
            <w:r w:rsidRPr="007B2B72">
              <w:rPr>
                <w:sz w:val="16"/>
                <w:szCs w:val="16"/>
                <w:lang w:val="es-ES" w:eastAsia="es-ES"/>
              </w:rPr>
              <w:t xml:space="preserve"> (m</w:t>
            </w:r>
            <w:r w:rsidRPr="007B2B72">
              <w:rPr>
                <w:sz w:val="16"/>
                <w:szCs w:val="16"/>
                <w:vertAlign w:val="superscript"/>
                <w:lang w:val="es-ES" w:eastAsia="es-ES"/>
              </w:rPr>
              <w:t>3</w:t>
            </w:r>
            <w:r w:rsidRPr="007B2B72">
              <w:rPr>
                <w:sz w:val="16"/>
                <w:szCs w:val="16"/>
                <w:lang w:val="es-ES" w:eastAsia="es-ES"/>
              </w:rPr>
              <w:t>)</w:t>
            </w:r>
          </w:p>
        </w:tc>
        <w:tc>
          <w:tcPr>
            <w:tcW w:w="1134" w:type="dxa"/>
            <w:tcBorders>
              <w:top w:val="single" w:sz="4" w:space="0" w:color="auto"/>
              <w:left w:val="nil"/>
              <w:bottom w:val="single" w:sz="4" w:space="0" w:color="auto"/>
              <w:right w:val="nil"/>
            </w:tcBorders>
            <w:shd w:val="clear" w:color="auto" w:fill="B8CCE4" w:themeFill="accent1" w:themeFillTint="66"/>
            <w:vAlign w:val="center"/>
            <w:hideMark/>
          </w:tcPr>
          <w:p w14:paraId="3DDA5715" w14:textId="77777777" w:rsidR="004A2D3C" w:rsidRDefault="0054359F" w:rsidP="00D71071">
            <w:pPr>
              <w:pStyle w:val="cuadroCabe"/>
              <w:spacing w:line="240" w:lineRule="auto"/>
              <w:jc w:val="right"/>
              <w:rPr>
                <w:sz w:val="16"/>
                <w:szCs w:val="16"/>
                <w:lang w:val="es-ES" w:eastAsia="es-ES"/>
              </w:rPr>
            </w:pPr>
            <w:r w:rsidRPr="007B2B72">
              <w:rPr>
                <w:sz w:val="16"/>
                <w:szCs w:val="16"/>
                <w:lang w:val="es-ES" w:eastAsia="es-ES"/>
              </w:rPr>
              <w:t>Superficies</w:t>
            </w:r>
          </w:p>
          <w:p w14:paraId="7C4B96CB" w14:textId="77777777" w:rsidR="0054359F" w:rsidRPr="007B2B72" w:rsidRDefault="0054359F" w:rsidP="00D71071">
            <w:pPr>
              <w:pStyle w:val="cuadroCabe"/>
              <w:spacing w:line="240" w:lineRule="auto"/>
              <w:jc w:val="right"/>
              <w:rPr>
                <w:sz w:val="16"/>
                <w:szCs w:val="16"/>
                <w:lang w:val="es-ES" w:eastAsia="es-ES"/>
              </w:rPr>
            </w:pPr>
            <w:r w:rsidRPr="007B2B72">
              <w:rPr>
                <w:sz w:val="16"/>
                <w:szCs w:val="16"/>
                <w:lang w:val="es-ES" w:eastAsia="es-ES"/>
              </w:rPr>
              <w:t xml:space="preserve"> (Ha)</w:t>
            </w:r>
          </w:p>
        </w:tc>
        <w:tc>
          <w:tcPr>
            <w:tcW w:w="993" w:type="dxa"/>
            <w:tcBorders>
              <w:top w:val="single" w:sz="4" w:space="0" w:color="auto"/>
              <w:left w:val="nil"/>
              <w:bottom w:val="single" w:sz="4" w:space="0" w:color="auto"/>
              <w:right w:val="nil"/>
            </w:tcBorders>
            <w:shd w:val="clear" w:color="auto" w:fill="B8CCE4" w:themeFill="accent1" w:themeFillTint="66"/>
            <w:vAlign w:val="center"/>
            <w:hideMark/>
          </w:tcPr>
          <w:p w14:paraId="7AE4E599" w14:textId="77777777" w:rsidR="0054359F" w:rsidRPr="007B2B72" w:rsidRDefault="0054359F" w:rsidP="00D71071">
            <w:pPr>
              <w:pStyle w:val="cuadroCabe"/>
              <w:spacing w:line="240" w:lineRule="auto"/>
              <w:jc w:val="right"/>
              <w:rPr>
                <w:sz w:val="16"/>
                <w:szCs w:val="16"/>
                <w:lang w:val="es-ES" w:eastAsia="es-ES"/>
              </w:rPr>
            </w:pPr>
            <w:r w:rsidRPr="007B2B72">
              <w:rPr>
                <w:sz w:val="16"/>
                <w:szCs w:val="16"/>
                <w:lang w:val="es-ES" w:eastAsia="es-ES"/>
              </w:rPr>
              <w:t xml:space="preserve">Devengo </w:t>
            </w:r>
            <w:r w:rsidR="001D3F2F" w:rsidRPr="007B2B72">
              <w:rPr>
                <w:sz w:val="16"/>
                <w:szCs w:val="16"/>
                <w:lang w:val="es-ES" w:eastAsia="es-ES"/>
              </w:rPr>
              <w:t>C</w:t>
            </w:r>
            <w:r w:rsidR="009A234C">
              <w:rPr>
                <w:sz w:val="16"/>
                <w:szCs w:val="16"/>
                <w:lang w:val="es-ES" w:eastAsia="es-ES"/>
              </w:rPr>
              <w:t>VA</w:t>
            </w:r>
          </w:p>
        </w:tc>
        <w:tc>
          <w:tcPr>
            <w:tcW w:w="976" w:type="dxa"/>
            <w:tcBorders>
              <w:top w:val="single" w:sz="4" w:space="0" w:color="auto"/>
              <w:left w:val="nil"/>
              <w:bottom w:val="single" w:sz="4" w:space="0" w:color="auto"/>
              <w:right w:val="nil"/>
            </w:tcBorders>
            <w:shd w:val="clear" w:color="auto" w:fill="B8CCE4" w:themeFill="accent1" w:themeFillTint="66"/>
            <w:vAlign w:val="center"/>
            <w:hideMark/>
          </w:tcPr>
          <w:p w14:paraId="3A492887" w14:textId="77777777" w:rsidR="0054359F" w:rsidRPr="007B2B72" w:rsidRDefault="0054359F" w:rsidP="00D71071">
            <w:pPr>
              <w:pStyle w:val="cuadroCabe"/>
              <w:spacing w:line="240" w:lineRule="auto"/>
              <w:jc w:val="right"/>
              <w:rPr>
                <w:sz w:val="16"/>
                <w:szCs w:val="16"/>
                <w:lang w:val="es-ES" w:eastAsia="es-ES"/>
              </w:rPr>
            </w:pPr>
            <w:r w:rsidRPr="007B2B72">
              <w:rPr>
                <w:sz w:val="16"/>
                <w:szCs w:val="16"/>
                <w:lang w:val="es-ES" w:eastAsia="es-ES"/>
              </w:rPr>
              <w:t>Devengo CCGI</w:t>
            </w:r>
          </w:p>
        </w:tc>
        <w:tc>
          <w:tcPr>
            <w:tcW w:w="1310" w:type="dxa"/>
            <w:tcBorders>
              <w:top w:val="single" w:sz="4" w:space="0" w:color="auto"/>
              <w:left w:val="nil"/>
              <w:bottom w:val="single" w:sz="4" w:space="0" w:color="auto"/>
              <w:right w:val="nil"/>
            </w:tcBorders>
            <w:shd w:val="clear" w:color="auto" w:fill="B8CCE4" w:themeFill="accent1" w:themeFillTint="66"/>
            <w:vAlign w:val="center"/>
            <w:hideMark/>
          </w:tcPr>
          <w:p w14:paraId="23A485F5" w14:textId="77777777" w:rsidR="0054359F" w:rsidRPr="007B2B72" w:rsidRDefault="0054359F" w:rsidP="00D71071">
            <w:pPr>
              <w:pStyle w:val="cuadroCabe"/>
              <w:spacing w:line="240" w:lineRule="auto"/>
              <w:jc w:val="right"/>
              <w:rPr>
                <w:sz w:val="16"/>
                <w:szCs w:val="16"/>
                <w:lang w:val="es-ES" w:eastAsia="es-ES"/>
              </w:rPr>
            </w:pPr>
            <w:proofErr w:type="gramStart"/>
            <w:r w:rsidRPr="007B2B72">
              <w:rPr>
                <w:sz w:val="16"/>
                <w:szCs w:val="16"/>
                <w:lang w:val="es-ES" w:eastAsia="es-ES"/>
              </w:rPr>
              <w:t>Total</w:t>
            </w:r>
            <w:proofErr w:type="gramEnd"/>
            <w:r w:rsidRPr="007B2B72">
              <w:rPr>
                <w:sz w:val="16"/>
                <w:szCs w:val="16"/>
                <w:lang w:val="es-ES" w:eastAsia="es-ES"/>
              </w:rPr>
              <w:t xml:space="preserve"> devengo IVA incluido</w:t>
            </w:r>
          </w:p>
        </w:tc>
        <w:tc>
          <w:tcPr>
            <w:tcW w:w="1257" w:type="dxa"/>
            <w:tcBorders>
              <w:top w:val="single" w:sz="4" w:space="0" w:color="auto"/>
              <w:left w:val="nil"/>
              <w:bottom w:val="single" w:sz="4" w:space="0" w:color="auto"/>
              <w:right w:val="nil"/>
            </w:tcBorders>
            <w:shd w:val="clear" w:color="auto" w:fill="B8CCE4" w:themeFill="accent1" w:themeFillTint="66"/>
            <w:vAlign w:val="center"/>
            <w:hideMark/>
          </w:tcPr>
          <w:p w14:paraId="79B3C358" w14:textId="77777777" w:rsidR="0054359F" w:rsidRPr="007B2B72" w:rsidRDefault="0054359F" w:rsidP="00D71071">
            <w:pPr>
              <w:pStyle w:val="cuadroCabe"/>
              <w:spacing w:line="240" w:lineRule="auto"/>
              <w:jc w:val="right"/>
              <w:rPr>
                <w:sz w:val="16"/>
                <w:szCs w:val="16"/>
                <w:lang w:val="es-ES" w:eastAsia="es-ES"/>
              </w:rPr>
            </w:pPr>
            <w:proofErr w:type="gramStart"/>
            <w:r w:rsidRPr="007B2B72">
              <w:rPr>
                <w:sz w:val="16"/>
                <w:szCs w:val="16"/>
                <w:lang w:val="es-ES" w:eastAsia="es-ES"/>
              </w:rPr>
              <w:t>Total</w:t>
            </w:r>
            <w:proofErr w:type="gramEnd"/>
            <w:r w:rsidRPr="007B2B72">
              <w:rPr>
                <w:sz w:val="16"/>
                <w:szCs w:val="16"/>
                <w:lang w:val="es-ES" w:eastAsia="es-ES"/>
              </w:rPr>
              <w:t xml:space="preserve"> gasto en presupuesto</w:t>
            </w:r>
          </w:p>
        </w:tc>
      </w:tr>
      <w:tr w:rsidR="0054359F" w:rsidRPr="00356F40" w14:paraId="1C3245BB" w14:textId="77777777" w:rsidTr="004A2D3C">
        <w:trPr>
          <w:trHeight w:val="255"/>
        </w:trPr>
        <w:tc>
          <w:tcPr>
            <w:tcW w:w="2268" w:type="dxa"/>
            <w:tcBorders>
              <w:top w:val="nil"/>
              <w:left w:val="nil"/>
              <w:bottom w:val="single" w:sz="2" w:space="0" w:color="auto"/>
              <w:right w:val="nil"/>
            </w:tcBorders>
            <w:shd w:val="clear" w:color="auto" w:fill="auto"/>
            <w:noWrap/>
            <w:vAlign w:val="center"/>
          </w:tcPr>
          <w:p w14:paraId="1802FE0C" w14:textId="77777777" w:rsidR="0054359F" w:rsidRPr="00EB594E" w:rsidRDefault="0054359F" w:rsidP="00D71071">
            <w:pPr>
              <w:spacing w:after="0"/>
              <w:ind w:firstLine="0"/>
              <w:jc w:val="left"/>
              <w:rPr>
                <w:rFonts w:ascii="Arial Narrow" w:hAnsi="Arial Narrow" w:cs="Calibri"/>
                <w:color w:val="000000"/>
                <w:lang w:val="es-ES" w:eastAsia="es-ES"/>
              </w:rPr>
            </w:pPr>
            <w:r w:rsidRPr="00EB594E">
              <w:rPr>
                <w:rFonts w:ascii="Arial Narrow" w:hAnsi="Arial Narrow" w:cs="Calibri"/>
                <w:color w:val="000000"/>
                <w:lang w:val="es-ES" w:eastAsia="es-ES"/>
              </w:rPr>
              <w:t>2015</w:t>
            </w:r>
          </w:p>
        </w:tc>
        <w:tc>
          <w:tcPr>
            <w:tcW w:w="1134" w:type="dxa"/>
            <w:tcBorders>
              <w:top w:val="nil"/>
              <w:left w:val="nil"/>
              <w:bottom w:val="single" w:sz="2" w:space="0" w:color="auto"/>
              <w:right w:val="nil"/>
            </w:tcBorders>
            <w:shd w:val="clear" w:color="auto" w:fill="auto"/>
            <w:noWrap/>
            <w:vAlign w:val="center"/>
          </w:tcPr>
          <w:p w14:paraId="45D8C22A" w14:textId="77777777" w:rsidR="0054359F" w:rsidRPr="00EB594E" w:rsidRDefault="0054359F" w:rsidP="00D71071">
            <w:pPr>
              <w:spacing w:after="0"/>
              <w:ind w:firstLine="0"/>
              <w:jc w:val="right"/>
              <w:rPr>
                <w:rFonts w:ascii="Arial Narrow" w:hAnsi="Arial Narrow" w:cs="Calibri"/>
                <w:color w:val="000000"/>
                <w:lang w:val="es-ES" w:eastAsia="es-ES"/>
              </w:rPr>
            </w:pPr>
          </w:p>
        </w:tc>
        <w:tc>
          <w:tcPr>
            <w:tcW w:w="1134" w:type="dxa"/>
            <w:tcBorders>
              <w:top w:val="nil"/>
              <w:left w:val="nil"/>
              <w:bottom w:val="single" w:sz="2" w:space="0" w:color="auto"/>
              <w:right w:val="nil"/>
            </w:tcBorders>
            <w:shd w:val="clear" w:color="auto" w:fill="auto"/>
            <w:noWrap/>
            <w:vAlign w:val="center"/>
          </w:tcPr>
          <w:p w14:paraId="279DA91F"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102</w:t>
            </w:r>
          </w:p>
        </w:tc>
        <w:tc>
          <w:tcPr>
            <w:tcW w:w="993" w:type="dxa"/>
            <w:tcBorders>
              <w:top w:val="nil"/>
              <w:left w:val="nil"/>
              <w:bottom w:val="single" w:sz="2" w:space="0" w:color="auto"/>
              <w:right w:val="nil"/>
            </w:tcBorders>
            <w:shd w:val="clear" w:color="auto" w:fill="auto"/>
            <w:noWrap/>
            <w:vAlign w:val="center"/>
          </w:tcPr>
          <w:p w14:paraId="666DCA79" w14:textId="77777777" w:rsidR="0054359F" w:rsidRPr="00EB594E" w:rsidRDefault="0054359F" w:rsidP="00D71071">
            <w:pPr>
              <w:spacing w:after="0"/>
              <w:ind w:firstLine="0"/>
              <w:jc w:val="right"/>
              <w:rPr>
                <w:rFonts w:ascii="Arial Narrow" w:hAnsi="Arial Narrow" w:cs="Calibri"/>
                <w:color w:val="000000"/>
                <w:lang w:val="es-ES" w:eastAsia="es-ES"/>
              </w:rPr>
            </w:pPr>
          </w:p>
        </w:tc>
        <w:tc>
          <w:tcPr>
            <w:tcW w:w="976" w:type="dxa"/>
            <w:tcBorders>
              <w:top w:val="nil"/>
              <w:left w:val="nil"/>
              <w:bottom w:val="single" w:sz="2" w:space="0" w:color="auto"/>
              <w:right w:val="nil"/>
            </w:tcBorders>
            <w:shd w:val="clear" w:color="auto" w:fill="auto"/>
            <w:noWrap/>
            <w:vAlign w:val="center"/>
          </w:tcPr>
          <w:p w14:paraId="1CFD7759"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6</w:t>
            </w:r>
          </w:p>
        </w:tc>
        <w:tc>
          <w:tcPr>
            <w:tcW w:w="1310" w:type="dxa"/>
            <w:tcBorders>
              <w:top w:val="nil"/>
              <w:left w:val="nil"/>
              <w:bottom w:val="single" w:sz="2" w:space="0" w:color="auto"/>
              <w:right w:val="nil"/>
            </w:tcBorders>
            <w:shd w:val="clear" w:color="auto" w:fill="auto"/>
            <w:noWrap/>
            <w:vAlign w:val="center"/>
          </w:tcPr>
          <w:p w14:paraId="42D860AE"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7</w:t>
            </w:r>
          </w:p>
        </w:tc>
        <w:tc>
          <w:tcPr>
            <w:tcW w:w="1257" w:type="dxa"/>
            <w:tcBorders>
              <w:top w:val="nil"/>
              <w:left w:val="nil"/>
              <w:bottom w:val="single" w:sz="2" w:space="0" w:color="auto"/>
              <w:right w:val="nil"/>
            </w:tcBorders>
            <w:shd w:val="clear" w:color="auto" w:fill="auto"/>
            <w:noWrap/>
            <w:vAlign w:val="center"/>
          </w:tcPr>
          <w:p w14:paraId="0201DAC4" w14:textId="77777777" w:rsidR="0054359F" w:rsidRPr="00EB594E" w:rsidRDefault="0054359F" w:rsidP="00D71071">
            <w:pPr>
              <w:spacing w:after="0"/>
              <w:ind w:firstLine="0"/>
              <w:jc w:val="right"/>
              <w:rPr>
                <w:rFonts w:ascii="Arial Narrow" w:hAnsi="Arial Narrow" w:cs="Calibri"/>
                <w:color w:val="000000"/>
                <w:lang w:val="es-ES" w:eastAsia="es-ES"/>
              </w:rPr>
            </w:pPr>
          </w:p>
        </w:tc>
      </w:tr>
      <w:tr w:rsidR="0054359F" w:rsidRPr="00356F40" w14:paraId="750FC670"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4FA9D713" w14:textId="77777777" w:rsidR="0054359F" w:rsidRPr="00EB594E" w:rsidRDefault="0054359F" w:rsidP="00D71071">
            <w:pPr>
              <w:spacing w:after="0"/>
              <w:ind w:firstLine="0"/>
              <w:jc w:val="left"/>
              <w:rPr>
                <w:rFonts w:ascii="Arial Narrow" w:hAnsi="Arial Narrow" w:cs="Calibri"/>
                <w:color w:val="000000"/>
                <w:lang w:val="es-ES" w:eastAsia="es-ES"/>
              </w:rPr>
            </w:pPr>
            <w:r w:rsidRPr="00EB594E">
              <w:rPr>
                <w:rFonts w:ascii="Arial Narrow" w:hAnsi="Arial Narrow" w:cs="Calibri"/>
                <w:color w:val="000000"/>
                <w:lang w:val="es-ES" w:eastAsia="es-ES"/>
              </w:rPr>
              <w:t>2016</w:t>
            </w:r>
          </w:p>
        </w:tc>
        <w:tc>
          <w:tcPr>
            <w:tcW w:w="1134" w:type="dxa"/>
            <w:tcBorders>
              <w:top w:val="single" w:sz="2" w:space="0" w:color="auto"/>
              <w:left w:val="nil"/>
              <w:bottom w:val="single" w:sz="2" w:space="0" w:color="auto"/>
              <w:right w:val="nil"/>
            </w:tcBorders>
            <w:shd w:val="clear" w:color="auto" w:fill="auto"/>
            <w:noWrap/>
            <w:vAlign w:val="center"/>
          </w:tcPr>
          <w:p w14:paraId="41ACD0F7" w14:textId="77777777" w:rsidR="0054359F" w:rsidRPr="00EB594E" w:rsidRDefault="0054359F" w:rsidP="00D71071">
            <w:pPr>
              <w:spacing w:after="0"/>
              <w:ind w:firstLine="0"/>
              <w:jc w:val="right"/>
              <w:rPr>
                <w:rFonts w:ascii="Arial Narrow" w:hAnsi="Arial Narrow" w:cs="Calibri"/>
                <w:color w:val="000000"/>
                <w:lang w:val="es-ES" w:eastAsia="es-ES"/>
              </w:rPr>
            </w:pPr>
          </w:p>
        </w:tc>
        <w:tc>
          <w:tcPr>
            <w:tcW w:w="1134" w:type="dxa"/>
            <w:tcBorders>
              <w:top w:val="single" w:sz="2" w:space="0" w:color="auto"/>
              <w:left w:val="nil"/>
              <w:bottom w:val="single" w:sz="2" w:space="0" w:color="auto"/>
              <w:right w:val="nil"/>
            </w:tcBorders>
            <w:shd w:val="clear" w:color="auto" w:fill="auto"/>
            <w:noWrap/>
            <w:vAlign w:val="center"/>
          </w:tcPr>
          <w:p w14:paraId="1DD95E23"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1.451</w:t>
            </w:r>
          </w:p>
        </w:tc>
        <w:tc>
          <w:tcPr>
            <w:tcW w:w="993" w:type="dxa"/>
            <w:tcBorders>
              <w:top w:val="single" w:sz="2" w:space="0" w:color="auto"/>
              <w:left w:val="nil"/>
              <w:bottom w:val="single" w:sz="2" w:space="0" w:color="auto"/>
              <w:right w:val="nil"/>
            </w:tcBorders>
            <w:shd w:val="clear" w:color="auto" w:fill="auto"/>
            <w:noWrap/>
            <w:vAlign w:val="center"/>
          </w:tcPr>
          <w:p w14:paraId="36FD265A" w14:textId="77777777" w:rsidR="0054359F" w:rsidRPr="00EB594E" w:rsidRDefault="0054359F" w:rsidP="00D71071">
            <w:pPr>
              <w:spacing w:after="0"/>
              <w:ind w:firstLine="0"/>
              <w:jc w:val="right"/>
              <w:rPr>
                <w:rFonts w:ascii="Arial Narrow" w:hAnsi="Arial Narrow" w:cs="Calibri"/>
                <w:color w:val="000000"/>
                <w:lang w:val="es-ES" w:eastAsia="es-ES"/>
              </w:rPr>
            </w:pPr>
          </w:p>
        </w:tc>
        <w:tc>
          <w:tcPr>
            <w:tcW w:w="976" w:type="dxa"/>
            <w:tcBorders>
              <w:top w:val="single" w:sz="2" w:space="0" w:color="auto"/>
              <w:left w:val="nil"/>
              <w:bottom w:val="single" w:sz="2" w:space="0" w:color="auto"/>
              <w:right w:val="nil"/>
            </w:tcBorders>
            <w:shd w:val="clear" w:color="auto" w:fill="auto"/>
            <w:noWrap/>
            <w:vAlign w:val="center"/>
          </w:tcPr>
          <w:p w14:paraId="28B52908"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393</w:t>
            </w:r>
          </w:p>
        </w:tc>
        <w:tc>
          <w:tcPr>
            <w:tcW w:w="1310" w:type="dxa"/>
            <w:tcBorders>
              <w:top w:val="single" w:sz="2" w:space="0" w:color="auto"/>
              <w:left w:val="nil"/>
              <w:bottom w:val="single" w:sz="2" w:space="0" w:color="auto"/>
              <w:right w:val="nil"/>
            </w:tcBorders>
            <w:shd w:val="clear" w:color="auto" w:fill="auto"/>
            <w:noWrap/>
            <w:vAlign w:val="center"/>
          </w:tcPr>
          <w:p w14:paraId="48F3E5AE"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476</w:t>
            </w:r>
          </w:p>
        </w:tc>
        <w:tc>
          <w:tcPr>
            <w:tcW w:w="1257" w:type="dxa"/>
            <w:tcBorders>
              <w:top w:val="single" w:sz="2" w:space="0" w:color="auto"/>
              <w:left w:val="nil"/>
              <w:bottom w:val="single" w:sz="2" w:space="0" w:color="auto"/>
              <w:right w:val="nil"/>
            </w:tcBorders>
            <w:shd w:val="clear" w:color="auto" w:fill="auto"/>
            <w:noWrap/>
            <w:vAlign w:val="center"/>
          </w:tcPr>
          <w:p w14:paraId="4FBF32E1" w14:textId="77777777" w:rsidR="0054359F" w:rsidRPr="00EB594E" w:rsidRDefault="0054359F" w:rsidP="00D71071">
            <w:pPr>
              <w:spacing w:after="0"/>
              <w:ind w:firstLine="0"/>
              <w:jc w:val="right"/>
              <w:rPr>
                <w:rFonts w:ascii="Arial Narrow" w:hAnsi="Arial Narrow" w:cs="Calibri"/>
                <w:color w:val="000000"/>
                <w:lang w:val="es-ES" w:eastAsia="es-ES"/>
              </w:rPr>
            </w:pPr>
          </w:p>
        </w:tc>
      </w:tr>
      <w:tr w:rsidR="0054359F" w:rsidRPr="00356F40" w14:paraId="05C1C841"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793CBBAF" w14:textId="77777777" w:rsidR="0054359F" w:rsidRPr="00EB594E" w:rsidRDefault="0054359F" w:rsidP="00D71071">
            <w:pPr>
              <w:spacing w:after="0"/>
              <w:ind w:firstLine="0"/>
              <w:jc w:val="left"/>
              <w:rPr>
                <w:rFonts w:ascii="Arial Narrow" w:hAnsi="Arial Narrow" w:cs="Calibri"/>
                <w:color w:val="000000"/>
                <w:lang w:val="es-ES" w:eastAsia="es-ES"/>
              </w:rPr>
            </w:pPr>
            <w:r w:rsidRPr="00EB594E">
              <w:rPr>
                <w:rFonts w:ascii="Arial Narrow" w:hAnsi="Arial Narrow" w:cs="Calibri"/>
                <w:color w:val="000000"/>
                <w:lang w:val="es-ES" w:eastAsia="es-ES"/>
              </w:rPr>
              <w:t>2017</w:t>
            </w:r>
          </w:p>
        </w:tc>
        <w:tc>
          <w:tcPr>
            <w:tcW w:w="1134" w:type="dxa"/>
            <w:tcBorders>
              <w:top w:val="single" w:sz="2" w:space="0" w:color="auto"/>
              <w:left w:val="nil"/>
              <w:bottom w:val="single" w:sz="2" w:space="0" w:color="auto"/>
              <w:right w:val="nil"/>
            </w:tcBorders>
            <w:shd w:val="clear" w:color="auto" w:fill="auto"/>
            <w:noWrap/>
            <w:vAlign w:val="center"/>
          </w:tcPr>
          <w:p w14:paraId="29F9124D"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7.186.853</w:t>
            </w:r>
          </w:p>
        </w:tc>
        <w:tc>
          <w:tcPr>
            <w:tcW w:w="1134" w:type="dxa"/>
            <w:tcBorders>
              <w:top w:val="single" w:sz="2" w:space="0" w:color="auto"/>
              <w:left w:val="nil"/>
              <w:bottom w:val="single" w:sz="2" w:space="0" w:color="auto"/>
              <w:right w:val="nil"/>
            </w:tcBorders>
            <w:shd w:val="clear" w:color="auto" w:fill="auto"/>
            <w:noWrap/>
            <w:vAlign w:val="center"/>
          </w:tcPr>
          <w:p w14:paraId="533FD2D6"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6.848</w:t>
            </w:r>
          </w:p>
        </w:tc>
        <w:tc>
          <w:tcPr>
            <w:tcW w:w="993" w:type="dxa"/>
            <w:tcBorders>
              <w:top w:val="single" w:sz="2" w:space="0" w:color="auto"/>
              <w:left w:val="nil"/>
              <w:bottom w:val="single" w:sz="2" w:space="0" w:color="auto"/>
              <w:right w:val="nil"/>
            </w:tcBorders>
            <w:shd w:val="clear" w:color="auto" w:fill="auto"/>
            <w:noWrap/>
            <w:vAlign w:val="center"/>
          </w:tcPr>
          <w:p w14:paraId="528844CA"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164</w:t>
            </w:r>
          </w:p>
        </w:tc>
        <w:tc>
          <w:tcPr>
            <w:tcW w:w="976" w:type="dxa"/>
            <w:tcBorders>
              <w:top w:val="single" w:sz="2" w:space="0" w:color="auto"/>
              <w:left w:val="nil"/>
              <w:bottom w:val="single" w:sz="2" w:space="0" w:color="auto"/>
              <w:right w:val="nil"/>
            </w:tcBorders>
            <w:shd w:val="clear" w:color="auto" w:fill="auto"/>
            <w:noWrap/>
            <w:vAlign w:val="center"/>
          </w:tcPr>
          <w:p w14:paraId="50C3EC8C"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2.901</w:t>
            </w:r>
          </w:p>
        </w:tc>
        <w:tc>
          <w:tcPr>
            <w:tcW w:w="1310" w:type="dxa"/>
            <w:tcBorders>
              <w:top w:val="single" w:sz="2" w:space="0" w:color="auto"/>
              <w:left w:val="nil"/>
              <w:bottom w:val="single" w:sz="2" w:space="0" w:color="auto"/>
              <w:right w:val="nil"/>
            </w:tcBorders>
            <w:shd w:val="clear" w:color="auto" w:fill="auto"/>
            <w:noWrap/>
            <w:vAlign w:val="center"/>
          </w:tcPr>
          <w:p w14:paraId="075697AC"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3.708</w:t>
            </w:r>
          </w:p>
        </w:tc>
        <w:tc>
          <w:tcPr>
            <w:tcW w:w="1257" w:type="dxa"/>
            <w:tcBorders>
              <w:top w:val="single" w:sz="2" w:space="0" w:color="auto"/>
              <w:left w:val="nil"/>
              <w:bottom w:val="single" w:sz="2" w:space="0" w:color="auto"/>
              <w:right w:val="nil"/>
            </w:tcBorders>
            <w:shd w:val="clear" w:color="auto" w:fill="auto"/>
            <w:noWrap/>
            <w:vAlign w:val="center"/>
          </w:tcPr>
          <w:p w14:paraId="200548AD"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2.916</w:t>
            </w:r>
          </w:p>
        </w:tc>
      </w:tr>
      <w:tr w:rsidR="0054359F" w:rsidRPr="00356F40" w14:paraId="276DE2D4"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762C09F3" w14:textId="77777777" w:rsidR="0054359F" w:rsidRPr="00EB594E" w:rsidRDefault="0054359F" w:rsidP="00D71071">
            <w:pPr>
              <w:spacing w:after="0"/>
              <w:ind w:firstLine="0"/>
              <w:jc w:val="left"/>
              <w:rPr>
                <w:rFonts w:ascii="Arial Narrow" w:hAnsi="Arial Narrow" w:cs="Calibri"/>
                <w:color w:val="000000"/>
                <w:lang w:val="es-ES" w:eastAsia="es-ES"/>
              </w:rPr>
            </w:pPr>
            <w:r w:rsidRPr="00EB594E">
              <w:rPr>
                <w:rFonts w:ascii="Arial Narrow" w:hAnsi="Arial Narrow" w:cs="Calibri"/>
                <w:color w:val="000000"/>
                <w:lang w:val="es-ES" w:eastAsia="es-ES"/>
              </w:rPr>
              <w:t>2018</w:t>
            </w:r>
          </w:p>
        </w:tc>
        <w:tc>
          <w:tcPr>
            <w:tcW w:w="1134" w:type="dxa"/>
            <w:tcBorders>
              <w:top w:val="single" w:sz="2" w:space="0" w:color="auto"/>
              <w:left w:val="nil"/>
              <w:bottom w:val="single" w:sz="2" w:space="0" w:color="auto"/>
              <w:right w:val="nil"/>
            </w:tcBorders>
            <w:shd w:val="clear" w:color="auto" w:fill="auto"/>
            <w:noWrap/>
            <w:vAlign w:val="center"/>
          </w:tcPr>
          <w:p w14:paraId="1286B327"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14.532.748</w:t>
            </w:r>
          </w:p>
        </w:tc>
        <w:tc>
          <w:tcPr>
            <w:tcW w:w="1134" w:type="dxa"/>
            <w:tcBorders>
              <w:top w:val="single" w:sz="2" w:space="0" w:color="auto"/>
              <w:left w:val="nil"/>
              <w:bottom w:val="single" w:sz="2" w:space="0" w:color="auto"/>
              <w:right w:val="nil"/>
            </w:tcBorders>
            <w:shd w:val="clear" w:color="auto" w:fill="auto"/>
            <w:noWrap/>
            <w:vAlign w:val="center"/>
          </w:tcPr>
          <w:p w14:paraId="5493AD04"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6.860</w:t>
            </w:r>
          </w:p>
        </w:tc>
        <w:tc>
          <w:tcPr>
            <w:tcW w:w="993" w:type="dxa"/>
            <w:tcBorders>
              <w:top w:val="single" w:sz="2" w:space="0" w:color="auto"/>
              <w:left w:val="nil"/>
              <w:bottom w:val="single" w:sz="2" w:space="0" w:color="auto"/>
              <w:right w:val="nil"/>
            </w:tcBorders>
            <w:shd w:val="clear" w:color="auto" w:fill="auto"/>
            <w:noWrap/>
            <w:vAlign w:val="center"/>
          </w:tcPr>
          <w:p w14:paraId="40616817"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335</w:t>
            </w:r>
          </w:p>
        </w:tc>
        <w:tc>
          <w:tcPr>
            <w:tcW w:w="976" w:type="dxa"/>
            <w:tcBorders>
              <w:top w:val="single" w:sz="2" w:space="0" w:color="auto"/>
              <w:left w:val="nil"/>
              <w:bottom w:val="single" w:sz="2" w:space="0" w:color="auto"/>
              <w:right w:val="nil"/>
            </w:tcBorders>
            <w:shd w:val="clear" w:color="auto" w:fill="auto"/>
            <w:noWrap/>
            <w:vAlign w:val="center"/>
          </w:tcPr>
          <w:p w14:paraId="73E31AEF"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3.968</w:t>
            </w:r>
          </w:p>
        </w:tc>
        <w:tc>
          <w:tcPr>
            <w:tcW w:w="1310" w:type="dxa"/>
            <w:tcBorders>
              <w:top w:val="single" w:sz="2" w:space="0" w:color="auto"/>
              <w:left w:val="nil"/>
              <w:bottom w:val="single" w:sz="2" w:space="0" w:color="auto"/>
              <w:right w:val="nil"/>
            </w:tcBorders>
            <w:shd w:val="clear" w:color="auto" w:fill="auto"/>
            <w:noWrap/>
            <w:vAlign w:val="center"/>
          </w:tcPr>
          <w:p w14:paraId="6A8D4832"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5.206</w:t>
            </w:r>
          </w:p>
        </w:tc>
        <w:tc>
          <w:tcPr>
            <w:tcW w:w="1257" w:type="dxa"/>
            <w:tcBorders>
              <w:top w:val="single" w:sz="2" w:space="0" w:color="auto"/>
              <w:left w:val="nil"/>
              <w:bottom w:val="single" w:sz="2" w:space="0" w:color="auto"/>
              <w:right w:val="nil"/>
            </w:tcBorders>
            <w:shd w:val="clear" w:color="auto" w:fill="auto"/>
            <w:noWrap/>
            <w:vAlign w:val="center"/>
          </w:tcPr>
          <w:p w14:paraId="49178C4B"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7.015</w:t>
            </w:r>
          </w:p>
        </w:tc>
      </w:tr>
      <w:tr w:rsidR="0054359F" w:rsidRPr="00356F40" w14:paraId="7378D505"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3DA3A0BA" w14:textId="77777777" w:rsidR="0054359F" w:rsidRPr="00EB594E" w:rsidRDefault="0054359F" w:rsidP="00D71071">
            <w:pPr>
              <w:spacing w:after="0"/>
              <w:ind w:firstLine="0"/>
              <w:jc w:val="left"/>
              <w:rPr>
                <w:rFonts w:ascii="Arial Narrow" w:hAnsi="Arial Narrow" w:cs="Calibri"/>
                <w:color w:val="000000"/>
                <w:lang w:val="es-ES" w:eastAsia="es-ES"/>
              </w:rPr>
            </w:pPr>
            <w:r w:rsidRPr="00EB594E">
              <w:rPr>
                <w:rFonts w:ascii="Arial Narrow" w:hAnsi="Arial Narrow" w:cs="Calibri"/>
                <w:color w:val="000000"/>
                <w:lang w:val="es-ES" w:eastAsia="es-ES"/>
              </w:rPr>
              <w:t>2019</w:t>
            </w:r>
          </w:p>
        </w:tc>
        <w:tc>
          <w:tcPr>
            <w:tcW w:w="1134" w:type="dxa"/>
            <w:tcBorders>
              <w:top w:val="single" w:sz="2" w:space="0" w:color="auto"/>
              <w:left w:val="nil"/>
              <w:bottom w:val="single" w:sz="2" w:space="0" w:color="auto"/>
              <w:right w:val="nil"/>
            </w:tcBorders>
            <w:shd w:val="clear" w:color="auto" w:fill="auto"/>
            <w:noWrap/>
            <w:vAlign w:val="center"/>
          </w:tcPr>
          <w:p w14:paraId="4959E4E0"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28.346.656</w:t>
            </w:r>
          </w:p>
        </w:tc>
        <w:tc>
          <w:tcPr>
            <w:tcW w:w="1134" w:type="dxa"/>
            <w:tcBorders>
              <w:top w:val="single" w:sz="2" w:space="0" w:color="auto"/>
              <w:left w:val="nil"/>
              <w:bottom w:val="single" w:sz="2" w:space="0" w:color="auto"/>
              <w:right w:val="nil"/>
            </w:tcBorders>
            <w:shd w:val="clear" w:color="auto" w:fill="auto"/>
            <w:noWrap/>
            <w:vAlign w:val="center"/>
          </w:tcPr>
          <w:p w14:paraId="18AE2F08"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6.867</w:t>
            </w:r>
          </w:p>
        </w:tc>
        <w:tc>
          <w:tcPr>
            <w:tcW w:w="993" w:type="dxa"/>
            <w:tcBorders>
              <w:top w:val="single" w:sz="2" w:space="0" w:color="auto"/>
              <w:left w:val="nil"/>
              <w:bottom w:val="single" w:sz="2" w:space="0" w:color="auto"/>
              <w:right w:val="nil"/>
            </w:tcBorders>
            <w:shd w:val="clear" w:color="auto" w:fill="auto"/>
            <w:noWrap/>
            <w:vAlign w:val="center"/>
          </w:tcPr>
          <w:p w14:paraId="6D4F0E96"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734</w:t>
            </w:r>
          </w:p>
        </w:tc>
        <w:tc>
          <w:tcPr>
            <w:tcW w:w="976" w:type="dxa"/>
            <w:tcBorders>
              <w:top w:val="single" w:sz="2" w:space="0" w:color="auto"/>
              <w:left w:val="nil"/>
              <w:bottom w:val="single" w:sz="2" w:space="0" w:color="auto"/>
              <w:right w:val="nil"/>
            </w:tcBorders>
            <w:shd w:val="clear" w:color="auto" w:fill="auto"/>
            <w:noWrap/>
            <w:vAlign w:val="center"/>
          </w:tcPr>
          <w:p w14:paraId="0CEF71AD"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4.485</w:t>
            </w:r>
          </w:p>
        </w:tc>
        <w:tc>
          <w:tcPr>
            <w:tcW w:w="1310" w:type="dxa"/>
            <w:tcBorders>
              <w:top w:val="single" w:sz="2" w:space="0" w:color="auto"/>
              <w:left w:val="nil"/>
              <w:bottom w:val="single" w:sz="2" w:space="0" w:color="auto"/>
              <w:right w:val="nil"/>
            </w:tcBorders>
            <w:shd w:val="clear" w:color="auto" w:fill="auto"/>
            <w:noWrap/>
            <w:vAlign w:val="center"/>
          </w:tcPr>
          <w:p w14:paraId="58E8C3F3"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6.315</w:t>
            </w:r>
          </w:p>
        </w:tc>
        <w:tc>
          <w:tcPr>
            <w:tcW w:w="1257" w:type="dxa"/>
            <w:tcBorders>
              <w:top w:val="single" w:sz="2" w:space="0" w:color="auto"/>
              <w:left w:val="nil"/>
              <w:bottom w:val="single" w:sz="2" w:space="0" w:color="auto"/>
              <w:right w:val="nil"/>
            </w:tcBorders>
            <w:shd w:val="clear" w:color="auto" w:fill="auto"/>
            <w:noWrap/>
            <w:vAlign w:val="center"/>
          </w:tcPr>
          <w:p w14:paraId="74B233C4"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9.651</w:t>
            </w:r>
          </w:p>
        </w:tc>
      </w:tr>
      <w:tr w:rsidR="0054359F" w:rsidRPr="00356F40" w14:paraId="3BFDDAB8"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7D911387" w14:textId="77777777" w:rsidR="0054359F" w:rsidRPr="00EB594E" w:rsidRDefault="0054359F" w:rsidP="00D71071">
            <w:pPr>
              <w:spacing w:after="0"/>
              <w:ind w:firstLine="0"/>
              <w:jc w:val="left"/>
              <w:rPr>
                <w:rFonts w:ascii="Arial Narrow" w:hAnsi="Arial Narrow" w:cs="Calibri"/>
                <w:color w:val="000000"/>
                <w:lang w:val="es-ES" w:eastAsia="es-ES"/>
              </w:rPr>
            </w:pPr>
            <w:r w:rsidRPr="00EB594E">
              <w:rPr>
                <w:rFonts w:ascii="Arial Narrow" w:hAnsi="Arial Narrow" w:cs="Calibri"/>
                <w:color w:val="000000"/>
                <w:lang w:val="es-ES" w:eastAsia="es-ES"/>
              </w:rPr>
              <w:t>2020</w:t>
            </w:r>
          </w:p>
        </w:tc>
        <w:tc>
          <w:tcPr>
            <w:tcW w:w="1134" w:type="dxa"/>
            <w:tcBorders>
              <w:top w:val="single" w:sz="2" w:space="0" w:color="auto"/>
              <w:left w:val="nil"/>
              <w:bottom w:val="single" w:sz="2" w:space="0" w:color="auto"/>
              <w:right w:val="nil"/>
            </w:tcBorders>
            <w:shd w:val="clear" w:color="auto" w:fill="auto"/>
            <w:noWrap/>
            <w:vAlign w:val="center"/>
          </w:tcPr>
          <w:p w14:paraId="41A725D8"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25.109.573</w:t>
            </w:r>
          </w:p>
        </w:tc>
        <w:tc>
          <w:tcPr>
            <w:tcW w:w="1134" w:type="dxa"/>
            <w:tcBorders>
              <w:top w:val="single" w:sz="2" w:space="0" w:color="auto"/>
              <w:left w:val="nil"/>
              <w:bottom w:val="single" w:sz="2" w:space="0" w:color="auto"/>
              <w:right w:val="nil"/>
            </w:tcBorders>
            <w:shd w:val="clear" w:color="auto" w:fill="auto"/>
            <w:noWrap/>
            <w:vAlign w:val="center"/>
          </w:tcPr>
          <w:p w14:paraId="4463966D"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6.859</w:t>
            </w:r>
          </w:p>
        </w:tc>
        <w:tc>
          <w:tcPr>
            <w:tcW w:w="993" w:type="dxa"/>
            <w:tcBorders>
              <w:top w:val="single" w:sz="2" w:space="0" w:color="auto"/>
              <w:left w:val="nil"/>
              <w:bottom w:val="single" w:sz="2" w:space="0" w:color="auto"/>
              <w:right w:val="nil"/>
            </w:tcBorders>
            <w:shd w:val="clear" w:color="auto" w:fill="auto"/>
            <w:noWrap/>
            <w:vAlign w:val="center"/>
          </w:tcPr>
          <w:p w14:paraId="3B8EADF6"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691</w:t>
            </w:r>
          </w:p>
        </w:tc>
        <w:tc>
          <w:tcPr>
            <w:tcW w:w="976" w:type="dxa"/>
            <w:tcBorders>
              <w:top w:val="single" w:sz="2" w:space="0" w:color="auto"/>
              <w:left w:val="nil"/>
              <w:bottom w:val="single" w:sz="2" w:space="0" w:color="auto"/>
              <w:right w:val="nil"/>
            </w:tcBorders>
            <w:shd w:val="clear" w:color="auto" w:fill="auto"/>
            <w:noWrap/>
            <w:vAlign w:val="center"/>
          </w:tcPr>
          <w:p w14:paraId="6BB49274"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4.745</w:t>
            </w:r>
          </w:p>
        </w:tc>
        <w:tc>
          <w:tcPr>
            <w:tcW w:w="1310" w:type="dxa"/>
            <w:tcBorders>
              <w:top w:val="single" w:sz="2" w:space="0" w:color="auto"/>
              <w:left w:val="nil"/>
              <w:bottom w:val="single" w:sz="2" w:space="0" w:color="auto"/>
              <w:right w:val="nil"/>
            </w:tcBorders>
            <w:shd w:val="clear" w:color="auto" w:fill="auto"/>
            <w:noWrap/>
            <w:vAlign w:val="center"/>
          </w:tcPr>
          <w:p w14:paraId="09634F0D"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6.578</w:t>
            </w:r>
          </w:p>
        </w:tc>
        <w:tc>
          <w:tcPr>
            <w:tcW w:w="1257" w:type="dxa"/>
            <w:tcBorders>
              <w:top w:val="single" w:sz="2" w:space="0" w:color="auto"/>
              <w:left w:val="nil"/>
              <w:bottom w:val="single" w:sz="2" w:space="0" w:color="auto"/>
              <w:right w:val="nil"/>
            </w:tcBorders>
            <w:shd w:val="clear" w:color="auto" w:fill="auto"/>
            <w:noWrap/>
            <w:vAlign w:val="center"/>
          </w:tcPr>
          <w:p w14:paraId="41DC5035"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7.075</w:t>
            </w:r>
          </w:p>
        </w:tc>
      </w:tr>
      <w:tr w:rsidR="0054359F" w:rsidRPr="00356F40" w14:paraId="79B3B1AC" w14:textId="77777777" w:rsidTr="004A2D3C">
        <w:trPr>
          <w:trHeight w:val="255"/>
        </w:trPr>
        <w:tc>
          <w:tcPr>
            <w:tcW w:w="2268" w:type="dxa"/>
            <w:tcBorders>
              <w:top w:val="single" w:sz="2" w:space="0" w:color="auto"/>
              <w:left w:val="nil"/>
              <w:bottom w:val="single" w:sz="2" w:space="0" w:color="auto"/>
              <w:right w:val="nil"/>
            </w:tcBorders>
            <w:shd w:val="clear" w:color="auto" w:fill="auto"/>
            <w:noWrap/>
            <w:vAlign w:val="center"/>
          </w:tcPr>
          <w:p w14:paraId="14BC9A0A" w14:textId="77777777" w:rsidR="0054359F" w:rsidRPr="00EB594E" w:rsidRDefault="0054359F" w:rsidP="00D71071">
            <w:pPr>
              <w:spacing w:after="0"/>
              <w:ind w:firstLine="0"/>
              <w:jc w:val="left"/>
              <w:rPr>
                <w:rFonts w:ascii="Arial Narrow" w:hAnsi="Arial Narrow" w:cs="Calibri"/>
                <w:color w:val="000000"/>
                <w:lang w:val="es-ES" w:eastAsia="es-ES"/>
              </w:rPr>
            </w:pPr>
            <w:r w:rsidRPr="00EB594E">
              <w:rPr>
                <w:rFonts w:ascii="Arial Narrow" w:hAnsi="Arial Narrow" w:cs="Calibri"/>
                <w:color w:val="000000"/>
                <w:lang w:val="es-ES" w:eastAsia="es-ES"/>
              </w:rPr>
              <w:t>2021</w:t>
            </w:r>
          </w:p>
        </w:tc>
        <w:tc>
          <w:tcPr>
            <w:tcW w:w="1134" w:type="dxa"/>
            <w:tcBorders>
              <w:top w:val="single" w:sz="2" w:space="0" w:color="auto"/>
              <w:left w:val="nil"/>
              <w:bottom w:val="single" w:sz="2" w:space="0" w:color="auto"/>
              <w:right w:val="nil"/>
            </w:tcBorders>
            <w:shd w:val="clear" w:color="auto" w:fill="auto"/>
            <w:noWrap/>
            <w:vAlign w:val="center"/>
          </w:tcPr>
          <w:p w14:paraId="226E3944"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32.337.081</w:t>
            </w:r>
          </w:p>
        </w:tc>
        <w:tc>
          <w:tcPr>
            <w:tcW w:w="1134" w:type="dxa"/>
            <w:tcBorders>
              <w:top w:val="single" w:sz="2" w:space="0" w:color="auto"/>
              <w:left w:val="nil"/>
              <w:bottom w:val="single" w:sz="2" w:space="0" w:color="auto"/>
              <w:right w:val="nil"/>
            </w:tcBorders>
            <w:shd w:val="clear" w:color="auto" w:fill="auto"/>
            <w:noWrap/>
            <w:vAlign w:val="center"/>
          </w:tcPr>
          <w:p w14:paraId="7997B20D"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8.097</w:t>
            </w:r>
          </w:p>
        </w:tc>
        <w:tc>
          <w:tcPr>
            <w:tcW w:w="993" w:type="dxa"/>
            <w:tcBorders>
              <w:top w:val="single" w:sz="2" w:space="0" w:color="auto"/>
              <w:left w:val="nil"/>
              <w:bottom w:val="single" w:sz="2" w:space="0" w:color="auto"/>
              <w:right w:val="nil"/>
            </w:tcBorders>
            <w:shd w:val="clear" w:color="auto" w:fill="auto"/>
            <w:noWrap/>
            <w:vAlign w:val="center"/>
          </w:tcPr>
          <w:p w14:paraId="4B96A072"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1.094</w:t>
            </w:r>
          </w:p>
        </w:tc>
        <w:tc>
          <w:tcPr>
            <w:tcW w:w="976" w:type="dxa"/>
            <w:tcBorders>
              <w:top w:val="single" w:sz="2" w:space="0" w:color="auto"/>
              <w:left w:val="nil"/>
              <w:bottom w:val="single" w:sz="2" w:space="0" w:color="auto"/>
              <w:right w:val="nil"/>
            </w:tcBorders>
            <w:shd w:val="clear" w:color="auto" w:fill="auto"/>
            <w:noWrap/>
            <w:vAlign w:val="center"/>
          </w:tcPr>
          <w:p w14:paraId="6C961BD7"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6.494</w:t>
            </w:r>
          </w:p>
        </w:tc>
        <w:tc>
          <w:tcPr>
            <w:tcW w:w="1310" w:type="dxa"/>
            <w:tcBorders>
              <w:top w:val="single" w:sz="2" w:space="0" w:color="auto"/>
              <w:left w:val="nil"/>
              <w:bottom w:val="single" w:sz="2" w:space="0" w:color="auto"/>
              <w:right w:val="nil"/>
            </w:tcBorders>
            <w:shd w:val="clear" w:color="auto" w:fill="auto"/>
            <w:noWrap/>
            <w:vAlign w:val="center"/>
          </w:tcPr>
          <w:p w14:paraId="55B6EC8F"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9.182</w:t>
            </w:r>
          </w:p>
        </w:tc>
        <w:tc>
          <w:tcPr>
            <w:tcW w:w="1257" w:type="dxa"/>
            <w:tcBorders>
              <w:top w:val="single" w:sz="2" w:space="0" w:color="auto"/>
              <w:left w:val="nil"/>
              <w:bottom w:val="single" w:sz="2" w:space="0" w:color="auto"/>
              <w:right w:val="nil"/>
            </w:tcBorders>
            <w:shd w:val="clear" w:color="auto" w:fill="auto"/>
            <w:noWrap/>
            <w:vAlign w:val="center"/>
          </w:tcPr>
          <w:p w14:paraId="659E01B0" w14:textId="77777777" w:rsidR="0054359F" w:rsidRPr="00EB594E" w:rsidRDefault="0054359F" w:rsidP="00D71071">
            <w:pPr>
              <w:spacing w:after="0"/>
              <w:ind w:firstLine="0"/>
              <w:jc w:val="right"/>
              <w:rPr>
                <w:rFonts w:ascii="Arial Narrow" w:hAnsi="Arial Narrow" w:cs="Calibri"/>
                <w:color w:val="000000"/>
                <w:lang w:val="es-ES" w:eastAsia="es-ES"/>
              </w:rPr>
            </w:pPr>
            <w:r w:rsidRPr="00EB594E">
              <w:rPr>
                <w:rFonts w:ascii="Arial Narrow" w:hAnsi="Arial Narrow" w:cs="Calibri"/>
                <w:color w:val="000000"/>
                <w:lang w:val="es-ES" w:eastAsia="es-ES"/>
              </w:rPr>
              <w:t>8.738</w:t>
            </w:r>
          </w:p>
        </w:tc>
      </w:tr>
      <w:tr w:rsidR="0054359F" w:rsidRPr="0054359F" w14:paraId="6A60EAFD" w14:textId="77777777" w:rsidTr="004A2D3C">
        <w:trPr>
          <w:trHeight w:val="255"/>
        </w:trPr>
        <w:tc>
          <w:tcPr>
            <w:tcW w:w="2268" w:type="dxa"/>
            <w:tcBorders>
              <w:top w:val="single" w:sz="4" w:space="0" w:color="auto"/>
              <w:left w:val="nil"/>
              <w:bottom w:val="single" w:sz="4" w:space="0" w:color="auto"/>
              <w:right w:val="nil"/>
            </w:tcBorders>
            <w:shd w:val="clear" w:color="auto" w:fill="B8CCE4" w:themeFill="accent1" w:themeFillTint="66"/>
            <w:noWrap/>
            <w:vAlign w:val="center"/>
            <w:hideMark/>
          </w:tcPr>
          <w:p w14:paraId="7DB41389" w14:textId="77777777" w:rsidR="0054359F" w:rsidRPr="0054359F" w:rsidRDefault="0054359F" w:rsidP="00D71071">
            <w:pPr>
              <w:pStyle w:val="cuadroCabe"/>
              <w:spacing w:line="240" w:lineRule="auto"/>
              <w:jc w:val="left"/>
              <w:rPr>
                <w:lang w:val="es-ES" w:eastAsia="es-ES"/>
              </w:rPr>
            </w:pPr>
            <w:r w:rsidRPr="0054359F">
              <w:rPr>
                <w:lang w:val="es-ES" w:eastAsia="es-ES"/>
              </w:rPr>
              <w:t>Total</w:t>
            </w:r>
          </w:p>
        </w:tc>
        <w:tc>
          <w:tcPr>
            <w:tcW w:w="1134" w:type="dxa"/>
            <w:tcBorders>
              <w:top w:val="single" w:sz="4" w:space="0" w:color="auto"/>
              <w:left w:val="nil"/>
              <w:bottom w:val="single" w:sz="4" w:space="0" w:color="auto"/>
              <w:right w:val="nil"/>
            </w:tcBorders>
            <w:shd w:val="clear" w:color="auto" w:fill="B8CCE4" w:themeFill="accent1" w:themeFillTint="66"/>
            <w:noWrap/>
            <w:vAlign w:val="center"/>
            <w:hideMark/>
          </w:tcPr>
          <w:p w14:paraId="005E58F2" w14:textId="77777777" w:rsidR="0054359F" w:rsidRPr="0054359F" w:rsidRDefault="0054359F" w:rsidP="00D71071">
            <w:pPr>
              <w:pStyle w:val="cuadroCabe"/>
              <w:spacing w:line="240" w:lineRule="auto"/>
              <w:jc w:val="right"/>
              <w:rPr>
                <w:lang w:val="es-ES" w:eastAsia="es-ES"/>
              </w:rPr>
            </w:pPr>
            <w:r w:rsidRPr="0054359F">
              <w:rPr>
                <w:lang w:val="es-ES" w:eastAsia="es-ES"/>
              </w:rPr>
              <w:t> </w:t>
            </w:r>
          </w:p>
        </w:tc>
        <w:tc>
          <w:tcPr>
            <w:tcW w:w="1134" w:type="dxa"/>
            <w:tcBorders>
              <w:top w:val="single" w:sz="4" w:space="0" w:color="auto"/>
              <w:left w:val="nil"/>
              <w:bottom w:val="single" w:sz="4" w:space="0" w:color="auto"/>
              <w:right w:val="nil"/>
            </w:tcBorders>
            <w:shd w:val="clear" w:color="auto" w:fill="B8CCE4" w:themeFill="accent1" w:themeFillTint="66"/>
            <w:noWrap/>
            <w:vAlign w:val="center"/>
            <w:hideMark/>
          </w:tcPr>
          <w:p w14:paraId="3E86FE3A" w14:textId="77777777" w:rsidR="0054359F" w:rsidRPr="0054359F" w:rsidRDefault="0054359F" w:rsidP="00D71071">
            <w:pPr>
              <w:pStyle w:val="cuadroCabe"/>
              <w:spacing w:line="240" w:lineRule="auto"/>
              <w:jc w:val="right"/>
              <w:rPr>
                <w:lang w:val="es-ES" w:eastAsia="es-ES"/>
              </w:rPr>
            </w:pPr>
            <w:r w:rsidRPr="0054359F">
              <w:rPr>
                <w:lang w:val="es-ES" w:eastAsia="es-ES"/>
              </w:rPr>
              <w:t> </w:t>
            </w:r>
          </w:p>
        </w:tc>
        <w:tc>
          <w:tcPr>
            <w:tcW w:w="993" w:type="dxa"/>
            <w:tcBorders>
              <w:top w:val="single" w:sz="4" w:space="0" w:color="auto"/>
              <w:left w:val="nil"/>
              <w:bottom w:val="single" w:sz="4" w:space="0" w:color="auto"/>
              <w:right w:val="nil"/>
            </w:tcBorders>
            <w:shd w:val="clear" w:color="auto" w:fill="B8CCE4" w:themeFill="accent1" w:themeFillTint="66"/>
            <w:noWrap/>
            <w:vAlign w:val="center"/>
            <w:hideMark/>
          </w:tcPr>
          <w:p w14:paraId="5BD3C765" w14:textId="77777777" w:rsidR="0054359F" w:rsidRPr="0054359F" w:rsidRDefault="0054359F" w:rsidP="00D71071">
            <w:pPr>
              <w:spacing w:after="0"/>
              <w:ind w:firstLine="0"/>
              <w:jc w:val="right"/>
              <w:rPr>
                <w:rFonts w:ascii="Arial Narrow" w:hAnsi="Arial Narrow" w:cs="Calibri"/>
                <w:color w:val="000000"/>
                <w:lang w:val="es-ES" w:eastAsia="es-ES"/>
              </w:rPr>
            </w:pPr>
            <w:r w:rsidRPr="0054359F">
              <w:rPr>
                <w:rFonts w:ascii="Arial Narrow" w:hAnsi="Arial Narrow" w:cs="Calibri"/>
                <w:color w:val="000000"/>
                <w:lang w:val="es-ES" w:eastAsia="es-ES"/>
              </w:rPr>
              <w:t>3.019</w:t>
            </w:r>
          </w:p>
        </w:tc>
        <w:tc>
          <w:tcPr>
            <w:tcW w:w="976" w:type="dxa"/>
            <w:tcBorders>
              <w:top w:val="single" w:sz="4" w:space="0" w:color="auto"/>
              <w:left w:val="nil"/>
              <w:bottom w:val="single" w:sz="4" w:space="0" w:color="auto"/>
              <w:right w:val="nil"/>
            </w:tcBorders>
            <w:shd w:val="clear" w:color="auto" w:fill="B8CCE4" w:themeFill="accent1" w:themeFillTint="66"/>
            <w:noWrap/>
            <w:vAlign w:val="center"/>
            <w:hideMark/>
          </w:tcPr>
          <w:p w14:paraId="66954B20" w14:textId="77777777" w:rsidR="0054359F" w:rsidRPr="0054359F" w:rsidRDefault="0054359F" w:rsidP="00D71071">
            <w:pPr>
              <w:spacing w:after="0"/>
              <w:ind w:firstLine="0"/>
              <w:jc w:val="right"/>
              <w:rPr>
                <w:rFonts w:ascii="Arial Narrow" w:hAnsi="Arial Narrow" w:cs="Calibri"/>
                <w:color w:val="000000"/>
                <w:lang w:val="es-ES" w:eastAsia="es-ES"/>
              </w:rPr>
            </w:pPr>
            <w:r w:rsidRPr="0054359F">
              <w:rPr>
                <w:rFonts w:ascii="Arial Narrow" w:hAnsi="Arial Narrow" w:cs="Calibri"/>
                <w:color w:val="000000"/>
                <w:lang w:val="es-ES" w:eastAsia="es-ES"/>
              </w:rPr>
              <w:t>22.992</w:t>
            </w:r>
          </w:p>
        </w:tc>
        <w:tc>
          <w:tcPr>
            <w:tcW w:w="1310" w:type="dxa"/>
            <w:tcBorders>
              <w:top w:val="single" w:sz="4" w:space="0" w:color="auto"/>
              <w:left w:val="nil"/>
              <w:bottom w:val="single" w:sz="4" w:space="0" w:color="auto"/>
              <w:right w:val="nil"/>
            </w:tcBorders>
            <w:shd w:val="clear" w:color="auto" w:fill="B8CCE4" w:themeFill="accent1" w:themeFillTint="66"/>
            <w:noWrap/>
            <w:vAlign w:val="center"/>
            <w:hideMark/>
          </w:tcPr>
          <w:p w14:paraId="086FF7E0" w14:textId="77777777" w:rsidR="0054359F" w:rsidRPr="00AE1AEC" w:rsidRDefault="0054359F" w:rsidP="00D71071">
            <w:pPr>
              <w:spacing w:after="0"/>
              <w:ind w:firstLine="0"/>
              <w:jc w:val="right"/>
              <w:rPr>
                <w:rFonts w:ascii="Arial Narrow" w:hAnsi="Arial Narrow" w:cs="Calibri"/>
                <w:bCs/>
                <w:lang w:val="es-ES" w:eastAsia="es-ES"/>
              </w:rPr>
            </w:pPr>
            <w:r w:rsidRPr="00AE1AEC">
              <w:rPr>
                <w:rFonts w:ascii="Arial Narrow" w:hAnsi="Arial Narrow" w:cs="Calibri"/>
                <w:bCs/>
                <w:lang w:val="es-ES" w:eastAsia="es-ES"/>
              </w:rPr>
              <w:t>31.473</w:t>
            </w:r>
          </w:p>
        </w:tc>
        <w:tc>
          <w:tcPr>
            <w:tcW w:w="1257" w:type="dxa"/>
            <w:tcBorders>
              <w:top w:val="single" w:sz="4" w:space="0" w:color="auto"/>
              <w:left w:val="nil"/>
              <w:bottom w:val="single" w:sz="4" w:space="0" w:color="auto"/>
              <w:right w:val="nil"/>
            </w:tcBorders>
            <w:shd w:val="clear" w:color="auto" w:fill="B8CCE4" w:themeFill="accent1" w:themeFillTint="66"/>
            <w:noWrap/>
            <w:vAlign w:val="center"/>
            <w:hideMark/>
          </w:tcPr>
          <w:p w14:paraId="4A84F968" w14:textId="77777777" w:rsidR="0054359F" w:rsidRPr="00AE1AEC" w:rsidRDefault="0054359F" w:rsidP="00D71071">
            <w:pPr>
              <w:spacing w:after="0"/>
              <w:ind w:firstLine="0"/>
              <w:jc w:val="right"/>
              <w:rPr>
                <w:rFonts w:ascii="Arial Narrow" w:hAnsi="Arial Narrow" w:cs="Calibri"/>
                <w:bCs/>
                <w:lang w:val="es-ES" w:eastAsia="es-ES"/>
              </w:rPr>
            </w:pPr>
            <w:r w:rsidRPr="00AE1AEC">
              <w:rPr>
                <w:rFonts w:ascii="Arial Narrow" w:hAnsi="Arial Narrow" w:cs="Calibri"/>
                <w:bCs/>
                <w:lang w:val="es-ES" w:eastAsia="es-ES"/>
              </w:rPr>
              <w:t>35.394</w:t>
            </w:r>
          </w:p>
        </w:tc>
      </w:tr>
    </w:tbl>
    <w:p w14:paraId="2323CE71" w14:textId="77777777" w:rsidR="009A234C" w:rsidRDefault="00A45163" w:rsidP="004A2D3C">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120" w:after="240"/>
        <w:ind w:firstLine="289"/>
        <w:rPr>
          <w:szCs w:val="26"/>
        </w:rPr>
      </w:pPr>
      <w:r>
        <w:rPr>
          <w:szCs w:val="26"/>
        </w:rPr>
        <w:t>En los años 2015 y 2016 sólo s</w:t>
      </w:r>
      <w:r w:rsidR="00C30199" w:rsidRPr="003617D5">
        <w:rPr>
          <w:szCs w:val="26"/>
        </w:rPr>
        <w:t xml:space="preserve">e devenga canon CCGI. </w:t>
      </w:r>
      <w:r w:rsidR="009A234C" w:rsidRPr="003617D5">
        <w:rPr>
          <w:szCs w:val="26"/>
        </w:rPr>
        <w:t>El total devengado asciende a 36</w:t>
      </w:r>
      <w:r>
        <w:rPr>
          <w:szCs w:val="26"/>
        </w:rPr>
        <w:t xml:space="preserve">,81 </w:t>
      </w:r>
      <w:r w:rsidRPr="0050410E">
        <w:rPr>
          <w:szCs w:val="26"/>
        </w:rPr>
        <w:t>millones</w:t>
      </w:r>
      <w:r w:rsidR="00A7673A" w:rsidRPr="0050410E">
        <w:rPr>
          <w:szCs w:val="26"/>
        </w:rPr>
        <w:t>,</w:t>
      </w:r>
      <w:r w:rsidR="009A234C" w:rsidRPr="0050410E">
        <w:rPr>
          <w:szCs w:val="26"/>
        </w:rPr>
        <w:t xml:space="preserve"> </w:t>
      </w:r>
      <w:r w:rsidR="004E0AB6" w:rsidRPr="003617D5">
        <w:rPr>
          <w:szCs w:val="26"/>
        </w:rPr>
        <w:t>incluidos</w:t>
      </w:r>
      <w:r w:rsidR="009A234C" w:rsidRPr="003617D5">
        <w:rPr>
          <w:szCs w:val="26"/>
        </w:rPr>
        <w:t xml:space="preserve"> </w:t>
      </w:r>
      <w:r w:rsidR="00C30199">
        <w:rPr>
          <w:szCs w:val="26"/>
        </w:rPr>
        <w:t>los pagos anticipados aprobados en los reequilibrios</w:t>
      </w:r>
      <w:r w:rsidR="00FA22E5">
        <w:rPr>
          <w:szCs w:val="26"/>
        </w:rPr>
        <w:t>:</w:t>
      </w:r>
      <w:r w:rsidR="00C30199">
        <w:rPr>
          <w:szCs w:val="26"/>
        </w:rPr>
        <w:t xml:space="preserve"> </w:t>
      </w:r>
      <w:r w:rsidR="005F50AD">
        <w:rPr>
          <w:szCs w:val="26"/>
        </w:rPr>
        <w:t>cuatro</w:t>
      </w:r>
      <w:r w:rsidR="00C30199">
        <w:rPr>
          <w:szCs w:val="26"/>
        </w:rPr>
        <w:t xml:space="preserve"> millones en el segundo reequilibrio y 1,3 millones en el primer reequilibrio.</w:t>
      </w:r>
      <w:r w:rsidR="001522CA">
        <w:rPr>
          <w:szCs w:val="26"/>
        </w:rPr>
        <w:t xml:space="preserve"> </w:t>
      </w:r>
      <w:r w:rsidR="009A234C">
        <w:rPr>
          <w:szCs w:val="26"/>
        </w:rPr>
        <w:t xml:space="preserve">La diferencia entre </w:t>
      </w:r>
      <w:r w:rsidR="004E0AB6">
        <w:rPr>
          <w:szCs w:val="26"/>
        </w:rPr>
        <w:t>el</w:t>
      </w:r>
      <w:r w:rsidR="009A234C">
        <w:rPr>
          <w:szCs w:val="26"/>
        </w:rPr>
        <w:t xml:space="preserve"> total devengo y </w:t>
      </w:r>
      <w:r w:rsidR="004E0AB6">
        <w:rPr>
          <w:szCs w:val="26"/>
        </w:rPr>
        <w:t xml:space="preserve">el gasto en presupuesto corresponde a la liquidación del mes de diciembre de 2021 por valor de </w:t>
      </w:r>
      <w:r w:rsidR="009A234C">
        <w:rPr>
          <w:szCs w:val="26"/>
        </w:rPr>
        <w:t>1,4 millones</w:t>
      </w:r>
      <w:r w:rsidR="00FA22E5">
        <w:rPr>
          <w:szCs w:val="26"/>
        </w:rPr>
        <w:t xml:space="preserve">, </w:t>
      </w:r>
      <w:r w:rsidR="004E0AB6">
        <w:rPr>
          <w:szCs w:val="26"/>
        </w:rPr>
        <w:t>imputada</w:t>
      </w:r>
      <w:r w:rsidR="009A234C">
        <w:rPr>
          <w:szCs w:val="26"/>
        </w:rPr>
        <w:t xml:space="preserve"> al presupuesto de 2022.</w:t>
      </w:r>
    </w:p>
    <w:p w14:paraId="2FB3996C" w14:textId="77777777" w:rsidR="00C30199" w:rsidRPr="0040652A" w:rsidRDefault="00243125" w:rsidP="0040652A">
      <w:pPr>
        <w:pStyle w:val="atitulo2"/>
      </w:pPr>
      <w:bookmarkStart w:id="30" w:name="_Toc126321325"/>
      <w:r>
        <w:t>2</w:t>
      </w:r>
      <w:r w:rsidR="00C30199" w:rsidRPr="0040652A">
        <w:t>.3</w:t>
      </w:r>
      <w:r w:rsidR="00F1415E">
        <w:t>.</w:t>
      </w:r>
      <w:r w:rsidR="00C30199" w:rsidRPr="0040652A">
        <w:t xml:space="preserve"> Información económico patrimonial del peaje en sombra</w:t>
      </w:r>
      <w:bookmarkEnd w:id="30"/>
    </w:p>
    <w:p w14:paraId="18118BF2" w14:textId="77777777" w:rsidR="00365883" w:rsidRPr="00365883" w:rsidRDefault="00C30199" w:rsidP="00365883">
      <w:pPr>
        <w:pStyle w:val="texto"/>
        <w:tabs>
          <w:tab w:val="clear" w:pos="2835"/>
          <w:tab w:val="clear" w:pos="3969"/>
          <w:tab w:val="clear" w:pos="5103"/>
          <w:tab w:val="clear" w:pos="6237"/>
          <w:tab w:val="clear" w:pos="7371"/>
        </w:tabs>
        <w:rPr>
          <w:szCs w:val="26"/>
        </w:rPr>
      </w:pPr>
      <w:r>
        <w:rPr>
          <w:szCs w:val="26"/>
        </w:rPr>
        <w:t xml:space="preserve">En este epígrafe analizamos la información que la ACFN ofrece en el balance de situación y en la memoria de </w:t>
      </w:r>
      <w:r w:rsidR="00A84A79">
        <w:rPr>
          <w:szCs w:val="26"/>
        </w:rPr>
        <w:t xml:space="preserve">las </w:t>
      </w:r>
      <w:r>
        <w:rPr>
          <w:szCs w:val="26"/>
        </w:rPr>
        <w:t>Cuen</w:t>
      </w:r>
      <w:r w:rsidRPr="004D3B65">
        <w:rPr>
          <w:szCs w:val="26"/>
        </w:rPr>
        <w:t>ta</w:t>
      </w:r>
      <w:r w:rsidR="00A45163" w:rsidRPr="004D3B65">
        <w:rPr>
          <w:szCs w:val="26"/>
        </w:rPr>
        <w:t>s</w:t>
      </w:r>
      <w:r>
        <w:rPr>
          <w:szCs w:val="26"/>
        </w:rPr>
        <w:t xml:space="preserve"> Generales</w:t>
      </w:r>
      <w:r w:rsidR="00A84A79">
        <w:rPr>
          <w:szCs w:val="26"/>
        </w:rPr>
        <w:t xml:space="preserve"> de Navarra</w:t>
      </w:r>
      <w:r>
        <w:rPr>
          <w:szCs w:val="26"/>
        </w:rPr>
        <w:t xml:space="preserve">, </w:t>
      </w:r>
      <w:proofErr w:type="gramStart"/>
      <w:r>
        <w:rPr>
          <w:szCs w:val="26"/>
        </w:rPr>
        <w:t>en relación a</w:t>
      </w:r>
      <w:proofErr w:type="gramEnd"/>
      <w:r>
        <w:rPr>
          <w:szCs w:val="26"/>
        </w:rPr>
        <w:t xml:space="preserve"> las infraestructuras objeto de fiscalización.  En la actualidad no se recogen estas infraestructuras en el balance de situación, dentro del inmovilizado material. </w:t>
      </w:r>
      <w:r w:rsidR="00365883" w:rsidRPr="00D96B04">
        <w:rPr>
          <w:szCs w:val="26"/>
        </w:rPr>
        <w:t>La memoria que se incluye dentro de las Cuentas Generales de Navarra especifica los flujos de pago previsibles en un epígrafe denominado “Peaje en sombra”. Estas previsiones de gasto futuro tienen consideración contable de pasivo contingente, con obligación de informar en la memoria de las cuentas.</w:t>
      </w:r>
    </w:p>
    <w:p w14:paraId="74326FDE" w14:textId="77777777" w:rsidR="00C30199" w:rsidRPr="00CD3E31" w:rsidRDefault="00C30199" w:rsidP="00C30199">
      <w:pPr>
        <w:pStyle w:val="texto"/>
        <w:tabs>
          <w:tab w:val="clear" w:pos="2835"/>
          <w:tab w:val="clear" w:pos="3969"/>
          <w:tab w:val="clear" w:pos="5103"/>
          <w:tab w:val="clear" w:pos="6237"/>
          <w:tab w:val="clear" w:pos="7371"/>
        </w:tabs>
        <w:rPr>
          <w:i/>
          <w:sz w:val="20"/>
          <w:szCs w:val="20"/>
        </w:rPr>
      </w:pPr>
      <w:r w:rsidRPr="00271A63">
        <w:rPr>
          <w:szCs w:val="26"/>
        </w:rPr>
        <w:t>El Plan General de Contabilidad Pública 2010 incorpora a través de una modificación en julio de 2021</w:t>
      </w:r>
      <w:r w:rsidR="00F1415E">
        <w:rPr>
          <w:szCs w:val="26"/>
        </w:rPr>
        <w:t>,</w:t>
      </w:r>
      <w:r w:rsidRPr="00271A63">
        <w:rPr>
          <w:rStyle w:val="Refdenotaalpie"/>
          <w:szCs w:val="26"/>
        </w:rPr>
        <w:footnoteReference w:id="8"/>
      </w:r>
      <w:r w:rsidRPr="00271A63">
        <w:rPr>
          <w:szCs w:val="26"/>
        </w:rPr>
        <w:t xml:space="preserve"> una norma de </w:t>
      </w:r>
      <w:r>
        <w:rPr>
          <w:szCs w:val="26"/>
        </w:rPr>
        <w:t xml:space="preserve">reconocimiento y valoración de </w:t>
      </w:r>
      <w:r w:rsidRPr="00271A63">
        <w:rPr>
          <w:szCs w:val="26"/>
        </w:rPr>
        <w:t xml:space="preserve">aplicación a los </w:t>
      </w:r>
      <w:r>
        <w:rPr>
          <w:szCs w:val="26"/>
        </w:rPr>
        <w:t>acuerdos de concesión</w:t>
      </w:r>
      <w:r w:rsidR="00C07D10">
        <w:rPr>
          <w:szCs w:val="26"/>
        </w:rPr>
        <w:t>,</w:t>
      </w:r>
      <w:r w:rsidR="00CA094C" w:rsidRPr="00CA094C">
        <w:t xml:space="preserve"> </w:t>
      </w:r>
      <w:r w:rsidR="00CA094C" w:rsidRPr="00CA094C">
        <w:rPr>
          <w:szCs w:val="26"/>
        </w:rPr>
        <w:t>según la cual</w:t>
      </w:r>
      <w:r w:rsidR="005F50AD">
        <w:rPr>
          <w:szCs w:val="26"/>
        </w:rPr>
        <w:t>:</w:t>
      </w:r>
      <w:r w:rsidR="00CA094C" w:rsidRPr="00CA094C">
        <w:rPr>
          <w:szCs w:val="26"/>
        </w:rPr>
        <w:t xml:space="preserve"> </w:t>
      </w:r>
      <w:r w:rsidR="00CA094C" w:rsidRPr="00CD3E31">
        <w:rPr>
          <w:i/>
          <w:sz w:val="22"/>
          <w:szCs w:val="22"/>
        </w:rPr>
        <w:t xml:space="preserve">“La entidad concedente de un acuerdo de concesión registrará en su activo, según su naturaleza, los activos de </w:t>
      </w:r>
      <w:proofErr w:type="gramStart"/>
      <w:r w:rsidR="00CA094C" w:rsidRPr="00CD3E31">
        <w:rPr>
          <w:i/>
          <w:sz w:val="22"/>
          <w:szCs w:val="22"/>
        </w:rPr>
        <w:t>concesión,</w:t>
      </w:r>
      <w:proofErr w:type="gramEnd"/>
      <w:r w:rsidR="00CA094C" w:rsidRPr="00CD3E31">
        <w:rPr>
          <w:i/>
          <w:sz w:val="22"/>
          <w:szCs w:val="22"/>
        </w:rPr>
        <w:t xml:space="preserve"> ya sean proporcionados por ella o por la entidad concesionaria, así como cualquier mejora en un activo ya existente.”</w:t>
      </w:r>
    </w:p>
    <w:p w14:paraId="4DFA9740" w14:textId="77777777" w:rsidR="00C30199" w:rsidRDefault="00C30199" w:rsidP="00C30199">
      <w:pPr>
        <w:pStyle w:val="texto"/>
        <w:tabs>
          <w:tab w:val="clear" w:pos="2835"/>
          <w:tab w:val="clear" w:pos="3969"/>
          <w:tab w:val="clear" w:pos="5103"/>
          <w:tab w:val="clear" w:pos="6237"/>
          <w:tab w:val="clear" w:pos="7371"/>
        </w:tabs>
        <w:rPr>
          <w:szCs w:val="26"/>
        </w:rPr>
      </w:pPr>
      <w:r w:rsidRPr="0066710B">
        <w:rPr>
          <w:szCs w:val="26"/>
        </w:rPr>
        <w:t>Hay que señalar que el criterio en el ámbito de la contabilidad financiera difiere del criterio de transferencias de riesgos</w:t>
      </w:r>
      <w:r>
        <w:rPr>
          <w:szCs w:val="26"/>
        </w:rPr>
        <w:t xml:space="preserve"> en el ámbito de la contabilidad nacional.</w:t>
      </w:r>
      <w:r w:rsidRPr="0066710B">
        <w:rPr>
          <w:szCs w:val="26"/>
        </w:rPr>
        <w:t xml:space="preserve"> </w:t>
      </w:r>
    </w:p>
    <w:p w14:paraId="218958FB" w14:textId="77777777" w:rsidR="00365883" w:rsidRDefault="00365883" w:rsidP="00365883">
      <w:pPr>
        <w:pStyle w:val="texto"/>
        <w:tabs>
          <w:tab w:val="clear" w:pos="2835"/>
          <w:tab w:val="clear" w:pos="3969"/>
          <w:tab w:val="clear" w:pos="5103"/>
          <w:tab w:val="clear" w:pos="6237"/>
          <w:tab w:val="clear" w:pos="7371"/>
        </w:tabs>
        <w:rPr>
          <w:szCs w:val="26"/>
        </w:rPr>
      </w:pPr>
      <w:r w:rsidRPr="00D96B04">
        <w:rPr>
          <w:szCs w:val="26"/>
        </w:rPr>
        <w:t xml:space="preserve">La inclusión de información en la memoria de las cuentas sobre estos contratos de concesión </w:t>
      </w:r>
      <w:r>
        <w:rPr>
          <w:szCs w:val="26"/>
        </w:rPr>
        <w:t>es fundamental</w:t>
      </w:r>
      <w:r w:rsidRPr="0066710B">
        <w:rPr>
          <w:szCs w:val="26"/>
        </w:rPr>
        <w:t>,</w:t>
      </w:r>
      <w:r>
        <w:rPr>
          <w:szCs w:val="26"/>
        </w:rPr>
        <w:t xml:space="preserve"> y </w:t>
      </w:r>
      <w:r w:rsidRPr="00027613">
        <w:rPr>
          <w:szCs w:val="26"/>
        </w:rPr>
        <w:t xml:space="preserve">especialmente </w:t>
      </w:r>
      <w:r>
        <w:rPr>
          <w:szCs w:val="26"/>
        </w:rPr>
        <w:t>de manera individualizada para cada concesión</w:t>
      </w:r>
      <w:r w:rsidRPr="0066710B">
        <w:rPr>
          <w:szCs w:val="26"/>
        </w:rPr>
        <w:t>: descripción de</w:t>
      </w:r>
      <w:r>
        <w:rPr>
          <w:szCs w:val="26"/>
        </w:rPr>
        <w:t xml:space="preserve"> la concesión</w:t>
      </w:r>
      <w:r w:rsidRPr="0066710B">
        <w:rPr>
          <w:szCs w:val="26"/>
        </w:rPr>
        <w:t xml:space="preserve">, términos relevantes </w:t>
      </w:r>
      <w:r>
        <w:rPr>
          <w:szCs w:val="26"/>
        </w:rPr>
        <w:t>de la misma</w:t>
      </w:r>
      <w:r w:rsidRPr="0066710B">
        <w:rPr>
          <w:szCs w:val="26"/>
        </w:rPr>
        <w:t xml:space="preserve"> (importes, plazos…), pagos realizados en concepto de canon, gastos futuros previstos, expedientes de restablecimiento</w:t>
      </w:r>
      <w:r w:rsidRPr="00D96B04">
        <w:rPr>
          <w:szCs w:val="26"/>
        </w:rPr>
        <w:t xml:space="preserve"> del </w:t>
      </w:r>
      <w:r w:rsidRPr="0066710B">
        <w:rPr>
          <w:szCs w:val="26"/>
        </w:rPr>
        <w:t>equilibrio económico-patrimonial etc.</w:t>
      </w:r>
    </w:p>
    <w:p w14:paraId="2D2749C9" w14:textId="77777777" w:rsidR="00C30199" w:rsidRDefault="00C30199" w:rsidP="00C30199">
      <w:pPr>
        <w:pStyle w:val="texto"/>
        <w:tabs>
          <w:tab w:val="clear" w:pos="2835"/>
          <w:tab w:val="clear" w:pos="3969"/>
          <w:tab w:val="clear" w:pos="5103"/>
          <w:tab w:val="clear" w:pos="6237"/>
          <w:tab w:val="clear" w:pos="7371"/>
        </w:tabs>
        <w:rPr>
          <w:szCs w:val="26"/>
        </w:rPr>
      </w:pPr>
      <w:r>
        <w:rPr>
          <w:szCs w:val="26"/>
        </w:rPr>
        <w:t xml:space="preserve">Las previsiones de gasto futuro informadas en la memoria corresponden a </w:t>
      </w:r>
      <w:r w:rsidRPr="00F904C6">
        <w:rPr>
          <w:szCs w:val="26"/>
        </w:rPr>
        <w:t>flujos de pago previstos</w:t>
      </w:r>
      <w:r>
        <w:rPr>
          <w:szCs w:val="26"/>
        </w:rPr>
        <w:t xml:space="preserve"> </w:t>
      </w:r>
      <w:r w:rsidRPr="00F904C6">
        <w:rPr>
          <w:szCs w:val="26"/>
        </w:rPr>
        <w:t xml:space="preserve">que han sido elaborados </w:t>
      </w:r>
      <w:r>
        <w:rPr>
          <w:szCs w:val="26"/>
        </w:rPr>
        <w:t xml:space="preserve">a </w:t>
      </w:r>
      <w:r w:rsidRPr="00F904C6">
        <w:rPr>
          <w:szCs w:val="26"/>
        </w:rPr>
        <w:t>precios corrientes, es decir, teniendo en cuenta el efecto de la inflación futura.</w:t>
      </w:r>
      <w:r>
        <w:rPr>
          <w:szCs w:val="26"/>
        </w:rPr>
        <w:t xml:space="preserve"> Están basadas en hipótesis sobre la evolución del tráfico,</w:t>
      </w:r>
      <w:r w:rsidR="0021390D">
        <w:rPr>
          <w:szCs w:val="26"/>
        </w:rPr>
        <w:t xml:space="preserve"> del IPC, metros cúbicos </w:t>
      </w:r>
      <w:r w:rsidR="006311DC">
        <w:rPr>
          <w:szCs w:val="26"/>
        </w:rPr>
        <w:t>de agua consumida, número</w:t>
      </w:r>
      <w:r>
        <w:rPr>
          <w:szCs w:val="26"/>
        </w:rPr>
        <w:t xml:space="preserve"> de hectáreas</w:t>
      </w:r>
      <w:r w:rsidR="006311DC">
        <w:rPr>
          <w:szCs w:val="26"/>
        </w:rPr>
        <w:t xml:space="preserve"> </w:t>
      </w:r>
      <w:r w:rsidR="006311DC" w:rsidRPr="00027613">
        <w:rPr>
          <w:szCs w:val="26"/>
        </w:rPr>
        <w:t>incluidas</w:t>
      </w:r>
      <w:r>
        <w:rPr>
          <w:szCs w:val="26"/>
        </w:rPr>
        <w:t>, etc.</w:t>
      </w:r>
    </w:p>
    <w:p w14:paraId="57466B20" w14:textId="77777777" w:rsidR="00C30199" w:rsidRDefault="00C30199" w:rsidP="00D71071">
      <w:pPr>
        <w:pStyle w:val="texto"/>
        <w:tabs>
          <w:tab w:val="clear" w:pos="2835"/>
          <w:tab w:val="clear" w:pos="3969"/>
          <w:tab w:val="clear" w:pos="5103"/>
          <w:tab w:val="clear" w:pos="6237"/>
          <w:tab w:val="clear" w:pos="7371"/>
        </w:tabs>
        <w:spacing w:after="0"/>
        <w:rPr>
          <w:szCs w:val="26"/>
        </w:rPr>
      </w:pPr>
      <w:r>
        <w:rPr>
          <w:szCs w:val="26"/>
        </w:rPr>
        <w:t xml:space="preserve">Las previsiones de impacto plurianual </w:t>
      </w:r>
      <w:r w:rsidR="00181EFD">
        <w:rPr>
          <w:szCs w:val="26"/>
        </w:rPr>
        <w:t>reflejadas</w:t>
      </w:r>
      <w:r>
        <w:rPr>
          <w:szCs w:val="26"/>
        </w:rPr>
        <w:t xml:space="preserve"> en la memoria a 31 de diciembre de 2021, en miles de euros corrientes, son las siguientes:</w:t>
      </w:r>
    </w:p>
    <w:p w14:paraId="438892ED" w14:textId="77777777" w:rsidR="00FD08F0" w:rsidRPr="00CD3E31" w:rsidRDefault="00CD3E31" w:rsidP="00FD08F0">
      <w:pPr>
        <w:pStyle w:val="texto"/>
        <w:tabs>
          <w:tab w:val="clear" w:pos="2835"/>
          <w:tab w:val="clear" w:pos="3969"/>
          <w:tab w:val="clear" w:pos="5103"/>
          <w:tab w:val="clear" w:pos="6237"/>
          <w:tab w:val="clear" w:pos="7371"/>
          <w:tab w:val="left" w:pos="480"/>
          <w:tab w:val="num" w:pos="600"/>
          <w:tab w:val="num" w:pos="720"/>
          <w:tab w:val="num" w:pos="1320"/>
          <w:tab w:val="num" w:pos="2062"/>
        </w:tabs>
        <w:spacing w:after="0"/>
        <w:jc w:val="right"/>
        <w:rPr>
          <w:rFonts w:ascii="Arial Narrow" w:hAnsi="Arial Narrow"/>
          <w:strike/>
          <w:sz w:val="16"/>
          <w:szCs w:val="16"/>
        </w:rPr>
      </w:pPr>
      <w:r w:rsidRPr="00CD3E31">
        <w:rPr>
          <w:rFonts w:ascii="Arial Narrow" w:hAnsi="Arial Narrow"/>
          <w:sz w:val="16"/>
          <w:szCs w:val="16"/>
        </w:rPr>
        <w:t>(</w:t>
      </w:r>
      <w:r w:rsidR="00FD08F0" w:rsidRPr="00CD3E31">
        <w:rPr>
          <w:rFonts w:ascii="Arial Narrow" w:hAnsi="Arial Narrow"/>
          <w:sz w:val="16"/>
          <w:szCs w:val="16"/>
        </w:rPr>
        <w:t>Miles</w:t>
      </w:r>
      <w:r w:rsidRPr="00CD3E31">
        <w:rPr>
          <w:rFonts w:ascii="Arial Narrow" w:hAnsi="Arial Narrow"/>
          <w:sz w:val="16"/>
          <w:szCs w:val="16"/>
        </w:rPr>
        <w:t>)</w:t>
      </w:r>
      <w:r w:rsidR="00FD08F0" w:rsidRPr="00CD3E31">
        <w:rPr>
          <w:rFonts w:ascii="Arial Narrow" w:hAnsi="Arial Narrow"/>
          <w:sz w:val="16"/>
          <w:szCs w:val="16"/>
        </w:rPr>
        <w:t xml:space="preserve"> </w:t>
      </w:r>
    </w:p>
    <w:tbl>
      <w:tblPr>
        <w:tblW w:w="9072"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4820"/>
        <w:gridCol w:w="2693"/>
        <w:gridCol w:w="1559"/>
      </w:tblGrid>
      <w:tr w:rsidR="00D83E66" w:rsidRPr="00A20BB6" w14:paraId="21B6B325" w14:textId="77777777" w:rsidTr="00F1415E">
        <w:trPr>
          <w:trHeight w:val="255"/>
        </w:trPr>
        <w:tc>
          <w:tcPr>
            <w:tcW w:w="4820" w:type="dxa"/>
            <w:tcBorders>
              <w:top w:val="single" w:sz="4" w:space="0" w:color="auto"/>
              <w:bottom w:val="single" w:sz="4" w:space="0" w:color="auto"/>
            </w:tcBorders>
            <w:shd w:val="clear" w:color="auto" w:fill="B8CCE4" w:themeFill="accent1" w:themeFillTint="66"/>
            <w:noWrap/>
            <w:vAlign w:val="center"/>
            <w:hideMark/>
          </w:tcPr>
          <w:p w14:paraId="697961F1" w14:textId="77777777" w:rsidR="00D83E66" w:rsidRPr="00A20BB6" w:rsidRDefault="00D83E66" w:rsidP="00D71071">
            <w:pPr>
              <w:pStyle w:val="cuadroCabe"/>
              <w:spacing w:line="240" w:lineRule="auto"/>
              <w:rPr>
                <w:lang w:val="es-ES" w:eastAsia="es-ES"/>
              </w:rPr>
            </w:pPr>
            <w:r w:rsidRPr="00A20BB6">
              <w:rPr>
                <w:lang w:val="es-ES" w:eastAsia="es-ES"/>
              </w:rPr>
              <w:t>Infraestructura</w:t>
            </w:r>
          </w:p>
        </w:tc>
        <w:tc>
          <w:tcPr>
            <w:tcW w:w="2693" w:type="dxa"/>
            <w:tcBorders>
              <w:top w:val="single" w:sz="4" w:space="0" w:color="auto"/>
              <w:bottom w:val="single" w:sz="4" w:space="0" w:color="auto"/>
            </w:tcBorders>
            <w:shd w:val="clear" w:color="auto" w:fill="B8CCE4" w:themeFill="accent1" w:themeFillTint="66"/>
            <w:noWrap/>
            <w:vAlign w:val="center"/>
            <w:hideMark/>
          </w:tcPr>
          <w:p w14:paraId="70AF3E34" w14:textId="77777777" w:rsidR="00D83E66" w:rsidRPr="00A20BB6" w:rsidRDefault="00D83E66" w:rsidP="00D71071">
            <w:pPr>
              <w:pStyle w:val="cuadroCabe"/>
              <w:spacing w:line="240" w:lineRule="auto"/>
              <w:jc w:val="right"/>
              <w:rPr>
                <w:lang w:val="es-ES" w:eastAsia="es-ES"/>
              </w:rPr>
            </w:pPr>
            <w:r w:rsidRPr="00A20BB6">
              <w:rPr>
                <w:lang w:val="es-ES" w:eastAsia="es-ES"/>
              </w:rPr>
              <w:t>Plazo</w:t>
            </w:r>
          </w:p>
        </w:tc>
        <w:tc>
          <w:tcPr>
            <w:tcW w:w="1559" w:type="dxa"/>
            <w:tcBorders>
              <w:top w:val="single" w:sz="4" w:space="0" w:color="auto"/>
              <w:bottom w:val="single" w:sz="4" w:space="0" w:color="auto"/>
            </w:tcBorders>
            <w:shd w:val="clear" w:color="auto" w:fill="B8CCE4" w:themeFill="accent1" w:themeFillTint="66"/>
            <w:noWrap/>
            <w:vAlign w:val="center"/>
            <w:hideMark/>
          </w:tcPr>
          <w:p w14:paraId="0DF24110" w14:textId="77777777" w:rsidR="00D83E66" w:rsidRPr="00A20BB6" w:rsidRDefault="00D83E66" w:rsidP="00D71071">
            <w:pPr>
              <w:pStyle w:val="cuadroCabe"/>
              <w:spacing w:line="240" w:lineRule="auto"/>
              <w:jc w:val="right"/>
              <w:rPr>
                <w:lang w:val="es-ES" w:eastAsia="es-ES"/>
              </w:rPr>
            </w:pPr>
            <w:r>
              <w:rPr>
                <w:lang w:val="es-ES" w:eastAsia="es-ES"/>
              </w:rPr>
              <w:t>Euros</w:t>
            </w:r>
            <w:r w:rsidR="00D71071">
              <w:rPr>
                <w:lang w:val="es-ES" w:eastAsia="es-ES"/>
              </w:rPr>
              <w:t xml:space="preserve"> </w:t>
            </w:r>
            <w:r>
              <w:rPr>
                <w:lang w:val="es-ES" w:eastAsia="es-ES"/>
              </w:rPr>
              <w:t>corrientes</w:t>
            </w:r>
          </w:p>
        </w:tc>
      </w:tr>
      <w:tr w:rsidR="00D83E66" w:rsidRPr="008C7D8B" w14:paraId="71B6717B" w14:textId="77777777" w:rsidTr="00F1415E">
        <w:trPr>
          <w:trHeight w:val="255"/>
        </w:trPr>
        <w:tc>
          <w:tcPr>
            <w:tcW w:w="4820" w:type="dxa"/>
            <w:tcBorders>
              <w:top w:val="single" w:sz="4" w:space="0" w:color="auto"/>
            </w:tcBorders>
            <w:shd w:val="clear" w:color="auto" w:fill="auto"/>
            <w:vAlign w:val="center"/>
            <w:hideMark/>
          </w:tcPr>
          <w:p w14:paraId="79034BFC" w14:textId="77777777" w:rsidR="00D83E66" w:rsidRPr="00A20BB6" w:rsidRDefault="00D83E66" w:rsidP="00D71071">
            <w:pPr>
              <w:spacing w:after="0"/>
              <w:ind w:firstLine="0"/>
              <w:jc w:val="left"/>
              <w:rPr>
                <w:rFonts w:ascii="Arial Narrow" w:hAnsi="Arial Narrow" w:cs="Calibri"/>
                <w:color w:val="000000"/>
                <w:lang w:val="es-ES" w:eastAsia="es-ES"/>
              </w:rPr>
            </w:pPr>
            <w:r w:rsidRPr="00A20BB6">
              <w:rPr>
                <w:rFonts w:ascii="Arial Narrow" w:hAnsi="Arial Narrow" w:cs="Calibri"/>
                <w:color w:val="000000"/>
                <w:lang w:val="es-ES" w:eastAsia="es-ES"/>
              </w:rPr>
              <w:t>Autovía A-12 Pamplona-Logroño (Autovía del Camino)</w:t>
            </w:r>
          </w:p>
        </w:tc>
        <w:tc>
          <w:tcPr>
            <w:tcW w:w="2693" w:type="dxa"/>
            <w:tcBorders>
              <w:top w:val="single" w:sz="4" w:space="0" w:color="auto"/>
            </w:tcBorders>
            <w:shd w:val="clear" w:color="auto" w:fill="auto"/>
            <w:vAlign w:val="center"/>
            <w:hideMark/>
          </w:tcPr>
          <w:p w14:paraId="0E86EF92" w14:textId="77777777" w:rsidR="00D83E66" w:rsidRPr="00A20BB6" w:rsidRDefault="00D83E66" w:rsidP="00D71071">
            <w:pPr>
              <w:spacing w:after="0"/>
              <w:ind w:firstLine="0"/>
              <w:jc w:val="right"/>
              <w:rPr>
                <w:rFonts w:ascii="Arial Narrow" w:hAnsi="Arial Narrow" w:cs="Calibri"/>
                <w:color w:val="000000"/>
                <w:lang w:val="es-ES" w:eastAsia="es-ES"/>
              </w:rPr>
            </w:pPr>
            <w:r w:rsidRPr="00A20BB6">
              <w:rPr>
                <w:rFonts w:ascii="Arial Narrow" w:hAnsi="Arial Narrow" w:cs="Calibri"/>
                <w:color w:val="000000"/>
                <w:lang w:val="es-ES" w:eastAsia="es-ES"/>
              </w:rPr>
              <w:t>2022 - 2027</w:t>
            </w:r>
          </w:p>
        </w:tc>
        <w:tc>
          <w:tcPr>
            <w:tcW w:w="1559" w:type="dxa"/>
            <w:tcBorders>
              <w:top w:val="single" w:sz="4" w:space="0" w:color="auto"/>
            </w:tcBorders>
            <w:shd w:val="clear" w:color="auto" w:fill="auto"/>
            <w:noWrap/>
            <w:vAlign w:val="center"/>
            <w:hideMark/>
          </w:tcPr>
          <w:p w14:paraId="69A1729A" w14:textId="77777777" w:rsidR="00D83E66" w:rsidRPr="00A20BB6" w:rsidRDefault="00D83E66" w:rsidP="00D71071">
            <w:pPr>
              <w:spacing w:after="0"/>
              <w:ind w:firstLine="0"/>
              <w:jc w:val="right"/>
              <w:rPr>
                <w:rFonts w:ascii="Arial Narrow" w:hAnsi="Arial Narrow" w:cs="Calibri"/>
                <w:color w:val="000000"/>
                <w:lang w:val="es-ES" w:eastAsia="es-ES"/>
              </w:rPr>
            </w:pPr>
            <w:r w:rsidRPr="00A20BB6">
              <w:rPr>
                <w:rFonts w:ascii="Arial Narrow" w:hAnsi="Arial Narrow" w:cs="Calibri"/>
                <w:color w:val="000000"/>
                <w:lang w:val="es-ES" w:eastAsia="es-ES"/>
              </w:rPr>
              <w:t>383.237</w:t>
            </w:r>
          </w:p>
        </w:tc>
      </w:tr>
      <w:tr w:rsidR="00D83E66" w:rsidRPr="008C7D8B" w14:paraId="58EDB21F" w14:textId="77777777" w:rsidTr="004A2D3C">
        <w:trPr>
          <w:trHeight w:val="255"/>
        </w:trPr>
        <w:tc>
          <w:tcPr>
            <w:tcW w:w="4820" w:type="dxa"/>
            <w:shd w:val="clear" w:color="auto" w:fill="auto"/>
            <w:vAlign w:val="center"/>
            <w:hideMark/>
          </w:tcPr>
          <w:p w14:paraId="7F2C7F54" w14:textId="77777777" w:rsidR="00D83E66" w:rsidRPr="00A20BB6" w:rsidRDefault="00D83E66" w:rsidP="00D71071">
            <w:pPr>
              <w:spacing w:after="0"/>
              <w:ind w:firstLine="0"/>
              <w:jc w:val="left"/>
              <w:rPr>
                <w:rFonts w:ascii="Arial Narrow" w:hAnsi="Arial Narrow" w:cs="Calibri"/>
                <w:color w:val="000000"/>
                <w:lang w:val="es-ES" w:eastAsia="es-ES"/>
              </w:rPr>
            </w:pPr>
            <w:r w:rsidRPr="00A20BB6">
              <w:rPr>
                <w:rFonts w:ascii="Arial Narrow" w:hAnsi="Arial Narrow" w:cs="Calibri"/>
                <w:color w:val="000000"/>
                <w:lang w:val="es-ES" w:eastAsia="es-ES"/>
              </w:rPr>
              <w:t>Autovía A-21 Pamplona - Jaca (Autovía del Pirineo)</w:t>
            </w:r>
          </w:p>
        </w:tc>
        <w:tc>
          <w:tcPr>
            <w:tcW w:w="2693" w:type="dxa"/>
            <w:shd w:val="clear" w:color="auto" w:fill="auto"/>
            <w:vAlign w:val="center"/>
            <w:hideMark/>
          </w:tcPr>
          <w:p w14:paraId="691DBF43" w14:textId="77777777" w:rsidR="00D83E66" w:rsidRPr="00A20BB6" w:rsidRDefault="00D83E66" w:rsidP="00D71071">
            <w:pPr>
              <w:spacing w:after="0"/>
              <w:ind w:firstLine="0"/>
              <w:jc w:val="right"/>
              <w:rPr>
                <w:rFonts w:ascii="Arial Narrow" w:hAnsi="Arial Narrow" w:cs="Calibri"/>
                <w:color w:val="000000"/>
                <w:lang w:val="es-ES" w:eastAsia="es-ES"/>
              </w:rPr>
            </w:pPr>
            <w:r w:rsidRPr="00A20BB6">
              <w:rPr>
                <w:rFonts w:ascii="Arial Narrow" w:hAnsi="Arial Narrow" w:cs="Calibri"/>
                <w:color w:val="000000"/>
                <w:lang w:val="es-ES" w:eastAsia="es-ES"/>
              </w:rPr>
              <w:t>2022 - 2039</w:t>
            </w:r>
          </w:p>
        </w:tc>
        <w:tc>
          <w:tcPr>
            <w:tcW w:w="1559" w:type="dxa"/>
            <w:shd w:val="clear" w:color="auto" w:fill="auto"/>
            <w:noWrap/>
            <w:vAlign w:val="center"/>
            <w:hideMark/>
          </w:tcPr>
          <w:p w14:paraId="353F5005" w14:textId="77777777" w:rsidR="00D83E66" w:rsidRPr="00A20BB6" w:rsidRDefault="00D83E66" w:rsidP="00D71071">
            <w:pPr>
              <w:spacing w:after="0"/>
              <w:ind w:firstLine="0"/>
              <w:jc w:val="right"/>
              <w:rPr>
                <w:rFonts w:ascii="Arial Narrow" w:hAnsi="Arial Narrow" w:cs="Calibri"/>
                <w:color w:val="000000"/>
                <w:lang w:val="es-ES" w:eastAsia="es-ES"/>
              </w:rPr>
            </w:pPr>
            <w:r w:rsidRPr="00A20BB6">
              <w:rPr>
                <w:rFonts w:ascii="Arial Narrow" w:hAnsi="Arial Narrow" w:cs="Calibri"/>
                <w:color w:val="000000"/>
                <w:lang w:val="es-ES" w:eastAsia="es-ES"/>
              </w:rPr>
              <w:t>553.800</w:t>
            </w:r>
          </w:p>
        </w:tc>
      </w:tr>
      <w:tr w:rsidR="00D83E66" w:rsidRPr="00A20BB6" w14:paraId="0F9D798E" w14:textId="77777777" w:rsidTr="004A2D3C">
        <w:trPr>
          <w:trHeight w:val="255"/>
        </w:trPr>
        <w:tc>
          <w:tcPr>
            <w:tcW w:w="4820" w:type="dxa"/>
            <w:shd w:val="clear" w:color="auto" w:fill="auto"/>
            <w:vAlign w:val="center"/>
            <w:hideMark/>
          </w:tcPr>
          <w:p w14:paraId="31D73517" w14:textId="77777777" w:rsidR="00D83E66" w:rsidRPr="00A20BB6" w:rsidRDefault="00D83E66" w:rsidP="00D71071">
            <w:pPr>
              <w:spacing w:after="0"/>
              <w:ind w:firstLine="0"/>
              <w:jc w:val="left"/>
              <w:rPr>
                <w:rFonts w:ascii="Arial Narrow" w:hAnsi="Arial Narrow" w:cs="Calibri"/>
                <w:color w:val="000000"/>
                <w:lang w:val="es-ES" w:eastAsia="es-ES"/>
              </w:rPr>
            </w:pPr>
            <w:r w:rsidRPr="00A20BB6">
              <w:rPr>
                <w:rFonts w:ascii="Arial Narrow" w:hAnsi="Arial Narrow" w:cs="Calibri"/>
                <w:color w:val="000000"/>
                <w:lang w:val="es-ES" w:eastAsia="es-ES"/>
              </w:rPr>
              <w:t>Zonas regables del Canal de Navarra (1ª fase)</w:t>
            </w:r>
          </w:p>
        </w:tc>
        <w:tc>
          <w:tcPr>
            <w:tcW w:w="2693" w:type="dxa"/>
            <w:shd w:val="clear" w:color="auto" w:fill="auto"/>
            <w:vAlign w:val="center"/>
            <w:hideMark/>
          </w:tcPr>
          <w:p w14:paraId="281C876D" w14:textId="77777777" w:rsidR="00D83E66" w:rsidRPr="00A20BB6" w:rsidRDefault="00D83E66" w:rsidP="00D71071">
            <w:pPr>
              <w:spacing w:after="0"/>
              <w:ind w:firstLine="0"/>
              <w:jc w:val="right"/>
              <w:rPr>
                <w:rFonts w:ascii="Arial Narrow" w:hAnsi="Arial Narrow" w:cs="Calibri"/>
                <w:color w:val="000000"/>
                <w:lang w:val="es-ES" w:eastAsia="es-ES"/>
              </w:rPr>
            </w:pPr>
            <w:r w:rsidRPr="00A20BB6">
              <w:rPr>
                <w:rFonts w:ascii="Arial Narrow" w:hAnsi="Arial Narrow" w:cs="Calibri"/>
                <w:color w:val="000000"/>
                <w:lang w:val="es-ES" w:eastAsia="es-ES"/>
              </w:rPr>
              <w:t>2022 - 2036</w:t>
            </w:r>
          </w:p>
        </w:tc>
        <w:tc>
          <w:tcPr>
            <w:tcW w:w="1559" w:type="dxa"/>
            <w:shd w:val="clear" w:color="auto" w:fill="auto"/>
            <w:noWrap/>
            <w:vAlign w:val="center"/>
            <w:hideMark/>
          </w:tcPr>
          <w:p w14:paraId="698432CB" w14:textId="77777777" w:rsidR="00D83E66" w:rsidRPr="00A20BB6" w:rsidRDefault="00D83E66" w:rsidP="00D71071">
            <w:pPr>
              <w:spacing w:after="0"/>
              <w:ind w:firstLine="0"/>
              <w:jc w:val="right"/>
              <w:rPr>
                <w:rFonts w:ascii="Arial Narrow" w:hAnsi="Arial Narrow" w:cs="Calibri"/>
                <w:color w:val="000000"/>
                <w:lang w:val="es-ES" w:eastAsia="es-ES"/>
              </w:rPr>
            </w:pPr>
            <w:r w:rsidRPr="00A20BB6">
              <w:rPr>
                <w:rFonts w:ascii="Arial Narrow" w:hAnsi="Arial Narrow" w:cs="Calibri"/>
                <w:color w:val="000000"/>
                <w:lang w:val="es-ES" w:eastAsia="es-ES"/>
              </w:rPr>
              <w:t>314.204</w:t>
            </w:r>
          </w:p>
        </w:tc>
      </w:tr>
      <w:tr w:rsidR="00D83E66" w:rsidRPr="00A20BB6" w14:paraId="7711A63B" w14:textId="77777777" w:rsidTr="00F1415E">
        <w:trPr>
          <w:trHeight w:val="255"/>
        </w:trPr>
        <w:tc>
          <w:tcPr>
            <w:tcW w:w="4820" w:type="dxa"/>
            <w:tcBorders>
              <w:bottom w:val="single" w:sz="4" w:space="0" w:color="auto"/>
            </w:tcBorders>
            <w:shd w:val="clear" w:color="auto" w:fill="auto"/>
            <w:vAlign w:val="center"/>
            <w:hideMark/>
          </w:tcPr>
          <w:p w14:paraId="274CEDF7" w14:textId="77777777" w:rsidR="00D83E66" w:rsidRPr="00A20BB6" w:rsidRDefault="00D83E66" w:rsidP="00D71071">
            <w:pPr>
              <w:spacing w:after="0"/>
              <w:ind w:firstLine="0"/>
              <w:jc w:val="left"/>
              <w:rPr>
                <w:rFonts w:ascii="Arial Narrow" w:hAnsi="Arial Narrow" w:cs="Calibri"/>
                <w:color w:val="000000"/>
                <w:lang w:val="es-ES" w:eastAsia="es-ES"/>
              </w:rPr>
            </w:pPr>
            <w:r w:rsidRPr="00A20BB6">
              <w:rPr>
                <w:rFonts w:ascii="Arial Narrow" w:hAnsi="Arial Narrow" w:cs="Calibri"/>
                <w:color w:val="000000"/>
                <w:lang w:val="es-ES" w:eastAsia="es-ES"/>
              </w:rPr>
              <w:t>Zonas regables Canal de Navarra. Ampliación 1ª Fase</w:t>
            </w:r>
          </w:p>
        </w:tc>
        <w:tc>
          <w:tcPr>
            <w:tcW w:w="2693" w:type="dxa"/>
            <w:tcBorders>
              <w:bottom w:val="single" w:sz="4" w:space="0" w:color="auto"/>
            </w:tcBorders>
            <w:shd w:val="clear" w:color="auto" w:fill="auto"/>
            <w:vAlign w:val="center"/>
            <w:hideMark/>
          </w:tcPr>
          <w:p w14:paraId="4D51EB1B" w14:textId="77777777" w:rsidR="00D83E66" w:rsidRPr="00A20BB6" w:rsidRDefault="00D83E66" w:rsidP="00D71071">
            <w:pPr>
              <w:spacing w:after="0"/>
              <w:ind w:firstLine="0"/>
              <w:jc w:val="right"/>
              <w:rPr>
                <w:rFonts w:ascii="Arial Narrow" w:hAnsi="Arial Narrow" w:cs="Calibri"/>
                <w:color w:val="000000"/>
                <w:lang w:val="es-ES" w:eastAsia="es-ES"/>
              </w:rPr>
            </w:pPr>
            <w:r w:rsidRPr="00A20BB6">
              <w:rPr>
                <w:rFonts w:ascii="Arial Narrow" w:hAnsi="Arial Narrow" w:cs="Calibri"/>
                <w:color w:val="000000"/>
                <w:lang w:val="es-ES" w:eastAsia="es-ES"/>
              </w:rPr>
              <w:t>2022- 2044</w:t>
            </w:r>
          </w:p>
        </w:tc>
        <w:tc>
          <w:tcPr>
            <w:tcW w:w="1559" w:type="dxa"/>
            <w:tcBorders>
              <w:bottom w:val="single" w:sz="4" w:space="0" w:color="auto"/>
            </w:tcBorders>
            <w:shd w:val="clear" w:color="auto" w:fill="auto"/>
            <w:noWrap/>
            <w:vAlign w:val="center"/>
            <w:hideMark/>
          </w:tcPr>
          <w:p w14:paraId="5AB5447F" w14:textId="77777777" w:rsidR="00D83E66" w:rsidRPr="00A20BB6" w:rsidRDefault="00D83E66" w:rsidP="00D71071">
            <w:pPr>
              <w:spacing w:after="0"/>
              <w:ind w:firstLine="0"/>
              <w:jc w:val="right"/>
              <w:rPr>
                <w:rFonts w:ascii="Arial Narrow" w:hAnsi="Arial Narrow" w:cs="Calibri"/>
                <w:color w:val="000000"/>
                <w:lang w:val="es-ES" w:eastAsia="es-ES"/>
              </w:rPr>
            </w:pPr>
            <w:r w:rsidRPr="00A20BB6">
              <w:rPr>
                <w:rFonts w:ascii="Arial Narrow" w:hAnsi="Arial Narrow" w:cs="Calibri"/>
                <w:color w:val="000000"/>
                <w:lang w:val="es-ES" w:eastAsia="es-ES"/>
              </w:rPr>
              <w:t>392.168</w:t>
            </w:r>
          </w:p>
        </w:tc>
      </w:tr>
      <w:tr w:rsidR="00D83E66" w:rsidRPr="00A20BB6" w14:paraId="21E72EA3" w14:textId="77777777" w:rsidTr="00F1415E">
        <w:trPr>
          <w:trHeight w:val="255"/>
        </w:trPr>
        <w:tc>
          <w:tcPr>
            <w:tcW w:w="4820" w:type="dxa"/>
            <w:tcBorders>
              <w:top w:val="single" w:sz="4" w:space="0" w:color="auto"/>
              <w:bottom w:val="single" w:sz="4" w:space="0" w:color="auto"/>
            </w:tcBorders>
            <w:shd w:val="clear" w:color="auto" w:fill="B8CCE4" w:themeFill="accent1" w:themeFillTint="66"/>
            <w:noWrap/>
            <w:vAlign w:val="center"/>
            <w:hideMark/>
          </w:tcPr>
          <w:p w14:paraId="7B232D6D" w14:textId="77777777" w:rsidR="00D83E66" w:rsidRPr="00A20BB6" w:rsidRDefault="00D83E66" w:rsidP="00D71071">
            <w:pPr>
              <w:pStyle w:val="cuadroCabe"/>
              <w:spacing w:line="240" w:lineRule="auto"/>
              <w:rPr>
                <w:lang w:val="es-ES" w:eastAsia="es-ES"/>
              </w:rPr>
            </w:pPr>
            <w:r w:rsidRPr="00A20BB6">
              <w:rPr>
                <w:lang w:val="es-ES" w:eastAsia="es-ES"/>
              </w:rPr>
              <w:t>Total</w:t>
            </w:r>
          </w:p>
        </w:tc>
        <w:tc>
          <w:tcPr>
            <w:tcW w:w="2693" w:type="dxa"/>
            <w:tcBorders>
              <w:top w:val="single" w:sz="4" w:space="0" w:color="auto"/>
              <w:bottom w:val="single" w:sz="4" w:space="0" w:color="auto"/>
            </w:tcBorders>
            <w:shd w:val="clear" w:color="auto" w:fill="B8CCE4" w:themeFill="accent1" w:themeFillTint="66"/>
            <w:noWrap/>
            <w:vAlign w:val="center"/>
            <w:hideMark/>
          </w:tcPr>
          <w:p w14:paraId="0F92A284" w14:textId="77777777" w:rsidR="00D83E66" w:rsidRPr="00A20BB6" w:rsidRDefault="00D83E66" w:rsidP="00D71071">
            <w:pPr>
              <w:pStyle w:val="cuadroCabe"/>
              <w:spacing w:line="240" w:lineRule="auto"/>
              <w:jc w:val="right"/>
              <w:rPr>
                <w:lang w:val="es-ES" w:eastAsia="es-ES"/>
              </w:rPr>
            </w:pPr>
            <w:r w:rsidRPr="00A20BB6">
              <w:rPr>
                <w:lang w:val="es-ES" w:eastAsia="es-ES"/>
              </w:rPr>
              <w:t> </w:t>
            </w:r>
          </w:p>
        </w:tc>
        <w:tc>
          <w:tcPr>
            <w:tcW w:w="1559" w:type="dxa"/>
            <w:tcBorders>
              <w:top w:val="single" w:sz="4" w:space="0" w:color="auto"/>
              <w:bottom w:val="single" w:sz="4" w:space="0" w:color="auto"/>
            </w:tcBorders>
            <w:shd w:val="clear" w:color="auto" w:fill="B8CCE4" w:themeFill="accent1" w:themeFillTint="66"/>
            <w:noWrap/>
            <w:vAlign w:val="center"/>
            <w:hideMark/>
          </w:tcPr>
          <w:p w14:paraId="0771556F" w14:textId="77777777" w:rsidR="00D83E66" w:rsidRPr="00A20BB6" w:rsidRDefault="00D83E66" w:rsidP="00D71071">
            <w:pPr>
              <w:pStyle w:val="cuadroCabe"/>
              <w:spacing w:line="240" w:lineRule="auto"/>
              <w:jc w:val="right"/>
              <w:rPr>
                <w:lang w:val="es-ES" w:eastAsia="es-ES"/>
              </w:rPr>
            </w:pPr>
            <w:r w:rsidRPr="00A20BB6">
              <w:rPr>
                <w:lang w:val="es-ES" w:eastAsia="es-ES"/>
              </w:rPr>
              <w:t>1.643.409</w:t>
            </w:r>
          </w:p>
        </w:tc>
      </w:tr>
    </w:tbl>
    <w:p w14:paraId="3CF4D63E" w14:textId="77777777" w:rsidR="00C30199" w:rsidRDefault="00C30199" w:rsidP="00FD08F0">
      <w:pPr>
        <w:pStyle w:val="texto"/>
        <w:tabs>
          <w:tab w:val="clear" w:pos="2835"/>
          <w:tab w:val="clear" w:pos="3969"/>
          <w:tab w:val="clear" w:pos="5103"/>
          <w:tab w:val="clear" w:pos="6237"/>
          <w:tab w:val="clear" w:pos="7371"/>
        </w:tabs>
        <w:spacing w:before="240"/>
        <w:rPr>
          <w:szCs w:val="26"/>
        </w:rPr>
      </w:pPr>
      <w:r>
        <w:rPr>
          <w:szCs w:val="26"/>
        </w:rPr>
        <w:t xml:space="preserve">La carga futura estimada corresponde a previsiones de pagos anuales, a excepción del año 2022, año inmediato siguiente, que está ajustado con tarifas actualizadas y datos reales de consumo y tráfico del año 2021. </w:t>
      </w:r>
    </w:p>
    <w:p w14:paraId="17CBD6C0" w14:textId="77777777" w:rsidR="00D557C1" w:rsidRPr="0050410E" w:rsidRDefault="00D557C1" w:rsidP="00D557C1">
      <w:pPr>
        <w:pStyle w:val="texto"/>
        <w:tabs>
          <w:tab w:val="clear" w:pos="2835"/>
          <w:tab w:val="clear" w:pos="3969"/>
          <w:tab w:val="clear" w:pos="5103"/>
          <w:tab w:val="clear" w:pos="6237"/>
          <w:tab w:val="clear" w:pos="7371"/>
        </w:tabs>
        <w:rPr>
          <w:szCs w:val="26"/>
        </w:rPr>
      </w:pPr>
      <w:r>
        <w:rPr>
          <w:szCs w:val="26"/>
        </w:rPr>
        <w:t xml:space="preserve">Las </w:t>
      </w:r>
      <w:r w:rsidRPr="00FD08F0">
        <w:rPr>
          <w:szCs w:val="26"/>
        </w:rPr>
        <w:t xml:space="preserve">previsiones </w:t>
      </w:r>
      <w:r>
        <w:rPr>
          <w:szCs w:val="26"/>
        </w:rPr>
        <w:t xml:space="preserve">de estas infraestructuras </w:t>
      </w:r>
      <w:r w:rsidRPr="00FD08F0">
        <w:rPr>
          <w:szCs w:val="26"/>
        </w:rPr>
        <w:t xml:space="preserve">se registran </w:t>
      </w:r>
      <w:r w:rsidR="007264E5">
        <w:rPr>
          <w:szCs w:val="26"/>
        </w:rPr>
        <w:t>en el sistema de información contable</w:t>
      </w:r>
      <w:r w:rsidRPr="00FD08F0">
        <w:rPr>
          <w:szCs w:val="26"/>
        </w:rPr>
        <w:t xml:space="preserve"> </w:t>
      </w:r>
      <w:r w:rsidR="007264E5" w:rsidRPr="00FD08F0">
        <w:rPr>
          <w:szCs w:val="26"/>
        </w:rPr>
        <w:t>como</w:t>
      </w:r>
      <w:r w:rsidR="007264E5">
        <w:rPr>
          <w:szCs w:val="26"/>
        </w:rPr>
        <w:t>” reservas</w:t>
      </w:r>
      <w:r w:rsidRPr="00FD08F0">
        <w:rPr>
          <w:szCs w:val="26"/>
        </w:rPr>
        <w:t xml:space="preserve"> plu</w:t>
      </w:r>
      <w:r>
        <w:rPr>
          <w:szCs w:val="26"/>
        </w:rPr>
        <w:t>rianuales</w:t>
      </w:r>
      <w:r w:rsidR="007264E5">
        <w:rPr>
          <w:szCs w:val="26"/>
        </w:rPr>
        <w:t>”</w:t>
      </w:r>
      <w:r>
        <w:rPr>
          <w:szCs w:val="26"/>
        </w:rPr>
        <w:t>, excepto la</w:t>
      </w:r>
      <w:r w:rsidR="009E2D0A">
        <w:rPr>
          <w:szCs w:val="26"/>
        </w:rPr>
        <w:t>s previsiones de la A</w:t>
      </w:r>
      <w:r>
        <w:rPr>
          <w:szCs w:val="26"/>
        </w:rPr>
        <w:t>utovía del Pirineo</w:t>
      </w:r>
      <w:r w:rsidR="009E2D0A">
        <w:rPr>
          <w:szCs w:val="26"/>
        </w:rPr>
        <w:t>.</w:t>
      </w:r>
    </w:p>
    <w:p w14:paraId="01FA4F82" w14:textId="77777777" w:rsidR="00C30199" w:rsidRDefault="00C30199" w:rsidP="00C30199">
      <w:pPr>
        <w:pStyle w:val="texto"/>
        <w:tabs>
          <w:tab w:val="clear" w:pos="2835"/>
          <w:tab w:val="clear" w:pos="3969"/>
          <w:tab w:val="clear" w:pos="5103"/>
          <w:tab w:val="clear" w:pos="6237"/>
          <w:tab w:val="clear" w:pos="7371"/>
        </w:tabs>
        <w:rPr>
          <w:szCs w:val="26"/>
        </w:rPr>
      </w:pPr>
      <w:r>
        <w:rPr>
          <w:szCs w:val="26"/>
        </w:rPr>
        <w:t xml:space="preserve">Las fuentes de estas previsiones no son homogéneas y no están actualizadas: </w:t>
      </w:r>
    </w:p>
    <w:p w14:paraId="7AC8D3D6" w14:textId="77777777" w:rsidR="00D557C1" w:rsidRDefault="00CD3E31" w:rsidP="00CD3E31">
      <w:pPr>
        <w:pStyle w:val="texto"/>
      </w:pPr>
      <w:r>
        <w:t xml:space="preserve">a) </w:t>
      </w:r>
      <w:r w:rsidR="00C30199" w:rsidRPr="00D557C1">
        <w:t>La car</w:t>
      </w:r>
      <w:r w:rsidR="009E2D0A">
        <w:t>ga futura correspondiente a la A</w:t>
      </w:r>
      <w:r w:rsidR="00C30199" w:rsidRPr="00D557C1">
        <w:t>utovía del Camino corresponde a</w:t>
      </w:r>
      <w:r w:rsidR="00A143A4">
        <w:t xml:space="preserve"> la estimación contenida en el A</w:t>
      </w:r>
      <w:r w:rsidR="00C30199" w:rsidRPr="00D557C1">
        <w:t>cuerdo de</w:t>
      </w:r>
      <w:r w:rsidR="00A143A4">
        <w:t>l</w:t>
      </w:r>
      <w:r w:rsidR="00C30199" w:rsidRPr="00D557C1">
        <w:t xml:space="preserve"> Gobierno de </w:t>
      </w:r>
      <w:r w:rsidR="00A143A4">
        <w:t xml:space="preserve">fecha </w:t>
      </w:r>
      <w:r w:rsidR="00C30199" w:rsidRPr="00D557C1">
        <w:t xml:space="preserve">11 de abril de 2005. El horizonte temporal por el que aparecen registrados es hasta 2027, lo que no corresponde con la duración del contrato, previsto hasta 2032. </w:t>
      </w:r>
    </w:p>
    <w:p w14:paraId="0573BFFE" w14:textId="77777777" w:rsidR="00C30199" w:rsidRDefault="00CD3E31" w:rsidP="00CD3E31">
      <w:pPr>
        <w:pStyle w:val="texto"/>
        <w:rPr>
          <w:szCs w:val="26"/>
        </w:rPr>
      </w:pPr>
      <w:r>
        <w:rPr>
          <w:szCs w:val="26"/>
        </w:rPr>
        <w:t xml:space="preserve">b) </w:t>
      </w:r>
      <w:r w:rsidR="00C30199" w:rsidRPr="00D557C1">
        <w:rPr>
          <w:szCs w:val="26"/>
        </w:rPr>
        <w:t xml:space="preserve">La carga </w:t>
      </w:r>
      <w:r w:rsidR="00C30199" w:rsidRPr="00CD3E31">
        <w:t>futura</w:t>
      </w:r>
      <w:r w:rsidR="009E2D0A">
        <w:rPr>
          <w:szCs w:val="26"/>
        </w:rPr>
        <w:t xml:space="preserve"> estimada de la A</w:t>
      </w:r>
      <w:r w:rsidR="00C30199" w:rsidRPr="00D557C1">
        <w:rPr>
          <w:szCs w:val="26"/>
        </w:rPr>
        <w:t>utovía del Pirineo no proviene de acuerdo de gobierno, sino que ha tenido en cuenta el PEF</w:t>
      </w:r>
      <w:r w:rsidR="00D557C1">
        <w:rPr>
          <w:szCs w:val="26"/>
        </w:rPr>
        <w:t xml:space="preserve"> revisado en 2017 como consecuencia de un proceso de refinanciación de la concesionaria</w:t>
      </w:r>
      <w:r w:rsidR="00C30199" w:rsidRPr="00D557C1">
        <w:rPr>
          <w:szCs w:val="26"/>
        </w:rPr>
        <w:t xml:space="preserve">, pero que no ha sido incorporado al contrato. </w:t>
      </w:r>
    </w:p>
    <w:p w14:paraId="4499386F" w14:textId="77777777" w:rsidR="007B3367" w:rsidRPr="00A37366" w:rsidRDefault="00CD3E31" w:rsidP="00CD3E31">
      <w:pPr>
        <w:pStyle w:val="texto"/>
        <w:rPr>
          <w:szCs w:val="26"/>
        </w:rPr>
      </w:pPr>
      <w:r>
        <w:rPr>
          <w:szCs w:val="26"/>
        </w:rPr>
        <w:t xml:space="preserve">c) </w:t>
      </w:r>
      <w:r w:rsidR="00C30199" w:rsidRPr="007B3367">
        <w:rPr>
          <w:szCs w:val="26"/>
        </w:rPr>
        <w:t xml:space="preserve">Las previsiones de gasto futuro </w:t>
      </w:r>
      <w:r w:rsidR="00D02D7A" w:rsidRPr="007B3367">
        <w:rPr>
          <w:szCs w:val="26"/>
        </w:rPr>
        <w:t>de</w:t>
      </w:r>
      <w:r w:rsidR="00736F56">
        <w:rPr>
          <w:szCs w:val="26"/>
        </w:rPr>
        <w:t xml:space="preserve"> las Zonas Regables de la Primera F</w:t>
      </w:r>
      <w:r w:rsidR="00C30199" w:rsidRPr="007B3367">
        <w:rPr>
          <w:szCs w:val="26"/>
        </w:rPr>
        <w:t xml:space="preserve">ase </w:t>
      </w:r>
      <w:r w:rsidR="00736F56">
        <w:rPr>
          <w:szCs w:val="26"/>
        </w:rPr>
        <w:t xml:space="preserve">del Canal de Navarra </w:t>
      </w:r>
      <w:r w:rsidR="00C30199" w:rsidRPr="007B3367">
        <w:rPr>
          <w:szCs w:val="26"/>
        </w:rPr>
        <w:t xml:space="preserve">corresponden a una estimación contenida en un </w:t>
      </w:r>
      <w:r w:rsidR="00731D83" w:rsidRPr="0050410E">
        <w:rPr>
          <w:szCs w:val="26"/>
        </w:rPr>
        <w:t>A</w:t>
      </w:r>
      <w:r w:rsidR="00C30199" w:rsidRPr="0050410E">
        <w:rPr>
          <w:szCs w:val="26"/>
        </w:rPr>
        <w:t>cuerdo de</w:t>
      </w:r>
      <w:r w:rsidR="004D3B65" w:rsidRPr="0050410E">
        <w:rPr>
          <w:szCs w:val="26"/>
        </w:rPr>
        <w:t>l</w:t>
      </w:r>
      <w:r w:rsidR="00731D83" w:rsidRPr="0050410E">
        <w:rPr>
          <w:szCs w:val="26"/>
        </w:rPr>
        <w:t xml:space="preserve"> G</w:t>
      </w:r>
      <w:r w:rsidR="00C30199" w:rsidRPr="0050410E">
        <w:rPr>
          <w:szCs w:val="26"/>
        </w:rPr>
        <w:t>obierno</w:t>
      </w:r>
      <w:r w:rsidR="00C30199" w:rsidRPr="007B3367">
        <w:rPr>
          <w:szCs w:val="26"/>
        </w:rPr>
        <w:t xml:space="preserve"> de abril de 2012. </w:t>
      </w:r>
    </w:p>
    <w:p w14:paraId="4516C6E7" w14:textId="77777777" w:rsidR="00C30199" w:rsidRPr="007B3367" w:rsidRDefault="00CD3E31" w:rsidP="00CD3E31">
      <w:pPr>
        <w:pStyle w:val="texto"/>
        <w:rPr>
          <w:szCs w:val="26"/>
        </w:rPr>
      </w:pPr>
      <w:r>
        <w:rPr>
          <w:szCs w:val="26"/>
        </w:rPr>
        <w:t xml:space="preserve">d) </w:t>
      </w:r>
      <w:r w:rsidR="00736F56">
        <w:rPr>
          <w:szCs w:val="26"/>
        </w:rPr>
        <w:t>Las previsiones de gasto de la Ampliación de la Primera Fase de las Zonas R</w:t>
      </w:r>
      <w:r w:rsidR="00C30199" w:rsidRPr="007B3367">
        <w:rPr>
          <w:szCs w:val="26"/>
        </w:rPr>
        <w:t>egables del Canal de Navarra tienen su origen en el modelo económico aprobado en el reequilibrio económico más cercano a</w:t>
      </w:r>
      <w:r w:rsidR="00FA22E5">
        <w:rPr>
          <w:szCs w:val="26"/>
        </w:rPr>
        <w:t>l cierre del ejercicio, si bien</w:t>
      </w:r>
      <w:r w:rsidR="00C30199" w:rsidRPr="007B3367">
        <w:rPr>
          <w:szCs w:val="26"/>
        </w:rPr>
        <w:t xml:space="preserve"> no ha considerado el IVA correspondiente que también debe ser abonado por la ACFN. La cifra de compromisos</w:t>
      </w:r>
      <w:r w:rsidR="006819EB">
        <w:rPr>
          <w:szCs w:val="26"/>
        </w:rPr>
        <w:t xml:space="preserve"> de gastos futuros para 2022-204</w:t>
      </w:r>
      <w:r w:rsidR="00C30199" w:rsidRPr="007B3367">
        <w:rPr>
          <w:szCs w:val="26"/>
        </w:rPr>
        <w:t xml:space="preserve">4 </w:t>
      </w:r>
      <w:proofErr w:type="gramStart"/>
      <w:r w:rsidR="00C30199" w:rsidRPr="007B3367">
        <w:rPr>
          <w:szCs w:val="26"/>
        </w:rPr>
        <w:t>de acuerdo al</w:t>
      </w:r>
      <w:proofErr w:type="gramEnd"/>
      <w:r w:rsidR="00C30199" w:rsidRPr="007B3367">
        <w:rPr>
          <w:szCs w:val="26"/>
        </w:rPr>
        <w:t xml:space="preserve"> último PEF con efectos en 2021, correspondiente al reequilibrio número cinco, es de </w:t>
      </w:r>
      <w:r w:rsidR="002F265D" w:rsidRPr="0050410E">
        <w:rPr>
          <w:szCs w:val="26"/>
        </w:rPr>
        <w:t>478,89</w:t>
      </w:r>
      <w:r w:rsidR="00C30199" w:rsidRPr="0050410E">
        <w:rPr>
          <w:szCs w:val="26"/>
        </w:rPr>
        <w:t xml:space="preserve"> </w:t>
      </w:r>
      <w:r w:rsidR="002F265D" w:rsidRPr="0050410E">
        <w:rPr>
          <w:szCs w:val="26"/>
        </w:rPr>
        <w:t>millones</w:t>
      </w:r>
      <w:r w:rsidR="00C30199" w:rsidRPr="0050410E">
        <w:rPr>
          <w:szCs w:val="26"/>
        </w:rPr>
        <w:t xml:space="preserve">, IVA incluido, lo que supone una infravaloración de 86,72 millones. Mediante </w:t>
      </w:r>
      <w:r w:rsidR="00A143A4">
        <w:rPr>
          <w:szCs w:val="26"/>
        </w:rPr>
        <w:t>A</w:t>
      </w:r>
      <w:r w:rsidR="00C30199" w:rsidRPr="007B3367">
        <w:rPr>
          <w:szCs w:val="26"/>
        </w:rPr>
        <w:t>cuerdo de</w:t>
      </w:r>
      <w:r w:rsidR="00A143A4">
        <w:rPr>
          <w:szCs w:val="26"/>
        </w:rPr>
        <w:t>l G</w:t>
      </w:r>
      <w:r w:rsidR="00C30199" w:rsidRPr="007B3367">
        <w:rPr>
          <w:szCs w:val="26"/>
        </w:rPr>
        <w:t>obierno de 30 de marzo de 2022 se propone la aprobación del incremento global derivado de la modificación contractual de varios sectores y de la consideración del IVA correspondiente.</w:t>
      </w:r>
    </w:p>
    <w:p w14:paraId="15D957D3" w14:textId="77777777" w:rsidR="001B3E2F" w:rsidRPr="00A37366" w:rsidRDefault="00D557C1" w:rsidP="00CD3E31">
      <w:pPr>
        <w:pStyle w:val="texto"/>
        <w:tabs>
          <w:tab w:val="clear" w:pos="2835"/>
          <w:tab w:val="clear" w:pos="3969"/>
          <w:tab w:val="clear" w:pos="5103"/>
          <w:tab w:val="clear" w:pos="6237"/>
          <w:tab w:val="clear" w:pos="7371"/>
        </w:tabs>
        <w:rPr>
          <w:szCs w:val="26"/>
        </w:rPr>
      </w:pPr>
      <w:r w:rsidRPr="00A37366">
        <w:rPr>
          <w:szCs w:val="26"/>
        </w:rPr>
        <w:t>Estas estimaciones provienen de cálculos que no han tenido en cuenta las actualizaciones</w:t>
      </w:r>
      <w:r w:rsidR="007B3367" w:rsidRPr="00A37366">
        <w:rPr>
          <w:szCs w:val="26"/>
        </w:rPr>
        <w:t xml:space="preserve"> posteriores</w:t>
      </w:r>
      <w:r w:rsidRPr="00A37366">
        <w:rPr>
          <w:szCs w:val="26"/>
        </w:rPr>
        <w:t xml:space="preserve"> </w:t>
      </w:r>
      <w:r w:rsidR="007B3367" w:rsidRPr="00A37366">
        <w:rPr>
          <w:szCs w:val="26"/>
        </w:rPr>
        <w:t xml:space="preserve">de </w:t>
      </w:r>
      <w:r w:rsidRPr="00A37366">
        <w:rPr>
          <w:szCs w:val="26"/>
        </w:rPr>
        <w:t>los tipos de IVA</w:t>
      </w:r>
      <w:r w:rsidR="00FA22E5">
        <w:rPr>
          <w:szCs w:val="26"/>
        </w:rPr>
        <w:t>. P</w:t>
      </w:r>
      <w:r w:rsidRPr="00A37366">
        <w:rPr>
          <w:szCs w:val="26"/>
        </w:rPr>
        <w:t>or lo tanto, la realidad actual hace necesaria una estimación diferente.</w:t>
      </w:r>
    </w:p>
    <w:p w14:paraId="4E0AED34" w14:textId="77777777" w:rsidR="00D557C1" w:rsidRPr="0040587D" w:rsidRDefault="002318C6" w:rsidP="00D71071">
      <w:pPr>
        <w:pStyle w:val="texto"/>
        <w:tabs>
          <w:tab w:val="clear" w:pos="2835"/>
          <w:tab w:val="clear" w:pos="3969"/>
          <w:tab w:val="clear" w:pos="5103"/>
          <w:tab w:val="clear" w:pos="6237"/>
          <w:tab w:val="clear" w:pos="7371"/>
        </w:tabs>
        <w:spacing w:after="360"/>
        <w:rPr>
          <w:szCs w:val="26"/>
        </w:rPr>
      </w:pPr>
      <w:r w:rsidRPr="004D3B65">
        <w:rPr>
          <w:szCs w:val="26"/>
        </w:rPr>
        <w:t>La previsión de gastos futuros debe elaborarse</w:t>
      </w:r>
      <w:r w:rsidR="00C30199" w:rsidRPr="004D3B65">
        <w:rPr>
          <w:szCs w:val="26"/>
        </w:rPr>
        <w:t xml:space="preserve"> por el valor actual, </w:t>
      </w:r>
      <w:r w:rsidR="008F584E" w:rsidRPr="004D3B65">
        <w:rPr>
          <w:szCs w:val="26"/>
        </w:rPr>
        <w:t xml:space="preserve">a </w:t>
      </w:r>
      <w:r w:rsidR="00C30199" w:rsidRPr="004D3B65">
        <w:rPr>
          <w:szCs w:val="26"/>
        </w:rPr>
        <w:t>euros c</w:t>
      </w:r>
      <w:r w:rsidRPr="004D3B65">
        <w:rPr>
          <w:szCs w:val="26"/>
        </w:rPr>
        <w:t>onstantes, a fecha de cierre de cada</w:t>
      </w:r>
      <w:r w:rsidR="00C30199" w:rsidRPr="004D3B65">
        <w:rPr>
          <w:szCs w:val="26"/>
        </w:rPr>
        <w:t xml:space="preserve"> ejercicio, </w:t>
      </w:r>
      <w:proofErr w:type="gramStart"/>
      <w:r w:rsidR="00C30199" w:rsidRPr="004D3B65">
        <w:rPr>
          <w:szCs w:val="26"/>
        </w:rPr>
        <w:t>de acuerdo</w:t>
      </w:r>
      <w:r w:rsidR="00D557C1" w:rsidRPr="004D3B65">
        <w:rPr>
          <w:szCs w:val="26"/>
        </w:rPr>
        <w:t xml:space="preserve"> a</w:t>
      </w:r>
      <w:proofErr w:type="gramEnd"/>
      <w:r w:rsidR="00D557C1" w:rsidRPr="004D3B65">
        <w:rPr>
          <w:szCs w:val="26"/>
        </w:rPr>
        <w:t xml:space="preserve"> un cálculo actualizado y a</w:t>
      </w:r>
      <w:r w:rsidR="001B3E2F" w:rsidRPr="004D3B65">
        <w:rPr>
          <w:szCs w:val="26"/>
        </w:rPr>
        <w:t xml:space="preserve">justado a las previsiones que condicionen esa cifra. </w:t>
      </w:r>
      <w:r w:rsidR="00C30199" w:rsidRPr="004D3B65">
        <w:rPr>
          <w:szCs w:val="26"/>
        </w:rPr>
        <w:t xml:space="preserve"> </w:t>
      </w:r>
      <w:r w:rsidR="00D557C1" w:rsidRPr="0040587D">
        <w:t xml:space="preserve">La adecuada contabilización y suministro de información financiera de estas operaciones </w:t>
      </w:r>
      <w:r w:rsidR="004644C3" w:rsidRPr="0040587D">
        <w:t xml:space="preserve">permitirá </w:t>
      </w:r>
      <w:r w:rsidR="00D557C1" w:rsidRPr="0040587D">
        <w:t>establecer previsiones de actuaciones futuras con datos económico-financieros derivados de la información contable.</w:t>
      </w:r>
    </w:p>
    <w:p w14:paraId="143ABC89" w14:textId="77777777" w:rsidR="00C30199" w:rsidRPr="00FD08F0" w:rsidRDefault="00474A7C" w:rsidP="0040652A">
      <w:pPr>
        <w:pStyle w:val="atitulo2"/>
      </w:pPr>
      <w:bookmarkStart w:id="31" w:name="_Toc126321326"/>
      <w:r>
        <w:t>2</w:t>
      </w:r>
      <w:r w:rsidR="00C30199" w:rsidRPr="00FD08F0">
        <w:t>.4</w:t>
      </w:r>
      <w:r w:rsidR="00F1415E">
        <w:t>.</w:t>
      </w:r>
      <w:r w:rsidR="00C30199" w:rsidRPr="00FD08F0">
        <w:t xml:space="preserve"> Estabilidad presupuestaria e impacto en el déficit del peaje en sombra</w:t>
      </w:r>
      <w:bookmarkEnd w:id="31"/>
    </w:p>
    <w:p w14:paraId="2C5F82AD" w14:textId="77777777" w:rsidR="0040587D" w:rsidRDefault="00C30199" w:rsidP="00CD3E31">
      <w:pPr>
        <w:pStyle w:val="texto"/>
        <w:tabs>
          <w:tab w:val="clear" w:pos="2835"/>
          <w:tab w:val="clear" w:pos="3969"/>
          <w:tab w:val="clear" w:pos="5103"/>
          <w:tab w:val="clear" w:pos="6237"/>
          <w:tab w:val="clear" w:pos="7371"/>
        </w:tabs>
        <w:rPr>
          <w:szCs w:val="26"/>
        </w:rPr>
      </w:pPr>
      <w:r w:rsidRPr="005C57BD">
        <w:rPr>
          <w:szCs w:val="26"/>
        </w:rPr>
        <w:t xml:space="preserve">El tratamiento de estas operaciones en el ámbito de la contabilidad nacional ha sido </w:t>
      </w:r>
      <w:r w:rsidR="003D1164" w:rsidRPr="005C57BD">
        <w:rPr>
          <w:szCs w:val="26"/>
        </w:rPr>
        <w:t>uno de los objetivos</w:t>
      </w:r>
      <w:r w:rsidRPr="005C57BD">
        <w:rPr>
          <w:szCs w:val="26"/>
        </w:rPr>
        <w:t xml:space="preserve"> que ha </w:t>
      </w:r>
      <w:r w:rsidR="0040587D" w:rsidRPr="005C57BD">
        <w:rPr>
          <w:szCs w:val="26"/>
        </w:rPr>
        <w:t>motivado</w:t>
      </w:r>
      <w:r w:rsidRPr="005C57BD">
        <w:rPr>
          <w:szCs w:val="26"/>
        </w:rPr>
        <w:t xml:space="preserve"> el uso de esta fórmula,</w:t>
      </w:r>
      <w:r w:rsidR="008F584E" w:rsidRPr="005C57BD">
        <w:rPr>
          <w:szCs w:val="26"/>
        </w:rPr>
        <w:t xml:space="preserve"> </w:t>
      </w:r>
      <w:r w:rsidR="008F584E" w:rsidRPr="00CD3E31">
        <w:rPr>
          <w:szCs w:val="26"/>
        </w:rPr>
        <w:t>y</w:t>
      </w:r>
      <w:r w:rsidRPr="00CD3E31">
        <w:rPr>
          <w:szCs w:val="26"/>
        </w:rPr>
        <w:t xml:space="preserve"> así se reconoce </w:t>
      </w:r>
      <w:r w:rsidRPr="00027613">
        <w:rPr>
          <w:szCs w:val="26"/>
        </w:rPr>
        <w:t xml:space="preserve">de forma explícita en </w:t>
      </w:r>
      <w:r w:rsidR="0040587D">
        <w:rPr>
          <w:szCs w:val="26"/>
        </w:rPr>
        <w:t>los estudios de viabilidad</w:t>
      </w:r>
      <w:r w:rsidR="004644C3" w:rsidRPr="0040587D">
        <w:rPr>
          <w:szCs w:val="26"/>
        </w:rPr>
        <w:t>.</w:t>
      </w:r>
    </w:p>
    <w:p w14:paraId="6724F572" w14:textId="77777777" w:rsidR="007E7C65" w:rsidRPr="00FA22E5" w:rsidRDefault="00C30199" w:rsidP="00CD3E31">
      <w:pPr>
        <w:pStyle w:val="texto"/>
        <w:tabs>
          <w:tab w:val="clear" w:pos="2835"/>
          <w:tab w:val="clear" w:pos="3969"/>
          <w:tab w:val="clear" w:pos="5103"/>
          <w:tab w:val="clear" w:pos="6237"/>
          <w:tab w:val="clear" w:pos="7371"/>
        </w:tabs>
        <w:rPr>
          <w:szCs w:val="26"/>
        </w:rPr>
      </w:pPr>
      <w:r>
        <w:rPr>
          <w:szCs w:val="26"/>
        </w:rPr>
        <w:t xml:space="preserve">Las concesiones analizadas no han tenido </w:t>
      </w:r>
      <w:r w:rsidRPr="00FA22E5">
        <w:rPr>
          <w:szCs w:val="26"/>
        </w:rPr>
        <w:t>el mismo tratamiento en contabilidad n</w:t>
      </w:r>
      <w:r w:rsidR="00035298" w:rsidRPr="00FA22E5">
        <w:rPr>
          <w:szCs w:val="26"/>
        </w:rPr>
        <w:t>acional. Las concesiones de la Autovía del Pirineo y de Primera Fase de las Zonas R</w:t>
      </w:r>
      <w:r w:rsidRPr="00FA22E5">
        <w:rPr>
          <w:szCs w:val="26"/>
        </w:rPr>
        <w:t>egables del Canal</w:t>
      </w:r>
      <w:r w:rsidR="00035298" w:rsidRPr="00FA22E5">
        <w:rPr>
          <w:szCs w:val="26"/>
        </w:rPr>
        <w:t xml:space="preserve"> de Navarra</w:t>
      </w:r>
      <w:r w:rsidRPr="00FA22E5">
        <w:rPr>
          <w:szCs w:val="26"/>
        </w:rPr>
        <w:t xml:space="preserve"> han sido </w:t>
      </w:r>
      <w:r w:rsidR="007E7C65" w:rsidRPr="00FA22E5">
        <w:rPr>
          <w:szCs w:val="26"/>
        </w:rPr>
        <w:t>clasificadas</w:t>
      </w:r>
      <w:r w:rsidRPr="00FA22E5">
        <w:rPr>
          <w:szCs w:val="26"/>
        </w:rPr>
        <w:t xml:space="preserve"> </w:t>
      </w:r>
      <w:r w:rsidR="00C1637B" w:rsidRPr="00FA22E5">
        <w:rPr>
          <w:szCs w:val="26"/>
        </w:rPr>
        <w:t xml:space="preserve">por el Comité Técnico de Cuentas Nacionales </w:t>
      </w:r>
      <w:r w:rsidRPr="00FA22E5">
        <w:rPr>
          <w:szCs w:val="26"/>
        </w:rPr>
        <w:t xml:space="preserve">como activo público, registrando </w:t>
      </w:r>
      <w:r w:rsidR="005C57BD" w:rsidRPr="00FA22E5">
        <w:rPr>
          <w:szCs w:val="26"/>
        </w:rPr>
        <w:t xml:space="preserve">en contabilidad nacional </w:t>
      </w:r>
      <w:r w:rsidRPr="00FA22E5">
        <w:rPr>
          <w:szCs w:val="26"/>
        </w:rPr>
        <w:t xml:space="preserve">la </w:t>
      </w:r>
      <w:r w:rsidR="00067F9B" w:rsidRPr="00FA22E5">
        <w:rPr>
          <w:szCs w:val="26"/>
        </w:rPr>
        <w:t>inversión con abono a un pasivo</w:t>
      </w:r>
      <w:r w:rsidRPr="00FA22E5">
        <w:rPr>
          <w:szCs w:val="26"/>
        </w:rPr>
        <w:t xml:space="preserve"> que se amortiza siguiendo un modelo financiero. </w:t>
      </w:r>
    </w:p>
    <w:p w14:paraId="0FE90503" w14:textId="77777777" w:rsidR="00C30199" w:rsidRPr="00AD416D" w:rsidRDefault="007E7C65" w:rsidP="00CD3E31">
      <w:pPr>
        <w:pStyle w:val="texto"/>
        <w:tabs>
          <w:tab w:val="clear" w:pos="2835"/>
          <w:tab w:val="clear" w:pos="3969"/>
          <w:tab w:val="clear" w:pos="5103"/>
          <w:tab w:val="clear" w:pos="6237"/>
          <w:tab w:val="clear" w:pos="7371"/>
        </w:tabs>
        <w:rPr>
          <w:szCs w:val="26"/>
        </w:rPr>
      </w:pPr>
      <w:r w:rsidRPr="00FA22E5">
        <w:rPr>
          <w:szCs w:val="26"/>
        </w:rPr>
        <w:t xml:space="preserve">No existe análisis sobre la interpretación del criterio de transferencia de riesgos seguido por </w:t>
      </w:r>
      <w:r w:rsidR="0050410E" w:rsidRPr="00FA22E5">
        <w:rPr>
          <w:szCs w:val="26"/>
        </w:rPr>
        <w:t>la autoridad estatal</w:t>
      </w:r>
      <w:r w:rsidRPr="00FA22E5">
        <w:rPr>
          <w:szCs w:val="26"/>
        </w:rPr>
        <w:t xml:space="preserve"> competente, </w:t>
      </w:r>
      <w:r w:rsidR="002E1EF4" w:rsidRPr="00FA22E5">
        <w:rPr>
          <w:szCs w:val="26"/>
        </w:rPr>
        <w:t xml:space="preserve">ni </w:t>
      </w:r>
      <w:r w:rsidRPr="00FA22E5">
        <w:rPr>
          <w:szCs w:val="26"/>
        </w:rPr>
        <w:t xml:space="preserve">tampoco consta documento de </w:t>
      </w:r>
      <w:r w:rsidRPr="00AD416D">
        <w:rPr>
          <w:szCs w:val="26"/>
        </w:rPr>
        <w:t xml:space="preserve">dicho órgano que justifique el diferente tratamiento en las cuentas nacionales.  </w:t>
      </w:r>
    </w:p>
    <w:p w14:paraId="7971FB75" w14:textId="77777777" w:rsidR="00FA22E5" w:rsidRDefault="00FA22E5" w:rsidP="00CD3E31">
      <w:pPr>
        <w:pStyle w:val="texto"/>
        <w:tabs>
          <w:tab w:val="clear" w:pos="2835"/>
          <w:tab w:val="clear" w:pos="3969"/>
          <w:tab w:val="clear" w:pos="5103"/>
          <w:tab w:val="clear" w:pos="6237"/>
          <w:tab w:val="clear" w:pos="7371"/>
          <w:tab w:val="left" w:pos="480"/>
          <w:tab w:val="num" w:pos="600"/>
          <w:tab w:val="num" w:pos="720"/>
          <w:tab w:val="num" w:pos="1320"/>
          <w:tab w:val="num" w:pos="2062"/>
        </w:tabs>
        <w:rPr>
          <w:szCs w:val="26"/>
        </w:rPr>
      </w:pPr>
    </w:p>
    <w:p w14:paraId="24C8C0A0" w14:textId="77777777" w:rsidR="00FA22E5" w:rsidRDefault="00FA22E5" w:rsidP="00CD3E31">
      <w:pPr>
        <w:pStyle w:val="texto"/>
        <w:tabs>
          <w:tab w:val="clear" w:pos="2835"/>
          <w:tab w:val="clear" w:pos="3969"/>
          <w:tab w:val="clear" w:pos="5103"/>
          <w:tab w:val="clear" w:pos="6237"/>
          <w:tab w:val="clear" w:pos="7371"/>
          <w:tab w:val="left" w:pos="480"/>
          <w:tab w:val="num" w:pos="600"/>
          <w:tab w:val="num" w:pos="720"/>
          <w:tab w:val="num" w:pos="1320"/>
          <w:tab w:val="num" w:pos="2062"/>
        </w:tabs>
        <w:rPr>
          <w:szCs w:val="26"/>
        </w:rPr>
      </w:pPr>
    </w:p>
    <w:p w14:paraId="44927D30" w14:textId="77777777" w:rsidR="00FA22E5" w:rsidRDefault="00FA22E5" w:rsidP="00CD3E31">
      <w:pPr>
        <w:pStyle w:val="texto"/>
        <w:tabs>
          <w:tab w:val="clear" w:pos="2835"/>
          <w:tab w:val="clear" w:pos="3969"/>
          <w:tab w:val="clear" w:pos="5103"/>
          <w:tab w:val="clear" w:pos="6237"/>
          <w:tab w:val="clear" w:pos="7371"/>
          <w:tab w:val="left" w:pos="480"/>
          <w:tab w:val="num" w:pos="600"/>
          <w:tab w:val="num" w:pos="720"/>
          <w:tab w:val="num" w:pos="1320"/>
          <w:tab w:val="num" w:pos="2062"/>
        </w:tabs>
        <w:rPr>
          <w:szCs w:val="26"/>
        </w:rPr>
      </w:pPr>
    </w:p>
    <w:p w14:paraId="42D963B8" w14:textId="77777777" w:rsidR="00FA22E5" w:rsidRDefault="00FA22E5" w:rsidP="00CD3E31">
      <w:pPr>
        <w:pStyle w:val="texto"/>
        <w:tabs>
          <w:tab w:val="clear" w:pos="2835"/>
          <w:tab w:val="clear" w:pos="3969"/>
          <w:tab w:val="clear" w:pos="5103"/>
          <w:tab w:val="clear" w:pos="6237"/>
          <w:tab w:val="clear" w:pos="7371"/>
          <w:tab w:val="left" w:pos="480"/>
          <w:tab w:val="num" w:pos="600"/>
          <w:tab w:val="num" w:pos="720"/>
          <w:tab w:val="num" w:pos="1320"/>
          <w:tab w:val="num" w:pos="2062"/>
        </w:tabs>
        <w:rPr>
          <w:szCs w:val="26"/>
        </w:rPr>
      </w:pPr>
    </w:p>
    <w:p w14:paraId="28D3560C" w14:textId="77777777" w:rsidR="00FA22E5" w:rsidRDefault="00FA22E5" w:rsidP="00CD3E31">
      <w:pPr>
        <w:pStyle w:val="texto"/>
        <w:tabs>
          <w:tab w:val="clear" w:pos="2835"/>
          <w:tab w:val="clear" w:pos="3969"/>
          <w:tab w:val="clear" w:pos="5103"/>
          <w:tab w:val="clear" w:pos="6237"/>
          <w:tab w:val="clear" w:pos="7371"/>
          <w:tab w:val="left" w:pos="480"/>
          <w:tab w:val="num" w:pos="600"/>
          <w:tab w:val="num" w:pos="720"/>
          <w:tab w:val="num" w:pos="1320"/>
          <w:tab w:val="num" w:pos="2062"/>
        </w:tabs>
        <w:rPr>
          <w:szCs w:val="26"/>
        </w:rPr>
      </w:pPr>
    </w:p>
    <w:p w14:paraId="4E98D9C8" w14:textId="77777777" w:rsidR="006B4FA1" w:rsidRDefault="00C30199" w:rsidP="00FA22E5">
      <w:pPr>
        <w:pStyle w:val="texto"/>
        <w:tabs>
          <w:tab w:val="clear" w:pos="2835"/>
          <w:tab w:val="clear" w:pos="3969"/>
          <w:tab w:val="clear" w:pos="5103"/>
          <w:tab w:val="clear" w:pos="6237"/>
          <w:tab w:val="clear" w:pos="7371"/>
          <w:tab w:val="left" w:pos="480"/>
          <w:tab w:val="num" w:pos="600"/>
          <w:tab w:val="num" w:pos="720"/>
          <w:tab w:val="num" w:pos="1320"/>
          <w:tab w:val="num" w:pos="2062"/>
        </w:tabs>
        <w:spacing w:after="240"/>
        <w:rPr>
          <w:szCs w:val="26"/>
        </w:rPr>
      </w:pPr>
      <w:r>
        <w:rPr>
          <w:szCs w:val="26"/>
        </w:rPr>
        <w:t xml:space="preserve">El impacto en la capacidad/ necesidad de financiación, en millones, desde el inicio de la concesión ha sido el siguiente: </w:t>
      </w:r>
    </w:p>
    <w:tbl>
      <w:tblPr>
        <w:tblW w:w="9078"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1843"/>
        <w:gridCol w:w="1711"/>
        <w:gridCol w:w="1124"/>
        <w:gridCol w:w="1559"/>
        <w:gridCol w:w="1701"/>
        <w:gridCol w:w="1134"/>
        <w:gridCol w:w="6"/>
      </w:tblGrid>
      <w:tr w:rsidR="00C30199" w:rsidRPr="00D34BD4" w14:paraId="4D2AE11D" w14:textId="77777777" w:rsidTr="00FA22E5">
        <w:trPr>
          <w:trHeight w:val="255"/>
        </w:trPr>
        <w:tc>
          <w:tcPr>
            <w:tcW w:w="9078" w:type="dxa"/>
            <w:gridSpan w:val="7"/>
            <w:shd w:val="clear" w:color="auto" w:fill="B8CCE4" w:themeFill="accent1" w:themeFillTint="66"/>
            <w:noWrap/>
            <w:vAlign w:val="center"/>
            <w:hideMark/>
          </w:tcPr>
          <w:p w14:paraId="58E7BC2D" w14:textId="77777777" w:rsidR="00C30199" w:rsidRPr="00D34BD4" w:rsidRDefault="00D71071" w:rsidP="00D34BD4">
            <w:pPr>
              <w:pStyle w:val="cuadroCabe"/>
              <w:spacing w:line="240" w:lineRule="auto"/>
              <w:jc w:val="center"/>
              <w:rPr>
                <w:szCs w:val="18"/>
                <w:lang w:val="es-ES" w:eastAsia="es-ES"/>
              </w:rPr>
            </w:pPr>
            <w:r w:rsidRPr="00D34BD4">
              <w:rPr>
                <w:szCs w:val="18"/>
                <w:lang w:val="es-ES" w:eastAsia="es-ES"/>
              </w:rPr>
              <w:t>Ajuste</w:t>
            </w:r>
            <w:r w:rsidR="00C30199" w:rsidRPr="00D34BD4">
              <w:rPr>
                <w:szCs w:val="18"/>
                <w:lang w:val="es-ES" w:eastAsia="es-ES"/>
              </w:rPr>
              <w:t xml:space="preserve"> CAP/NEC F</w:t>
            </w:r>
            <w:r w:rsidRPr="00D34BD4">
              <w:rPr>
                <w:szCs w:val="18"/>
                <w:lang w:val="es-ES" w:eastAsia="es-ES"/>
              </w:rPr>
              <w:t>inanciación</w:t>
            </w:r>
            <w:r w:rsidR="00C30199" w:rsidRPr="00D34BD4">
              <w:rPr>
                <w:szCs w:val="18"/>
                <w:lang w:val="es-ES" w:eastAsia="es-ES"/>
              </w:rPr>
              <w:t xml:space="preserve"> en millones </w:t>
            </w:r>
          </w:p>
        </w:tc>
      </w:tr>
      <w:tr w:rsidR="00C30199" w:rsidRPr="00D34BD4" w14:paraId="465E9AB5" w14:textId="77777777" w:rsidTr="00FA22E5">
        <w:trPr>
          <w:gridAfter w:val="1"/>
          <w:wAfter w:w="6" w:type="dxa"/>
          <w:trHeight w:val="255"/>
        </w:trPr>
        <w:tc>
          <w:tcPr>
            <w:tcW w:w="1843" w:type="dxa"/>
            <w:shd w:val="clear" w:color="auto" w:fill="B8CCE4" w:themeFill="accent1" w:themeFillTint="66"/>
            <w:vAlign w:val="center"/>
            <w:hideMark/>
          </w:tcPr>
          <w:p w14:paraId="010AFC6A" w14:textId="77777777" w:rsidR="00C30199" w:rsidRPr="00D34BD4" w:rsidRDefault="00C30199" w:rsidP="00D71071">
            <w:pPr>
              <w:pStyle w:val="cuadroCabe"/>
              <w:spacing w:line="240" w:lineRule="auto"/>
              <w:rPr>
                <w:szCs w:val="18"/>
                <w:lang w:val="es-ES" w:eastAsia="es-ES"/>
              </w:rPr>
            </w:pPr>
            <w:r w:rsidRPr="00D34BD4">
              <w:rPr>
                <w:szCs w:val="18"/>
                <w:lang w:val="es-ES" w:eastAsia="es-ES"/>
              </w:rPr>
              <w:t>Año</w:t>
            </w:r>
          </w:p>
        </w:tc>
        <w:tc>
          <w:tcPr>
            <w:tcW w:w="1711" w:type="dxa"/>
            <w:shd w:val="clear" w:color="auto" w:fill="B8CCE4" w:themeFill="accent1" w:themeFillTint="66"/>
            <w:vAlign w:val="center"/>
            <w:hideMark/>
          </w:tcPr>
          <w:p w14:paraId="1D82310C" w14:textId="77777777" w:rsidR="00D34BD4" w:rsidRDefault="00C30199" w:rsidP="00D34BD4">
            <w:pPr>
              <w:pStyle w:val="cuadroCabe"/>
              <w:spacing w:line="240" w:lineRule="auto"/>
              <w:jc w:val="right"/>
              <w:rPr>
                <w:szCs w:val="18"/>
                <w:lang w:val="es-ES" w:eastAsia="es-ES"/>
              </w:rPr>
            </w:pPr>
            <w:r w:rsidRPr="00D34BD4">
              <w:rPr>
                <w:szCs w:val="18"/>
                <w:lang w:val="es-ES" w:eastAsia="es-ES"/>
              </w:rPr>
              <w:t xml:space="preserve">Autovía del </w:t>
            </w:r>
          </w:p>
          <w:p w14:paraId="26A0583A" w14:textId="77777777" w:rsidR="00C30199" w:rsidRPr="00D34BD4" w:rsidRDefault="00C30199" w:rsidP="00D34BD4">
            <w:pPr>
              <w:pStyle w:val="cuadroCabe"/>
              <w:spacing w:line="240" w:lineRule="auto"/>
              <w:jc w:val="right"/>
              <w:rPr>
                <w:szCs w:val="18"/>
                <w:lang w:val="es-ES" w:eastAsia="es-ES"/>
              </w:rPr>
            </w:pPr>
            <w:r w:rsidRPr="00D34BD4">
              <w:rPr>
                <w:szCs w:val="18"/>
                <w:lang w:val="es-ES" w:eastAsia="es-ES"/>
              </w:rPr>
              <w:t>Camino</w:t>
            </w:r>
          </w:p>
        </w:tc>
        <w:tc>
          <w:tcPr>
            <w:tcW w:w="1124" w:type="dxa"/>
            <w:shd w:val="clear" w:color="auto" w:fill="B8CCE4" w:themeFill="accent1" w:themeFillTint="66"/>
            <w:vAlign w:val="center"/>
            <w:hideMark/>
          </w:tcPr>
          <w:p w14:paraId="70657741" w14:textId="77777777" w:rsidR="00FD08F0" w:rsidRPr="00D34BD4" w:rsidRDefault="00C30199" w:rsidP="00D34BD4">
            <w:pPr>
              <w:pStyle w:val="cuadroCabe"/>
              <w:spacing w:line="240" w:lineRule="auto"/>
              <w:jc w:val="right"/>
              <w:rPr>
                <w:szCs w:val="18"/>
                <w:lang w:val="es-ES" w:eastAsia="es-ES"/>
              </w:rPr>
            </w:pPr>
            <w:r w:rsidRPr="00D34BD4">
              <w:rPr>
                <w:szCs w:val="18"/>
                <w:lang w:val="es-ES" w:eastAsia="es-ES"/>
              </w:rPr>
              <w:t>Autovía del</w:t>
            </w:r>
          </w:p>
          <w:p w14:paraId="7F9CFA6C" w14:textId="77777777" w:rsidR="00C30199" w:rsidRPr="00D34BD4" w:rsidRDefault="00C30199" w:rsidP="00D34BD4">
            <w:pPr>
              <w:pStyle w:val="cuadroCabe"/>
              <w:spacing w:line="240" w:lineRule="auto"/>
              <w:jc w:val="right"/>
              <w:rPr>
                <w:szCs w:val="18"/>
                <w:lang w:val="es-ES" w:eastAsia="es-ES"/>
              </w:rPr>
            </w:pPr>
            <w:r w:rsidRPr="00D34BD4">
              <w:rPr>
                <w:szCs w:val="18"/>
                <w:lang w:val="es-ES" w:eastAsia="es-ES"/>
              </w:rPr>
              <w:t xml:space="preserve"> Pirineo</w:t>
            </w:r>
          </w:p>
        </w:tc>
        <w:tc>
          <w:tcPr>
            <w:tcW w:w="1559" w:type="dxa"/>
            <w:shd w:val="clear" w:color="auto" w:fill="B8CCE4" w:themeFill="accent1" w:themeFillTint="66"/>
            <w:vAlign w:val="center"/>
            <w:hideMark/>
          </w:tcPr>
          <w:p w14:paraId="444008EE" w14:textId="77777777" w:rsidR="000F37D5" w:rsidRPr="00D34BD4" w:rsidRDefault="00C30199" w:rsidP="00D34BD4">
            <w:pPr>
              <w:pStyle w:val="cuadroCabe"/>
              <w:spacing w:line="240" w:lineRule="auto"/>
              <w:jc w:val="right"/>
              <w:rPr>
                <w:szCs w:val="18"/>
                <w:lang w:val="es-ES" w:eastAsia="es-ES"/>
              </w:rPr>
            </w:pPr>
            <w:r w:rsidRPr="00D34BD4">
              <w:rPr>
                <w:szCs w:val="18"/>
                <w:lang w:val="es-ES" w:eastAsia="es-ES"/>
              </w:rPr>
              <w:t>Canal Navarra</w:t>
            </w:r>
          </w:p>
          <w:p w14:paraId="67A36A80" w14:textId="77777777" w:rsidR="00C30199" w:rsidRPr="00D34BD4" w:rsidRDefault="00C30199" w:rsidP="00D34BD4">
            <w:pPr>
              <w:pStyle w:val="cuadroCabe"/>
              <w:spacing w:line="240" w:lineRule="auto"/>
              <w:jc w:val="right"/>
              <w:rPr>
                <w:szCs w:val="18"/>
                <w:lang w:val="es-ES" w:eastAsia="es-ES"/>
              </w:rPr>
            </w:pPr>
            <w:r w:rsidRPr="00D34BD4">
              <w:rPr>
                <w:szCs w:val="18"/>
                <w:lang w:val="es-ES" w:eastAsia="es-ES"/>
              </w:rPr>
              <w:t xml:space="preserve"> 1ª fase</w:t>
            </w:r>
          </w:p>
        </w:tc>
        <w:tc>
          <w:tcPr>
            <w:tcW w:w="1701" w:type="dxa"/>
            <w:shd w:val="clear" w:color="auto" w:fill="B8CCE4" w:themeFill="accent1" w:themeFillTint="66"/>
            <w:vAlign w:val="center"/>
            <w:hideMark/>
          </w:tcPr>
          <w:p w14:paraId="03399AC1" w14:textId="77777777" w:rsidR="000F37D5" w:rsidRPr="00D34BD4" w:rsidRDefault="00C30199" w:rsidP="00D34BD4">
            <w:pPr>
              <w:pStyle w:val="cuadroCabe"/>
              <w:spacing w:line="240" w:lineRule="auto"/>
              <w:jc w:val="right"/>
              <w:rPr>
                <w:szCs w:val="18"/>
                <w:lang w:val="es-ES" w:eastAsia="es-ES"/>
              </w:rPr>
            </w:pPr>
            <w:r w:rsidRPr="00D34BD4">
              <w:rPr>
                <w:szCs w:val="18"/>
                <w:lang w:val="es-ES" w:eastAsia="es-ES"/>
              </w:rPr>
              <w:t>Canal Navarra</w:t>
            </w:r>
          </w:p>
          <w:p w14:paraId="53F280F4" w14:textId="77777777" w:rsidR="00C30199" w:rsidRPr="00D34BD4" w:rsidRDefault="00C30199" w:rsidP="00D34BD4">
            <w:pPr>
              <w:pStyle w:val="cuadroCabe"/>
              <w:spacing w:line="240" w:lineRule="auto"/>
              <w:jc w:val="right"/>
              <w:rPr>
                <w:szCs w:val="18"/>
                <w:lang w:val="es-ES" w:eastAsia="es-ES"/>
              </w:rPr>
            </w:pPr>
            <w:proofErr w:type="spellStart"/>
            <w:r w:rsidRPr="00D34BD4">
              <w:rPr>
                <w:szCs w:val="18"/>
                <w:lang w:val="es-ES" w:eastAsia="es-ES"/>
              </w:rPr>
              <w:t>Ampliac</w:t>
            </w:r>
            <w:proofErr w:type="spellEnd"/>
            <w:r w:rsidR="00D34BD4">
              <w:rPr>
                <w:szCs w:val="18"/>
                <w:lang w:val="es-ES" w:eastAsia="es-ES"/>
              </w:rPr>
              <w:t>.</w:t>
            </w:r>
            <w:r w:rsidRPr="00D34BD4">
              <w:rPr>
                <w:szCs w:val="18"/>
                <w:lang w:val="es-ES" w:eastAsia="es-ES"/>
              </w:rPr>
              <w:t xml:space="preserve"> 1ª fase</w:t>
            </w:r>
          </w:p>
        </w:tc>
        <w:tc>
          <w:tcPr>
            <w:tcW w:w="1134" w:type="dxa"/>
            <w:shd w:val="clear" w:color="auto" w:fill="B8CCE4" w:themeFill="accent1" w:themeFillTint="66"/>
            <w:vAlign w:val="center"/>
            <w:hideMark/>
          </w:tcPr>
          <w:p w14:paraId="1949FC3E" w14:textId="77777777" w:rsidR="00C30199" w:rsidRPr="00D34BD4" w:rsidRDefault="00C30199" w:rsidP="00D34BD4">
            <w:pPr>
              <w:pStyle w:val="cuadroCabe"/>
              <w:spacing w:line="240" w:lineRule="auto"/>
              <w:jc w:val="right"/>
              <w:rPr>
                <w:szCs w:val="18"/>
                <w:lang w:val="es-ES" w:eastAsia="es-ES"/>
              </w:rPr>
            </w:pPr>
            <w:r w:rsidRPr="00D34BD4">
              <w:rPr>
                <w:szCs w:val="18"/>
                <w:lang w:val="es-ES" w:eastAsia="es-ES"/>
              </w:rPr>
              <w:t>T</w:t>
            </w:r>
            <w:r w:rsidR="00D71071" w:rsidRPr="00D34BD4">
              <w:rPr>
                <w:szCs w:val="18"/>
                <w:lang w:val="es-ES" w:eastAsia="es-ES"/>
              </w:rPr>
              <w:t>otal</w:t>
            </w:r>
          </w:p>
        </w:tc>
      </w:tr>
      <w:tr w:rsidR="00C30199" w:rsidRPr="00EA376D" w14:paraId="2EEF2142" w14:textId="77777777" w:rsidTr="00FA22E5">
        <w:trPr>
          <w:gridAfter w:val="1"/>
          <w:wAfter w:w="6" w:type="dxa"/>
          <w:trHeight w:val="255"/>
        </w:trPr>
        <w:tc>
          <w:tcPr>
            <w:tcW w:w="1843" w:type="dxa"/>
            <w:tcBorders>
              <w:bottom w:val="single" w:sz="2" w:space="0" w:color="auto"/>
            </w:tcBorders>
            <w:shd w:val="clear" w:color="auto" w:fill="auto"/>
            <w:noWrap/>
            <w:vAlign w:val="center"/>
            <w:hideMark/>
          </w:tcPr>
          <w:p w14:paraId="3661F6D5"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2007</w:t>
            </w:r>
          </w:p>
        </w:tc>
        <w:tc>
          <w:tcPr>
            <w:tcW w:w="1711" w:type="dxa"/>
            <w:tcBorders>
              <w:bottom w:val="single" w:sz="2" w:space="0" w:color="auto"/>
            </w:tcBorders>
            <w:shd w:val="clear" w:color="auto" w:fill="auto"/>
            <w:noWrap/>
            <w:vAlign w:val="center"/>
            <w:hideMark/>
          </w:tcPr>
          <w:p w14:paraId="6747247D"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bottom w:val="single" w:sz="2" w:space="0" w:color="auto"/>
            </w:tcBorders>
            <w:shd w:val="clear" w:color="auto" w:fill="auto"/>
            <w:noWrap/>
            <w:vAlign w:val="center"/>
            <w:hideMark/>
          </w:tcPr>
          <w:p w14:paraId="2F4FCAD2"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   </w:t>
            </w:r>
          </w:p>
        </w:tc>
        <w:tc>
          <w:tcPr>
            <w:tcW w:w="1559" w:type="dxa"/>
            <w:tcBorders>
              <w:bottom w:val="single" w:sz="2" w:space="0" w:color="auto"/>
            </w:tcBorders>
            <w:shd w:val="clear" w:color="auto" w:fill="auto"/>
            <w:noWrap/>
            <w:vAlign w:val="center"/>
            <w:hideMark/>
          </w:tcPr>
          <w:p w14:paraId="232493FC"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(17,7)</w:t>
            </w:r>
          </w:p>
        </w:tc>
        <w:tc>
          <w:tcPr>
            <w:tcW w:w="1701" w:type="dxa"/>
            <w:tcBorders>
              <w:bottom w:val="single" w:sz="2" w:space="0" w:color="auto"/>
            </w:tcBorders>
            <w:shd w:val="clear" w:color="auto" w:fill="auto"/>
            <w:noWrap/>
            <w:vAlign w:val="center"/>
            <w:hideMark/>
          </w:tcPr>
          <w:p w14:paraId="4D4DFF24"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bottom w:val="single" w:sz="2" w:space="0" w:color="auto"/>
            </w:tcBorders>
            <w:shd w:val="clear" w:color="auto" w:fill="auto"/>
            <w:noWrap/>
            <w:vAlign w:val="center"/>
            <w:hideMark/>
          </w:tcPr>
          <w:p w14:paraId="4441E4B1"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(17,7)</w:t>
            </w:r>
          </w:p>
        </w:tc>
      </w:tr>
      <w:tr w:rsidR="00C30199" w:rsidRPr="00EA376D" w14:paraId="773857BC"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26DBBB58"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2008</w:t>
            </w:r>
          </w:p>
        </w:tc>
        <w:tc>
          <w:tcPr>
            <w:tcW w:w="1711" w:type="dxa"/>
            <w:tcBorders>
              <w:top w:val="single" w:sz="2" w:space="0" w:color="auto"/>
              <w:bottom w:val="single" w:sz="2" w:space="0" w:color="auto"/>
            </w:tcBorders>
            <w:shd w:val="clear" w:color="auto" w:fill="auto"/>
            <w:noWrap/>
            <w:vAlign w:val="center"/>
            <w:hideMark/>
          </w:tcPr>
          <w:p w14:paraId="56AED4B1"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0C226D36"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   </w:t>
            </w:r>
          </w:p>
        </w:tc>
        <w:tc>
          <w:tcPr>
            <w:tcW w:w="1559" w:type="dxa"/>
            <w:tcBorders>
              <w:top w:val="single" w:sz="2" w:space="0" w:color="auto"/>
              <w:bottom w:val="single" w:sz="2" w:space="0" w:color="auto"/>
            </w:tcBorders>
            <w:shd w:val="clear" w:color="auto" w:fill="auto"/>
            <w:noWrap/>
            <w:vAlign w:val="center"/>
            <w:hideMark/>
          </w:tcPr>
          <w:p w14:paraId="1FC45B1B"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(52,5)</w:t>
            </w:r>
          </w:p>
        </w:tc>
        <w:tc>
          <w:tcPr>
            <w:tcW w:w="1701" w:type="dxa"/>
            <w:tcBorders>
              <w:top w:val="single" w:sz="2" w:space="0" w:color="auto"/>
              <w:bottom w:val="single" w:sz="2" w:space="0" w:color="auto"/>
            </w:tcBorders>
            <w:shd w:val="clear" w:color="auto" w:fill="auto"/>
            <w:noWrap/>
            <w:vAlign w:val="center"/>
            <w:hideMark/>
          </w:tcPr>
          <w:p w14:paraId="4AE7CDE9"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39D338D7"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(52,5)</w:t>
            </w:r>
          </w:p>
        </w:tc>
      </w:tr>
      <w:tr w:rsidR="00C30199" w:rsidRPr="00EA376D" w14:paraId="4DC7AAD9"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478ABA03"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2009</w:t>
            </w:r>
          </w:p>
        </w:tc>
        <w:tc>
          <w:tcPr>
            <w:tcW w:w="1711" w:type="dxa"/>
            <w:tcBorders>
              <w:top w:val="single" w:sz="2" w:space="0" w:color="auto"/>
              <w:bottom w:val="single" w:sz="2" w:space="0" w:color="auto"/>
            </w:tcBorders>
            <w:shd w:val="clear" w:color="auto" w:fill="auto"/>
            <w:noWrap/>
            <w:vAlign w:val="center"/>
            <w:hideMark/>
          </w:tcPr>
          <w:p w14:paraId="300EE287"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46151BED"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(2,0)</w:t>
            </w:r>
          </w:p>
        </w:tc>
        <w:tc>
          <w:tcPr>
            <w:tcW w:w="1559" w:type="dxa"/>
            <w:tcBorders>
              <w:top w:val="single" w:sz="2" w:space="0" w:color="auto"/>
              <w:bottom w:val="single" w:sz="2" w:space="0" w:color="auto"/>
            </w:tcBorders>
            <w:shd w:val="clear" w:color="auto" w:fill="auto"/>
            <w:noWrap/>
            <w:vAlign w:val="center"/>
            <w:hideMark/>
          </w:tcPr>
          <w:p w14:paraId="32DD267E"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(3,9)</w:t>
            </w:r>
          </w:p>
        </w:tc>
        <w:tc>
          <w:tcPr>
            <w:tcW w:w="1701" w:type="dxa"/>
            <w:tcBorders>
              <w:top w:val="single" w:sz="2" w:space="0" w:color="auto"/>
              <w:bottom w:val="single" w:sz="2" w:space="0" w:color="auto"/>
            </w:tcBorders>
            <w:shd w:val="clear" w:color="auto" w:fill="auto"/>
            <w:noWrap/>
            <w:vAlign w:val="center"/>
            <w:hideMark/>
          </w:tcPr>
          <w:p w14:paraId="691A8FFB"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3B1272B7"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(5,9)</w:t>
            </w:r>
          </w:p>
        </w:tc>
      </w:tr>
      <w:tr w:rsidR="00C30199" w:rsidRPr="00EA376D" w14:paraId="3E45829E"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7FF234E6"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2010</w:t>
            </w:r>
          </w:p>
        </w:tc>
        <w:tc>
          <w:tcPr>
            <w:tcW w:w="1711" w:type="dxa"/>
            <w:tcBorders>
              <w:top w:val="single" w:sz="2" w:space="0" w:color="auto"/>
              <w:bottom w:val="single" w:sz="2" w:space="0" w:color="auto"/>
            </w:tcBorders>
            <w:shd w:val="clear" w:color="auto" w:fill="auto"/>
            <w:noWrap/>
            <w:vAlign w:val="center"/>
            <w:hideMark/>
          </w:tcPr>
          <w:p w14:paraId="09E4553E"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17A6DE67"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(83,0)</w:t>
            </w:r>
          </w:p>
        </w:tc>
        <w:tc>
          <w:tcPr>
            <w:tcW w:w="1559" w:type="dxa"/>
            <w:tcBorders>
              <w:top w:val="single" w:sz="2" w:space="0" w:color="auto"/>
              <w:bottom w:val="single" w:sz="2" w:space="0" w:color="auto"/>
            </w:tcBorders>
            <w:shd w:val="clear" w:color="auto" w:fill="auto"/>
            <w:noWrap/>
            <w:vAlign w:val="center"/>
            <w:hideMark/>
          </w:tcPr>
          <w:p w14:paraId="77AED5B4"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(31,4)</w:t>
            </w:r>
          </w:p>
        </w:tc>
        <w:tc>
          <w:tcPr>
            <w:tcW w:w="1701" w:type="dxa"/>
            <w:tcBorders>
              <w:top w:val="single" w:sz="2" w:space="0" w:color="auto"/>
              <w:bottom w:val="single" w:sz="2" w:space="0" w:color="auto"/>
            </w:tcBorders>
            <w:shd w:val="clear" w:color="auto" w:fill="auto"/>
            <w:noWrap/>
            <w:vAlign w:val="center"/>
            <w:hideMark/>
          </w:tcPr>
          <w:p w14:paraId="094954C1"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5D45150D"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 (114,4)</w:t>
            </w:r>
          </w:p>
        </w:tc>
      </w:tr>
      <w:tr w:rsidR="00C30199" w:rsidRPr="00EA376D" w14:paraId="1EA6699D"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0BB0BAA6"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2011</w:t>
            </w:r>
          </w:p>
        </w:tc>
        <w:tc>
          <w:tcPr>
            <w:tcW w:w="1711" w:type="dxa"/>
            <w:tcBorders>
              <w:top w:val="single" w:sz="2" w:space="0" w:color="auto"/>
              <w:bottom w:val="single" w:sz="2" w:space="0" w:color="auto"/>
            </w:tcBorders>
            <w:shd w:val="clear" w:color="auto" w:fill="auto"/>
            <w:noWrap/>
            <w:vAlign w:val="center"/>
            <w:hideMark/>
          </w:tcPr>
          <w:p w14:paraId="15F51E37"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7794E863"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(117,3)</w:t>
            </w:r>
          </w:p>
        </w:tc>
        <w:tc>
          <w:tcPr>
            <w:tcW w:w="1559" w:type="dxa"/>
            <w:tcBorders>
              <w:top w:val="single" w:sz="2" w:space="0" w:color="auto"/>
              <w:bottom w:val="single" w:sz="2" w:space="0" w:color="auto"/>
            </w:tcBorders>
            <w:shd w:val="clear" w:color="auto" w:fill="auto"/>
            <w:noWrap/>
            <w:vAlign w:val="center"/>
            <w:hideMark/>
          </w:tcPr>
          <w:p w14:paraId="26A417F3"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(22,3)</w:t>
            </w:r>
          </w:p>
        </w:tc>
        <w:tc>
          <w:tcPr>
            <w:tcW w:w="1701" w:type="dxa"/>
            <w:tcBorders>
              <w:top w:val="single" w:sz="2" w:space="0" w:color="auto"/>
              <w:bottom w:val="single" w:sz="2" w:space="0" w:color="auto"/>
            </w:tcBorders>
            <w:shd w:val="clear" w:color="auto" w:fill="auto"/>
            <w:noWrap/>
            <w:vAlign w:val="center"/>
            <w:hideMark/>
          </w:tcPr>
          <w:p w14:paraId="00379408"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6F36A6B5"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 (139,5)</w:t>
            </w:r>
          </w:p>
        </w:tc>
      </w:tr>
      <w:tr w:rsidR="00C30199" w:rsidRPr="00EA376D" w14:paraId="16AA51B5"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712E77A3"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2012</w:t>
            </w:r>
          </w:p>
        </w:tc>
        <w:tc>
          <w:tcPr>
            <w:tcW w:w="1711" w:type="dxa"/>
            <w:tcBorders>
              <w:top w:val="single" w:sz="2" w:space="0" w:color="auto"/>
              <w:bottom w:val="single" w:sz="2" w:space="0" w:color="auto"/>
            </w:tcBorders>
            <w:shd w:val="clear" w:color="auto" w:fill="auto"/>
            <w:noWrap/>
            <w:vAlign w:val="center"/>
            <w:hideMark/>
          </w:tcPr>
          <w:p w14:paraId="1EB08C9F"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760F7285"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1,7 </w:t>
            </w:r>
          </w:p>
        </w:tc>
        <w:tc>
          <w:tcPr>
            <w:tcW w:w="1559" w:type="dxa"/>
            <w:tcBorders>
              <w:top w:val="single" w:sz="2" w:space="0" w:color="auto"/>
              <w:bottom w:val="single" w:sz="2" w:space="0" w:color="auto"/>
            </w:tcBorders>
            <w:shd w:val="clear" w:color="auto" w:fill="auto"/>
            <w:noWrap/>
            <w:vAlign w:val="center"/>
            <w:hideMark/>
          </w:tcPr>
          <w:p w14:paraId="49A95273"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1,4 </w:t>
            </w:r>
          </w:p>
        </w:tc>
        <w:tc>
          <w:tcPr>
            <w:tcW w:w="1701" w:type="dxa"/>
            <w:tcBorders>
              <w:top w:val="single" w:sz="2" w:space="0" w:color="auto"/>
              <w:bottom w:val="single" w:sz="2" w:space="0" w:color="auto"/>
            </w:tcBorders>
            <w:shd w:val="clear" w:color="auto" w:fill="auto"/>
            <w:noWrap/>
            <w:vAlign w:val="center"/>
            <w:hideMark/>
          </w:tcPr>
          <w:p w14:paraId="7FCCE29C"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721E7CE5"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3,1 </w:t>
            </w:r>
          </w:p>
        </w:tc>
      </w:tr>
      <w:tr w:rsidR="00C30199" w:rsidRPr="00EA376D" w14:paraId="6935DA36"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1F0D519E"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2013</w:t>
            </w:r>
          </w:p>
        </w:tc>
        <w:tc>
          <w:tcPr>
            <w:tcW w:w="1711" w:type="dxa"/>
            <w:tcBorders>
              <w:top w:val="single" w:sz="2" w:space="0" w:color="auto"/>
              <w:bottom w:val="single" w:sz="2" w:space="0" w:color="auto"/>
            </w:tcBorders>
            <w:shd w:val="clear" w:color="auto" w:fill="auto"/>
            <w:noWrap/>
            <w:vAlign w:val="center"/>
            <w:hideMark/>
          </w:tcPr>
          <w:p w14:paraId="5D00CB1A"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027C80D6"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1,2 </w:t>
            </w:r>
          </w:p>
        </w:tc>
        <w:tc>
          <w:tcPr>
            <w:tcW w:w="1559" w:type="dxa"/>
            <w:tcBorders>
              <w:top w:val="single" w:sz="2" w:space="0" w:color="auto"/>
              <w:bottom w:val="single" w:sz="2" w:space="0" w:color="auto"/>
            </w:tcBorders>
            <w:shd w:val="clear" w:color="auto" w:fill="auto"/>
            <w:noWrap/>
            <w:vAlign w:val="center"/>
            <w:hideMark/>
          </w:tcPr>
          <w:p w14:paraId="7D6743CA"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1,5 </w:t>
            </w:r>
          </w:p>
        </w:tc>
        <w:tc>
          <w:tcPr>
            <w:tcW w:w="1701" w:type="dxa"/>
            <w:tcBorders>
              <w:top w:val="single" w:sz="2" w:space="0" w:color="auto"/>
              <w:bottom w:val="single" w:sz="2" w:space="0" w:color="auto"/>
            </w:tcBorders>
            <w:shd w:val="clear" w:color="auto" w:fill="auto"/>
            <w:noWrap/>
            <w:vAlign w:val="center"/>
            <w:hideMark/>
          </w:tcPr>
          <w:p w14:paraId="7DA0A979"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179278ED"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2,7 </w:t>
            </w:r>
          </w:p>
        </w:tc>
      </w:tr>
      <w:tr w:rsidR="00C30199" w:rsidRPr="00EA376D" w14:paraId="0D9A7C8C"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520139B6"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2014</w:t>
            </w:r>
          </w:p>
        </w:tc>
        <w:tc>
          <w:tcPr>
            <w:tcW w:w="1711" w:type="dxa"/>
            <w:tcBorders>
              <w:top w:val="single" w:sz="2" w:space="0" w:color="auto"/>
              <w:bottom w:val="single" w:sz="2" w:space="0" w:color="auto"/>
            </w:tcBorders>
            <w:shd w:val="clear" w:color="auto" w:fill="auto"/>
            <w:noWrap/>
            <w:vAlign w:val="center"/>
            <w:hideMark/>
          </w:tcPr>
          <w:p w14:paraId="140FCAC5"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3CE29E44"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1,4 </w:t>
            </w:r>
          </w:p>
        </w:tc>
        <w:tc>
          <w:tcPr>
            <w:tcW w:w="1559" w:type="dxa"/>
            <w:tcBorders>
              <w:top w:val="single" w:sz="2" w:space="0" w:color="auto"/>
              <w:bottom w:val="single" w:sz="2" w:space="0" w:color="auto"/>
            </w:tcBorders>
            <w:shd w:val="clear" w:color="auto" w:fill="auto"/>
            <w:noWrap/>
            <w:vAlign w:val="center"/>
            <w:hideMark/>
          </w:tcPr>
          <w:p w14:paraId="5CDE611B"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1,7 </w:t>
            </w:r>
          </w:p>
        </w:tc>
        <w:tc>
          <w:tcPr>
            <w:tcW w:w="1701" w:type="dxa"/>
            <w:tcBorders>
              <w:top w:val="single" w:sz="2" w:space="0" w:color="auto"/>
              <w:bottom w:val="single" w:sz="2" w:space="0" w:color="auto"/>
            </w:tcBorders>
            <w:shd w:val="clear" w:color="auto" w:fill="auto"/>
            <w:noWrap/>
            <w:vAlign w:val="center"/>
            <w:hideMark/>
          </w:tcPr>
          <w:p w14:paraId="5A4030CF"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6B9D5388"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3,1 </w:t>
            </w:r>
          </w:p>
        </w:tc>
      </w:tr>
      <w:tr w:rsidR="00C30199" w:rsidRPr="00EA376D" w14:paraId="4054F4A1"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7AA8CF50"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2015</w:t>
            </w:r>
          </w:p>
        </w:tc>
        <w:tc>
          <w:tcPr>
            <w:tcW w:w="1711" w:type="dxa"/>
            <w:tcBorders>
              <w:top w:val="single" w:sz="2" w:space="0" w:color="auto"/>
              <w:bottom w:val="single" w:sz="2" w:space="0" w:color="auto"/>
            </w:tcBorders>
            <w:shd w:val="clear" w:color="auto" w:fill="auto"/>
            <w:noWrap/>
            <w:vAlign w:val="center"/>
            <w:hideMark/>
          </w:tcPr>
          <w:p w14:paraId="392622B4"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070E29F0"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1,6 </w:t>
            </w:r>
          </w:p>
        </w:tc>
        <w:tc>
          <w:tcPr>
            <w:tcW w:w="1559" w:type="dxa"/>
            <w:tcBorders>
              <w:top w:val="single" w:sz="2" w:space="0" w:color="auto"/>
              <w:bottom w:val="single" w:sz="2" w:space="0" w:color="auto"/>
            </w:tcBorders>
            <w:shd w:val="clear" w:color="auto" w:fill="auto"/>
            <w:noWrap/>
            <w:vAlign w:val="center"/>
            <w:hideMark/>
          </w:tcPr>
          <w:p w14:paraId="456B87CC"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1,8 </w:t>
            </w:r>
          </w:p>
        </w:tc>
        <w:tc>
          <w:tcPr>
            <w:tcW w:w="1701" w:type="dxa"/>
            <w:tcBorders>
              <w:top w:val="single" w:sz="2" w:space="0" w:color="auto"/>
              <w:bottom w:val="single" w:sz="2" w:space="0" w:color="auto"/>
            </w:tcBorders>
            <w:shd w:val="clear" w:color="auto" w:fill="auto"/>
            <w:noWrap/>
            <w:vAlign w:val="center"/>
            <w:hideMark/>
          </w:tcPr>
          <w:p w14:paraId="49456C02"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074D6CD6"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3,4 </w:t>
            </w:r>
          </w:p>
        </w:tc>
      </w:tr>
      <w:tr w:rsidR="00C30199" w:rsidRPr="00EA376D" w14:paraId="1C4694D0"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1639A8BF"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2016</w:t>
            </w:r>
          </w:p>
        </w:tc>
        <w:tc>
          <w:tcPr>
            <w:tcW w:w="1711" w:type="dxa"/>
            <w:tcBorders>
              <w:top w:val="single" w:sz="2" w:space="0" w:color="auto"/>
              <w:bottom w:val="single" w:sz="2" w:space="0" w:color="auto"/>
            </w:tcBorders>
            <w:shd w:val="clear" w:color="auto" w:fill="auto"/>
            <w:noWrap/>
            <w:vAlign w:val="center"/>
            <w:hideMark/>
          </w:tcPr>
          <w:p w14:paraId="3D0B5C36"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77DD5FA0"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1,8 </w:t>
            </w:r>
          </w:p>
        </w:tc>
        <w:tc>
          <w:tcPr>
            <w:tcW w:w="1559" w:type="dxa"/>
            <w:tcBorders>
              <w:top w:val="single" w:sz="2" w:space="0" w:color="auto"/>
              <w:bottom w:val="single" w:sz="2" w:space="0" w:color="auto"/>
            </w:tcBorders>
            <w:shd w:val="clear" w:color="auto" w:fill="auto"/>
            <w:noWrap/>
            <w:vAlign w:val="center"/>
            <w:hideMark/>
          </w:tcPr>
          <w:p w14:paraId="02AA7F6E"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2,0 </w:t>
            </w:r>
          </w:p>
        </w:tc>
        <w:tc>
          <w:tcPr>
            <w:tcW w:w="1701" w:type="dxa"/>
            <w:tcBorders>
              <w:top w:val="single" w:sz="2" w:space="0" w:color="auto"/>
              <w:bottom w:val="single" w:sz="2" w:space="0" w:color="auto"/>
            </w:tcBorders>
            <w:shd w:val="clear" w:color="auto" w:fill="auto"/>
            <w:noWrap/>
            <w:vAlign w:val="center"/>
            <w:hideMark/>
          </w:tcPr>
          <w:p w14:paraId="61E74DA4"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019A6CA5"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3,8 </w:t>
            </w:r>
          </w:p>
        </w:tc>
      </w:tr>
      <w:tr w:rsidR="00C30199" w:rsidRPr="00EA376D" w14:paraId="16AE08DD"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5AC7C31B"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2017</w:t>
            </w:r>
          </w:p>
        </w:tc>
        <w:tc>
          <w:tcPr>
            <w:tcW w:w="1711" w:type="dxa"/>
            <w:tcBorders>
              <w:top w:val="single" w:sz="2" w:space="0" w:color="auto"/>
              <w:bottom w:val="single" w:sz="2" w:space="0" w:color="auto"/>
            </w:tcBorders>
            <w:shd w:val="clear" w:color="auto" w:fill="auto"/>
            <w:noWrap/>
            <w:vAlign w:val="center"/>
            <w:hideMark/>
          </w:tcPr>
          <w:p w14:paraId="3C94DC75"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35DA370B"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2,0 </w:t>
            </w:r>
          </w:p>
        </w:tc>
        <w:tc>
          <w:tcPr>
            <w:tcW w:w="1559" w:type="dxa"/>
            <w:tcBorders>
              <w:top w:val="single" w:sz="2" w:space="0" w:color="auto"/>
              <w:bottom w:val="single" w:sz="2" w:space="0" w:color="auto"/>
            </w:tcBorders>
            <w:shd w:val="clear" w:color="auto" w:fill="auto"/>
            <w:noWrap/>
            <w:vAlign w:val="center"/>
            <w:hideMark/>
          </w:tcPr>
          <w:p w14:paraId="0F7E5FDD"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2,2 </w:t>
            </w:r>
          </w:p>
        </w:tc>
        <w:tc>
          <w:tcPr>
            <w:tcW w:w="1701" w:type="dxa"/>
            <w:tcBorders>
              <w:top w:val="single" w:sz="2" w:space="0" w:color="auto"/>
              <w:bottom w:val="single" w:sz="2" w:space="0" w:color="auto"/>
            </w:tcBorders>
            <w:shd w:val="clear" w:color="auto" w:fill="auto"/>
            <w:noWrap/>
            <w:vAlign w:val="center"/>
            <w:hideMark/>
          </w:tcPr>
          <w:p w14:paraId="7E3063F8"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21781443"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4,2 </w:t>
            </w:r>
          </w:p>
        </w:tc>
      </w:tr>
      <w:tr w:rsidR="00C30199" w:rsidRPr="00EA376D" w14:paraId="5A075152"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2D96B471"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2018</w:t>
            </w:r>
          </w:p>
        </w:tc>
        <w:tc>
          <w:tcPr>
            <w:tcW w:w="1711" w:type="dxa"/>
            <w:tcBorders>
              <w:top w:val="single" w:sz="2" w:space="0" w:color="auto"/>
              <w:bottom w:val="single" w:sz="2" w:space="0" w:color="auto"/>
            </w:tcBorders>
            <w:shd w:val="clear" w:color="auto" w:fill="auto"/>
            <w:noWrap/>
            <w:vAlign w:val="center"/>
            <w:hideMark/>
          </w:tcPr>
          <w:p w14:paraId="099528B3"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3A46FFBE"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2,2 </w:t>
            </w:r>
          </w:p>
        </w:tc>
        <w:tc>
          <w:tcPr>
            <w:tcW w:w="1559" w:type="dxa"/>
            <w:tcBorders>
              <w:top w:val="single" w:sz="2" w:space="0" w:color="auto"/>
              <w:bottom w:val="single" w:sz="2" w:space="0" w:color="auto"/>
            </w:tcBorders>
            <w:shd w:val="clear" w:color="auto" w:fill="auto"/>
            <w:noWrap/>
            <w:vAlign w:val="center"/>
            <w:hideMark/>
          </w:tcPr>
          <w:p w14:paraId="50CDF603"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2,4 </w:t>
            </w:r>
          </w:p>
        </w:tc>
        <w:tc>
          <w:tcPr>
            <w:tcW w:w="1701" w:type="dxa"/>
            <w:tcBorders>
              <w:top w:val="single" w:sz="2" w:space="0" w:color="auto"/>
              <w:bottom w:val="single" w:sz="2" w:space="0" w:color="auto"/>
            </w:tcBorders>
            <w:shd w:val="clear" w:color="auto" w:fill="auto"/>
            <w:noWrap/>
            <w:vAlign w:val="center"/>
            <w:hideMark/>
          </w:tcPr>
          <w:p w14:paraId="0863B0B4"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737E942C"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4,7 </w:t>
            </w:r>
          </w:p>
        </w:tc>
      </w:tr>
      <w:tr w:rsidR="00C30199" w:rsidRPr="00EA376D" w14:paraId="3C48FBAD"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65C7A202"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2019</w:t>
            </w:r>
          </w:p>
        </w:tc>
        <w:tc>
          <w:tcPr>
            <w:tcW w:w="1711" w:type="dxa"/>
            <w:tcBorders>
              <w:top w:val="single" w:sz="2" w:space="0" w:color="auto"/>
              <w:bottom w:val="single" w:sz="2" w:space="0" w:color="auto"/>
            </w:tcBorders>
            <w:shd w:val="clear" w:color="auto" w:fill="auto"/>
            <w:noWrap/>
            <w:vAlign w:val="center"/>
            <w:hideMark/>
          </w:tcPr>
          <w:p w14:paraId="369F2428"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123AEEEC"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3,2 </w:t>
            </w:r>
          </w:p>
        </w:tc>
        <w:tc>
          <w:tcPr>
            <w:tcW w:w="1559" w:type="dxa"/>
            <w:tcBorders>
              <w:top w:val="single" w:sz="2" w:space="0" w:color="auto"/>
              <w:bottom w:val="single" w:sz="2" w:space="0" w:color="auto"/>
            </w:tcBorders>
            <w:shd w:val="clear" w:color="auto" w:fill="auto"/>
            <w:noWrap/>
            <w:vAlign w:val="center"/>
            <w:hideMark/>
          </w:tcPr>
          <w:p w14:paraId="79EC85C9"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2,7 </w:t>
            </w:r>
          </w:p>
        </w:tc>
        <w:tc>
          <w:tcPr>
            <w:tcW w:w="1701" w:type="dxa"/>
            <w:tcBorders>
              <w:top w:val="single" w:sz="2" w:space="0" w:color="auto"/>
              <w:bottom w:val="single" w:sz="2" w:space="0" w:color="auto"/>
            </w:tcBorders>
            <w:shd w:val="clear" w:color="auto" w:fill="auto"/>
            <w:noWrap/>
            <w:vAlign w:val="center"/>
            <w:hideMark/>
          </w:tcPr>
          <w:p w14:paraId="01D556C0"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706DB86C"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5,9 </w:t>
            </w:r>
          </w:p>
        </w:tc>
      </w:tr>
      <w:tr w:rsidR="00C30199" w:rsidRPr="00EA376D" w14:paraId="09937C3E" w14:textId="77777777" w:rsidTr="00FA22E5">
        <w:trPr>
          <w:gridAfter w:val="1"/>
          <w:wAfter w:w="6" w:type="dxa"/>
          <w:trHeight w:val="255"/>
        </w:trPr>
        <w:tc>
          <w:tcPr>
            <w:tcW w:w="1843" w:type="dxa"/>
            <w:tcBorders>
              <w:top w:val="single" w:sz="2" w:space="0" w:color="auto"/>
              <w:bottom w:val="single" w:sz="2" w:space="0" w:color="auto"/>
            </w:tcBorders>
            <w:shd w:val="clear" w:color="auto" w:fill="auto"/>
            <w:noWrap/>
            <w:vAlign w:val="center"/>
            <w:hideMark/>
          </w:tcPr>
          <w:p w14:paraId="56EBF0BE"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2020</w:t>
            </w:r>
          </w:p>
        </w:tc>
        <w:tc>
          <w:tcPr>
            <w:tcW w:w="1711" w:type="dxa"/>
            <w:tcBorders>
              <w:top w:val="single" w:sz="2" w:space="0" w:color="auto"/>
              <w:bottom w:val="single" w:sz="2" w:space="0" w:color="auto"/>
            </w:tcBorders>
            <w:shd w:val="clear" w:color="auto" w:fill="auto"/>
            <w:noWrap/>
            <w:vAlign w:val="center"/>
            <w:hideMark/>
          </w:tcPr>
          <w:p w14:paraId="347F7B25"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24" w:type="dxa"/>
            <w:tcBorders>
              <w:top w:val="single" w:sz="2" w:space="0" w:color="auto"/>
              <w:bottom w:val="single" w:sz="2" w:space="0" w:color="auto"/>
            </w:tcBorders>
            <w:shd w:val="clear" w:color="auto" w:fill="auto"/>
            <w:noWrap/>
            <w:vAlign w:val="center"/>
            <w:hideMark/>
          </w:tcPr>
          <w:p w14:paraId="19A41748"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3,5 </w:t>
            </w:r>
          </w:p>
        </w:tc>
        <w:tc>
          <w:tcPr>
            <w:tcW w:w="1559" w:type="dxa"/>
            <w:tcBorders>
              <w:top w:val="single" w:sz="2" w:space="0" w:color="auto"/>
              <w:bottom w:val="single" w:sz="2" w:space="0" w:color="auto"/>
            </w:tcBorders>
            <w:shd w:val="clear" w:color="auto" w:fill="auto"/>
            <w:noWrap/>
            <w:vAlign w:val="center"/>
            <w:hideMark/>
          </w:tcPr>
          <w:p w14:paraId="471DDAA8"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2,9 </w:t>
            </w:r>
          </w:p>
        </w:tc>
        <w:tc>
          <w:tcPr>
            <w:tcW w:w="1701" w:type="dxa"/>
            <w:tcBorders>
              <w:top w:val="single" w:sz="2" w:space="0" w:color="auto"/>
              <w:bottom w:val="single" w:sz="2" w:space="0" w:color="auto"/>
            </w:tcBorders>
            <w:shd w:val="clear" w:color="auto" w:fill="auto"/>
            <w:noWrap/>
            <w:vAlign w:val="center"/>
            <w:hideMark/>
          </w:tcPr>
          <w:p w14:paraId="5F5A2D08"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 No se ajusta </w:t>
            </w:r>
          </w:p>
        </w:tc>
        <w:tc>
          <w:tcPr>
            <w:tcW w:w="1134" w:type="dxa"/>
            <w:tcBorders>
              <w:top w:val="single" w:sz="2" w:space="0" w:color="auto"/>
              <w:bottom w:val="single" w:sz="2" w:space="0" w:color="auto"/>
            </w:tcBorders>
            <w:shd w:val="clear" w:color="auto" w:fill="auto"/>
            <w:noWrap/>
            <w:vAlign w:val="center"/>
            <w:hideMark/>
          </w:tcPr>
          <w:p w14:paraId="217E691F"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6,5 </w:t>
            </w:r>
          </w:p>
        </w:tc>
      </w:tr>
      <w:tr w:rsidR="00C30199" w:rsidRPr="00EA376D" w14:paraId="73BE25D0" w14:textId="77777777" w:rsidTr="00FA22E5">
        <w:trPr>
          <w:gridAfter w:val="1"/>
          <w:wAfter w:w="6" w:type="dxa"/>
          <w:trHeight w:val="255"/>
        </w:trPr>
        <w:tc>
          <w:tcPr>
            <w:tcW w:w="1843" w:type="dxa"/>
            <w:tcBorders>
              <w:top w:val="single" w:sz="2" w:space="0" w:color="auto"/>
            </w:tcBorders>
            <w:shd w:val="clear" w:color="auto" w:fill="auto"/>
            <w:noWrap/>
            <w:vAlign w:val="center"/>
            <w:hideMark/>
          </w:tcPr>
          <w:p w14:paraId="7A120FEA" w14:textId="77777777" w:rsidR="00C30199" w:rsidRPr="00EA376D" w:rsidRDefault="00C30199" w:rsidP="006B4FA1">
            <w:pPr>
              <w:spacing w:after="0"/>
              <w:ind w:hanging="40"/>
              <w:jc w:val="left"/>
              <w:rPr>
                <w:rFonts w:ascii="Arial Narrow" w:hAnsi="Arial Narrow" w:cs="Calibri"/>
                <w:color w:val="000000"/>
                <w:lang w:val="es-ES" w:eastAsia="es-ES"/>
              </w:rPr>
            </w:pPr>
            <w:r w:rsidRPr="00EA376D">
              <w:rPr>
                <w:rFonts w:ascii="Arial Narrow" w:hAnsi="Arial Narrow" w:cs="Calibri"/>
                <w:color w:val="000000"/>
                <w:lang w:val="es-ES" w:eastAsia="es-ES"/>
              </w:rPr>
              <w:t>2021</w:t>
            </w:r>
          </w:p>
        </w:tc>
        <w:tc>
          <w:tcPr>
            <w:tcW w:w="1711" w:type="dxa"/>
            <w:tcBorders>
              <w:top w:val="single" w:sz="2" w:space="0" w:color="auto"/>
            </w:tcBorders>
            <w:shd w:val="clear" w:color="auto" w:fill="auto"/>
            <w:noWrap/>
            <w:vAlign w:val="center"/>
            <w:hideMark/>
          </w:tcPr>
          <w:p w14:paraId="21F98975"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 No se ajusta </w:t>
            </w:r>
          </w:p>
        </w:tc>
        <w:tc>
          <w:tcPr>
            <w:tcW w:w="1124" w:type="dxa"/>
            <w:tcBorders>
              <w:top w:val="single" w:sz="2" w:space="0" w:color="auto"/>
            </w:tcBorders>
            <w:shd w:val="clear" w:color="auto" w:fill="auto"/>
            <w:noWrap/>
            <w:vAlign w:val="center"/>
            <w:hideMark/>
          </w:tcPr>
          <w:p w14:paraId="7D1B144F" w14:textId="77777777" w:rsidR="00C30199" w:rsidRPr="00EA376D" w:rsidRDefault="00C30199" w:rsidP="006B4FA1">
            <w:pPr>
              <w:spacing w:after="0"/>
              <w:ind w:hanging="40"/>
              <w:jc w:val="right"/>
              <w:rPr>
                <w:rFonts w:ascii="Arial Narrow" w:hAnsi="Arial Narrow" w:cs="Calibri"/>
                <w:color w:val="000000"/>
                <w:lang w:val="es-ES" w:eastAsia="es-ES"/>
              </w:rPr>
            </w:pPr>
            <w:r w:rsidRPr="00EA376D">
              <w:rPr>
                <w:rFonts w:ascii="Arial Narrow" w:hAnsi="Arial Narrow" w:cs="Calibri"/>
                <w:color w:val="000000"/>
                <w:lang w:val="es-ES" w:eastAsia="es-ES"/>
              </w:rPr>
              <w:t xml:space="preserve">3,9 </w:t>
            </w:r>
          </w:p>
        </w:tc>
        <w:tc>
          <w:tcPr>
            <w:tcW w:w="1559" w:type="dxa"/>
            <w:tcBorders>
              <w:top w:val="single" w:sz="2" w:space="0" w:color="auto"/>
            </w:tcBorders>
            <w:shd w:val="clear" w:color="auto" w:fill="auto"/>
            <w:noWrap/>
            <w:vAlign w:val="center"/>
            <w:hideMark/>
          </w:tcPr>
          <w:p w14:paraId="12E70D7E"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3,2 </w:t>
            </w:r>
          </w:p>
        </w:tc>
        <w:tc>
          <w:tcPr>
            <w:tcW w:w="1701" w:type="dxa"/>
            <w:tcBorders>
              <w:top w:val="single" w:sz="2" w:space="0" w:color="auto"/>
            </w:tcBorders>
            <w:shd w:val="clear" w:color="auto" w:fill="auto"/>
            <w:noWrap/>
            <w:vAlign w:val="center"/>
            <w:hideMark/>
          </w:tcPr>
          <w:p w14:paraId="44FD58BD" w14:textId="77777777" w:rsidR="00C30199" w:rsidRPr="00EA376D" w:rsidRDefault="00C30199" w:rsidP="006B4FA1">
            <w:pPr>
              <w:spacing w:after="0"/>
              <w:ind w:hanging="40"/>
              <w:jc w:val="right"/>
              <w:rPr>
                <w:rFonts w:ascii="Arial Narrow" w:hAnsi="Arial Narrow" w:cs="Calibri"/>
                <w:lang w:val="es-ES" w:eastAsia="es-ES"/>
              </w:rPr>
            </w:pPr>
            <w:r w:rsidRPr="00EA376D">
              <w:rPr>
                <w:rFonts w:ascii="Arial Narrow" w:hAnsi="Arial Narrow" w:cs="Calibri"/>
                <w:lang w:val="es-ES" w:eastAsia="es-ES"/>
              </w:rPr>
              <w:t xml:space="preserve"> No se ajusta </w:t>
            </w:r>
          </w:p>
        </w:tc>
        <w:tc>
          <w:tcPr>
            <w:tcW w:w="1134" w:type="dxa"/>
            <w:tcBorders>
              <w:top w:val="single" w:sz="2" w:space="0" w:color="auto"/>
            </w:tcBorders>
            <w:shd w:val="clear" w:color="auto" w:fill="auto"/>
            <w:noWrap/>
            <w:vAlign w:val="center"/>
            <w:hideMark/>
          </w:tcPr>
          <w:p w14:paraId="46422CD1" w14:textId="77777777" w:rsidR="00C30199" w:rsidRPr="00EA376D" w:rsidRDefault="00C30199" w:rsidP="006B4FA1">
            <w:pPr>
              <w:spacing w:after="0"/>
              <w:ind w:hanging="40"/>
              <w:jc w:val="right"/>
              <w:rPr>
                <w:rFonts w:ascii="Arial Narrow" w:hAnsi="Arial Narrow" w:cs="Arial"/>
                <w:lang w:val="es-ES" w:eastAsia="es-ES"/>
              </w:rPr>
            </w:pPr>
            <w:r w:rsidRPr="00EA376D">
              <w:rPr>
                <w:rFonts w:ascii="Arial Narrow" w:hAnsi="Arial Narrow" w:cs="Arial"/>
                <w:lang w:val="es-ES" w:eastAsia="es-ES"/>
              </w:rPr>
              <w:t xml:space="preserve">7,1 </w:t>
            </w:r>
          </w:p>
        </w:tc>
      </w:tr>
    </w:tbl>
    <w:p w14:paraId="60BD9F3C" w14:textId="77777777" w:rsidR="00D34BD4" w:rsidRPr="00D34BD4" w:rsidRDefault="00D34BD4" w:rsidP="00FA22E5">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100"/>
        <w:ind w:firstLine="0"/>
        <w:rPr>
          <w:rFonts w:ascii="Arial" w:hAnsi="Arial" w:cs="Arial"/>
          <w:sz w:val="14"/>
          <w:szCs w:val="14"/>
        </w:rPr>
      </w:pPr>
      <w:r w:rsidRPr="00D34BD4">
        <w:rPr>
          <w:rFonts w:ascii="Arial" w:hAnsi="Arial" w:cs="Arial"/>
          <w:sz w:val="14"/>
          <w:szCs w:val="14"/>
        </w:rPr>
        <w:t>(*) Estos ajustes</w:t>
      </w:r>
      <w:r>
        <w:rPr>
          <w:rFonts w:ascii="Arial" w:hAnsi="Arial" w:cs="Arial"/>
          <w:sz w:val="14"/>
          <w:szCs w:val="14"/>
        </w:rPr>
        <w:t xml:space="preserve"> pueden no coincidir con los ejercicios de las Cuentas Generales de Navarra, ya que corresponden a tablas del estado, que incorpora ajustes en ejercicios ya cerrados.</w:t>
      </w:r>
    </w:p>
    <w:p w14:paraId="6592B89B" w14:textId="77777777" w:rsidR="00C30199" w:rsidRDefault="00C30199" w:rsidP="00D34BD4">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60" w:after="240"/>
        <w:ind w:firstLine="0"/>
        <w:rPr>
          <w:rFonts w:ascii="Arial" w:hAnsi="Arial" w:cs="Arial"/>
          <w:sz w:val="16"/>
          <w:szCs w:val="16"/>
        </w:rPr>
      </w:pPr>
      <w:r w:rsidRPr="00FD08F0">
        <w:rPr>
          <w:rFonts w:ascii="Arial" w:hAnsi="Arial" w:cs="Arial"/>
          <w:sz w:val="16"/>
          <w:szCs w:val="16"/>
        </w:rPr>
        <w:t>Fuente: Tabla enviada por el Estado facilitada por la Sección de Contabilidad Nacional</w:t>
      </w:r>
      <w:r w:rsidR="00F1415E">
        <w:rPr>
          <w:rFonts w:ascii="Arial" w:hAnsi="Arial" w:cs="Arial"/>
          <w:sz w:val="16"/>
          <w:szCs w:val="16"/>
        </w:rPr>
        <w:t>.</w:t>
      </w:r>
    </w:p>
    <w:p w14:paraId="48C0FD28" w14:textId="77777777" w:rsidR="00C30199" w:rsidRPr="00FA22E5" w:rsidRDefault="00C30199" w:rsidP="00FA22E5">
      <w:pPr>
        <w:pStyle w:val="texto"/>
        <w:tabs>
          <w:tab w:val="clear" w:pos="2835"/>
          <w:tab w:val="clear" w:pos="3969"/>
          <w:tab w:val="clear" w:pos="5103"/>
          <w:tab w:val="clear" w:pos="6237"/>
          <w:tab w:val="clear" w:pos="7371"/>
          <w:tab w:val="left" w:pos="480"/>
          <w:tab w:val="num" w:pos="720"/>
          <w:tab w:val="num" w:pos="1320"/>
          <w:tab w:val="num" w:pos="2062"/>
        </w:tabs>
        <w:spacing w:before="240"/>
        <w:rPr>
          <w:spacing w:val="0"/>
          <w:szCs w:val="26"/>
        </w:rPr>
      </w:pPr>
      <w:r w:rsidRPr="00110BE9">
        <w:rPr>
          <w:spacing w:val="0"/>
          <w:szCs w:val="26"/>
        </w:rPr>
        <w:t>El ajuste durante los años de constr</w:t>
      </w:r>
      <w:r w:rsidR="00035298" w:rsidRPr="00110BE9">
        <w:rPr>
          <w:spacing w:val="0"/>
          <w:szCs w:val="26"/>
        </w:rPr>
        <w:t xml:space="preserve">ucción, tanto en el caso de la Autovía del Pirineo, como de la </w:t>
      </w:r>
      <w:r w:rsidR="00035298" w:rsidRPr="00FA22E5">
        <w:rPr>
          <w:spacing w:val="0"/>
          <w:szCs w:val="26"/>
        </w:rPr>
        <w:t>Primera F</w:t>
      </w:r>
      <w:r w:rsidRPr="00FA22E5">
        <w:rPr>
          <w:spacing w:val="0"/>
          <w:szCs w:val="26"/>
        </w:rPr>
        <w:t>ase del Canal</w:t>
      </w:r>
      <w:r w:rsidR="00035298" w:rsidRPr="00FA22E5">
        <w:rPr>
          <w:spacing w:val="0"/>
          <w:szCs w:val="26"/>
        </w:rPr>
        <w:t xml:space="preserve"> de Navarra</w:t>
      </w:r>
      <w:r w:rsidRPr="00FA22E5">
        <w:rPr>
          <w:spacing w:val="0"/>
          <w:szCs w:val="26"/>
        </w:rPr>
        <w:t>, tiene impacto en la necesidad de financiación y el endeudamiento de esos años. Para la autovía se computó una deuda de 202 millones</w:t>
      </w:r>
      <w:r w:rsidR="000A7529" w:rsidRPr="00FA22E5">
        <w:rPr>
          <w:spacing w:val="0"/>
          <w:szCs w:val="26"/>
        </w:rPr>
        <w:t xml:space="preserve">, </w:t>
      </w:r>
      <w:r w:rsidRPr="00FA22E5">
        <w:rPr>
          <w:spacing w:val="0"/>
          <w:szCs w:val="26"/>
        </w:rPr>
        <w:t>y para la p</w:t>
      </w:r>
      <w:r w:rsidR="009F63CF" w:rsidRPr="00FA22E5">
        <w:rPr>
          <w:spacing w:val="0"/>
          <w:szCs w:val="26"/>
        </w:rPr>
        <w:t>rimera fase del C</w:t>
      </w:r>
      <w:r w:rsidR="00F7265C" w:rsidRPr="00FA22E5">
        <w:rPr>
          <w:spacing w:val="0"/>
          <w:szCs w:val="26"/>
        </w:rPr>
        <w:t>anal se computó</w:t>
      </w:r>
      <w:r w:rsidRPr="00FA22E5">
        <w:rPr>
          <w:spacing w:val="0"/>
          <w:szCs w:val="26"/>
        </w:rPr>
        <w:t xml:space="preserve"> una deuda de</w:t>
      </w:r>
      <w:r w:rsidR="00565C02" w:rsidRPr="00FA22E5">
        <w:rPr>
          <w:spacing w:val="0"/>
          <w:szCs w:val="26"/>
        </w:rPr>
        <w:t xml:space="preserve"> 135</w:t>
      </w:r>
      <w:r w:rsidR="00446C67" w:rsidRPr="00FA22E5">
        <w:rPr>
          <w:spacing w:val="0"/>
          <w:szCs w:val="26"/>
        </w:rPr>
        <w:t xml:space="preserve"> millones</w:t>
      </w:r>
      <w:r w:rsidR="00A954B6" w:rsidRPr="00FA22E5">
        <w:rPr>
          <w:spacing w:val="0"/>
          <w:szCs w:val="26"/>
        </w:rPr>
        <w:t>. Por tanto, es como si teóricamente la ACFN hubiese realizado la obra (capítulo 6 de gastos) por 337 millones y se hubiese endeudado (capítulo 9 de ingresos) por la misma cuantía.</w:t>
      </w:r>
    </w:p>
    <w:p w14:paraId="2EBCC21F" w14:textId="77777777" w:rsidR="00C30199" w:rsidRDefault="00C30199"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r w:rsidRPr="00FA22E5">
        <w:rPr>
          <w:szCs w:val="26"/>
        </w:rPr>
        <w:t xml:space="preserve">El ajuste durante los años de explotación es positivo, </w:t>
      </w:r>
      <w:r w:rsidR="001F4F11" w:rsidRPr="00FA22E5">
        <w:rPr>
          <w:szCs w:val="26"/>
        </w:rPr>
        <w:t xml:space="preserve">incrementando </w:t>
      </w:r>
      <w:r w:rsidRPr="00FA22E5">
        <w:rPr>
          <w:szCs w:val="26"/>
        </w:rPr>
        <w:t xml:space="preserve">la capacidad </w:t>
      </w:r>
      <w:r w:rsidRPr="0053457D">
        <w:rPr>
          <w:szCs w:val="26"/>
        </w:rPr>
        <w:t xml:space="preserve">de financiación, es decir, </w:t>
      </w:r>
      <w:r w:rsidR="00F7265C" w:rsidRPr="0053457D">
        <w:rPr>
          <w:szCs w:val="26"/>
        </w:rPr>
        <w:t xml:space="preserve">reduciendo </w:t>
      </w:r>
      <w:r w:rsidRPr="0053457D">
        <w:rPr>
          <w:szCs w:val="26"/>
        </w:rPr>
        <w:t xml:space="preserve">su déficit y, al mismo tiempo, amortizando el </w:t>
      </w:r>
      <w:r w:rsidR="00DF5712" w:rsidRPr="0053457D">
        <w:rPr>
          <w:szCs w:val="26"/>
        </w:rPr>
        <w:t xml:space="preserve">endeudamiento </w:t>
      </w:r>
      <w:r w:rsidRPr="0053457D">
        <w:rPr>
          <w:szCs w:val="26"/>
        </w:rPr>
        <w:t xml:space="preserve">imputado hasta que quede totalmente saldado a la finalización del periodo concesional. </w:t>
      </w:r>
    </w:p>
    <w:p w14:paraId="1A6FE9E5"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526CA65F"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2D375C7C"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3FE3CFF2"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21AD5B05"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12899C12"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44351C6E"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p w14:paraId="44908326" w14:textId="77777777" w:rsidR="00FA22E5" w:rsidRDefault="00FA22E5" w:rsidP="008F14A4">
      <w:pPr>
        <w:pStyle w:val="texto"/>
        <w:tabs>
          <w:tab w:val="clear" w:pos="2835"/>
          <w:tab w:val="clear" w:pos="3969"/>
          <w:tab w:val="clear" w:pos="5103"/>
          <w:tab w:val="clear" w:pos="6237"/>
          <w:tab w:val="clear" w:pos="7371"/>
          <w:tab w:val="left" w:pos="480"/>
          <w:tab w:val="num" w:pos="720"/>
          <w:tab w:val="num" w:pos="1320"/>
          <w:tab w:val="num" w:pos="2062"/>
        </w:tabs>
        <w:spacing w:after="120"/>
        <w:rPr>
          <w:szCs w:val="26"/>
        </w:rPr>
      </w:pPr>
    </w:p>
    <w:tbl>
      <w:tblPr>
        <w:tblW w:w="9072" w:type="dxa"/>
        <w:tblBorders>
          <w:top w:val="single" w:sz="4" w:space="0" w:color="auto"/>
          <w:bottom w:val="single" w:sz="4" w:space="0" w:color="auto"/>
          <w:insideH w:val="single" w:sz="2" w:space="0" w:color="auto"/>
        </w:tblBorders>
        <w:tblCellMar>
          <w:left w:w="70" w:type="dxa"/>
          <w:right w:w="70" w:type="dxa"/>
        </w:tblCellMar>
        <w:tblLook w:val="04A0" w:firstRow="1" w:lastRow="0" w:firstColumn="1" w:lastColumn="0" w:noHBand="0" w:noVBand="1"/>
      </w:tblPr>
      <w:tblGrid>
        <w:gridCol w:w="1134"/>
        <w:gridCol w:w="1681"/>
        <w:gridCol w:w="1701"/>
        <w:gridCol w:w="1560"/>
        <w:gridCol w:w="1701"/>
        <w:gridCol w:w="1295"/>
      </w:tblGrid>
      <w:tr w:rsidR="00C30199" w:rsidRPr="00D34BD4" w14:paraId="750541DC" w14:textId="77777777" w:rsidTr="00FA22E5">
        <w:trPr>
          <w:trHeight w:val="284"/>
        </w:trPr>
        <w:tc>
          <w:tcPr>
            <w:tcW w:w="9072" w:type="dxa"/>
            <w:gridSpan w:val="6"/>
            <w:shd w:val="clear" w:color="auto" w:fill="B8CCE4" w:themeFill="accent1" w:themeFillTint="66"/>
            <w:noWrap/>
            <w:vAlign w:val="center"/>
            <w:hideMark/>
          </w:tcPr>
          <w:p w14:paraId="770424D0" w14:textId="77777777" w:rsidR="00C30199" w:rsidRPr="00D34BD4" w:rsidRDefault="00C30199" w:rsidP="00FA22E5">
            <w:pPr>
              <w:pStyle w:val="cuadroCabe"/>
              <w:spacing w:line="240" w:lineRule="auto"/>
              <w:jc w:val="center"/>
              <w:rPr>
                <w:szCs w:val="18"/>
                <w:lang w:val="es-ES" w:eastAsia="es-ES"/>
              </w:rPr>
            </w:pPr>
            <w:r w:rsidRPr="00D34BD4">
              <w:rPr>
                <w:szCs w:val="18"/>
                <w:lang w:val="es-ES" w:eastAsia="es-ES"/>
              </w:rPr>
              <w:t>E</w:t>
            </w:r>
            <w:r w:rsidR="00D71071" w:rsidRPr="00D34BD4">
              <w:rPr>
                <w:szCs w:val="18"/>
                <w:lang w:val="es-ES" w:eastAsia="es-ES"/>
              </w:rPr>
              <w:t>ndeudamiento</w:t>
            </w:r>
            <w:r w:rsidRPr="00D34BD4">
              <w:rPr>
                <w:szCs w:val="18"/>
                <w:lang w:val="es-ES" w:eastAsia="es-ES"/>
              </w:rPr>
              <w:t>, en millones</w:t>
            </w:r>
          </w:p>
        </w:tc>
      </w:tr>
      <w:tr w:rsidR="00C30199" w:rsidRPr="00D34BD4" w14:paraId="61280186" w14:textId="77777777" w:rsidTr="00FA22E5">
        <w:trPr>
          <w:trHeight w:val="284"/>
        </w:trPr>
        <w:tc>
          <w:tcPr>
            <w:tcW w:w="1134" w:type="dxa"/>
            <w:shd w:val="clear" w:color="auto" w:fill="B8CCE4" w:themeFill="accent1" w:themeFillTint="66"/>
            <w:vAlign w:val="center"/>
            <w:hideMark/>
          </w:tcPr>
          <w:p w14:paraId="65BC9054" w14:textId="77777777" w:rsidR="00C30199" w:rsidRPr="00D34BD4" w:rsidRDefault="00C30199" w:rsidP="00FA22E5">
            <w:pPr>
              <w:pStyle w:val="cuadroCabe"/>
              <w:spacing w:line="240" w:lineRule="auto"/>
              <w:jc w:val="left"/>
              <w:rPr>
                <w:szCs w:val="18"/>
                <w:lang w:val="es-ES" w:eastAsia="es-ES"/>
              </w:rPr>
            </w:pPr>
            <w:r w:rsidRPr="00D34BD4">
              <w:rPr>
                <w:szCs w:val="18"/>
                <w:lang w:val="es-ES" w:eastAsia="es-ES"/>
              </w:rPr>
              <w:t>Año</w:t>
            </w:r>
          </w:p>
        </w:tc>
        <w:tc>
          <w:tcPr>
            <w:tcW w:w="1681" w:type="dxa"/>
            <w:shd w:val="clear" w:color="auto" w:fill="B8CCE4" w:themeFill="accent1" w:themeFillTint="66"/>
            <w:vAlign w:val="center"/>
            <w:hideMark/>
          </w:tcPr>
          <w:p w14:paraId="0DF9C6A7" w14:textId="77777777" w:rsidR="00D34BD4" w:rsidRDefault="00C30199" w:rsidP="00FA22E5">
            <w:pPr>
              <w:pStyle w:val="cuadroCabe"/>
              <w:spacing w:line="240" w:lineRule="auto"/>
              <w:jc w:val="right"/>
              <w:rPr>
                <w:szCs w:val="18"/>
                <w:lang w:val="es-ES" w:eastAsia="es-ES"/>
              </w:rPr>
            </w:pPr>
            <w:r w:rsidRPr="00D34BD4">
              <w:rPr>
                <w:szCs w:val="18"/>
                <w:lang w:val="es-ES" w:eastAsia="es-ES"/>
              </w:rPr>
              <w:t>Autovía del</w:t>
            </w:r>
          </w:p>
          <w:p w14:paraId="4246A9DE" w14:textId="77777777" w:rsidR="00C30199" w:rsidRPr="00D34BD4" w:rsidRDefault="00C30199" w:rsidP="00FA22E5">
            <w:pPr>
              <w:pStyle w:val="cuadroCabe"/>
              <w:spacing w:line="240" w:lineRule="auto"/>
              <w:jc w:val="right"/>
              <w:rPr>
                <w:szCs w:val="18"/>
                <w:lang w:val="es-ES" w:eastAsia="es-ES"/>
              </w:rPr>
            </w:pPr>
            <w:r w:rsidRPr="00D34BD4">
              <w:rPr>
                <w:szCs w:val="18"/>
                <w:lang w:val="es-ES" w:eastAsia="es-ES"/>
              </w:rPr>
              <w:t xml:space="preserve"> Camino</w:t>
            </w:r>
          </w:p>
        </w:tc>
        <w:tc>
          <w:tcPr>
            <w:tcW w:w="1701" w:type="dxa"/>
            <w:shd w:val="clear" w:color="auto" w:fill="B8CCE4" w:themeFill="accent1" w:themeFillTint="66"/>
            <w:vAlign w:val="center"/>
            <w:hideMark/>
          </w:tcPr>
          <w:p w14:paraId="2BEF8224" w14:textId="77777777" w:rsidR="00D34BD4" w:rsidRDefault="00C30199" w:rsidP="00FA22E5">
            <w:pPr>
              <w:pStyle w:val="cuadroCabe"/>
              <w:spacing w:line="240" w:lineRule="auto"/>
              <w:jc w:val="right"/>
              <w:rPr>
                <w:szCs w:val="18"/>
                <w:lang w:val="es-ES" w:eastAsia="es-ES"/>
              </w:rPr>
            </w:pPr>
            <w:r w:rsidRPr="00D34BD4">
              <w:rPr>
                <w:szCs w:val="18"/>
                <w:lang w:val="es-ES" w:eastAsia="es-ES"/>
              </w:rPr>
              <w:t>Autovía del</w:t>
            </w:r>
          </w:p>
          <w:p w14:paraId="1E60666A" w14:textId="77777777" w:rsidR="00C30199" w:rsidRPr="00D34BD4" w:rsidRDefault="00C30199" w:rsidP="00FA22E5">
            <w:pPr>
              <w:pStyle w:val="cuadroCabe"/>
              <w:spacing w:line="240" w:lineRule="auto"/>
              <w:jc w:val="right"/>
              <w:rPr>
                <w:szCs w:val="18"/>
                <w:lang w:val="es-ES" w:eastAsia="es-ES"/>
              </w:rPr>
            </w:pPr>
            <w:r w:rsidRPr="00D34BD4">
              <w:rPr>
                <w:szCs w:val="18"/>
                <w:lang w:val="es-ES" w:eastAsia="es-ES"/>
              </w:rPr>
              <w:t>Pirineo</w:t>
            </w:r>
          </w:p>
        </w:tc>
        <w:tc>
          <w:tcPr>
            <w:tcW w:w="1560" w:type="dxa"/>
            <w:shd w:val="clear" w:color="auto" w:fill="B8CCE4" w:themeFill="accent1" w:themeFillTint="66"/>
            <w:vAlign w:val="center"/>
            <w:hideMark/>
          </w:tcPr>
          <w:p w14:paraId="7345A0FC" w14:textId="77777777" w:rsidR="00D34BD4" w:rsidRDefault="00C30199" w:rsidP="00FA22E5">
            <w:pPr>
              <w:pStyle w:val="cuadroCabe"/>
              <w:spacing w:line="240" w:lineRule="auto"/>
              <w:jc w:val="right"/>
              <w:rPr>
                <w:szCs w:val="18"/>
                <w:lang w:val="es-ES" w:eastAsia="es-ES"/>
              </w:rPr>
            </w:pPr>
            <w:r w:rsidRPr="00D34BD4">
              <w:rPr>
                <w:szCs w:val="18"/>
                <w:lang w:val="es-ES" w:eastAsia="es-ES"/>
              </w:rPr>
              <w:t xml:space="preserve">Canal de </w:t>
            </w:r>
          </w:p>
          <w:p w14:paraId="513DD164" w14:textId="77777777" w:rsidR="00C30199" w:rsidRPr="00D34BD4" w:rsidRDefault="00C30199" w:rsidP="00FA22E5">
            <w:pPr>
              <w:pStyle w:val="cuadroCabe"/>
              <w:spacing w:line="240" w:lineRule="auto"/>
              <w:jc w:val="right"/>
              <w:rPr>
                <w:szCs w:val="18"/>
                <w:lang w:val="es-ES" w:eastAsia="es-ES"/>
              </w:rPr>
            </w:pPr>
            <w:r w:rsidRPr="00D34BD4">
              <w:rPr>
                <w:szCs w:val="18"/>
                <w:lang w:val="es-ES" w:eastAsia="es-ES"/>
              </w:rPr>
              <w:t>Navarra 1ª fase</w:t>
            </w:r>
          </w:p>
        </w:tc>
        <w:tc>
          <w:tcPr>
            <w:tcW w:w="1701" w:type="dxa"/>
            <w:shd w:val="clear" w:color="auto" w:fill="B8CCE4" w:themeFill="accent1" w:themeFillTint="66"/>
            <w:vAlign w:val="center"/>
            <w:hideMark/>
          </w:tcPr>
          <w:p w14:paraId="4B96CE42" w14:textId="77777777" w:rsidR="00D34BD4" w:rsidRPr="00D34BD4" w:rsidRDefault="00D34BD4" w:rsidP="00FA22E5">
            <w:pPr>
              <w:pStyle w:val="cuadroCabe"/>
              <w:spacing w:line="240" w:lineRule="auto"/>
              <w:jc w:val="right"/>
              <w:rPr>
                <w:szCs w:val="18"/>
                <w:lang w:val="es-ES" w:eastAsia="es-ES"/>
              </w:rPr>
            </w:pPr>
            <w:r w:rsidRPr="00D34BD4">
              <w:rPr>
                <w:szCs w:val="18"/>
                <w:lang w:val="es-ES" w:eastAsia="es-ES"/>
              </w:rPr>
              <w:t>Canal de Navarra</w:t>
            </w:r>
          </w:p>
          <w:p w14:paraId="73738726" w14:textId="77777777" w:rsidR="00C30199" w:rsidRPr="00D34BD4" w:rsidRDefault="00C30199" w:rsidP="00FA22E5">
            <w:pPr>
              <w:pStyle w:val="cuadroCabe"/>
              <w:spacing w:line="240" w:lineRule="auto"/>
              <w:jc w:val="right"/>
              <w:rPr>
                <w:szCs w:val="18"/>
                <w:lang w:val="es-ES" w:eastAsia="es-ES"/>
              </w:rPr>
            </w:pPr>
            <w:proofErr w:type="spellStart"/>
            <w:r w:rsidRPr="00D34BD4">
              <w:rPr>
                <w:szCs w:val="18"/>
                <w:lang w:val="es-ES" w:eastAsia="es-ES"/>
              </w:rPr>
              <w:t>Ampl</w:t>
            </w:r>
            <w:proofErr w:type="spellEnd"/>
            <w:r w:rsidR="00D34BD4">
              <w:rPr>
                <w:szCs w:val="18"/>
                <w:lang w:val="es-ES" w:eastAsia="es-ES"/>
              </w:rPr>
              <w:t>.</w:t>
            </w:r>
            <w:r w:rsidRPr="00D34BD4">
              <w:rPr>
                <w:szCs w:val="18"/>
                <w:lang w:val="es-ES" w:eastAsia="es-ES"/>
              </w:rPr>
              <w:t xml:space="preserve"> 1ª fase</w:t>
            </w:r>
          </w:p>
        </w:tc>
        <w:tc>
          <w:tcPr>
            <w:tcW w:w="1295" w:type="dxa"/>
            <w:shd w:val="clear" w:color="auto" w:fill="B8CCE4" w:themeFill="accent1" w:themeFillTint="66"/>
            <w:vAlign w:val="center"/>
            <w:hideMark/>
          </w:tcPr>
          <w:p w14:paraId="3214C074" w14:textId="77777777" w:rsidR="00C30199" w:rsidRPr="00D34BD4" w:rsidRDefault="00C30199" w:rsidP="00FA22E5">
            <w:pPr>
              <w:pStyle w:val="cuadroCabe"/>
              <w:spacing w:line="240" w:lineRule="auto"/>
              <w:jc w:val="right"/>
              <w:rPr>
                <w:szCs w:val="18"/>
                <w:lang w:val="es-ES" w:eastAsia="es-ES"/>
              </w:rPr>
            </w:pPr>
            <w:r w:rsidRPr="00D34BD4">
              <w:rPr>
                <w:szCs w:val="18"/>
                <w:lang w:val="es-ES" w:eastAsia="es-ES"/>
              </w:rPr>
              <w:t>T</w:t>
            </w:r>
            <w:r w:rsidR="00D71071" w:rsidRPr="00D34BD4">
              <w:rPr>
                <w:szCs w:val="18"/>
                <w:lang w:val="es-ES" w:eastAsia="es-ES"/>
              </w:rPr>
              <w:t>otal</w:t>
            </w:r>
          </w:p>
        </w:tc>
      </w:tr>
      <w:tr w:rsidR="00C30199" w:rsidRPr="00EF7CCF" w14:paraId="12A0AA75" w14:textId="77777777" w:rsidTr="00FA22E5">
        <w:trPr>
          <w:trHeight w:val="284"/>
        </w:trPr>
        <w:tc>
          <w:tcPr>
            <w:tcW w:w="1134" w:type="dxa"/>
            <w:shd w:val="clear" w:color="auto" w:fill="auto"/>
            <w:noWrap/>
            <w:vAlign w:val="center"/>
            <w:hideMark/>
          </w:tcPr>
          <w:p w14:paraId="56CF5449"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2007</w:t>
            </w:r>
          </w:p>
        </w:tc>
        <w:tc>
          <w:tcPr>
            <w:tcW w:w="1681" w:type="dxa"/>
            <w:shd w:val="clear" w:color="auto" w:fill="auto"/>
            <w:noWrap/>
            <w:vAlign w:val="center"/>
            <w:hideMark/>
          </w:tcPr>
          <w:p w14:paraId="6AE14FDB"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60C16E81"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w:t>
            </w:r>
          </w:p>
        </w:tc>
        <w:tc>
          <w:tcPr>
            <w:tcW w:w="1560" w:type="dxa"/>
            <w:shd w:val="clear" w:color="auto" w:fill="auto"/>
            <w:noWrap/>
            <w:vAlign w:val="center"/>
            <w:hideMark/>
          </w:tcPr>
          <w:p w14:paraId="77B94511"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17,7 </w:t>
            </w:r>
          </w:p>
        </w:tc>
        <w:tc>
          <w:tcPr>
            <w:tcW w:w="1701" w:type="dxa"/>
            <w:shd w:val="clear" w:color="auto" w:fill="auto"/>
            <w:noWrap/>
            <w:vAlign w:val="center"/>
            <w:hideMark/>
          </w:tcPr>
          <w:p w14:paraId="199BA732"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0369F31F"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17,7 </w:t>
            </w:r>
          </w:p>
        </w:tc>
      </w:tr>
      <w:tr w:rsidR="00C30199" w:rsidRPr="00EF7CCF" w14:paraId="03AA32EB" w14:textId="77777777" w:rsidTr="00FA22E5">
        <w:trPr>
          <w:trHeight w:val="284"/>
        </w:trPr>
        <w:tc>
          <w:tcPr>
            <w:tcW w:w="1134" w:type="dxa"/>
            <w:shd w:val="clear" w:color="auto" w:fill="auto"/>
            <w:noWrap/>
            <w:vAlign w:val="center"/>
            <w:hideMark/>
          </w:tcPr>
          <w:p w14:paraId="38B7F4D7"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2008</w:t>
            </w:r>
          </w:p>
        </w:tc>
        <w:tc>
          <w:tcPr>
            <w:tcW w:w="1681" w:type="dxa"/>
            <w:shd w:val="clear" w:color="auto" w:fill="auto"/>
            <w:noWrap/>
            <w:vAlign w:val="center"/>
            <w:hideMark/>
          </w:tcPr>
          <w:p w14:paraId="0438A7A3"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0C83CF4A"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w:t>
            </w:r>
          </w:p>
        </w:tc>
        <w:tc>
          <w:tcPr>
            <w:tcW w:w="1560" w:type="dxa"/>
            <w:shd w:val="clear" w:color="auto" w:fill="auto"/>
            <w:noWrap/>
            <w:vAlign w:val="center"/>
            <w:hideMark/>
          </w:tcPr>
          <w:p w14:paraId="37B410C4"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70,2 </w:t>
            </w:r>
          </w:p>
        </w:tc>
        <w:tc>
          <w:tcPr>
            <w:tcW w:w="1701" w:type="dxa"/>
            <w:shd w:val="clear" w:color="auto" w:fill="auto"/>
            <w:noWrap/>
            <w:vAlign w:val="center"/>
            <w:hideMark/>
          </w:tcPr>
          <w:p w14:paraId="11F4029A"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591487CA"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70,2 </w:t>
            </w:r>
          </w:p>
        </w:tc>
      </w:tr>
      <w:tr w:rsidR="00C30199" w:rsidRPr="00EF7CCF" w14:paraId="6A879629" w14:textId="77777777" w:rsidTr="00FA22E5">
        <w:trPr>
          <w:trHeight w:val="284"/>
        </w:trPr>
        <w:tc>
          <w:tcPr>
            <w:tcW w:w="1134" w:type="dxa"/>
            <w:shd w:val="clear" w:color="auto" w:fill="auto"/>
            <w:noWrap/>
            <w:vAlign w:val="center"/>
            <w:hideMark/>
          </w:tcPr>
          <w:p w14:paraId="33700F61"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2009</w:t>
            </w:r>
          </w:p>
        </w:tc>
        <w:tc>
          <w:tcPr>
            <w:tcW w:w="1681" w:type="dxa"/>
            <w:shd w:val="clear" w:color="auto" w:fill="auto"/>
            <w:noWrap/>
            <w:vAlign w:val="center"/>
            <w:hideMark/>
          </w:tcPr>
          <w:p w14:paraId="6D0AC3F1"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510BEE3C"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2,0 </w:t>
            </w:r>
          </w:p>
        </w:tc>
        <w:tc>
          <w:tcPr>
            <w:tcW w:w="1560" w:type="dxa"/>
            <w:shd w:val="clear" w:color="auto" w:fill="auto"/>
            <w:noWrap/>
            <w:vAlign w:val="center"/>
            <w:hideMark/>
          </w:tcPr>
          <w:p w14:paraId="51BF4D09"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74,1 </w:t>
            </w:r>
          </w:p>
        </w:tc>
        <w:tc>
          <w:tcPr>
            <w:tcW w:w="1701" w:type="dxa"/>
            <w:shd w:val="clear" w:color="auto" w:fill="auto"/>
            <w:noWrap/>
            <w:vAlign w:val="center"/>
            <w:hideMark/>
          </w:tcPr>
          <w:p w14:paraId="32FB38EC"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6AC389BA"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76,1 </w:t>
            </w:r>
          </w:p>
        </w:tc>
      </w:tr>
      <w:tr w:rsidR="00C30199" w:rsidRPr="00EF7CCF" w14:paraId="5DCD7C79" w14:textId="77777777" w:rsidTr="00FA22E5">
        <w:trPr>
          <w:trHeight w:val="284"/>
        </w:trPr>
        <w:tc>
          <w:tcPr>
            <w:tcW w:w="1134" w:type="dxa"/>
            <w:shd w:val="clear" w:color="auto" w:fill="auto"/>
            <w:noWrap/>
            <w:vAlign w:val="center"/>
            <w:hideMark/>
          </w:tcPr>
          <w:p w14:paraId="6E988AD1"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2010</w:t>
            </w:r>
          </w:p>
        </w:tc>
        <w:tc>
          <w:tcPr>
            <w:tcW w:w="1681" w:type="dxa"/>
            <w:shd w:val="clear" w:color="auto" w:fill="auto"/>
            <w:noWrap/>
            <w:vAlign w:val="center"/>
            <w:hideMark/>
          </w:tcPr>
          <w:p w14:paraId="6D1271A7"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779F0C13"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85,0 </w:t>
            </w:r>
          </w:p>
        </w:tc>
        <w:tc>
          <w:tcPr>
            <w:tcW w:w="1560" w:type="dxa"/>
            <w:shd w:val="clear" w:color="auto" w:fill="auto"/>
            <w:noWrap/>
            <w:vAlign w:val="center"/>
            <w:hideMark/>
          </w:tcPr>
          <w:p w14:paraId="2B9F3136"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105,4 </w:t>
            </w:r>
          </w:p>
        </w:tc>
        <w:tc>
          <w:tcPr>
            <w:tcW w:w="1701" w:type="dxa"/>
            <w:shd w:val="clear" w:color="auto" w:fill="auto"/>
            <w:noWrap/>
            <w:vAlign w:val="center"/>
            <w:hideMark/>
          </w:tcPr>
          <w:p w14:paraId="152FA549"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5FE48BA1"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190,4 </w:t>
            </w:r>
          </w:p>
        </w:tc>
      </w:tr>
      <w:tr w:rsidR="00C30199" w:rsidRPr="00EF7CCF" w14:paraId="69670C78" w14:textId="77777777" w:rsidTr="00FA22E5">
        <w:trPr>
          <w:trHeight w:val="284"/>
        </w:trPr>
        <w:tc>
          <w:tcPr>
            <w:tcW w:w="1134" w:type="dxa"/>
            <w:shd w:val="clear" w:color="auto" w:fill="auto"/>
            <w:noWrap/>
            <w:vAlign w:val="center"/>
            <w:hideMark/>
          </w:tcPr>
          <w:p w14:paraId="2F2D17C2"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2011</w:t>
            </w:r>
          </w:p>
        </w:tc>
        <w:tc>
          <w:tcPr>
            <w:tcW w:w="1681" w:type="dxa"/>
            <w:shd w:val="clear" w:color="auto" w:fill="auto"/>
            <w:noWrap/>
            <w:vAlign w:val="center"/>
            <w:hideMark/>
          </w:tcPr>
          <w:p w14:paraId="6FF5333B"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2CBB62C2"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202,3 </w:t>
            </w:r>
          </w:p>
        </w:tc>
        <w:tc>
          <w:tcPr>
            <w:tcW w:w="1560" w:type="dxa"/>
            <w:shd w:val="clear" w:color="auto" w:fill="auto"/>
            <w:noWrap/>
            <w:vAlign w:val="center"/>
            <w:hideMark/>
          </w:tcPr>
          <w:p w14:paraId="2BC87DED"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127,7 </w:t>
            </w:r>
          </w:p>
        </w:tc>
        <w:tc>
          <w:tcPr>
            <w:tcW w:w="1701" w:type="dxa"/>
            <w:shd w:val="clear" w:color="auto" w:fill="auto"/>
            <w:noWrap/>
            <w:vAlign w:val="center"/>
            <w:hideMark/>
          </w:tcPr>
          <w:p w14:paraId="4593B195"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4E107BB7"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330,0 </w:t>
            </w:r>
          </w:p>
        </w:tc>
      </w:tr>
      <w:tr w:rsidR="00C30199" w:rsidRPr="00EF7CCF" w14:paraId="2A025460" w14:textId="77777777" w:rsidTr="00FA22E5">
        <w:trPr>
          <w:trHeight w:val="284"/>
        </w:trPr>
        <w:tc>
          <w:tcPr>
            <w:tcW w:w="1134" w:type="dxa"/>
            <w:shd w:val="clear" w:color="auto" w:fill="auto"/>
            <w:noWrap/>
            <w:vAlign w:val="center"/>
            <w:hideMark/>
          </w:tcPr>
          <w:p w14:paraId="31565480"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2012</w:t>
            </w:r>
          </w:p>
        </w:tc>
        <w:tc>
          <w:tcPr>
            <w:tcW w:w="1681" w:type="dxa"/>
            <w:shd w:val="clear" w:color="auto" w:fill="auto"/>
            <w:noWrap/>
            <w:vAlign w:val="center"/>
            <w:hideMark/>
          </w:tcPr>
          <w:p w14:paraId="57F48478"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5A8AE4DB"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200,5 </w:t>
            </w:r>
          </w:p>
        </w:tc>
        <w:tc>
          <w:tcPr>
            <w:tcW w:w="1560" w:type="dxa"/>
            <w:shd w:val="clear" w:color="auto" w:fill="auto"/>
            <w:noWrap/>
            <w:vAlign w:val="center"/>
            <w:hideMark/>
          </w:tcPr>
          <w:p w14:paraId="1D7A89AA"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126,4 </w:t>
            </w:r>
          </w:p>
        </w:tc>
        <w:tc>
          <w:tcPr>
            <w:tcW w:w="1701" w:type="dxa"/>
            <w:shd w:val="clear" w:color="auto" w:fill="auto"/>
            <w:noWrap/>
            <w:vAlign w:val="center"/>
            <w:hideMark/>
          </w:tcPr>
          <w:p w14:paraId="01000C03"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79D98CFA"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326,9 </w:t>
            </w:r>
          </w:p>
        </w:tc>
      </w:tr>
      <w:tr w:rsidR="00C30199" w:rsidRPr="00EF7CCF" w14:paraId="496A5774" w14:textId="77777777" w:rsidTr="00FA22E5">
        <w:trPr>
          <w:trHeight w:val="284"/>
        </w:trPr>
        <w:tc>
          <w:tcPr>
            <w:tcW w:w="1134" w:type="dxa"/>
            <w:shd w:val="clear" w:color="auto" w:fill="auto"/>
            <w:noWrap/>
            <w:vAlign w:val="center"/>
            <w:hideMark/>
          </w:tcPr>
          <w:p w14:paraId="366BA823"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2013</w:t>
            </w:r>
          </w:p>
        </w:tc>
        <w:tc>
          <w:tcPr>
            <w:tcW w:w="1681" w:type="dxa"/>
            <w:shd w:val="clear" w:color="auto" w:fill="auto"/>
            <w:noWrap/>
            <w:vAlign w:val="center"/>
            <w:hideMark/>
          </w:tcPr>
          <w:p w14:paraId="5B1E2892"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2F074B6C"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199,3 </w:t>
            </w:r>
          </w:p>
        </w:tc>
        <w:tc>
          <w:tcPr>
            <w:tcW w:w="1560" w:type="dxa"/>
            <w:shd w:val="clear" w:color="auto" w:fill="auto"/>
            <w:noWrap/>
            <w:vAlign w:val="center"/>
            <w:hideMark/>
          </w:tcPr>
          <w:p w14:paraId="45E534AB"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124,9 </w:t>
            </w:r>
          </w:p>
        </w:tc>
        <w:tc>
          <w:tcPr>
            <w:tcW w:w="1701" w:type="dxa"/>
            <w:shd w:val="clear" w:color="auto" w:fill="auto"/>
            <w:noWrap/>
            <w:vAlign w:val="center"/>
            <w:hideMark/>
          </w:tcPr>
          <w:p w14:paraId="05225413"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1100091D"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324,2 </w:t>
            </w:r>
          </w:p>
        </w:tc>
      </w:tr>
      <w:tr w:rsidR="00C30199" w:rsidRPr="00EF7CCF" w14:paraId="626CD709" w14:textId="77777777" w:rsidTr="00FA22E5">
        <w:trPr>
          <w:trHeight w:val="284"/>
        </w:trPr>
        <w:tc>
          <w:tcPr>
            <w:tcW w:w="1134" w:type="dxa"/>
            <w:shd w:val="clear" w:color="auto" w:fill="auto"/>
            <w:noWrap/>
            <w:vAlign w:val="center"/>
            <w:hideMark/>
          </w:tcPr>
          <w:p w14:paraId="0FA9E6A5"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2014</w:t>
            </w:r>
          </w:p>
        </w:tc>
        <w:tc>
          <w:tcPr>
            <w:tcW w:w="1681" w:type="dxa"/>
            <w:shd w:val="clear" w:color="auto" w:fill="auto"/>
            <w:noWrap/>
            <w:vAlign w:val="center"/>
            <w:hideMark/>
          </w:tcPr>
          <w:p w14:paraId="0401F1D5"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59A71A18"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197,9 </w:t>
            </w:r>
          </w:p>
        </w:tc>
        <w:tc>
          <w:tcPr>
            <w:tcW w:w="1560" w:type="dxa"/>
            <w:shd w:val="clear" w:color="auto" w:fill="auto"/>
            <w:noWrap/>
            <w:vAlign w:val="center"/>
            <w:hideMark/>
          </w:tcPr>
          <w:p w14:paraId="7AA100E1"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123,2 </w:t>
            </w:r>
          </w:p>
        </w:tc>
        <w:tc>
          <w:tcPr>
            <w:tcW w:w="1701" w:type="dxa"/>
            <w:shd w:val="clear" w:color="auto" w:fill="auto"/>
            <w:noWrap/>
            <w:vAlign w:val="center"/>
            <w:hideMark/>
          </w:tcPr>
          <w:p w14:paraId="0DABA2BD"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0C8EEED3"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321,1 </w:t>
            </w:r>
          </w:p>
        </w:tc>
      </w:tr>
      <w:tr w:rsidR="00C30199" w:rsidRPr="00EF7CCF" w14:paraId="314E32D0" w14:textId="77777777" w:rsidTr="00FA22E5">
        <w:trPr>
          <w:trHeight w:val="284"/>
        </w:trPr>
        <w:tc>
          <w:tcPr>
            <w:tcW w:w="1134" w:type="dxa"/>
            <w:shd w:val="clear" w:color="auto" w:fill="auto"/>
            <w:noWrap/>
            <w:vAlign w:val="center"/>
            <w:hideMark/>
          </w:tcPr>
          <w:p w14:paraId="048271EE"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2015</w:t>
            </w:r>
          </w:p>
        </w:tc>
        <w:tc>
          <w:tcPr>
            <w:tcW w:w="1681" w:type="dxa"/>
            <w:shd w:val="clear" w:color="auto" w:fill="auto"/>
            <w:noWrap/>
            <w:vAlign w:val="center"/>
            <w:hideMark/>
          </w:tcPr>
          <w:p w14:paraId="1B595C07"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4E2C4498"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196,4 </w:t>
            </w:r>
          </w:p>
        </w:tc>
        <w:tc>
          <w:tcPr>
            <w:tcW w:w="1560" w:type="dxa"/>
            <w:shd w:val="clear" w:color="auto" w:fill="auto"/>
            <w:noWrap/>
            <w:vAlign w:val="center"/>
            <w:hideMark/>
          </w:tcPr>
          <w:p w14:paraId="13506313"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121,4 </w:t>
            </w:r>
          </w:p>
        </w:tc>
        <w:tc>
          <w:tcPr>
            <w:tcW w:w="1701" w:type="dxa"/>
            <w:shd w:val="clear" w:color="auto" w:fill="auto"/>
            <w:noWrap/>
            <w:vAlign w:val="center"/>
            <w:hideMark/>
          </w:tcPr>
          <w:p w14:paraId="0DF579F1"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1D53C235"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317,7 </w:t>
            </w:r>
          </w:p>
        </w:tc>
      </w:tr>
      <w:tr w:rsidR="00C30199" w:rsidRPr="00EF7CCF" w14:paraId="65C32EE0" w14:textId="77777777" w:rsidTr="00FA22E5">
        <w:trPr>
          <w:trHeight w:val="284"/>
        </w:trPr>
        <w:tc>
          <w:tcPr>
            <w:tcW w:w="1134" w:type="dxa"/>
            <w:shd w:val="clear" w:color="auto" w:fill="auto"/>
            <w:noWrap/>
            <w:vAlign w:val="center"/>
            <w:hideMark/>
          </w:tcPr>
          <w:p w14:paraId="20001AF3"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2016</w:t>
            </w:r>
          </w:p>
        </w:tc>
        <w:tc>
          <w:tcPr>
            <w:tcW w:w="1681" w:type="dxa"/>
            <w:shd w:val="clear" w:color="auto" w:fill="auto"/>
            <w:noWrap/>
            <w:vAlign w:val="center"/>
            <w:hideMark/>
          </w:tcPr>
          <w:p w14:paraId="3F169765"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60BAE398"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194,6 </w:t>
            </w:r>
          </w:p>
        </w:tc>
        <w:tc>
          <w:tcPr>
            <w:tcW w:w="1560" w:type="dxa"/>
            <w:shd w:val="clear" w:color="auto" w:fill="auto"/>
            <w:noWrap/>
            <w:vAlign w:val="center"/>
            <w:hideMark/>
          </w:tcPr>
          <w:p w14:paraId="7CBA1941"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119,3 </w:t>
            </w:r>
          </w:p>
        </w:tc>
        <w:tc>
          <w:tcPr>
            <w:tcW w:w="1701" w:type="dxa"/>
            <w:shd w:val="clear" w:color="auto" w:fill="auto"/>
            <w:noWrap/>
            <w:vAlign w:val="center"/>
            <w:hideMark/>
          </w:tcPr>
          <w:p w14:paraId="0A67C70E"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4A4C220D"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313,9 </w:t>
            </w:r>
          </w:p>
        </w:tc>
      </w:tr>
      <w:tr w:rsidR="00C30199" w:rsidRPr="00EF7CCF" w14:paraId="4FA4C1AF" w14:textId="77777777" w:rsidTr="00FA22E5">
        <w:trPr>
          <w:trHeight w:val="284"/>
        </w:trPr>
        <w:tc>
          <w:tcPr>
            <w:tcW w:w="1134" w:type="dxa"/>
            <w:shd w:val="clear" w:color="auto" w:fill="auto"/>
            <w:noWrap/>
            <w:vAlign w:val="center"/>
            <w:hideMark/>
          </w:tcPr>
          <w:p w14:paraId="0BEA45A2"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2017</w:t>
            </w:r>
          </w:p>
        </w:tc>
        <w:tc>
          <w:tcPr>
            <w:tcW w:w="1681" w:type="dxa"/>
            <w:shd w:val="clear" w:color="auto" w:fill="auto"/>
            <w:noWrap/>
            <w:vAlign w:val="center"/>
            <w:hideMark/>
          </w:tcPr>
          <w:p w14:paraId="357E0DCD"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3FE442EC"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192,6 </w:t>
            </w:r>
          </w:p>
        </w:tc>
        <w:tc>
          <w:tcPr>
            <w:tcW w:w="1560" w:type="dxa"/>
            <w:shd w:val="clear" w:color="auto" w:fill="auto"/>
            <w:noWrap/>
            <w:vAlign w:val="center"/>
            <w:hideMark/>
          </w:tcPr>
          <w:p w14:paraId="32E81C38"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117,1 </w:t>
            </w:r>
          </w:p>
        </w:tc>
        <w:tc>
          <w:tcPr>
            <w:tcW w:w="1701" w:type="dxa"/>
            <w:shd w:val="clear" w:color="auto" w:fill="auto"/>
            <w:noWrap/>
            <w:vAlign w:val="center"/>
            <w:hideMark/>
          </w:tcPr>
          <w:p w14:paraId="0D8F6AEF"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52061D74"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309,7 </w:t>
            </w:r>
          </w:p>
        </w:tc>
      </w:tr>
      <w:tr w:rsidR="00C30199" w:rsidRPr="00EF7CCF" w14:paraId="0EF939F4" w14:textId="77777777" w:rsidTr="00FA22E5">
        <w:trPr>
          <w:trHeight w:val="284"/>
        </w:trPr>
        <w:tc>
          <w:tcPr>
            <w:tcW w:w="1134" w:type="dxa"/>
            <w:shd w:val="clear" w:color="auto" w:fill="auto"/>
            <w:noWrap/>
            <w:vAlign w:val="center"/>
            <w:hideMark/>
          </w:tcPr>
          <w:p w14:paraId="7EA7288B"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2018</w:t>
            </w:r>
          </w:p>
        </w:tc>
        <w:tc>
          <w:tcPr>
            <w:tcW w:w="1681" w:type="dxa"/>
            <w:shd w:val="clear" w:color="auto" w:fill="auto"/>
            <w:noWrap/>
            <w:vAlign w:val="center"/>
            <w:hideMark/>
          </w:tcPr>
          <w:p w14:paraId="6DCB51C2"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2C0C63A8"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190,4 </w:t>
            </w:r>
          </w:p>
        </w:tc>
        <w:tc>
          <w:tcPr>
            <w:tcW w:w="1560" w:type="dxa"/>
            <w:shd w:val="clear" w:color="auto" w:fill="auto"/>
            <w:noWrap/>
            <w:vAlign w:val="center"/>
            <w:hideMark/>
          </w:tcPr>
          <w:p w14:paraId="7257F853"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114,6 </w:t>
            </w:r>
          </w:p>
        </w:tc>
        <w:tc>
          <w:tcPr>
            <w:tcW w:w="1701" w:type="dxa"/>
            <w:shd w:val="clear" w:color="auto" w:fill="auto"/>
            <w:noWrap/>
            <w:vAlign w:val="center"/>
            <w:hideMark/>
          </w:tcPr>
          <w:p w14:paraId="33DE6F41"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775EE80D"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305,0 </w:t>
            </w:r>
          </w:p>
        </w:tc>
      </w:tr>
      <w:tr w:rsidR="00C30199" w:rsidRPr="00EF7CCF" w14:paraId="0F6EDE29" w14:textId="77777777" w:rsidTr="00FA22E5">
        <w:trPr>
          <w:trHeight w:val="284"/>
        </w:trPr>
        <w:tc>
          <w:tcPr>
            <w:tcW w:w="1134" w:type="dxa"/>
            <w:shd w:val="clear" w:color="auto" w:fill="auto"/>
            <w:noWrap/>
            <w:vAlign w:val="center"/>
            <w:hideMark/>
          </w:tcPr>
          <w:p w14:paraId="0A31099B"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2019</w:t>
            </w:r>
          </w:p>
        </w:tc>
        <w:tc>
          <w:tcPr>
            <w:tcW w:w="1681" w:type="dxa"/>
            <w:shd w:val="clear" w:color="auto" w:fill="auto"/>
            <w:noWrap/>
            <w:vAlign w:val="center"/>
            <w:hideMark/>
          </w:tcPr>
          <w:p w14:paraId="164A291F"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36184B60"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187,1 </w:t>
            </w:r>
          </w:p>
        </w:tc>
        <w:tc>
          <w:tcPr>
            <w:tcW w:w="1560" w:type="dxa"/>
            <w:shd w:val="clear" w:color="auto" w:fill="auto"/>
            <w:noWrap/>
            <w:vAlign w:val="center"/>
            <w:hideMark/>
          </w:tcPr>
          <w:p w14:paraId="5D1075CB"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112,0 </w:t>
            </w:r>
          </w:p>
        </w:tc>
        <w:tc>
          <w:tcPr>
            <w:tcW w:w="1701" w:type="dxa"/>
            <w:shd w:val="clear" w:color="auto" w:fill="auto"/>
            <w:noWrap/>
            <w:vAlign w:val="center"/>
            <w:hideMark/>
          </w:tcPr>
          <w:p w14:paraId="5B83D75E"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6BEA1D31"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299,1 </w:t>
            </w:r>
          </w:p>
        </w:tc>
      </w:tr>
      <w:tr w:rsidR="00C30199" w:rsidRPr="00EF7CCF" w14:paraId="55B90690" w14:textId="77777777" w:rsidTr="00FA22E5">
        <w:trPr>
          <w:trHeight w:val="284"/>
        </w:trPr>
        <w:tc>
          <w:tcPr>
            <w:tcW w:w="1134" w:type="dxa"/>
            <w:shd w:val="clear" w:color="auto" w:fill="auto"/>
            <w:noWrap/>
            <w:vAlign w:val="center"/>
            <w:hideMark/>
          </w:tcPr>
          <w:p w14:paraId="2B4D7A07"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2020</w:t>
            </w:r>
          </w:p>
        </w:tc>
        <w:tc>
          <w:tcPr>
            <w:tcW w:w="1681" w:type="dxa"/>
            <w:shd w:val="clear" w:color="auto" w:fill="auto"/>
            <w:noWrap/>
            <w:vAlign w:val="center"/>
            <w:hideMark/>
          </w:tcPr>
          <w:p w14:paraId="564F1BAF"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33E5EACE"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183,6 </w:t>
            </w:r>
          </w:p>
        </w:tc>
        <w:tc>
          <w:tcPr>
            <w:tcW w:w="1560" w:type="dxa"/>
            <w:shd w:val="clear" w:color="auto" w:fill="auto"/>
            <w:noWrap/>
            <w:vAlign w:val="center"/>
            <w:hideMark/>
          </w:tcPr>
          <w:p w14:paraId="166DBFB3"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109,0 </w:t>
            </w:r>
          </w:p>
        </w:tc>
        <w:tc>
          <w:tcPr>
            <w:tcW w:w="1701" w:type="dxa"/>
            <w:shd w:val="clear" w:color="auto" w:fill="auto"/>
            <w:noWrap/>
            <w:vAlign w:val="center"/>
            <w:hideMark/>
          </w:tcPr>
          <w:p w14:paraId="0B5FE7DC"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794E8E61"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292,6 </w:t>
            </w:r>
          </w:p>
        </w:tc>
      </w:tr>
      <w:tr w:rsidR="00C30199" w:rsidRPr="00EF7CCF" w14:paraId="7C183AC6" w14:textId="77777777" w:rsidTr="00FA22E5">
        <w:trPr>
          <w:trHeight w:val="284"/>
        </w:trPr>
        <w:tc>
          <w:tcPr>
            <w:tcW w:w="1134" w:type="dxa"/>
            <w:shd w:val="clear" w:color="auto" w:fill="auto"/>
            <w:noWrap/>
            <w:vAlign w:val="center"/>
            <w:hideMark/>
          </w:tcPr>
          <w:p w14:paraId="363DAEBC" w14:textId="77777777" w:rsidR="00C30199" w:rsidRPr="00EF7CCF" w:rsidRDefault="00C30199" w:rsidP="00FA22E5">
            <w:pPr>
              <w:spacing w:after="0"/>
              <w:ind w:firstLine="0"/>
              <w:jc w:val="left"/>
              <w:rPr>
                <w:rFonts w:ascii="Arial Narrow" w:hAnsi="Arial Narrow" w:cs="Calibri"/>
                <w:color w:val="000000"/>
                <w:lang w:val="es-ES" w:eastAsia="es-ES"/>
              </w:rPr>
            </w:pPr>
            <w:r w:rsidRPr="00EF7CCF">
              <w:rPr>
                <w:rFonts w:ascii="Arial Narrow" w:hAnsi="Arial Narrow" w:cs="Calibri"/>
                <w:color w:val="000000"/>
                <w:lang w:val="es-ES" w:eastAsia="es-ES"/>
              </w:rPr>
              <w:t>2021</w:t>
            </w:r>
          </w:p>
        </w:tc>
        <w:tc>
          <w:tcPr>
            <w:tcW w:w="1681" w:type="dxa"/>
            <w:shd w:val="clear" w:color="auto" w:fill="auto"/>
            <w:noWrap/>
            <w:vAlign w:val="center"/>
            <w:hideMark/>
          </w:tcPr>
          <w:p w14:paraId="776535C4" w14:textId="77777777" w:rsidR="00C30199" w:rsidRPr="00EF7CCF" w:rsidRDefault="00C30199" w:rsidP="00FA22E5">
            <w:pPr>
              <w:spacing w:after="0"/>
              <w:ind w:firstLine="0"/>
              <w:jc w:val="right"/>
              <w:rPr>
                <w:rFonts w:ascii="Arial Narrow" w:hAnsi="Arial Narrow" w:cs="Calibri"/>
                <w:color w:val="000000"/>
                <w:lang w:val="es-ES" w:eastAsia="es-ES"/>
              </w:rPr>
            </w:pPr>
            <w:r w:rsidRPr="00EF7CCF">
              <w:rPr>
                <w:rFonts w:ascii="Arial Narrow" w:hAnsi="Arial Narrow" w:cs="Calibri"/>
                <w:color w:val="000000"/>
                <w:lang w:val="es-ES" w:eastAsia="es-ES"/>
              </w:rPr>
              <w:t>No se ajusta</w:t>
            </w:r>
          </w:p>
        </w:tc>
        <w:tc>
          <w:tcPr>
            <w:tcW w:w="1701" w:type="dxa"/>
            <w:shd w:val="clear" w:color="auto" w:fill="auto"/>
            <w:noWrap/>
            <w:vAlign w:val="center"/>
            <w:hideMark/>
          </w:tcPr>
          <w:p w14:paraId="00CC8762"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179,7 </w:t>
            </w:r>
          </w:p>
        </w:tc>
        <w:tc>
          <w:tcPr>
            <w:tcW w:w="1560" w:type="dxa"/>
            <w:shd w:val="clear" w:color="auto" w:fill="auto"/>
            <w:noWrap/>
            <w:vAlign w:val="center"/>
            <w:hideMark/>
          </w:tcPr>
          <w:p w14:paraId="417272B9"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105,8 </w:t>
            </w:r>
          </w:p>
        </w:tc>
        <w:tc>
          <w:tcPr>
            <w:tcW w:w="1701" w:type="dxa"/>
            <w:shd w:val="clear" w:color="auto" w:fill="auto"/>
            <w:noWrap/>
            <w:vAlign w:val="center"/>
            <w:hideMark/>
          </w:tcPr>
          <w:p w14:paraId="5EA7FEEB"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 No se ajusta </w:t>
            </w:r>
          </w:p>
        </w:tc>
        <w:tc>
          <w:tcPr>
            <w:tcW w:w="1295" w:type="dxa"/>
            <w:shd w:val="clear" w:color="auto" w:fill="auto"/>
            <w:noWrap/>
            <w:vAlign w:val="center"/>
            <w:hideMark/>
          </w:tcPr>
          <w:p w14:paraId="6DEB6F42" w14:textId="77777777" w:rsidR="00C30199" w:rsidRPr="00EF7CCF" w:rsidRDefault="00C30199" w:rsidP="00FA22E5">
            <w:pPr>
              <w:spacing w:after="0"/>
              <w:ind w:firstLine="0"/>
              <w:jc w:val="right"/>
              <w:rPr>
                <w:rFonts w:ascii="Arial Narrow" w:hAnsi="Arial Narrow" w:cs="Calibri"/>
                <w:lang w:val="es-ES" w:eastAsia="es-ES"/>
              </w:rPr>
            </w:pPr>
            <w:r w:rsidRPr="00EF7CCF">
              <w:rPr>
                <w:rFonts w:ascii="Arial Narrow" w:hAnsi="Arial Narrow" w:cs="Calibri"/>
                <w:lang w:val="es-ES" w:eastAsia="es-ES"/>
              </w:rPr>
              <w:t xml:space="preserve">285,6 </w:t>
            </w:r>
          </w:p>
        </w:tc>
      </w:tr>
    </w:tbl>
    <w:p w14:paraId="4893AB40" w14:textId="77777777" w:rsidR="00C30199" w:rsidRDefault="00C30199" w:rsidP="004A2D3C">
      <w:pPr>
        <w:pStyle w:val="texto"/>
        <w:tabs>
          <w:tab w:val="clear" w:pos="2835"/>
          <w:tab w:val="clear" w:pos="3969"/>
          <w:tab w:val="clear" w:pos="5103"/>
          <w:tab w:val="clear" w:pos="6237"/>
          <w:tab w:val="clear" w:pos="7371"/>
          <w:tab w:val="left" w:pos="480"/>
          <w:tab w:val="num" w:pos="600"/>
          <w:tab w:val="num" w:pos="720"/>
          <w:tab w:val="num" w:pos="1320"/>
          <w:tab w:val="num" w:pos="2062"/>
        </w:tabs>
        <w:spacing w:before="60" w:after="0"/>
        <w:ind w:firstLine="0"/>
        <w:rPr>
          <w:rFonts w:ascii="Arial" w:hAnsi="Arial" w:cs="Arial"/>
          <w:sz w:val="16"/>
          <w:szCs w:val="16"/>
        </w:rPr>
      </w:pPr>
      <w:r w:rsidRPr="00FD08F0">
        <w:rPr>
          <w:rFonts w:ascii="Arial" w:hAnsi="Arial" w:cs="Arial"/>
          <w:sz w:val="16"/>
          <w:szCs w:val="16"/>
        </w:rPr>
        <w:t>Fuente: Tabla enviada por el Estado facilitada por la Sección de Contabilidad Nacional</w:t>
      </w:r>
      <w:r w:rsidR="00F1415E">
        <w:rPr>
          <w:rFonts w:ascii="Arial" w:hAnsi="Arial" w:cs="Arial"/>
          <w:sz w:val="16"/>
          <w:szCs w:val="16"/>
        </w:rPr>
        <w:t>.</w:t>
      </w:r>
    </w:p>
    <w:p w14:paraId="641D90B0" w14:textId="77777777" w:rsidR="00FA22E5" w:rsidRDefault="009F63CF" w:rsidP="00FA22E5">
      <w:pPr>
        <w:pStyle w:val="texto"/>
        <w:tabs>
          <w:tab w:val="clear" w:pos="2835"/>
          <w:tab w:val="clear" w:pos="3969"/>
          <w:tab w:val="clear" w:pos="5103"/>
          <w:tab w:val="clear" w:pos="6237"/>
          <w:tab w:val="clear" w:pos="7371"/>
          <w:tab w:val="left" w:pos="480"/>
          <w:tab w:val="num" w:pos="720"/>
          <w:tab w:val="num" w:pos="1320"/>
          <w:tab w:val="num" w:pos="2062"/>
        </w:tabs>
        <w:spacing w:before="240" w:after="0"/>
        <w:rPr>
          <w:szCs w:val="26"/>
        </w:rPr>
      </w:pPr>
      <w:r>
        <w:rPr>
          <w:szCs w:val="26"/>
        </w:rPr>
        <w:t>Por tanto, la Autovía del Pirineo y la Primera F</w:t>
      </w:r>
      <w:r w:rsidR="00776739" w:rsidRPr="00067F9B">
        <w:rPr>
          <w:szCs w:val="26"/>
        </w:rPr>
        <w:t>ase del Canal de Navarra tienen una repercusión directa en el déficit y la deuda en la ACFN a efectos del cu</w:t>
      </w:r>
      <w:r w:rsidR="00067F9B" w:rsidRPr="00067F9B">
        <w:rPr>
          <w:szCs w:val="26"/>
        </w:rPr>
        <w:t>mplimiento de los objetivos de e</w:t>
      </w:r>
      <w:r w:rsidR="00776739" w:rsidRPr="00067F9B">
        <w:rPr>
          <w:szCs w:val="26"/>
        </w:rPr>
        <w:t>stabilidad</w:t>
      </w:r>
      <w:r w:rsidR="00067F9B" w:rsidRPr="00067F9B">
        <w:rPr>
          <w:szCs w:val="26"/>
        </w:rPr>
        <w:t xml:space="preserve"> p</w:t>
      </w:r>
      <w:r w:rsidR="00776739" w:rsidRPr="00067F9B">
        <w:rPr>
          <w:szCs w:val="26"/>
        </w:rPr>
        <w:t>resupuestaria</w:t>
      </w:r>
      <w:r w:rsidR="00067F9B" w:rsidRPr="00067F9B">
        <w:rPr>
          <w:szCs w:val="26"/>
        </w:rPr>
        <w:t xml:space="preserve"> y s</w:t>
      </w:r>
      <w:r w:rsidR="00776739" w:rsidRPr="00067F9B">
        <w:rPr>
          <w:szCs w:val="26"/>
        </w:rPr>
        <w:t>ostenibilidad</w:t>
      </w:r>
      <w:r w:rsidR="00067F9B" w:rsidRPr="00067F9B">
        <w:rPr>
          <w:szCs w:val="26"/>
        </w:rPr>
        <w:t xml:space="preserve"> f</w:t>
      </w:r>
      <w:r w:rsidR="00776739" w:rsidRPr="00067F9B">
        <w:rPr>
          <w:szCs w:val="26"/>
        </w:rPr>
        <w:t xml:space="preserve">inanciera. </w:t>
      </w:r>
    </w:p>
    <w:p w14:paraId="5D4492FE" w14:textId="77777777" w:rsidR="00C30199" w:rsidRDefault="00C30199" w:rsidP="008F14A4">
      <w:pPr>
        <w:pStyle w:val="texto"/>
        <w:tabs>
          <w:tab w:val="clear" w:pos="2835"/>
          <w:tab w:val="clear" w:pos="3969"/>
          <w:tab w:val="clear" w:pos="5103"/>
          <w:tab w:val="clear" w:pos="6237"/>
          <w:tab w:val="clear" w:pos="7371"/>
          <w:tab w:val="left" w:pos="480"/>
          <w:tab w:val="num" w:pos="720"/>
          <w:tab w:val="num" w:pos="1320"/>
          <w:tab w:val="num" w:pos="2062"/>
        </w:tabs>
        <w:spacing w:before="120" w:after="0"/>
        <w:rPr>
          <w:szCs w:val="26"/>
        </w:rPr>
      </w:pPr>
      <w:r>
        <w:rPr>
          <w:szCs w:val="26"/>
        </w:rPr>
        <w:br w:type="page"/>
      </w:r>
    </w:p>
    <w:p w14:paraId="2AC7F90F" w14:textId="77777777" w:rsidR="00C30199" w:rsidRPr="002664D4" w:rsidRDefault="002664D4" w:rsidP="002664D4">
      <w:pPr>
        <w:pStyle w:val="atitulo1"/>
        <w:rPr>
          <w:b w:val="0"/>
        </w:rPr>
      </w:pPr>
      <w:bookmarkStart w:id="32" w:name="_Toc126321327"/>
      <w:r>
        <w:t>Apéndice 3</w:t>
      </w:r>
      <w:r w:rsidRPr="0040652A">
        <w:t xml:space="preserve">: </w:t>
      </w:r>
      <w:r w:rsidR="00C30199" w:rsidRPr="002664D4">
        <w:t>Marco jurídico aplicable</w:t>
      </w:r>
      <w:bookmarkEnd w:id="32"/>
    </w:p>
    <w:p w14:paraId="54AA85AC" w14:textId="77777777" w:rsidR="00C30199" w:rsidRPr="006E060A" w:rsidRDefault="00C30199" w:rsidP="00C30199">
      <w:pPr>
        <w:spacing w:after="100"/>
        <w:ind w:firstLine="284"/>
        <w:rPr>
          <w:rFonts w:eastAsia="Calibri"/>
          <w:sz w:val="26"/>
          <w:szCs w:val="26"/>
          <w:lang w:eastAsia="es-ES"/>
        </w:rPr>
      </w:pPr>
      <w:r w:rsidRPr="006E060A">
        <w:rPr>
          <w:rFonts w:eastAsia="Calibri"/>
          <w:sz w:val="26"/>
          <w:szCs w:val="26"/>
          <w:lang w:eastAsia="es-ES"/>
        </w:rPr>
        <w:t>El marco jurídico aplicable a estas actuaciones (a la gestión de las concesiones) es el siguiente:</w:t>
      </w:r>
    </w:p>
    <w:p w14:paraId="2CD6ED6E" w14:textId="77777777" w:rsidR="00C30199" w:rsidRPr="006E060A" w:rsidRDefault="00C30199" w:rsidP="00C30199">
      <w:pPr>
        <w:numPr>
          <w:ilvl w:val="0"/>
          <w:numId w:val="13"/>
        </w:numPr>
        <w:spacing w:after="0"/>
        <w:ind w:left="426" w:firstLine="0"/>
        <w:rPr>
          <w:rFonts w:eastAsia="Calibri"/>
          <w:sz w:val="26"/>
          <w:szCs w:val="26"/>
          <w:lang w:eastAsia="es-ES"/>
        </w:rPr>
      </w:pPr>
      <w:r w:rsidRPr="006E060A">
        <w:rPr>
          <w:rFonts w:eastAsia="Calibri"/>
          <w:sz w:val="26"/>
          <w:szCs w:val="26"/>
          <w:lang w:eastAsia="es-ES"/>
        </w:rPr>
        <w:t>Ley Foral 10/1998, de 13 de abril, de Contratos Públicos.</w:t>
      </w:r>
    </w:p>
    <w:p w14:paraId="4C5F558C" w14:textId="77777777" w:rsidR="00C30199" w:rsidRPr="006E060A" w:rsidRDefault="00C30199" w:rsidP="00C30199">
      <w:pPr>
        <w:numPr>
          <w:ilvl w:val="0"/>
          <w:numId w:val="13"/>
        </w:numPr>
        <w:spacing w:after="0"/>
        <w:ind w:left="426" w:firstLine="0"/>
        <w:rPr>
          <w:rFonts w:eastAsia="Calibri"/>
          <w:sz w:val="26"/>
          <w:szCs w:val="26"/>
          <w:lang w:eastAsia="es-ES"/>
        </w:rPr>
      </w:pPr>
      <w:r w:rsidRPr="006E060A">
        <w:rPr>
          <w:rFonts w:eastAsia="Calibri"/>
          <w:sz w:val="26"/>
          <w:szCs w:val="26"/>
          <w:lang w:eastAsia="es-ES"/>
        </w:rPr>
        <w:t>Ley Foral 6/2006, de 9 de junio, de Contratos Públicos.</w:t>
      </w:r>
    </w:p>
    <w:p w14:paraId="0061CBBB" w14:textId="77777777" w:rsidR="00C30199" w:rsidRPr="006E060A" w:rsidRDefault="00C30199" w:rsidP="00C30199">
      <w:pPr>
        <w:numPr>
          <w:ilvl w:val="0"/>
          <w:numId w:val="13"/>
        </w:numPr>
        <w:spacing w:after="0"/>
        <w:ind w:left="426" w:firstLine="0"/>
        <w:rPr>
          <w:rFonts w:eastAsia="Calibri"/>
          <w:sz w:val="26"/>
          <w:szCs w:val="26"/>
          <w:lang w:eastAsia="es-ES"/>
        </w:rPr>
      </w:pPr>
      <w:r w:rsidRPr="006E060A">
        <w:rPr>
          <w:rFonts w:eastAsia="Calibri"/>
          <w:sz w:val="26"/>
          <w:szCs w:val="26"/>
          <w:lang w:eastAsia="es-ES"/>
        </w:rPr>
        <w:t>Ley Orgánica 2/2012, de 27 de abril, de Estabilidad Presupuestaria y Sostenibilidad Financiera</w:t>
      </w:r>
      <w:r w:rsidR="00C22941">
        <w:rPr>
          <w:rFonts w:eastAsia="Calibri"/>
          <w:sz w:val="26"/>
          <w:szCs w:val="26"/>
          <w:lang w:eastAsia="es-ES"/>
        </w:rPr>
        <w:t>.</w:t>
      </w:r>
    </w:p>
    <w:p w14:paraId="42D17FAD" w14:textId="77777777" w:rsidR="00C30199" w:rsidRPr="006E060A" w:rsidRDefault="00C30199" w:rsidP="00C30199">
      <w:pPr>
        <w:numPr>
          <w:ilvl w:val="0"/>
          <w:numId w:val="13"/>
        </w:numPr>
        <w:spacing w:after="0"/>
        <w:ind w:left="426" w:firstLine="0"/>
        <w:rPr>
          <w:rFonts w:eastAsia="Calibri"/>
          <w:sz w:val="26"/>
          <w:szCs w:val="26"/>
          <w:lang w:eastAsia="es-ES"/>
        </w:rPr>
      </w:pPr>
      <w:r w:rsidRPr="00C22941">
        <w:rPr>
          <w:rFonts w:eastAsia="Calibri"/>
          <w:sz w:val="26"/>
          <w:szCs w:val="26"/>
          <w:lang w:eastAsia="es-ES"/>
        </w:rPr>
        <w:t xml:space="preserve">Ley </w:t>
      </w:r>
      <w:r w:rsidR="00FF38DB" w:rsidRPr="00C22941">
        <w:rPr>
          <w:rFonts w:eastAsia="Calibri"/>
          <w:sz w:val="26"/>
          <w:szCs w:val="26"/>
          <w:lang w:eastAsia="es-ES"/>
        </w:rPr>
        <w:t>Foral</w:t>
      </w:r>
      <w:r w:rsidRPr="00C22941">
        <w:rPr>
          <w:rFonts w:eastAsia="Calibri"/>
          <w:sz w:val="26"/>
          <w:szCs w:val="26"/>
          <w:lang w:eastAsia="es-ES"/>
        </w:rPr>
        <w:t xml:space="preserve"> </w:t>
      </w:r>
      <w:r w:rsidR="00C22941" w:rsidRPr="00C22941">
        <w:rPr>
          <w:rFonts w:eastAsia="Calibri"/>
          <w:sz w:val="26"/>
          <w:szCs w:val="26"/>
          <w:lang w:eastAsia="es-ES"/>
        </w:rPr>
        <w:t xml:space="preserve">13/2007, de 4 de abril, de la </w:t>
      </w:r>
      <w:r w:rsidRPr="00C22941">
        <w:rPr>
          <w:rFonts w:eastAsia="Calibri"/>
          <w:sz w:val="26"/>
          <w:szCs w:val="26"/>
          <w:lang w:eastAsia="es-ES"/>
        </w:rPr>
        <w:t xml:space="preserve">Hacienda Pública </w:t>
      </w:r>
      <w:r w:rsidR="00FF38DB" w:rsidRPr="00C22941">
        <w:rPr>
          <w:rFonts w:eastAsia="Calibri"/>
          <w:sz w:val="26"/>
          <w:szCs w:val="26"/>
          <w:lang w:eastAsia="es-ES"/>
        </w:rPr>
        <w:t>de Navarra</w:t>
      </w:r>
      <w:r w:rsidR="00C22941" w:rsidRPr="00C22941">
        <w:rPr>
          <w:rFonts w:eastAsia="Calibri"/>
          <w:sz w:val="26"/>
          <w:szCs w:val="26"/>
          <w:lang w:eastAsia="es-ES"/>
        </w:rPr>
        <w:t>.</w:t>
      </w:r>
      <w:r w:rsidR="00FF38DB" w:rsidRPr="00C22941">
        <w:rPr>
          <w:rFonts w:eastAsia="Calibri"/>
          <w:sz w:val="26"/>
          <w:szCs w:val="26"/>
          <w:lang w:eastAsia="es-ES"/>
        </w:rPr>
        <w:t xml:space="preserve"> </w:t>
      </w:r>
    </w:p>
    <w:p w14:paraId="7A1BF945" w14:textId="77777777" w:rsidR="00C30199" w:rsidRPr="006E060A" w:rsidRDefault="00C30199" w:rsidP="00112EEB">
      <w:pPr>
        <w:spacing w:before="360" w:after="120"/>
        <w:ind w:left="425" w:firstLine="0"/>
        <w:rPr>
          <w:rFonts w:eastAsia="Calibri"/>
          <w:sz w:val="26"/>
          <w:szCs w:val="26"/>
          <w:lang w:eastAsia="es-ES"/>
        </w:rPr>
      </w:pPr>
      <w:r w:rsidRPr="006E060A">
        <w:rPr>
          <w:rFonts w:eastAsia="Calibri"/>
          <w:sz w:val="26"/>
          <w:szCs w:val="26"/>
          <w:lang w:eastAsia="es-ES"/>
        </w:rPr>
        <w:t xml:space="preserve">Normativa relativa a las autovías: </w:t>
      </w:r>
    </w:p>
    <w:p w14:paraId="1E36CA19" w14:textId="77777777" w:rsidR="00C30199" w:rsidRPr="006E060A" w:rsidRDefault="00C30199" w:rsidP="00112EEB">
      <w:pPr>
        <w:numPr>
          <w:ilvl w:val="0"/>
          <w:numId w:val="13"/>
        </w:numPr>
        <w:spacing w:after="0"/>
        <w:ind w:left="426" w:firstLine="0"/>
        <w:rPr>
          <w:rFonts w:eastAsia="Calibri"/>
          <w:sz w:val="26"/>
          <w:szCs w:val="26"/>
          <w:lang w:eastAsia="es-ES"/>
        </w:rPr>
      </w:pPr>
      <w:r w:rsidRPr="006E060A">
        <w:rPr>
          <w:rFonts w:eastAsia="Calibri"/>
          <w:sz w:val="26"/>
          <w:szCs w:val="26"/>
          <w:lang w:eastAsia="es-ES"/>
        </w:rPr>
        <w:t>Ley Foral 21/2001, de 18 de octubre, de construcción, explotación y financiación de la Vía de Gran Capacidad Pamplona-Logroño.</w:t>
      </w:r>
    </w:p>
    <w:p w14:paraId="36F3E8A4" w14:textId="77777777" w:rsidR="00C30199" w:rsidRPr="006E060A" w:rsidRDefault="00C30199" w:rsidP="00112EEB">
      <w:pPr>
        <w:spacing w:before="360" w:after="120"/>
        <w:ind w:left="425" w:firstLine="0"/>
        <w:rPr>
          <w:rFonts w:eastAsia="Calibri"/>
          <w:sz w:val="26"/>
          <w:szCs w:val="26"/>
          <w:lang w:eastAsia="es-ES"/>
        </w:rPr>
      </w:pPr>
      <w:r w:rsidRPr="006E060A">
        <w:rPr>
          <w:rFonts w:eastAsia="Calibri"/>
          <w:sz w:val="26"/>
          <w:szCs w:val="26"/>
          <w:lang w:eastAsia="es-ES"/>
        </w:rPr>
        <w:t>Normativa relativa al Canal:</w:t>
      </w:r>
    </w:p>
    <w:p w14:paraId="4630A0F6" w14:textId="77777777" w:rsidR="00C30199" w:rsidRPr="006E060A" w:rsidRDefault="00C30199" w:rsidP="00C30199">
      <w:pPr>
        <w:numPr>
          <w:ilvl w:val="0"/>
          <w:numId w:val="13"/>
        </w:numPr>
        <w:spacing w:after="0"/>
        <w:ind w:left="426" w:firstLine="0"/>
        <w:rPr>
          <w:rFonts w:eastAsia="Calibri"/>
          <w:sz w:val="26"/>
          <w:szCs w:val="26"/>
          <w:lang w:eastAsia="es-ES"/>
        </w:rPr>
      </w:pPr>
      <w:r w:rsidRPr="006E060A">
        <w:rPr>
          <w:rFonts w:eastAsia="Calibri"/>
          <w:sz w:val="26"/>
          <w:szCs w:val="26"/>
          <w:lang w:eastAsia="es-ES"/>
        </w:rPr>
        <w:t>Ley Foral 7/1999, de 16 de marzo, de actuaciones y obras en regadíos integradas en el plan de regadíos de la Comunidad Foral de Navarra.</w:t>
      </w:r>
    </w:p>
    <w:p w14:paraId="529BDED9" w14:textId="77777777" w:rsidR="00C30199" w:rsidRPr="006E060A" w:rsidRDefault="00C30199" w:rsidP="00C30199">
      <w:pPr>
        <w:numPr>
          <w:ilvl w:val="0"/>
          <w:numId w:val="13"/>
        </w:numPr>
        <w:spacing w:after="0"/>
        <w:ind w:left="426" w:firstLine="0"/>
        <w:rPr>
          <w:rFonts w:eastAsia="Calibri"/>
          <w:sz w:val="26"/>
          <w:szCs w:val="26"/>
          <w:lang w:eastAsia="es-ES"/>
        </w:rPr>
      </w:pPr>
      <w:r w:rsidRPr="006E060A">
        <w:rPr>
          <w:rFonts w:eastAsia="Calibri"/>
          <w:sz w:val="26"/>
          <w:szCs w:val="26"/>
          <w:lang w:eastAsia="es-ES"/>
        </w:rPr>
        <w:t>Ley Foral 1/2002, de 7 de marzo</w:t>
      </w:r>
      <w:r w:rsidRPr="00731D83">
        <w:rPr>
          <w:rFonts w:eastAsia="Calibri"/>
          <w:sz w:val="26"/>
          <w:szCs w:val="26"/>
          <w:lang w:eastAsia="es-ES"/>
        </w:rPr>
        <w:t>,</w:t>
      </w:r>
      <w:r w:rsidRPr="006E060A">
        <w:rPr>
          <w:rFonts w:eastAsia="Calibri"/>
          <w:color w:val="FF0000"/>
          <w:sz w:val="26"/>
          <w:szCs w:val="26"/>
          <w:lang w:eastAsia="es-ES"/>
        </w:rPr>
        <w:t xml:space="preserve"> </w:t>
      </w:r>
      <w:r w:rsidRPr="006E060A">
        <w:rPr>
          <w:rFonts w:eastAsia="Calibri"/>
          <w:sz w:val="26"/>
          <w:szCs w:val="26"/>
          <w:lang w:eastAsia="es-ES"/>
        </w:rPr>
        <w:t>de Infraestructuras Agrícolas.</w:t>
      </w:r>
    </w:p>
    <w:p w14:paraId="40C110BC" w14:textId="77777777" w:rsidR="00C30199" w:rsidRDefault="00C30199" w:rsidP="00C30199">
      <w:pPr>
        <w:numPr>
          <w:ilvl w:val="0"/>
          <w:numId w:val="13"/>
        </w:numPr>
        <w:spacing w:after="0"/>
        <w:ind w:hanging="294"/>
        <w:contextualSpacing/>
        <w:jc w:val="left"/>
        <w:rPr>
          <w:rFonts w:eastAsia="Calibri"/>
          <w:sz w:val="26"/>
          <w:szCs w:val="26"/>
          <w:lang w:eastAsia="es-ES"/>
        </w:rPr>
      </w:pPr>
      <w:r w:rsidRPr="006E060A">
        <w:rPr>
          <w:rFonts w:eastAsia="Calibri"/>
          <w:sz w:val="26"/>
          <w:szCs w:val="26"/>
        </w:rPr>
        <w:t>Ley Foral 12/2005, de 22 de noviembre, de construcción y explotación de las</w:t>
      </w:r>
      <w:r w:rsidRPr="006E060A">
        <w:rPr>
          <w:rFonts w:eastAsia="Calibri"/>
          <w:szCs w:val="26"/>
        </w:rPr>
        <w:t xml:space="preserve"> </w:t>
      </w:r>
      <w:r w:rsidRPr="006E060A">
        <w:rPr>
          <w:rFonts w:eastAsia="Calibri"/>
          <w:sz w:val="26"/>
          <w:szCs w:val="26"/>
        </w:rPr>
        <w:t>infraestructuras de interés general de la zona regable del Canal de Navarra.</w:t>
      </w:r>
    </w:p>
    <w:p w14:paraId="49ABD756" w14:textId="77777777" w:rsidR="00377332" w:rsidRDefault="00377332" w:rsidP="00377332">
      <w:pPr>
        <w:spacing w:after="0"/>
        <w:ind w:left="720" w:firstLine="0"/>
        <w:contextualSpacing/>
        <w:jc w:val="left"/>
        <w:rPr>
          <w:rFonts w:eastAsia="Calibri"/>
          <w:sz w:val="26"/>
          <w:szCs w:val="26"/>
        </w:rPr>
      </w:pPr>
    </w:p>
    <w:bookmarkEnd w:id="8"/>
    <w:bookmarkEnd w:id="9"/>
    <w:bookmarkEnd w:id="10"/>
    <w:bookmarkEnd w:id="11"/>
    <w:bookmarkEnd w:id="12"/>
    <w:bookmarkEnd w:id="13"/>
    <w:p w14:paraId="6070CC51" w14:textId="77777777" w:rsidR="00C30199" w:rsidRPr="00CE22AD" w:rsidRDefault="00C30199" w:rsidP="00CE22AD">
      <w:pPr>
        <w:spacing w:after="0"/>
        <w:ind w:firstLine="0"/>
        <w:jc w:val="left"/>
        <w:rPr>
          <w:rFonts w:eastAsia="Calibri"/>
          <w:sz w:val="26"/>
          <w:szCs w:val="26"/>
        </w:rPr>
      </w:pPr>
    </w:p>
    <w:sectPr w:rsidR="00C30199" w:rsidRPr="00CE22AD" w:rsidSect="001C4CF1">
      <w:headerReference w:type="even" r:id="rId21"/>
      <w:footerReference w:type="default" r:id="rId22"/>
      <w:type w:val="oddPage"/>
      <w:pgSz w:w="11907" w:h="16840" w:code="9"/>
      <w:pgMar w:top="2109" w:right="1275" w:bottom="1644" w:left="1559" w:header="369" w:footer="136"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3951D" w14:textId="77777777" w:rsidR="00DA0F84" w:rsidRDefault="00DA0F84">
      <w:r>
        <w:separator/>
      </w:r>
    </w:p>
    <w:p w14:paraId="106C6403" w14:textId="77777777" w:rsidR="00DA0F84" w:rsidRDefault="00DA0F84"/>
    <w:p w14:paraId="29457EEA" w14:textId="77777777" w:rsidR="00DA0F84" w:rsidRDefault="00DA0F84"/>
    <w:p w14:paraId="6A2296D8" w14:textId="77777777" w:rsidR="00DA0F84" w:rsidRDefault="00DA0F84"/>
  </w:endnote>
  <w:endnote w:type="continuationSeparator" w:id="0">
    <w:p w14:paraId="7D171430" w14:textId="77777777" w:rsidR="00DA0F84" w:rsidRDefault="00DA0F84">
      <w:r>
        <w:continuationSeparator/>
      </w:r>
    </w:p>
    <w:p w14:paraId="796E817A" w14:textId="77777777" w:rsidR="00DA0F84" w:rsidRDefault="00DA0F84"/>
    <w:p w14:paraId="1F6A11E5" w14:textId="77777777" w:rsidR="00DA0F84" w:rsidRDefault="00DA0F84"/>
    <w:p w14:paraId="433D394F" w14:textId="77777777" w:rsidR="00DA0F84" w:rsidRDefault="00DA0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altName w:val="Courier Ne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Omega">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EYInterstate Light">
    <w:altName w:val="Times New Roman"/>
    <w:charset w:val="00"/>
    <w:family w:val="auto"/>
    <w:pitch w:val="variable"/>
    <w:sig w:usb0="00000001" w:usb1="5000206A" w:usb2="00000000" w:usb3="00000000" w:csb0="0000009F" w:csb1="00000000"/>
  </w:font>
  <w:font w:name="Verdana">
    <w:panose1 w:val="020B0604030504040204"/>
    <w:charset w:val="00"/>
    <w:family w:val="swiss"/>
    <w:pitch w:val="variable"/>
    <w:sig w:usb0="A00006FF" w:usb1="4000205B" w:usb2="00000010" w:usb3="00000000" w:csb0="0000019F" w:csb1="00000000"/>
  </w:font>
  <w:font w:name="Trajan">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77F1" w14:textId="77777777" w:rsidR="00FF1DBC" w:rsidRDefault="00FF1DBC"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3752CC6" w14:textId="77777777" w:rsidR="00FF1DBC" w:rsidRDefault="00FF1DBC" w:rsidP="005965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EB97" w14:textId="77777777" w:rsidR="00FF1DBC" w:rsidRPr="00F03814" w:rsidRDefault="00FF1DBC"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34BC7AA0" wp14:editId="3DB92644">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14:paraId="07E5D859" w14:textId="77777777" w:rsidR="00FF1DBC" w:rsidRPr="00F74E38" w:rsidRDefault="00FF1DBC"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8260" w14:textId="77777777" w:rsidR="00FF1DBC" w:rsidRDefault="00FF1DBC" w:rsidP="0059650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3384" w14:textId="77777777" w:rsidR="00FF1DBC" w:rsidRPr="00F03814" w:rsidRDefault="00FF1DBC"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1C3A323E" wp14:editId="7FA622D3">
          <wp:extent cx="213100" cy="37147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745A41">
      <w:rPr>
        <w:rStyle w:val="Nmerodepgina"/>
        <w:noProof/>
        <w:szCs w:val="24"/>
      </w:rPr>
      <w:t>44</w:t>
    </w:r>
    <w:r w:rsidRPr="001D4F09">
      <w:rPr>
        <w:rStyle w:val="Nmerodepgina"/>
        <w:szCs w:val="24"/>
      </w:rPr>
      <w:fldChar w:fldCharType="end"/>
    </w:r>
    <w:r w:rsidRPr="001D4F09">
      <w:rPr>
        <w:rStyle w:val="Nmerodepgina"/>
        <w:szCs w:val="24"/>
      </w:rPr>
      <w:t xml:space="preserve"> -</w:t>
    </w:r>
  </w:p>
  <w:p w14:paraId="217B4112" w14:textId="77777777" w:rsidR="00FF1DBC" w:rsidRDefault="00FF1D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6FE1B" w14:textId="77777777" w:rsidR="00DA0F84" w:rsidRDefault="00DA0F84" w:rsidP="00DA07F7">
      <w:pPr>
        <w:ind w:firstLine="0"/>
      </w:pPr>
      <w:r>
        <w:separator/>
      </w:r>
    </w:p>
  </w:footnote>
  <w:footnote w:type="continuationSeparator" w:id="0">
    <w:p w14:paraId="27C37946" w14:textId="77777777" w:rsidR="00DA0F84" w:rsidRDefault="00DA0F84">
      <w:r>
        <w:continuationSeparator/>
      </w:r>
    </w:p>
    <w:p w14:paraId="11102755" w14:textId="77777777" w:rsidR="00DA0F84" w:rsidRDefault="00DA0F84"/>
    <w:p w14:paraId="33C1A47F" w14:textId="77777777" w:rsidR="00DA0F84" w:rsidRDefault="00DA0F84"/>
    <w:p w14:paraId="26D073F4" w14:textId="77777777" w:rsidR="00DA0F84" w:rsidRDefault="00DA0F84"/>
  </w:footnote>
  <w:footnote w:id="1">
    <w:p w14:paraId="23930299" w14:textId="77777777" w:rsidR="00FF1DBC" w:rsidRPr="00464D7F" w:rsidRDefault="00FF1DBC" w:rsidP="00585A5D">
      <w:pPr>
        <w:pStyle w:val="Textonotapie"/>
        <w:ind w:firstLine="0"/>
        <w:rPr>
          <w:lang w:val="es-ES"/>
        </w:rPr>
      </w:pPr>
      <w:r>
        <w:rPr>
          <w:rStyle w:val="Refdenotaalpie"/>
        </w:rPr>
        <w:footnoteRef/>
      </w:r>
      <w:r>
        <w:t xml:space="preserve"> </w:t>
      </w:r>
      <w:r>
        <w:rPr>
          <w:lang w:val="es-ES"/>
        </w:rPr>
        <w:t>Desde 2013 Comité Técnico de Cuentas Nacionales.</w:t>
      </w:r>
    </w:p>
  </w:footnote>
  <w:footnote w:id="2">
    <w:p w14:paraId="59D76A7E" w14:textId="77777777" w:rsidR="00FF1DBC" w:rsidRPr="00F21C65" w:rsidRDefault="00FF1DBC" w:rsidP="00E508C0">
      <w:pPr>
        <w:pStyle w:val="Textonotapie"/>
        <w:spacing w:after="120"/>
        <w:ind w:firstLine="0"/>
        <w:rPr>
          <w:lang w:val="es-ES"/>
        </w:rPr>
      </w:pPr>
      <w:r>
        <w:rPr>
          <w:rStyle w:val="Refdenotaalpie"/>
        </w:rPr>
        <w:footnoteRef/>
      </w:r>
      <w:r>
        <w:t xml:space="preserve"> </w:t>
      </w:r>
      <w:r w:rsidRPr="00447C00">
        <w:rPr>
          <w:spacing w:val="-2"/>
          <w:lang w:val="es-ES"/>
        </w:rPr>
        <w:t xml:space="preserve">Corrección del importe total anual del canon </w:t>
      </w:r>
      <w:r w:rsidRPr="00E508C0">
        <w:rPr>
          <w:spacing w:val="-2"/>
          <w:lang w:val="es-ES"/>
        </w:rPr>
        <w:t xml:space="preserve">correspondiente a un </w:t>
      </w:r>
      <w:r w:rsidRPr="00447C00">
        <w:rPr>
          <w:spacing w:val="-2"/>
          <w:lang w:val="es-ES"/>
        </w:rPr>
        <w:t>determinado tramo de tráfico, cuando el número de vehículos/km/año supere determinados niveles de servicio</w:t>
      </w:r>
      <w:r w:rsidRPr="00F21C65">
        <w:rPr>
          <w:spacing w:val="-2"/>
          <w:lang w:val="es-ES"/>
        </w:rPr>
        <w:t xml:space="preserve">. </w:t>
      </w:r>
    </w:p>
  </w:footnote>
  <w:footnote w:id="3">
    <w:p w14:paraId="381D457B" w14:textId="77777777" w:rsidR="00FF1DBC" w:rsidRDefault="00FF1DBC" w:rsidP="00585A5D">
      <w:pPr>
        <w:pStyle w:val="Textonotapie"/>
        <w:ind w:firstLine="0"/>
      </w:pPr>
      <w:r>
        <w:rPr>
          <w:rStyle w:val="Refdenotaalpie"/>
        </w:rPr>
        <w:footnoteRef/>
      </w:r>
      <w:r>
        <w:t xml:space="preserve"> Desde 2013 el Comité Técnico de Cuentas Nacionales.</w:t>
      </w:r>
    </w:p>
  </w:footnote>
  <w:footnote w:id="4">
    <w:p w14:paraId="55FF5420" w14:textId="77777777" w:rsidR="00FF1DBC" w:rsidRPr="008E42A0" w:rsidRDefault="00FF1DBC" w:rsidP="00F97631">
      <w:pPr>
        <w:pStyle w:val="Textonotapie"/>
        <w:ind w:firstLine="0"/>
        <w:rPr>
          <w:lang w:val="es-ES"/>
        </w:rPr>
      </w:pPr>
      <w:r>
        <w:rPr>
          <w:rStyle w:val="Refdenotaalpie"/>
        </w:rPr>
        <w:footnoteRef/>
      </w:r>
      <w:r>
        <w:t xml:space="preserve"> </w:t>
      </w:r>
      <w:r w:rsidRPr="00DC50AB">
        <w:t xml:space="preserve">El concesionario no cobrará canon de demanda por los vehículos que superen los límites superiores </w:t>
      </w:r>
      <w:r>
        <w:t>establecidos, 291 millones vehículos/km/año para ligeros y 36,5 millones vehículos/km/año para pesados.</w:t>
      </w:r>
    </w:p>
  </w:footnote>
  <w:footnote w:id="5">
    <w:p w14:paraId="3F4B44AA" w14:textId="77777777" w:rsidR="00FF1DBC" w:rsidRPr="00A24812" w:rsidRDefault="00FF1DBC" w:rsidP="000D3237">
      <w:pPr>
        <w:pStyle w:val="Textonotapie"/>
        <w:spacing w:after="120"/>
        <w:ind w:firstLine="0"/>
        <w:rPr>
          <w:lang w:val="es-ES"/>
        </w:rPr>
      </w:pPr>
      <w:r>
        <w:rPr>
          <w:rStyle w:val="Refdenotaalpie"/>
        </w:rPr>
        <w:footnoteRef/>
      </w:r>
      <w:r>
        <w:t xml:space="preserve"> </w:t>
      </w:r>
      <w:r w:rsidRPr="00EF08B7">
        <w:rPr>
          <w:lang w:val="es-ES"/>
        </w:rPr>
        <w:t xml:space="preserve">En 2020 los </w:t>
      </w:r>
      <w:r w:rsidRPr="00A24812">
        <w:rPr>
          <w:lang w:val="es-ES"/>
        </w:rPr>
        <w:t>accionistas de Autovía del Pirineo S.A. aportaron el 100% de su participación a la sociedad Iridium Hermes Roads, S.L.</w:t>
      </w:r>
    </w:p>
  </w:footnote>
  <w:footnote w:id="6">
    <w:p w14:paraId="4595FCF5" w14:textId="77777777" w:rsidR="00FF1DBC" w:rsidRPr="004D4990" w:rsidRDefault="00FF1DBC" w:rsidP="005C0319">
      <w:pPr>
        <w:pStyle w:val="Textonotapie"/>
        <w:ind w:firstLine="0"/>
        <w:rPr>
          <w:lang w:val="es-ES"/>
        </w:rPr>
      </w:pPr>
      <w:r>
        <w:rPr>
          <w:rStyle w:val="Refdenotaalpie"/>
        </w:rPr>
        <w:footnoteRef/>
      </w:r>
      <w:r>
        <w:t xml:space="preserve"> </w:t>
      </w:r>
      <w:r w:rsidRPr="00D853D8">
        <w:t>Existe</w:t>
      </w:r>
      <w:r>
        <w:t xml:space="preserve"> </w:t>
      </w:r>
      <w:r>
        <w:rPr>
          <w:lang w:val="es-ES"/>
        </w:rPr>
        <w:t>una comunidad de regantes por cada sector de riego.</w:t>
      </w:r>
    </w:p>
  </w:footnote>
  <w:footnote w:id="7">
    <w:p w14:paraId="26161C9F" w14:textId="77777777" w:rsidR="00FF1DBC" w:rsidRDefault="00FF1DBC" w:rsidP="000D3237">
      <w:pPr>
        <w:pStyle w:val="Textonotapie"/>
        <w:spacing w:after="120"/>
        <w:ind w:firstLine="0"/>
      </w:pPr>
      <w:r>
        <w:rPr>
          <w:rStyle w:val="Refdenotaalpie"/>
        </w:rPr>
        <w:footnoteRef/>
      </w:r>
      <w:r>
        <w:t xml:space="preserve"> Hasta 2014 en la Autovía del Camino se realizó con medios propios </w:t>
      </w:r>
    </w:p>
  </w:footnote>
  <w:footnote w:id="8">
    <w:p w14:paraId="3954BC88" w14:textId="77777777" w:rsidR="00FF1DBC" w:rsidRPr="004A2D3C" w:rsidRDefault="00FF1DBC" w:rsidP="00CD3E31">
      <w:pPr>
        <w:pStyle w:val="Textonotapie"/>
        <w:spacing w:after="120"/>
        <w:ind w:firstLine="0"/>
        <w:rPr>
          <w:spacing w:val="6"/>
          <w:lang w:val="es-ES"/>
        </w:rPr>
      </w:pPr>
      <w:r w:rsidRPr="004A2D3C">
        <w:rPr>
          <w:rStyle w:val="Refdenotaalpie"/>
          <w:spacing w:val="6"/>
        </w:rPr>
        <w:footnoteRef/>
      </w:r>
      <w:r w:rsidRPr="004A2D3C">
        <w:rPr>
          <w:spacing w:val="6"/>
        </w:rPr>
        <w:t xml:space="preserve"> </w:t>
      </w:r>
      <w:r w:rsidRPr="004A2D3C">
        <w:rPr>
          <w:spacing w:val="6"/>
          <w:lang w:val="es-ES"/>
        </w:rPr>
        <w:t>Orden HAC/820/2021, de 9 de julio, por la que se modifican el Plan General de Contabilidad Pública, aprobado por Orden EHA/1037/2010, de 13 de abril y las normas para la formulación de Cuentas Anuales Consolidadas en el Ámbito del Sector Público, aprobadas por Orden HAP/1489/2013, de 18 de julio.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EFBFC" w14:textId="77777777" w:rsidR="00FF1DBC" w:rsidRPr="0059650E" w:rsidRDefault="00FF1DBC" w:rsidP="002E31B1">
    <w:pPr>
      <w:pStyle w:val="Encabezado"/>
      <w:pBdr>
        <w:bottom w:val="single" w:sz="4" w:space="1" w:color="auto"/>
      </w:pBdr>
      <w:spacing w:after="40"/>
      <w:ind w:firstLine="0"/>
      <w:jc w:val="left"/>
      <w:rPr>
        <w:lang w:val="es-ES"/>
      </w:rPr>
    </w:pPr>
    <w:r>
      <w:rPr>
        <w:b/>
        <w:noProof/>
        <w:lang w:val="es-ES" w:eastAsia="es-ES"/>
      </w:rPr>
      <w:drawing>
        <wp:inline distT="0" distB="0" distL="0" distR="0" wp14:anchorId="055A2144" wp14:editId="6DBADCFB">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informe de fiscalización sobre concesiones realizadas mediante peaje en sombra, 2014-2021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F7199" w14:textId="77777777" w:rsidR="00FF1DBC" w:rsidRDefault="00FF1DBC" w:rsidP="006A2D41">
    <w:pPr>
      <w:pStyle w:val="Encabezado"/>
      <w:ind w:firstLine="0"/>
      <w:jc w:val="left"/>
    </w:pPr>
    <w:r>
      <w:rPr>
        <w:noProof/>
        <w:lang w:val="es-ES" w:eastAsia="es-ES"/>
      </w:rPr>
      <w:drawing>
        <wp:inline distT="0" distB="0" distL="0" distR="0" wp14:anchorId="02FDC5E4" wp14:editId="5C9D5E5E">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67D8" w14:textId="77777777" w:rsidR="00FF1DBC" w:rsidRDefault="00FF1DBC"/>
  <w:p w14:paraId="01DECE65" w14:textId="77777777" w:rsidR="00FF1DBC" w:rsidRDefault="00FF1DBC"/>
  <w:p w14:paraId="5BA0B528" w14:textId="77777777" w:rsidR="00FF1DBC" w:rsidRDefault="00FF1DB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1" w15:restartNumberingAfterBreak="0">
    <w:nsid w:val="04205E54"/>
    <w:multiLevelType w:val="hybridMultilevel"/>
    <w:tmpl w:val="02D60F36"/>
    <w:lvl w:ilvl="0" w:tplc="39ACD2D2">
      <w:start w:val="1"/>
      <w:numFmt w:val="bullet"/>
      <w:lvlText w:val=""/>
      <w:lvlJc w:val="left"/>
      <w:pPr>
        <w:ind w:left="1004"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07DE0BD8"/>
    <w:multiLevelType w:val="hybridMultilevel"/>
    <w:tmpl w:val="949E0412"/>
    <w:lvl w:ilvl="0" w:tplc="312CAD64">
      <w:start w:val="435"/>
      <w:numFmt w:val="bullet"/>
      <w:lvlText w:val="-"/>
      <w:lvlJc w:val="left"/>
      <w:pPr>
        <w:ind w:left="1080" w:hanging="360"/>
      </w:pPr>
      <w:rPr>
        <w:rFonts w:ascii="Calibri" w:eastAsia="Times New Roman" w:hAnsi="Calibri" w:cs="Microsoft Sans Serif"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90D557C"/>
    <w:multiLevelType w:val="hybridMultilevel"/>
    <w:tmpl w:val="86DC461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AAD304B"/>
    <w:multiLevelType w:val="hybridMultilevel"/>
    <w:tmpl w:val="78B2D7B4"/>
    <w:lvl w:ilvl="0" w:tplc="0C0A0001">
      <w:start w:val="1"/>
      <w:numFmt w:val="bullet"/>
      <w:lvlText w:val=""/>
      <w:lvlJc w:val="left"/>
      <w:pPr>
        <w:ind w:left="1080" w:hanging="360"/>
      </w:pPr>
      <w:rPr>
        <w:rFonts w:ascii="Symbol" w:hAnsi="Symbol" w:hint="default"/>
      </w:rPr>
    </w:lvl>
    <w:lvl w:ilvl="1" w:tplc="0C0A0017">
      <w:start w:val="1"/>
      <w:numFmt w:val="lowerLetter"/>
      <w:lvlText w:val="%2)"/>
      <w:lvlJc w:val="left"/>
      <w:pPr>
        <w:ind w:left="1800" w:hanging="360"/>
      </w:pPr>
      <w:rPr>
        <w:rFonts w:hint="default"/>
      </w:rPr>
    </w:lvl>
    <w:lvl w:ilvl="2" w:tplc="B33EEC96">
      <w:start w:val="4"/>
      <w:numFmt w:val="bullet"/>
      <w:lvlText w:val="-"/>
      <w:lvlJc w:val="left"/>
      <w:pPr>
        <w:ind w:left="2520" w:hanging="360"/>
      </w:pPr>
      <w:rPr>
        <w:rFonts w:ascii="Times New Roman" w:eastAsia="Times New Roman" w:hAnsi="Times New Roman" w:cs="Times New Roman" w:hint="default"/>
      </w:rPr>
    </w:lvl>
    <w:lvl w:ilvl="3" w:tplc="0C0A000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0DE0785C"/>
    <w:multiLevelType w:val="hybridMultilevel"/>
    <w:tmpl w:val="B75A9792"/>
    <w:lvl w:ilvl="0" w:tplc="3DA095C4">
      <w:start w:val="1"/>
      <w:numFmt w:val="bullet"/>
      <w:lvlText w:val=""/>
      <w:lvlJc w:val="left"/>
      <w:pPr>
        <w:ind w:left="928"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1157761E"/>
    <w:multiLevelType w:val="hybridMultilevel"/>
    <w:tmpl w:val="76BEDFA2"/>
    <w:lvl w:ilvl="0" w:tplc="015A59DC">
      <w:start w:val="435"/>
      <w:numFmt w:val="bullet"/>
      <w:lvlText w:val="-"/>
      <w:lvlJc w:val="left"/>
      <w:pPr>
        <w:ind w:left="1080" w:hanging="360"/>
      </w:pPr>
      <w:rPr>
        <w:rFonts w:ascii="Calibri" w:eastAsia="Times New Roman" w:hAnsi="Calibri" w:cs="Microsoft Sans Serif"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1FE6FC3"/>
    <w:multiLevelType w:val="hybridMultilevel"/>
    <w:tmpl w:val="D34A6806"/>
    <w:lvl w:ilvl="0" w:tplc="39ACD2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9" w15:restartNumberingAfterBreak="0">
    <w:nsid w:val="1C3D0AFA"/>
    <w:multiLevelType w:val="hybridMultilevel"/>
    <w:tmpl w:val="E1EE267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305161FC"/>
    <w:multiLevelType w:val="hybridMultilevel"/>
    <w:tmpl w:val="C11CD6D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15:restartNumberingAfterBreak="0">
    <w:nsid w:val="3357516C"/>
    <w:multiLevelType w:val="hybridMultilevel"/>
    <w:tmpl w:val="CA64D3C2"/>
    <w:lvl w:ilvl="0" w:tplc="39ACD2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065B67"/>
    <w:multiLevelType w:val="hybridMultilevel"/>
    <w:tmpl w:val="02A825F2"/>
    <w:lvl w:ilvl="0" w:tplc="1E003C2E">
      <w:start w:val="1"/>
      <w:numFmt w:val="bullet"/>
      <w:lvlText w:val=""/>
      <w:lvlJc w:val="left"/>
      <w:pPr>
        <w:ind w:left="644" w:hanging="360"/>
      </w:pPr>
      <w:rPr>
        <w:rFonts w:ascii="Symbol" w:hAnsi="Symbol" w:hint="default"/>
        <w:strike w:val="0"/>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4" w15:restartNumberingAfterBreak="0">
    <w:nsid w:val="47D6106B"/>
    <w:multiLevelType w:val="hybridMultilevel"/>
    <w:tmpl w:val="F8D0E4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6C128B"/>
    <w:multiLevelType w:val="hybridMultilevel"/>
    <w:tmpl w:val="AFBC3C80"/>
    <w:lvl w:ilvl="0" w:tplc="4B849AF2">
      <w:start w:val="1"/>
      <w:numFmt w:val="lowerLetter"/>
      <w:lvlText w:val="%1)"/>
      <w:lvlJc w:val="left"/>
      <w:pPr>
        <w:ind w:left="1004" w:hanging="360"/>
      </w:pPr>
      <w:rPr>
        <w:rFonts w:ascii="Times New Roman" w:eastAsia="Calibri" w:hAnsi="Times New Roman" w:cs="Times New Roman"/>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15:restartNumberingAfterBreak="0">
    <w:nsid w:val="4C62046D"/>
    <w:multiLevelType w:val="hybridMultilevel"/>
    <w:tmpl w:val="D2FCA248"/>
    <w:lvl w:ilvl="0" w:tplc="312CAD64">
      <w:start w:val="435"/>
      <w:numFmt w:val="bullet"/>
      <w:lvlText w:val="-"/>
      <w:lvlJc w:val="left"/>
      <w:pPr>
        <w:ind w:left="1004" w:hanging="360"/>
      </w:pPr>
      <w:rPr>
        <w:rFonts w:ascii="Calibri" w:eastAsia="Times New Roman" w:hAnsi="Calibri" w:cs="Microsoft Sans Serif"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50627912"/>
    <w:multiLevelType w:val="hybridMultilevel"/>
    <w:tmpl w:val="E7C628A8"/>
    <w:lvl w:ilvl="0" w:tplc="39ACD2D2">
      <w:start w:val="1"/>
      <w:numFmt w:val="bullet"/>
      <w:lvlText w:val=""/>
      <w:lvlJc w:val="left"/>
      <w:pPr>
        <w:ind w:left="1004"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15:restartNumberingAfterBreak="0">
    <w:nsid w:val="51794EBC"/>
    <w:multiLevelType w:val="hybridMultilevel"/>
    <w:tmpl w:val="8EB415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2025C1F"/>
    <w:multiLevelType w:val="hybridMultilevel"/>
    <w:tmpl w:val="550ADA5E"/>
    <w:lvl w:ilvl="0" w:tplc="D12AB5CA">
      <w:start w:val="1"/>
      <w:numFmt w:val="lowerLetter"/>
      <w:lvlText w:val="%1)"/>
      <w:lvlJc w:val="left"/>
      <w:pPr>
        <w:ind w:left="502" w:hanging="360"/>
      </w:pPr>
      <w:rPr>
        <w:rFonts w:hint="default"/>
        <w:color w:val="auto"/>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0" w15:restartNumberingAfterBreak="0">
    <w:nsid w:val="58F566D3"/>
    <w:multiLevelType w:val="hybridMultilevel"/>
    <w:tmpl w:val="B17A2D1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15:restartNumberingAfterBreak="0">
    <w:nsid w:val="5CDC3EE2"/>
    <w:multiLevelType w:val="hybridMultilevel"/>
    <w:tmpl w:val="44DE6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D281C90"/>
    <w:multiLevelType w:val="hybridMultilevel"/>
    <w:tmpl w:val="D08E90BC"/>
    <w:lvl w:ilvl="0" w:tplc="0C0A000B">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3" w15:restartNumberingAfterBreak="0">
    <w:nsid w:val="5DAB38E8"/>
    <w:multiLevelType w:val="hybridMultilevel"/>
    <w:tmpl w:val="C608D0A6"/>
    <w:lvl w:ilvl="0" w:tplc="39ACD2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2D26C22"/>
    <w:multiLevelType w:val="hybridMultilevel"/>
    <w:tmpl w:val="36224800"/>
    <w:lvl w:ilvl="0" w:tplc="312CAD64">
      <w:start w:val="435"/>
      <w:numFmt w:val="bullet"/>
      <w:lvlText w:val="-"/>
      <w:lvlJc w:val="left"/>
      <w:pPr>
        <w:ind w:left="1004" w:hanging="360"/>
      </w:pPr>
      <w:rPr>
        <w:rFonts w:ascii="Calibri" w:eastAsia="Times New Roman" w:hAnsi="Calibri" w:cs="Microsoft Sans Serif"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26" w15:restartNumberingAfterBreak="0">
    <w:nsid w:val="650F3AB5"/>
    <w:multiLevelType w:val="hybridMultilevel"/>
    <w:tmpl w:val="83D60B3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7" w15:restartNumberingAfterBreak="0">
    <w:nsid w:val="666F7B8F"/>
    <w:multiLevelType w:val="hybridMultilevel"/>
    <w:tmpl w:val="5FAE02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72823179"/>
    <w:multiLevelType w:val="hybridMultilevel"/>
    <w:tmpl w:val="640696D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0" w15:restartNumberingAfterBreak="0">
    <w:nsid w:val="76C400DC"/>
    <w:multiLevelType w:val="hybridMultilevel"/>
    <w:tmpl w:val="DF405622"/>
    <w:lvl w:ilvl="0" w:tplc="E1BECC10">
      <w:start w:val="1"/>
      <w:numFmt w:val="bullet"/>
      <w:lvlText w:val=""/>
      <w:lvlJc w:val="left"/>
      <w:pPr>
        <w:ind w:left="1004" w:hanging="360"/>
      </w:pPr>
      <w:rPr>
        <w:rFonts w:ascii="Symbol" w:hAnsi="Symbo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1" w15:restartNumberingAfterBreak="0">
    <w:nsid w:val="77D21070"/>
    <w:multiLevelType w:val="hybridMultilevel"/>
    <w:tmpl w:val="05A4C5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33" w15:restartNumberingAfterBreak="0">
    <w:nsid w:val="7FBC2068"/>
    <w:multiLevelType w:val="hybridMultilevel"/>
    <w:tmpl w:val="F446B468"/>
    <w:lvl w:ilvl="0" w:tplc="92E83E2A">
      <w:start w:val="1"/>
      <w:numFmt w:val="lowerLetter"/>
      <w:lvlText w:val="%1)"/>
      <w:lvlJc w:val="left"/>
      <w:pPr>
        <w:ind w:left="1004" w:hanging="360"/>
      </w:pPr>
      <w:rPr>
        <w:rFonts w:ascii="Times New Roman" w:eastAsia="Times New Roman" w:hAnsi="Times New Roman" w:cs="Times New Roman"/>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16cid:durableId="789858783">
    <w:abstractNumId w:val="32"/>
  </w:num>
  <w:num w:numId="2" w16cid:durableId="1892879701">
    <w:abstractNumId w:val="25"/>
  </w:num>
  <w:num w:numId="3" w16cid:durableId="278952742">
    <w:abstractNumId w:val="8"/>
  </w:num>
  <w:num w:numId="4" w16cid:durableId="1654216351">
    <w:abstractNumId w:val="13"/>
  </w:num>
  <w:num w:numId="5" w16cid:durableId="2122527121">
    <w:abstractNumId w:val="28"/>
  </w:num>
  <w:num w:numId="6" w16cid:durableId="2063432848">
    <w:abstractNumId w:val="8"/>
  </w:num>
  <w:num w:numId="7" w16cid:durableId="477770955">
    <w:abstractNumId w:val="8"/>
  </w:num>
  <w:num w:numId="8" w16cid:durableId="431247298">
    <w:abstractNumId w:val="8"/>
  </w:num>
  <w:num w:numId="9" w16cid:durableId="1911498586">
    <w:abstractNumId w:val="11"/>
  </w:num>
  <w:num w:numId="10" w16cid:durableId="23294453">
    <w:abstractNumId w:val="0"/>
  </w:num>
  <w:num w:numId="11" w16cid:durableId="1407074172">
    <w:abstractNumId w:val="4"/>
  </w:num>
  <w:num w:numId="12" w16cid:durableId="1099520858">
    <w:abstractNumId w:val="29"/>
  </w:num>
  <w:num w:numId="13" w16cid:durableId="1544248855">
    <w:abstractNumId w:val="27"/>
  </w:num>
  <w:num w:numId="14" w16cid:durableId="1530415036">
    <w:abstractNumId w:val="15"/>
  </w:num>
  <w:num w:numId="15" w16cid:durableId="1296179383">
    <w:abstractNumId w:val="9"/>
  </w:num>
  <w:num w:numId="16" w16cid:durableId="108594308">
    <w:abstractNumId w:val="5"/>
  </w:num>
  <w:num w:numId="17" w16cid:durableId="921529617">
    <w:abstractNumId w:val="20"/>
  </w:num>
  <w:num w:numId="18" w16cid:durableId="994719780">
    <w:abstractNumId w:val="14"/>
  </w:num>
  <w:num w:numId="19" w16cid:durableId="2132550214">
    <w:abstractNumId w:val="26"/>
  </w:num>
  <w:num w:numId="20" w16cid:durableId="524058544">
    <w:abstractNumId w:val="23"/>
  </w:num>
  <w:num w:numId="21" w16cid:durableId="1809273720">
    <w:abstractNumId w:val="17"/>
  </w:num>
  <w:num w:numId="22" w16cid:durableId="1690838635">
    <w:abstractNumId w:val="7"/>
  </w:num>
  <w:num w:numId="23" w16cid:durableId="1514494528">
    <w:abstractNumId w:val="1"/>
  </w:num>
  <w:num w:numId="24" w16cid:durableId="418719285">
    <w:abstractNumId w:val="12"/>
  </w:num>
  <w:num w:numId="25" w16cid:durableId="1369448446">
    <w:abstractNumId w:val="18"/>
  </w:num>
  <w:num w:numId="26" w16cid:durableId="599602227">
    <w:abstractNumId w:val="31"/>
  </w:num>
  <w:num w:numId="27" w16cid:durableId="412707939">
    <w:abstractNumId w:val="3"/>
  </w:num>
  <w:num w:numId="28" w16cid:durableId="601693350">
    <w:abstractNumId w:val="30"/>
  </w:num>
  <w:num w:numId="29" w16cid:durableId="1735931455">
    <w:abstractNumId w:val="2"/>
  </w:num>
  <w:num w:numId="30" w16cid:durableId="1413118121">
    <w:abstractNumId w:val="6"/>
  </w:num>
  <w:num w:numId="31" w16cid:durableId="537816241">
    <w:abstractNumId w:val="33"/>
  </w:num>
  <w:num w:numId="32" w16cid:durableId="409041629">
    <w:abstractNumId w:val="16"/>
  </w:num>
  <w:num w:numId="33" w16cid:durableId="1699894892">
    <w:abstractNumId w:val="10"/>
  </w:num>
  <w:num w:numId="34" w16cid:durableId="324600655">
    <w:abstractNumId w:val="24"/>
  </w:num>
  <w:num w:numId="35" w16cid:durableId="1355619332">
    <w:abstractNumId w:val="19"/>
  </w:num>
  <w:num w:numId="36" w16cid:durableId="1968271536">
    <w:abstractNumId w:val="22"/>
  </w:num>
  <w:num w:numId="37" w16cid:durableId="21242224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19A"/>
    <w:rsid w:val="00001854"/>
    <w:rsid w:val="000019D8"/>
    <w:rsid w:val="000055A6"/>
    <w:rsid w:val="000055C1"/>
    <w:rsid w:val="00006736"/>
    <w:rsid w:val="00006A97"/>
    <w:rsid w:val="0001123B"/>
    <w:rsid w:val="00011364"/>
    <w:rsid w:val="000118F4"/>
    <w:rsid w:val="000119F7"/>
    <w:rsid w:val="00012A7F"/>
    <w:rsid w:val="0001644C"/>
    <w:rsid w:val="0001695E"/>
    <w:rsid w:val="00017A3A"/>
    <w:rsid w:val="000217F2"/>
    <w:rsid w:val="00021A82"/>
    <w:rsid w:val="00022B9A"/>
    <w:rsid w:val="00022DC4"/>
    <w:rsid w:val="000237B1"/>
    <w:rsid w:val="00024864"/>
    <w:rsid w:val="00027613"/>
    <w:rsid w:val="000330DD"/>
    <w:rsid w:val="00035298"/>
    <w:rsid w:val="00036E42"/>
    <w:rsid w:val="00040CF3"/>
    <w:rsid w:val="0004373B"/>
    <w:rsid w:val="000448FA"/>
    <w:rsid w:val="00044CBB"/>
    <w:rsid w:val="000457C4"/>
    <w:rsid w:val="000469FB"/>
    <w:rsid w:val="00051432"/>
    <w:rsid w:val="00053A42"/>
    <w:rsid w:val="00054FA7"/>
    <w:rsid w:val="0005517D"/>
    <w:rsid w:val="0006133D"/>
    <w:rsid w:val="00063585"/>
    <w:rsid w:val="00067F9B"/>
    <w:rsid w:val="000709E4"/>
    <w:rsid w:val="00071CD0"/>
    <w:rsid w:val="000749F5"/>
    <w:rsid w:val="00075677"/>
    <w:rsid w:val="00075692"/>
    <w:rsid w:val="00076111"/>
    <w:rsid w:val="000805C1"/>
    <w:rsid w:val="000811F0"/>
    <w:rsid w:val="00083CBC"/>
    <w:rsid w:val="000868EE"/>
    <w:rsid w:val="00087B8D"/>
    <w:rsid w:val="0009019E"/>
    <w:rsid w:val="00090439"/>
    <w:rsid w:val="00093D67"/>
    <w:rsid w:val="00093E60"/>
    <w:rsid w:val="000A11DA"/>
    <w:rsid w:val="000A18B7"/>
    <w:rsid w:val="000A2C1E"/>
    <w:rsid w:val="000A32C6"/>
    <w:rsid w:val="000A3BC3"/>
    <w:rsid w:val="000A4697"/>
    <w:rsid w:val="000A7529"/>
    <w:rsid w:val="000B2728"/>
    <w:rsid w:val="000B3943"/>
    <w:rsid w:val="000B4477"/>
    <w:rsid w:val="000B4C66"/>
    <w:rsid w:val="000B617D"/>
    <w:rsid w:val="000C0704"/>
    <w:rsid w:val="000C0ED8"/>
    <w:rsid w:val="000C2B07"/>
    <w:rsid w:val="000C39CC"/>
    <w:rsid w:val="000C6D06"/>
    <w:rsid w:val="000C7066"/>
    <w:rsid w:val="000C7566"/>
    <w:rsid w:val="000C76F1"/>
    <w:rsid w:val="000D0176"/>
    <w:rsid w:val="000D188E"/>
    <w:rsid w:val="000D2F9B"/>
    <w:rsid w:val="000D3237"/>
    <w:rsid w:val="000D5335"/>
    <w:rsid w:val="000D5ECC"/>
    <w:rsid w:val="000E0323"/>
    <w:rsid w:val="000E3B25"/>
    <w:rsid w:val="000E7B86"/>
    <w:rsid w:val="000F2B66"/>
    <w:rsid w:val="000F37D5"/>
    <w:rsid w:val="000F3D83"/>
    <w:rsid w:val="000F562B"/>
    <w:rsid w:val="00100F12"/>
    <w:rsid w:val="001013D0"/>
    <w:rsid w:val="001014D9"/>
    <w:rsid w:val="001019DE"/>
    <w:rsid w:val="00102B4C"/>
    <w:rsid w:val="00103589"/>
    <w:rsid w:val="00103C0A"/>
    <w:rsid w:val="001045C9"/>
    <w:rsid w:val="00104B04"/>
    <w:rsid w:val="001055C3"/>
    <w:rsid w:val="00107CC1"/>
    <w:rsid w:val="00110BE9"/>
    <w:rsid w:val="00111A92"/>
    <w:rsid w:val="00112E23"/>
    <w:rsid w:val="00112EEB"/>
    <w:rsid w:val="001145C3"/>
    <w:rsid w:val="001147C6"/>
    <w:rsid w:val="001161D2"/>
    <w:rsid w:val="0011717D"/>
    <w:rsid w:val="001215BC"/>
    <w:rsid w:val="0012264D"/>
    <w:rsid w:val="00130299"/>
    <w:rsid w:val="00131397"/>
    <w:rsid w:val="00131DF1"/>
    <w:rsid w:val="00132C38"/>
    <w:rsid w:val="00133984"/>
    <w:rsid w:val="0013540C"/>
    <w:rsid w:val="001357A5"/>
    <w:rsid w:val="001365C4"/>
    <w:rsid w:val="00136AE1"/>
    <w:rsid w:val="0014147D"/>
    <w:rsid w:val="00141D29"/>
    <w:rsid w:val="0014506A"/>
    <w:rsid w:val="0014728F"/>
    <w:rsid w:val="0015056A"/>
    <w:rsid w:val="001521A2"/>
    <w:rsid w:val="001522CA"/>
    <w:rsid w:val="00152358"/>
    <w:rsid w:val="00155BFF"/>
    <w:rsid w:val="001567D0"/>
    <w:rsid w:val="00156E33"/>
    <w:rsid w:val="00160F66"/>
    <w:rsid w:val="00161F07"/>
    <w:rsid w:val="00162B3A"/>
    <w:rsid w:val="001633AF"/>
    <w:rsid w:val="00163FA2"/>
    <w:rsid w:val="00166A6C"/>
    <w:rsid w:val="001728D0"/>
    <w:rsid w:val="00172DC5"/>
    <w:rsid w:val="00173EDD"/>
    <w:rsid w:val="0017402B"/>
    <w:rsid w:val="001756EF"/>
    <w:rsid w:val="0018015F"/>
    <w:rsid w:val="00181D37"/>
    <w:rsid w:val="00181EA4"/>
    <w:rsid w:val="00181EFD"/>
    <w:rsid w:val="00182897"/>
    <w:rsid w:val="00183319"/>
    <w:rsid w:val="001835B7"/>
    <w:rsid w:val="00184241"/>
    <w:rsid w:val="0018426B"/>
    <w:rsid w:val="00184B27"/>
    <w:rsid w:val="001859F0"/>
    <w:rsid w:val="00185A37"/>
    <w:rsid w:val="00194309"/>
    <w:rsid w:val="0019660E"/>
    <w:rsid w:val="001A0178"/>
    <w:rsid w:val="001A5C47"/>
    <w:rsid w:val="001A75E2"/>
    <w:rsid w:val="001B1193"/>
    <w:rsid w:val="001B1E09"/>
    <w:rsid w:val="001B39E2"/>
    <w:rsid w:val="001B3E2F"/>
    <w:rsid w:val="001B5CCE"/>
    <w:rsid w:val="001B5D98"/>
    <w:rsid w:val="001C09B7"/>
    <w:rsid w:val="001C114F"/>
    <w:rsid w:val="001C2781"/>
    <w:rsid w:val="001C2B26"/>
    <w:rsid w:val="001C3A32"/>
    <w:rsid w:val="001C4CF1"/>
    <w:rsid w:val="001D2D4E"/>
    <w:rsid w:val="001D3F2F"/>
    <w:rsid w:val="001D4F09"/>
    <w:rsid w:val="001D7CF4"/>
    <w:rsid w:val="001E01A9"/>
    <w:rsid w:val="001F0CAE"/>
    <w:rsid w:val="001F0CB0"/>
    <w:rsid w:val="001F1482"/>
    <w:rsid w:val="001F20D7"/>
    <w:rsid w:val="001F26DF"/>
    <w:rsid w:val="001F4F11"/>
    <w:rsid w:val="001F7744"/>
    <w:rsid w:val="002014EB"/>
    <w:rsid w:val="00202B1A"/>
    <w:rsid w:val="00204979"/>
    <w:rsid w:val="00205778"/>
    <w:rsid w:val="002078DC"/>
    <w:rsid w:val="00210741"/>
    <w:rsid w:val="00211D69"/>
    <w:rsid w:val="0021390D"/>
    <w:rsid w:val="00214305"/>
    <w:rsid w:val="002152DF"/>
    <w:rsid w:val="0021569A"/>
    <w:rsid w:val="002179DB"/>
    <w:rsid w:val="00217DC5"/>
    <w:rsid w:val="00223A4E"/>
    <w:rsid w:val="00226E99"/>
    <w:rsid w:val="00227E48"/>
    <w:rsid w:val="00230577"/>
    <w:rsid w:val="0023159D"/>
    <w:rsid w:val="002318C6"/>
    <w:rsid w:val="0023209D"/>
    <w:rsid w:val="002333F8"/>
    <w:rsid w:val="00233D79"/>
    <w:rsid w:val="002358E3"/>
    <w:rsid w:val="00237657"/>
    <w:rsid w:val="00240539"/>
    <w:rsid w:val="00242BA7"/>
    <w:rsid w:val="00243125"/>
    <w:rsid w:val="002437B5"/>
    <w:rsid w:val="00244EF1"/>
    <w:rsid w:val="00245C5F"/>
    <w:rsid w:val="00246F21"/>
    <w:rsid w:val="00247E2E"/>
    <w:rsid w:val="00250379"/>
    <w:rsid w:val="002513F9"/>
    <w:rsid w:val="00253193"/>
    <w:rsid w:val="00253E78"/>
    <w:rsid w:val="00260D1B"/>
    <w:rsid w:val="00262C3C"/>
    <w:rsid w:val="00264C88"/>
    <w:rsid w:val="0026532C"/>
    <w:rsid w:val="0026575D"/>
    <w:rsid w:val="002664D4"/>
    <w:rsid w:val="002705B0"/>
    <w:rsid w:val="002713D0"/>
    <w:rsid w:val="002717A6"/>
    <w:rsid w:val="00272015"/>
    <w:rsid w:val="002728F5"/>
    <w:rsid w:val="00273250"/>
    <w:rsid w:val="00273C10"/>
    <w:rsid w:val="00274B4C"/>
    <w:rsid w:val="00276264"/>
    <w:rsid w:val="00281DCA"/>
    <w:rsid w:val="00285285"/>
    <w:rsid w:val="00287C68"/>
    <w:rsid w:val="00290E2E"/>
    <w:rsid w:val="002916EF"/>
    <w:rsid w:val="00297B04"/>
    <w:rsid w:val="002A056C"/>
    <w:rsid w:val="002A66A5"/>
    <w:rsid w:val="002A6EBB"/>
    <w:rsid w:val="002B032E"/>
    <w:rsid w:val="002B0C65"/>
    <w:rsid w:val="002B161B"/>
    <w:rsid w:val="002B1CE5"/>
    <w:rsid w:val="002B21E9"/>
    <w:rsid w:val="002B2B87"/>
    <w:rsid w:val="002B4E0F"/>
    <w:rsid w:val="002B5754"/>
    <w:rsid w:val="002C35F7"/>
    <w:rsid w:val="002C7026"/>
    <w:rsid w:val="002C7E08"/>
    <w:rsid w:val="002D089F"/>
    <w:rsid w:val="002D1023"/>
    <w:rsid w:val="002D5635"/>
    <w:rsid w:val="002D59BD"/>
    <w:rsid w:val="002D65E8"/>
    <w:rsid w:val="002D7D32"/>
    <w:rsid w:val="002E02E5"/>
    <w:rsid w:val="002E0478"/>
    <w:rsid w:val="002E0791"/>
    <w:rsid w:val="002E11F0"/>
    <w:rsid w:val="002E1B92"/>
    <w:rsid w:val="002E1EF4"/>
    <w:rsid w:val="002E25AF"/>
    <w:rsid w:val="002E31B1"/>
    <w:rsid w:val="002E6958"/>
    <w:rsid w:val="002E6CDF"/>
    <w:rsid w:val="002E7B81"/>
    <w:rsid w:val="002F09FB"/>
    <w:rsid w:val="002F0FE3"/>
    <w:rsid w:val="002F1AF0"/>
    <w:rsid w:val="002F2530"/>
    <w:rsid w:val="002F265D"/>
    <w:rsid w:val="002F272A"/>
    <w:rsid w:val="002F3225"/>
    <w:rsid w:val="002F5288"/>
    <w:rsid w:val="002F53B4"/>
    <w:rsid w:val="002F76D6"/>
    <w:rsid w:val="00300CD6"/>
    <w:rsid w:val="00302296"/>
    <w:rsid w:val="00303506"/>
    <w:rsid w:val="00307057"/>
    <w:rsid w:val="00312819"/>
    <w:rsid w:val="00312E9C"/>
    <w:rsid w:val="00313875"/>
    <w:rsid w:val="003142D1"/>
    <w:rsid w:val="00315366"/>
    <w:rsid w:val="003172DE"/>
    <w:rsid w:val="003174FF"/>
    <w:rsid w:val="003203BF"/>
    <w:rsid w:val="00320B29"/>
    <w:rsid w:val="00321311"/>
    <w:rsid w:val="00321369"/>
    <w:rsid w:val="00324D92"/>
    <w:rsid w:val="00325DAC"/>
    <w:rsid w:val="00326D98"/>
    <w:rsid w:val="00330787"/>
    <w:rsid w:val="00330EBD"/>
    <w:rsid w:val="00333F7F"/>
    <w:rsid w:val="003373BA"/>
    <w:rsid w:val="00337493"/>
    <w:rsid w:val="00337F6F"/>
    <w:rsid w:val="0034285F"/>
    <w:rsid w:val="00344DC0"/>
    <w:rsid w:val="003464A4"/>
    <w:rsid w:val="00351684"/>
    <w:rsid w:val="003516E2"/>
    <w:rsid w:val="00354458"/>
    <w:rsid w:val="0035593C"/>
    <w:rsid w:val="00356328"/>
    <w:rsid w:val="00356537"/>
    <w:rsid w:val="00357CF3"/>
    <w:rsid w:val="003617D5"/>
    <w:rsid w:val="00361C47"/>
    <w:rsid w:val="00362563"/>
    <w:rsid w:val="00363653"/>
    <w:rsid w:val="0036509D"/>
    <w:rsid w:val="00365883"/>
    <w:rsid w:val="0037228C"/>
    <w:rsid w:val="00372ACE"/>
    <w:rsid w:val="003738FD"/>
    <w:rsid w:val="00373E42"/>
    <w:rsid w:val="003743BE"/>
    <w:rsid w:val="00375215"/>
    <w:rsid w:val="00376BFE"/>
    <w:rsid w:val="00377332"/>
    <w:rsid w:val="003810BE"/>
    <w:rsid w:val="003810F6"/>
    <w:rsid w:val="00383A86"/>
    <w:rsid w:val="00386F6C"/>
    <w:rsid w:val="00387709"/>
    <w:rsid w:val="00387794"/>
    <w:rsid w:val="003923CA"/>
    <w:rsid w:val="0039429A"/>
    <w:rsid w:val="00396F58"/>
    <w:rsid w:val="00397162"/>
    <w:rsid w:val="003A00A5"/>
    <w:rsid w:val="003A335E"/>
    <w:rsid w:val="003A3DD2"/>
    <w:rsid w:val="003A5F44"/>
    <w:rsid w:val="003B10A2"/>
    <w:rsid w:val="003B1E6A"/>
    <w:rsid w:val="003B288D"/>
    <w:rsid w:val="003B3573"/>
    <w:rsid w:val="003B5813"/>
    <w:rsid w:val="003C03EA"/>
    <w:rsid w:val="003C196B"/>
    <w:rsid w:val="003C37F6"/>
    <w:rsid w:val="003C592C"/>
    <w:rsid w:val="003C6DA1"/>
    <w:rsid w:val="003C6E1D"/>
    <w:rsid w:val="003D058C"/>
    <w:rsid w:val="003D0B68"/>
    <w:rsid w:val="003D1164"/>
    <w:rsid w:val="003D233C"/>
    <w:rsid w:val="003D76B1"/>
    <w:rsid w:val="003E17A6"/>
    <w:rsid w:val="003E20C2"/>
    <w:rsid w:val="003E2D16"/>
    <w:rsid w:val="003E4AA5"/>
    <w:rsid w:val="003F1CEC"/>
    <w:rsid w:val="003F43BF"/>
    <w:rsid w:val="003F4F6A"/>
    <w:rsid w:val="003F5472"/>
    <w:rsid w:val="003F6BE4"/>
    <w:rsid w:val="00401418"/>
    <w:rsid w:val="00403CF8"/>
    <w:rsid w:val="0040587D"/>
    <w:rsid w:val="00405ECF"/>
    <w:rsid w:val="0040652A"/>
    <w:rsid w:val="004072FA"/>
    <w:rsid w:val="00407459"/>
    <w:rsid w:val="00410848"/>
    <w:rsid w:val="004109CE"/>
    <w:rsid w:val="00412F99"/>
    <w:rsid w:val="00414D01"/>
    <w:rsid w:val="004155CB"/>
    <w:rsid w:val="004170FE"/>
    <w:rsid w:val="004208CB"/>
    <w:rsid w:val="004209E6"/>
    <w:rsid w:val="004211B2"/>
    <w:rsid w:val="0042324B"/>
    <w:rsid w:val="004234E8"/>
    <w:rsid w:val="00425AC1"/>
    <w:rsid w:val="00425EE1"/>
    <w:rsid w:val="00426805"/>
    <w:rsid w:val="00427234"/>
    <w:rsid w:val="004273A8"/>
    <w:rsid w:val="00430150"/>
    <w:rsid w:val="004302F9"/>
    <w:rsid w:val="00431AE3"/>
    <w:rsid w:val="0043229B"/>
    <w:rsid w:val="00432A71"/>
    <w:rsid w:val="00435287"/>
    <w:rsid w:val="00436FFB"/>
    <w:rsid w:val="004406AB"/>
    <w:rsid w:val="00440A22"/>
    <w:rsid w:val="00440DDD"/>
    <w:rsid w:val="00442A3A"/>
    <w:rsid w:val="004442FD"/>
    <w:rsid w:val="00444AC9"/>
    <w:rsid w:val="00446C67"/>
    <w:rsid w:val="00447C00"/>
    <w:rsid w:val="00454E4A"/>
    <w:rsid w:val="0045550E"/>
    <w:rsid w:val="0045597C"/>
    <w:rsid w:val="00456456"/>
    <w:rsid w:val="004564DA"/>
    <w:rsid w:val="004573C1"/>
    <w:rsid w:val="00457F12"/>
    <w:rsid w:val="00462367"/>
    <w:rsid w:val="00464093"/>
    <w:rsid w:val="004644C3"/>
    <w:rsid w:val="0046490C"/>
    <w:rsid w:val="00464D7F"/>
    <w:rsid w:val="0046500E"/>
    <w:rsid w:val="0046715C"/>
    <w:rsid w:val="00470287"/>
    <w:rsid w:val="00470733"/>
    <w:rsid w:val="00471A11"/>
    <w:rsid w:val="00471BE2"/>
    <w:rsid w:val="0047232C"/>
    <w:rsid w:val="00474A7C"/>
    <w:rsid w:val="004761BC"/>
    <w:rsid w:val="00477C53"/>
    <w:rsid w:val="0048284D"/>
    <w:rsid w:val="00485380"/>
    <w:rsid w:val="00486991"/>
    <w:rsid w:val="00487375"/>
    <w:rsid w:val="0049076D"/>
    <w:rsid w:val="00493D87"/>
    <w:rsid w:val="004944DE"/>
    <w:rsid w:val="004950D4"/>
    <w:rsid w:val="004A0506"/>
    <w:rsid w:val="004A2342"/>
    <w:rsid w:val="004A2D3C"/>
    <w:rsid w:val="004A2F62"/>
    <w:rsid w:val="004A3625"/>
    <w:rsid w:val="004A64D9"/>
    <w:rsid w:val="004A6A11"/>
    <w:rsid w:val="004B1DB8"/>
    <w:rsid w:val="004B2F01"/>
    <w:rsid w:val="004B4182"/>
    <w:rsid w:val="004B4538"/>
    <w:rsid w:val="004B6DD0"/>
    <w:rsid w:val="004B6FB6"/>
    <w:rsid w:val="004B7274"/>
    <w:rsid w:val="004B7C96"/>
    <w:rsid w:val="004C3423"/>
    <w:rsid w:val="004C5180"/>
    <w:rsid w:val="004C571D"/>
    <w:rsid w:val="004C6760"/>
    <w:rsid w:val="004C6F50"/>
    <w:rsid w:val="004C77BE"/>
    <w:rsid w:val="004D0ED7"/>
    <w:rsid w:val="004D35A2"/>
    <w:rsid w:val="004D3B65"/>
    <w:rsid w:val="004D3C6F"/>
    <w:rsid w:val="004D5198"/>
    <w:rsid w:val="004D5FD1"/>
    <w:rsid w:val="004E0069"/>
    <w:rsid w:val="004E0755"/>
    <w:rsid w:val="004E0AB6"/>
    <w:rsid w:val="004E0FC2"/>
    <w:rsid w:val="004E473A"/>
    <w:rsid w:val="004E6AE2"/>
    <w:rsid w:val="004F3EFF"/>
    <w:rsid w:val="004F7C93"/>
    <w:rsid w:val="005038AD"/>
    <w:rsid w:val="005040E4"/>
    <w:rsid w:val="0050410E"/>
    <w:rsid w:val="00506105"/>
    <w:rsid w:val="00510832"/>
    <w:rsid w:val="005115FF"/>
    <w:rsid w:val="00513162"/>
    <w:rsid w:val="00525809"/>
    <w:rsid w:val="00527476"/>
    <w:rsid w:val="0052753E"/>
    <w:rsid w:val="0053202F"/>
    <w:rsid w:val="0053457D"/>
    <w:rsid w:val="00535130"/>
    <w:rsid w:val="0053532A"/>
    <w:rsid w:val="00537302"/>
    <w:rsid w:val="00537838"/>
    <w:rsid w:val="00542959"/>
    <w:rsid w:val="0054359F"/>
    <w:rsid w:val="005457C4"/>
    <w:rsid w:val="00547798"/>
    <w:rsid w:val="00555509"/>
    <w:rsid w:val="00557337"/>
    <w:rsid w:val="00561C5B"/>
    <w:rsid w:val="00564285"/>
    <w:rsid w:val="00564F2D"/>
    <w:rsid w:val="005656EC"/>
    <w:rsid w:val="00565C02"/>
    <w:rsid w:val="00566CDA"/>
    <w:rsid w:val="0056727E"/>
    <w:rsid w:val="00567BA6"/>
    <w:rsid w:val="00570033"/>
    <w:rsid w:val="00570147"/>
    <w:rsid w:val="0057307E"/>
    <w:rsid w:val="00573A4C"/>
    <w:rsid w:val="00574071"/>
    <w:rsid w:val="00574B79"/>
    <w:rsid w:val="00574D12"/>
    <w:rsid w:val="0057528F"/>
    <w:rsid w:val="00576DA8"/>
    <w:rsid w:val="005800B4"/>
    <w:rsid w:val="0058070B"/>
    <w:rsid w:val="0058136F"/>
    <w:rsid w:val="0058296F"/>
    <w:rsid w:val="0058348D"/>
    <w:rsid w:val="00585A5D"/>
    <w:rsid w:val="005869E0"/>
    <w:rsid w:val="00592FB9"/>
    <w:rsid w:val="00595E80"/>
    <w:rsid w:val="0059650E"/>
    <w:rsid w:val="00596953"/>
    <w:rsid w:val="00596BC3"/>
    <w:rsid w:val="00596D8B"/>
    <w:rsid w:val="00597CBA"/>
    <w:rsid w:val="005A1367"/>
    <w:rsid w:val="005A1DFF"/>
    <w:rsid w:val="005A2FD4"/>
    <w:rsid w:val="005A53FA"/>
    <w:rsid w:val="005A5B5A"/>
    <w:rsid w:val="005A6030"/>
    <w:rsid w:val="005A68D4"/>
    <w:rsid w:val="005B57AD"/>
    <w:rsid w:val="005B722E"/>
    <w:rsid w:val="005B73AD"/>
    <w:rsid w:val="005C02FE"/>
    <w:rsid w:val="005C0319"/>
    <w:rsid w:val="005C15A8"/>
    <w:rsid w:val="005C50AC"/>
    <w:rsid w:val="005C57BD"/>
    <w:rsid w:val="005C62CA"/>
    <w:rsid w:val="005C6406"/>
    <w:rsid w:val="005D07EA"/>
    <w:rsid w:val="005D0A13"/>
    <w:rsid w:val="005D69D1"/>
    <w:rsid w:val="005E210D"/>
    <w:rsid w:val="005E6EC7"/>
    <w:rsid w:val="005F0218"/>
    <w:rsid w:val="005F2425"/>
    <w:rsid w:val="005F50AD"/>
    <w:rsid w:val="005F5524"/>
    <w:rsid w:val="005F5DF2"/>
    <w:rsid w:val="005F5EC7"/>
    <w:rsid w:val="005F623B"/>
    <w:rsid w:val="005F7207"/>
    <w:rsid w:val="005F7FCF"/>
    <w:rsid w:val="006053D1"/>
    <w:rsid w:val="00606BD6"/>
    <w:rsid w:val="00607691"/>
    <w:rsid w:val="0061062C"/>
    <w:rsid w:val="00610CA6"/>
    <w:rsid w:val="00611392"/>
    <w:rsid w:val="00611817"/>
    <w:rsid w:val="00613183"/>
    <w:rsid w:val="006133F0"/>
    <w:rsid w:val="006159B5"/>
    <w:rsid w:val="00616733"/>
    <w:rsid w:val="00616888"/>
    <w:rsid w:val="006176BE"/>
    <w:rsid w:val="006212CB"/>
    <w:rsid w:val="00626399"/>
    <w:rsid w:val="006279B7"/>
    <w:rsid w:val="006279F9"/>
    <w:rsid w:val="006311DC"/>
    <w:rsid w:val="00631949"/>
    <w:rsid w:val="006338D7"/>
    <w:rsid w:val="00636605"/>
    <w:rsid w:val="006369EE"/>
    <w:rsid w:val="006374BD"/>
    <w:rsid w:val="00642C47"/>
    <w:rsid w:val="0064700E"/>
    <w:rsid w:val="00650183"/>
    <w:rsid w:val="00650677"/>
    <w:rsid w:val="00650D1D"/>
    <w:rsid w:val="00660B31"/>
    <w:rsid w:val="00662EBC"/>
    <w:rsid w:val="006640BA"/>
    <w:rsid w:val="006675FE"/>
    <w:rsid w:val="006736A9"/>
    <w:rsid w:val="00673BC7"/>
    <w:rsid w:val="00674975"/>
    <w:rsid w:val="00675D39"/>
    <w:rsid w:val="006819EB"/>
    <w:rsid w:val="00684CFC"/>
    <w:rsid w:val="0068560B"/>
    <w:rsid w:val="00686011"/>
    <w:rsid w:val="006861B6"/>
    <w:rsid w:val="0068733B"/>
    <w:rsid w:val="00690BE4"/>
    <w:rsid w:val="00692F15"/>
    <w:rsid w:val="006938E3"/>
    <w:rsid w:val="00693D4E"/>
    <w:rsid w:val="00696BAA"/>
    <w:rsid w:val="00697FE1"/>
    <w:rsid w:val="006A1277"/>
    <w:rsid w:val="006A2602"/>
    <w:rsid w:val="006A2D41"/>
    <w:rsid w:val="006A67E1"/>
    <w:rsid w:val="006B1E89"/>
    <w:rsid w:val="006B29C6"/>
    <w:rsid w:val="006B349A"/>
    <w:rsid w:val="006B4DC3"/>
    <w:rsid w:val="006B4FA1"/>
    <w:rsid w:val="006C3564"/>
    <w:rsid w:val="006C36FB"/>
    <w:rsid w:val="006C707D"/>
    <w:rsid w:val="006C7184"/>
    <w:rsid w:val="006C7D62"/>
    <w:rsid w:val="006D0B23"/>
    <w:rsid w:val="006D0FCD"/>
    <w:rsid w:val="006D2ED6"/>
    <w:rsid w:val="006D5685"/>
    <w:rsid w:val="006E1987"/>
    <w:rsid w:val="006E23B2"/>
    <w:rsid w:val="006E5207"/>
    <w:rsid w:val="006E79D2"/>
    <w:rsid w:val="006F021B"/>
    <w:rsid w:val="006F123D"/>
    <w:rsid w:val="006F35E4"/>
    <w:rsid w:val="006F39BF"/>
    <w:rsid w:val="006F5C70"/>
    <w:rsid w:val="006F6A20"/>
    <w:rsid w:val="006F6E9D"/>
    <w:rsid w:val="00700B14"/>
    <w:rsid w:val="007023F3"/>
    <w:rsid w:val="00703060"/>
    <w:rsid w:val="00704218"/>
    <w:rsid w:val="007047B2"/>
    <w:rsid w:val="00704DE7"/>
    <w:rsid w:val="00706868"/>
    <w:rsid w:val="00706FEF"/>
    <w:rsid w:val="007078B8"/>
    <w:rsid w:val="00710ADB"/>
    <w:rsid w:val="00712A0A"/>
    <w:rsid w:val="00713785"/>
    <w:rsid w:val="00715E32"/>
    <w:rsid w:val="007162D1"/>
    <w:rsid w:val="00716463"/>
    <w:rsid w:val="00716D48"/>
    <w:rsid w:val="0071706E"/>
    <w:rsid w:val="00717C62"/>
    <w:rsid w:val="00720116"/>
    <w:rsid w:val="0072517A"/>
    <w:rsid w:val="007264E5"/>
    <w:rsid w:val="00727006"/>
    <w:rsid w:val="00727292"/>
    <w:rsid w:val="007309E3"/>
    <w:rsid w:val="007312CA"/>
    <w:rsid w:val="00731D83"/>
    <w:rsid w:val="00736F56"/>
    <w:rsid w:val="00742F6A"/>
    <w:rsid w:val="007446E8"/>
    <w:rsid w:val="00745A41"/>
    <w:rsid w:val="007502D1"/>
    <w:rsid w:val="007503CD"/>
    <w:rsid w:val="007513F4"/>
    <w:rsid w:val="00751553"/>
    <w:rsid w:val="0075165E"/>
    <w:rsid w:val="00751941"/>
    <w:rsid w:val="00754E10"/>
    <w:rsid w:val="007565BD"/>
    <w:rsid w:val="007576AC"/>
    <w:rsid w:val="007610EF"/>
    <w:rsid w:val="00762A29"/>
    <w:rsid w:val="0076327D"/>
    <w:rsid w:val="007633AC"/>
    <w:rsid w:val="00763D55"/>
    <w:rsid w:val="00765C65"/>
    <w:rsid w:val="00767745"/>
    <w:rsid w:val="007707FC"/>
    <w:rsid w:val="00770BE3"/>
    <w:rsid w:val="007715CA"/>
    <w:rsid w:val="0077177A"/>
    <w:rsid w:val="00771A1C"/>
    <w:rsid w:val="007728A8"/>
    <w:rsid w:val="00773721"/>
    <w:rsid w:val="00775403"/>
    <w:rsid w:val="00776739"/>
    <w:rsid w:val="007769E0"/>
    <w:rsid w:val="00776FF4"/>
    <w:rsid w:val="00777A63"/>
    <w:rsid w:val="00781B1C"/>
    <w:rsid w:val="00785197"/>
    <w:rsid w:val="00785A76"/>
    <w:rsid w:val="00786CBC"/>
    <w:rsid w:val="00787852"/>
    <w:rsid w:val="007915BC"/>
    <w:rsid w:val="00795CF7"/>
    <w:rsid w:val="007967FA"/>
    <w:rsid w:val="00797E7A"/>
    <w:rsid w:val="007A0EA6"/>
    <w:rsid w:val="007A1A89"/>
    <w:rsid w:val="007A2D9E"/>
    <w:rsid w:val="007A3392"/>
    <w:rsid w:val="007A5187"/>
    <w:rsid w:val="007A7107"/>
    <w:rsid w:val="007A7E98"/>
    <w:rsid w:val="007B0381"/>
    <w:rsid w:val="007B0F3D"/>
    <w:rsid w:val="007B148D"/>
    <w:rsid w:val="007B18C8"/>
    <w:rsid w:val="007B277C"/>
    <w:rsid w:val="007B28DE"/>
    <w:rsid w:val="007B2B72"/>
    <w:rsid w:val="007B3367"/>
    <w:rsid w:val="007B7A5F"/>
    <w:rsid w:val="007C0BCB"/>
    <w:rsid w:val="007C36BE"/>
    <w:rsid w:val="007C3AEF"/>
    <w:rsid w:val="007C584D"/>
    <w:rsid w:val="007C61CC"/>
    <w:rsid w:val="007C63A3"/>
    <w:rsid w:val="007D20FD"/>
    <w:rsid w:val="007D53ED"/>
    <w:rsid w:val="007D6001"/>
    <w:rsid w:val="007D7F94"/>
    <w:rsid w:val="007E1B76"/>
    <w:rsid w:val="007E219A"/>
    <w:rsid w:val="007E37BF"/>
    <w:rsid w:val="007E56CB"/>
    <w:rsid w:val="007E6593"/>
    <w:rsid w:val="007E701A"/>
    <w:rsid w:val="007E7C65"/>
    <w:rsid w:val="007F1101"/>
    <w:rsid w:val="007F2CB1"/>
    <w:rsid w:val="007F3B3D"/>
    <w:rsid w:val="0080251A"/>
    <w:rsid w:val="00803D20"/>
    <w:rsid w:val="00803DD0"/>
    <w:rsid w:val="008068A1"/>
    <w:rsid w:val="00806BF4"/>
    <w:rsid w:val="008112A0"/>
    <w:rsid w:val="0081696D"/>
    <w:rsid w:val="00816E01"/>
    <w:rsid w:val="008173D0"/>
    <w:rsid w:val="00822418"/>
    <w:rsid w:val="00823235"/>
    <w:rsid w:val="008249F1"/>
    <w:rsid w:val="00824AF2"/>
    <w:rsid w:val="00826686"/>
    <w:rsid w:val="00831E32"/>
    <w:rsid w:val="00831EA4"/>
    <w:rsid w:val="00835563"/>
    <w:rsid w:val="00835D8B"/>
    <w:rsid w:val="00836511"/>
    <w:rsid w:val="00836B02"/>
    <w:rsid w:val="00836EC6"/>
    <w:rsid w:val="0083741E"/>
    <w:rsid w:val="00837985"/>
    <w:rsid w:val="008402FA"/>
    <w:rsid w:val="00840E3D"/>
    <w:rsid w:val="00841D16"/>
    <w:rsid w:val="00841D8C"/>
    <w:rsid w:val="00842220"/>
    <w:rsid w:val="0084368B"/>
    <w:rsid w:val="00844111"/>
    <w:rsid w:val="00844AC5"/>
    <w:rsid w:val="00844F74"/>
    <w:rsid w:val="00846382"/>
    <w:rsid w:val="0084760B"/>
    <w:rsid w:val="00850F57"/>
    <w:rsid w:val="008536C2"/>
    <w:rsid w:val="00853C29"/>
    <w:rsid w:val="008600C7"/>
    <w:rsid w:val="008617D0"/>
    <w:rsid w:val="008619E0"/>
    <w:rsid w:val="00861A60"/>
    <w:rsid w:val="00862357"/>
    <w:rsid w:val="00862B59"/>
    <w:rsid w:val="00862D02"/>
    <w:rsid w:val="008637B9"/>
    <w:rsid w:val="00863C08"/>
    <w:rsid w:val="00864194"/>
    <w:rsid w:val="00866A69"/>
    <w:rsid w:val="00866B70"/>
    <w:rsid w:val="00870399"/>
    <w:rsid w:val="008705A5"/>
    <w:rsid w:val="008711EC"/>
    <w:rsid w:val="008718FE"/>
    <w:rsid w:val="00872946"/>
    <w:rsid w:val="00883928"/>
    <w:rsid w:val="00883DDE"/>
    <w:rsid w:val="008902BD"/>
    <w:rsid w:val="00890F8F"/>
    <w:rsid w:val="00891D73"/>
    <w:rsid w:val="00892A44"/>
    <w:rsid w:val="00896AE2"/>
    <w:rsid w:val="008978C6"/>
    <w:rsid w:val="008A2DE8"/>
    <w:rsid w:val="008A312D"/>
    <w:rsid w:val="008A3CF0"/>
    <w:rsid w:val="008A3E09"/>
    <w:rsid w:val="008A3E57"/>
    <w:rsid w:val="008A5FC0"/>
    <w:rsid w:val="008A6339"/>
    <w:rsid w:val="008A77A7"/>
    <w:rsid w:val="008B3F34"/>
    <w:rsid w:val="008C076B"/>
    <w:rsid w:val="008C0887"/>
    <w:rsid w:val="008C1A4A"/>
    <w:rsid w:val="008C4383"/>
    <w:rsid w:val="008C56B9"/>
    <w:rsid w:val="008C58B8"/>
    <w:rsid w:val="008C6E54"/>
    <w:rsid w:val="008C7F47"/>
    <w:rsid w:val="008D05E0"/>
    <w:rsid w:val="008D1452"/>
    <w:rsid w:val="008D2600"/>
    <w:rsid w:val="008D45FF"/>
    <w:rsid w:val="008E0AC0"/>
    <w:rsid w:val="008E0FEB"/>
    <w:rsid w:val="008E221A"/>
    <w:rsid w:val="008E3FFE"/>
    <w:rsid w:val="008E60BE"/>
    <w:rsid w:val="008E6B74"/>
    <w:rsid w:val="008F0FAF"/>
    <w:rsid w:val="008F14A4"/>
    <w:rsid w:val="008F1A63"/>
    <w:rsid w:val="008F433F"/>
    <w:rsid w:val="008F46CD"/>
    <w:rsid w:val="008F584E"/>
    <w:rsid w:val="008F6480"/>
    <w:rsid w:val="008F67BF"/>
    <w:rsid w:val="008F7740"/>
    <w:rsid w:val="008F7D98"/>
    <w:rsid w:val="009005BE"/>
    <w:rsid w:val="00900CA2"/>
    <w:rsid w:val="00903653"/>
    <w:rsid w:val="00910A52"/>
    <w:rsid w:val="00911479"/>
    <w:rsid w:val="00912465"/>
    <w:rsid w:val="0091484D"/>
    <w:rsid w:val="00915BF4"/>
    <w:rsid w:val="009164E4"/>
    <w:rsid w:val="00922E74"/>
    <w:rsid w:val="00925E71"/>
    <w:rsid w:val="009302D6"/>
    <w:rsid w:val="0093329F"/>
    <w:rsid w:val="00934417"/>
    <w:rsid w:val="0093498B"/>
    <w:rsid w:val="00935ABF"/>
    <w:rsid w:val="00937043"/>
    <w:rsid w:val="0094189C"/>
    <w:rsid w:val="00941BF6"/>
    <w:rsid w:val="00942EB5"/>
    <w:rsid w:val="009445D3"/>
    <w:rsid w:val="00945422"/>
    <w:rsid w:val="0095019A"/>
    <w:rsid w:val="009501F2"/>
    <w:rsid w:val="009513E0"/>
    <w:rsid w:val="00951F9F"/>
    <w:rsid w:val="00952419"/>
    <w:rsid w:val="00955A8A"/>
    <w:rsid w:val="00957BA1"/>
    <w:rsid w:val="00960AC9"/>
    <w:rsid w:val="0096400D"/>
    <w:rsid w:val="00966600"/>
    <w:rsid w:val="00966B96"/>
    <w:rsid w:val="009671D9"/>
    <w:rsid w:val="0096760C"/>
    <w:rsid w:val="00971352"/>
    <w:rsid w:val="009723CA"/>
    <w:rsid w:val="00972828"/>
    <w:rsid w:val="009730BF"/>
    <w:rsid w:val="00974801"/>
    <w:rsid w:val="00975249"/>
    <w:rsid w:val="009753C0"/>
    <w:rsid w:val="00975E5B"/>
    <w:rsid w:val="00975FDB"/>
    <w:rsid w:val="00977C8F"/>
    <w:rsid w:val="00977F94"/>
    <w:rsid w:val="009800AA"/>
    <w:rsid w:val="00981D1A"/>
    <w:rsid w:val="00984939"/>
    <w:rsid w:val="009863E9"/>
    <w:rsid w:val="00992E20"/>
    <w:rsid w:val="009936FC"/>
    <w:rsid w:val="00993925"/>
    <w:rsid w:val="00993977"/>
    <w:rsid w:val="0099780F"/>
    <w:rsid w:val="009A05D1"/>
    <w:rsid w:val="009A234C"/>
    <w:rsid w:val="009A28AC"/>
    <w:rsid w:val="009A330B"/>
    <w:rsid w:val="009A3A5B"/>
    <w:rsid w:val="009A3F2A"/>
    <w:rsid w:val="009A4639"/>
    <w:rsid w:val="009B2AAC"/>
    <w:rsid w:val="009B3521"/>
    <w:rsid w:val="009B541C"/>
    <w:rsid w:val="009C41BE"/>
    <w:rsid w:val="009C4460"/>
    <w:rsid w:val="009C67D5"/>
    <w:rsid w:val="009D33D3"/>
    <w:rsid w:val="009D3A3C"/>
    <w:rsid w:val="009D4C24"/>
    <w:rsid w:val="009D7192"/>
    <w:rsid w:val="009D772D"/>
    <w:rsid w:val="009E0E38"/>
    <w:rsid w:val="009E13B4"/>
    <w:rsid w:val="009E1A35"/>
    <w:rsid w:val="009E2D0A"/>
    <w:rsid w:val="009E3198"/>
    <w:rsid w:val="009E3B22"/>
    <w:rsid w:val="009E4F04"/>
    <w:rsid w:val="009E6251"/>
    <w:rsid w:val="009F09AA"/>
    <w:rsid w:val="009F2C16"/>
    <w:rsid w:val="009F2C1B"/>
    <w:rsid w:val="009F335C"/>
    <w:rsid w:val="009F48C2"/>
    <w:rsid w:val="009F4A44"/>
    <w:rsid w:val="009F63CF"/>
    <w:rsid w:val="009F65A5"/>
    <w:rsid w:val="00A002B5"/>
    <w:rsid w:val="00A0183A"/>
    <w:rsid w:val="00A0260C"/>
    <w:rsid w:val="00A041B5"/>
    <w:rsid w:val="00A04F8C"/>
    <w:rsid w:val="00A05158"/>
    <w:rsid w:val="00A05FEA"/>
    <w:rsid w:val="00A06B54"/>
    <w:rsid w:val="00A130F2"/>
    <w:rsid w:val="00A13BF5"/>
    <w:rsid w:val="00A13F3E"/>
    <w:rsid w:val="00A143A4"/>
    <w:rsid w:val="00A14837"/>
    <w:rsid w:val="00A225E3"/>
    <w:rsid w:val="00A2338C"/>
    <w:rsid w:val="00A239BA"/>
    <w:rsid w:val="00A23A26"/>
    <w:rsid w:val="00A24812"/>
    <w:rsid w:val="00A2489F"/>
    <w:rsid w:val="00A24A8F"/>
    <w:rsid w:val="00A251D8"/>
    <w:rsid w:val="00A25708"/>
    <w:rsid w:val="00A25BF0"/>
    <w:rsid w:val="00A3026E"/>
    <w:rsid w:val="00A33C68"/>
    <w:rsid w:val="00A35A3C"/>
    <w:rsid w:val="00A37366"/>
    <w:rsid w:val="00A40428"/>
    <w:rsid w:val="00A45163"/>
    <w:rsid w:val="00A4546F"/>
    <w:rsid w:val="00A4576A"/>
    <w:rsid w:val="00A45AD0"/>
    <w:rsid w:val="00A45EE9"/>
    <w:rsid w:val="00A50F7A"/>
    <w:rsid w:val="00A51B7F"/>
    <w:rsid w:val="00A53C14"/>
    <w:rsid w:val="00A53DF0"/>
    <w:rsid w:val="00A5731A"/>
    <w:rsid w:val="00A6116F"/>
    <w:rsid w:val="00A61410"/>
    <w:rsid w:val="00A6198A"/>
    <w:rsid w:val="00A6353D"/>
    <w:rsid w:val="00A63F21"/>
    <w:rsid w:val="00A64196"/>
    <w:rsid w:val="00A6498C"/>
    <w:rsid w:val="00A65108"/>
    <w:rsid w:val="00A67F83"/>
    <w:rsid w:val="00A7067F"/>
    <w:rsid w:val="00A707A7"/>
    <w:rsid w:val="00A70925"/>
    <w:rsid w:val="00A7112A"/>
    <w:rsid w:val="00A718FD"/>
    <w:rsid w:val="00A72341"/>
    <w:rsid w:val="00A7673A"/>
    <w:rsid w:val="00A776ED"/>
    <w:rsid w:val="00A77991"/>
    <w:rsid w:val="00A80E50"/>
    <w:rsid w:val="00A8137F"/>
    <w:rsid w:val="00A83663"/>
    <w:rsid w:val="00A83B0F"/>
    <w:rsid w:val="00A84216"/>
    <w:rsid w:val="00A84A4A"/>
    <w:rsid w:val="00A84A79"/>
    <w:rsid w:val="00A86BB7"/>
    <w:rsid w:val="00A87093"/>
    <w:rsid w:val="00A90BFA"/>
    <w:rsid w:val="00A92BF3"/>
    <w:rsid w:val="00A943C8"/>
    <w:rsid w:val="00A944FB"/>
    <w:rsid w:val="00A94FA2"/>
    <w:rsid w:val="00A94FA6"/>
    <w:rsid w:val="00A950A4"/>
    <w:rsid w:val="00A9520D"/>
    <w:rsid w:val="00A954B6"/>
    <w:rsid w:val="00A9747D"/>
    <w:rsid w:val="00AA00A6"/>
    <w:rsid w:val="00AA0E1E"/>
    <w:rsid w:val="00AA1470"/>
    <w:rsid w:val="00AA6BA8"/>
    <w:rsid w:val="00AA74D4"/>
    <w:rsid w:val="00AA7F5A"/>
    <w:rsid w:val="00AB1772"/>
    <w:rsid w:val="00AB2340"/>
    <w:rsid w:val="00AB2443"/>
    <w:rsid w:val="00AB27E0"/>
    <w:rsid w:val="00AB3CB9"/>
    <w:rsid w:val="00AB5FE4"/>
    <w:rsid w:val="00AB659D"/>
    <w:rsid w:val="00AC13E3"/>
    <w:rsid w:val="00AC229F"/>
    <w:rsid w:val="00AD0582"/>
    <w:rsid w:val="00AD416D"/>
    <w:rsid w:val="00AD7671"/>
    <w:rsid w:val="00AD7BFB"/>
    <w:rsid w:val="00AE1AEC"/>
    <w:rsid w:val="00AE43D5"/>
    <w:rsid w:val="00AE53E8"/>
    <w:rsid w:val="00AE550C"/>
    <w:rsid w:val="00AE6FE4"/>
    <w:rsid w:val="00AE783E"/>
    <w:rsid w:val="00AF2059"/>
    <w:rsid w:val="00AF31B8"/>
    <w:rsid w:val="00AF3D84"/>
    <w:rsid w:val="00AF4161"/>
    <w:rsid w:val="00AF51E0"/>
    <w:rsid w:val="00AF580B"/>
    <w:rsid w:val="00B007C8"/>
    <w:rsid w:val="00B00BE9"/>
    <w:rsid w:val="00B039DA"/>
    <w:rsid w:val="00B05C06"/>
    <w:rsid w:val="00B07E1B"/>
    <w:rsid w:val="00B111E1"/>
    <w:rsid w:val="00B13637"/>
    <w:rsid w:val="00B14410"/>
    <w:rsid w:val="00B14C9E"/>
    <w:rsid w:val="00B15BC0"/>
    <w:rsid w:val="00B15E61"/>
    <w:rsid w:val="00B241AB"/>
    <w:rsid w:val="00B24F35"/>
    <w:rsid w:val="00B306CC"/>
    <w:rsid w:val="00B32C88"/>
    <w:rsid w:val="00B343F0"/>
    <w:rsid w:val="00B34747"/>
    <w:rsid w:val="00B3660B"/>
    <w:rsid w:val="00B421B5"/>
    <w:rsid w:val="00B4286D"/>
    <w:rsid w:val="00B42E49"/>
    <w:rsid w:val="00B44E52"/>
    <w:rsid w:val="00B4527B"/>
    <w:rsid w:val="00B50903"/>
    <w:rsid w:val="00B525BB"/>
    <w:rsid w:val="00B601A0"/>
    <w:rsid w:val="00B60EC9"/>
    <w:rsid w:val="00B61CA9"/>
    <w:rsid w:val="00B629BC"/>
    <w:rsid w:val="00B62FFE"/>
    <w:rsid w:val="00B63B3D"/>
    <w:rsid w:val="00B65013"/>
    <w:rsid w:val="00B65E58"/>
    <w:rsid w:val="00B66191"/>
    <w:rsid w:val="00B6639A"/>
    <w:rsid w:val="00B7053E"/>
    <w:rsid w:val="00B70AD3"/>
    <w:rsid w:val="00B7123A"/>
    <w:rsid w:val="00B7435C"/>
    <w:rsid w:val="00B76F38"/>
    <w:rsid w:val="00B8085D"/>
    <w:rsid w:val="00B80B04"/>
    <w:rsid w:val="00B81EFF"/>
    <w:rsid w:val="00B82EF4"/>
    <w:rsid w:val="00B82FE1"/>
    <w:rsid w:val="00B836BB"/>
    <w:rsid w:val="00B84122"/>
    <w:rsid w:val="00B84A54"/>
    <w:rsid w:val="00B85365"/>
    <w:rsid w:val="00B862B0"/>
    <w:rsid w:val="00B9204A"/>
    <w:rsid w:val="00B93BBE"/>
    <w:rsid w:val="00B94DCD"/>
    <w:rsid w:val="00B97E20"/>
    <w:rsid w:val="00BA2AF5"/>
    <w:rsid w:val="00BA2B7C"/>
    <w:rsid w:val="00BB142A"/>
    <w:rsid w:val="00BB34B9"/>
    <w:rsid w:val="00BB35C2"/>
    <w:rsid w:val="00BB553B"/>
    <w:rsid w:val="00BC16C9"/>
    <w:rsid w:val="00BC28D7"/>
    <w:rsid w:val="00BC376C"/>
    <w:rsid w:val="00BC52A1"/>
    <w:rsid w:val="00BC5464"/>
    <w:rsid w:val="00BC5A81"/>
    <w:rsid w:val="00BC6321"/>
    <w:rsid w:val="00BC7817"/>
    <w:rsid w:val="00BD02C1"/>
    <w:rsid w:val="00BD189C"/>
    <w:rsid w:val="00BD3819"/>
    <w:rsid w:val="00BD642D"/>
    <w:rsid w:val="00BD6988"/>
    <w:rsid w:val="00BE1213"/>
    <w:rsid w:val="00BE1A77"/>
    <w:rsid w:val="00BE2EFB"/>
    <w:rsid w:val="00BE4279"/>
    <w:rsid w:val="00BE4742"/>
    <w:rsid w:val="00BE4DF8"/>
    <w:rsid w:val="00BE7383"/>
    <w:rsid w:val="00BE754D"/>
    <w:rsid w:val="00BF1472"/>
    <w:rsid w:val="00BF1DB9"/>
    <w:rsid w:val="00BF6D10"/>
    <w:rsid w:val="00BF6E79"/>
    <w:rsid w:val="00BF71C8"/>
    <w:rsid w:val="00BF7C64"/>
    <w:rsid w:val="00C03A14"/>
    <w:rsid w:val="00C03F6C"/>
    <w:rsid w:val="00C0478E"/>
    <w:rsid w:val="00C048FE"/>
    <w:rsid w:val="00C05FE6"/>
    <w:rsid w:val="00C07D10"/>
    <w:rsid w:val="00C10A7C"/>
    <w:rsid w:val="00C12108"/>
    <w:rsid w:val="00C121D9"/>
    <w:rsid w:val="00C13453"/>
    <w:rsid w:val="00C15FE1"/>
    <w:rsid w:val="00C1637B"/>
    <w:rsid w:val="00C204CA"/>
    <w:rsid w:val="00C220F9"/>
    <w:rsid w:val="00C22941"/>
    <w:rsid w:val="00C22C84"/>
    <w:rsid w:val="00C2541C"/>
    <w:rsid w:val="00C25971"/>
    <w:rsid w:val="00C26862"/>
    <w:rsid w:val="00C2700C"/>
    <w:rsid w:val="00C30199"/>
    <w:rsid w:val="00C30458"/>
    <w:rsid w:val="00C30E13"/>
    <w:rsid w:val="00C31DA6"/>
    <w:rsid w:val="00C33260"/>
    <w:rsid w:val="00C36077"/>
    <w:rsid w:val="00C3703A"/>
    <w:rsid w:val="00C37FBA"/>
    <w:rsid w:val="00C4598F"/>
    <w:rsid w:val="00C46821"/>
    <w:rsid w:val="00C50360"/>
    <w:rsid w:val="00C50BEB"/>
    <w:rsid w:val="00C51900"/>
    <w:rsid w:val="00C51D97"/>
    <w:rsid w:val="00C542A9"/>
    <w:rsid w:val="00C54E12"/>
    <w:rsid w:val="00C55468"/>
    <w:rsid w:val="00C622C3"/>
    <w:rsid w:val="00C6367D"/>
    <w:rsid w:val="00C63BD5"/>
    <w:rsid w:val="00C70EB8"/>
    <w:rsid w:val="00C7359D"/>
    <w:rsid w:val="00C74184"/>
    <w:rsid w:val="00C74906"/>
    <w:rsid w:val="00C74DBE"/>
    <w:rsid w:val="00C753C6"/>
    <w:rsid w:val="00C806FB"/>
    <w:rsid w:val="00C81B40"/>
    <w:rsid w:val="00C81FEA"/>
    <w:rsid w:val="00C83969"/>
    <w:rsid w:val="00C84ED0"/>
    <w:rsid w:val="00C852B2"/>
    <w:rsid w:val="00C86C95"/>
    <w:rsid w:val="00C878D6"/>
    <w:rsid w:val="00C9017B"/>
    <w:rsid w:val="00C962A6"/>
    <w:rsid w:val="00CA0141"/>
    <w:rsid w:val="00CA05EB"/>
    <w:rsid w:val="00CA094C"/>
    <w:rsid w:val="00CA33E3"/>
    <w:rsid w:val="00CA3515"/>
    <w:rsid w:val="00CA3A05"/>
    <w:rsid w:val="00CB14E9"/>
    <w:rsid w:val="00CB572C"/>
    <w:rsid w:val="00CB6D90"/>
    <w:rsid w:val="00CB72C3"/>
    <w:rsid w:val="00CC45E4"/>
    <w:rsid w:val="00CC4752"/>
    <w:rsid w:val="00CC5EA3"/>
    <w:rsid w:val="00CD019F"/>
    <w:rsid w:val="00CD27C5"/>
    <w:rsid w:val="00CD3E31"/>
    <w:rsid w:val="00CD676C"/>
    <w:rsid w:val="00CE0CFA"/>
    <w:rsid w:val="00CE22AD"/>
    <w:rsid w:val="00CE4169"/>
    <w:rsid w:val="00CE7894"/>
    <w:rsid w:val="00CF06A1"/>
    <w:rsid w:val="00CF1467"/>
    <w:rsid w:val="00CF334F"/>
    <w:rsid w:val="00CF48D6"/>
    <w:rsid w:val="00CF4BC6"/>
    <w:rsid w:val="00CF57D6"/>
    <w:rsid w:val="00CF6C1B"/>
    <w:rsid w:val="00D00BCD"/>
    <w:rsid w:val="00D014C6"/>
    <w:rsid w:val="00D019D5"/>
    <w:rsid w:val="00D02D7A"/>
    <w:rsid w:val="00D040FE"/>
    <w:rsid w:val="00D07220"/>
    <w:rsid w:val="00D13BEA"/>
    <w:rsid w:val="00D14633"/>
    <w:rsid w:val="00D166F6"/>
    <w:rsid w:val="00D168FD"/>
    <w:rsid w:val="00D16F64"/>
    <w:rsid w:val="00D2472C"/>
    <w:rsid w:val="00D279BA"/>
    <w:rsid w:val="00D31EEB"/>
    <w:rsid w:val="00D34BD4"/>
    <w:rsid w:val="00D366BE"/>
    <w:rsid w:val="00D404B5"/>
    <w:rsid w:val="00D4288A"/>
    <w:rsid w:val="00D43C04"/>
    <w:rsid w:val="00D447CB"/>
    <w:rsid w:val="00D4600A"/>
    <w:rsid w:val="00D46F51"/>
    <w:rsid w:val="00D47D16"/>
    <w:rsid w:val="00D505F4"/>
    <w:rsid w:val="00D51CE1"/>
    <w:rsid w:val="00D52DA7"/>
    <w:rsid w:val="00D557C1"/>
    <w:rsid w:val="00D562F2"/>
    <w:rsid w:val="00D61B93"/>
    <w:rsid w:val="00D63A17"/>
    <w:rsid w:val="00D64BD9"/>
    <w:rsid w:val="00D64DB4"/>
    <w:rsid w:val="00D655FF"/>
    <w:rsid w:val="00D6678D"/>
    <w:rsid w:val="00D67E4A"/>
    <w:rsid w:val="00D71071"/>
    <w:rsid w:val="00D741FD"/>
    <w:rsid w:val="00D761B0"/>
    <w:rsid w:val="00D763FD"/>
    <w:rsid w:val="00D77B16"/>
    <w:rsid w:val="00D82734"/>
    <w:rsid w:val="00D83E66"/>
    <w:rsid w:val="00D84949"/>
    <w:rsid w:val="00D84F41"/>
    <w:rsid w:val="00D853D8"/>
    <w:rsid w:val="00D85A15"/>
    <w:rsid w:val="00D85D97"/>
    <w:rsid w:val="00D867D7"/>
    <w:rsid w:val="00D87B98"/>
    <w:rsid w:val="00D90AD1"/>
    <w:rsid w:val="00D93C12"/>
    <w:rsid w:val="00D940D2"/>
    <w:rsid w:val="00D941F7"/>
    <w:rsid w:val="00D96155"/>
    <w:rsid w:val="00D96B04"/>
    <w:rsid w:val="00D97A05"/>
    <w:rsid w:val="00DA07F7"/>
    <w:rsid w:val="00DA0F84"/>
    <w:rsid w:val="00DA1367"/>
    <w:rsid w:val="00DA480E"/>
    <w:rsid w:val="00DA4DDF"/>
    <w:rsid w:val="00DA5E4F"/>
    <w:rsid w:val="00DB0804"/>
    <w:rsid w:val="00DB10E2"/>
    <w:rsid w:val="00DB2FC4"/>
    <w:rsid w:val="00DB5906"/>
    <w:rsid w:val="00DC382A"/>
    <w:rsid w:val="00DC50AB"/>
    <w:rsid w:val="00DD3432"/>
    <w:rsid w:val="00DE0C74"/>
    <w:rsid w:val="00DE0E1E"/>
    <w:rsid w:val="00DE1923"/>
    <w:rsid w:val="00DE2B33"/>
    <w:rsid w:val="00DE41DD"/>
    <w:rsid w:val="00DE4630"/>
    <w:rsid w:val="00DE47D5"/>
    <w:rsid w:val="00DE638B"/>
    <w:rsid w:val="00DE6975"/>
    <w:rsid w:val="00DE72EE"/>
    <w:rsid w:val="00DF2CF2"/>
    <w:rsid w:val="00DF37E5"/>
    <w:rsid w:val="00DF4557"/>
    <w:rsid w:val="00DF4B38"/>
    <w:rsid w:val="00DF5712"/>
    <w:rsid w:val="00E034FE"/>
    <w:rsid w:val="00E041E5"/>
    <w:rsid w:val="00E04888"/>
    <w:rsid w:val="00E06F43"/>
    <w:rsid w:val="00E074EE"/>
    <w:rsid w:val="00E0763B"/>
    <w:rsid w:val="00E101C6"/>
    <w:rsid w:val="00E10302"/>
    <w:rsid w:val="00E112E2"/>
    <w:rsid w:val="00E13C76"/>
    <w:rsid w:val="00E17EC5"/>
    <w:rsid w:val="00E24793"/>
    <w:rsid w:val="00E26448"/>
    <w:rsid w:val="00E26BFD"/>
    <w:rsid w:val="00E27E90"/>
    <w:rsid w:val="00E33CDE"/>
    <w:rsid w:val="00E33D02"/>
    <w:rsid w:val="00E34F2C"/>
    <w:rsid w:val="00E35D79"/>
    <w:rsid w:val="00E35E56"/>
    <w:rsid w:val="00E35F51"/>
    <w:rsid w:val="00E36872"/>
    <w:rsid w:val="00E428A6"/>
    <w:rsid w:val="00E439BF"/>
    <w:rsid w:val="00E4641E"/>
    <w:rsid w:val="00E508C0"/>
    <w:rsid w:val="00E518C8"/>
    <w:rsid w:val="00E519AE"/>
    <w:rsid w:val="00E55C4A"/>
    <w:rsid w:val="00E57AF7"/>
    <w:rsid w:val="00E6241B"/>
    <w:rsid w:val="00E63845"/>
    <w:rsid w:val="00E64C27"/>
    <w:rsid w:val="00E64CFD"/>
    <w:rsid w:val="00E64FCC"/>
    <w:rsid w:val="00E6597E"/>
    <w:rsid w:val="00E65CDA"/>
    <w:rsid w:val="00E703B6"/>
    <w:rsid w:val="00E72200"/>
    <w:rsid w:val="00E72391"/>
    <w:rsid w:val="00E72B1B"/>
    <w:rsid w:val="00E75D47"/>
    <w:rsid w:val="00E766F5"/>
    <w:rsid w:val="00E7730A"/>
    <w:rsid w:val="00E82948"/>
    <w:rsid w:val="00E82D7B"/>
    <w:rsid w:val="00E90218"/>
    <w:rsid w:val="00E913BB"/>
    <w:rsid w:val="00E9386D"/>
    <w:rsid w:val="00E95045"/>
    <w:rsid w:val="00E95F2E"/>
    <w:rsid w:val="00EA01DB"/>
    <w:rsid w:val="00EA07F2"/>
    <w:rsid w:val="00EA1508"/>
    <w:rsid w:val="00EA1541"/>
    <w:rsid w:val="00EA26D9"/>
    <w:rsid w:val="00EA309C"/>
    <w:rsid w:val="00EA32E4"/>
    <w:rsid w:val="00EA7E36"/>
    <w:rsid w:val="00EB0898"/>
    <w:rsid w:val="00EB0FF2"/>
    <w:rsid w:val="00EB33FF"/>
    <w:rsid w:val="00EB3570"/>
    <w:rsid w:val="00EB627B"/>
    <w:rsid w:val="00EB6D94"/>
    <w:rsid w:val="00EC1310"/>
    <w:rsid w:val="00EC4183"/>
    <w:rsid w:val="00EC6468"/>
    <w:rsid w:val="00EC6708"/>
    <w:rsid w:val="00ED207C"/>
    <w:rsid w:val="00ED325A"/>
    <w:rsid w:val="00ED3F41"/>
    <w:rsid w:val="00ED5615"/>
    <w:rsid w:val="00ED692E"/>
    <w:rsid w:val="00ED69AF"/>
    <w:rsid w:val="00EE1847"/>
    <w:rsid w:val="00EE1FD5"/>
    <w:rsid w:val="00EE240E"/>
    <w:rsid w:val="00EE328D"/>
    <w:rsid w:val="00EE688E"/>
    <w:rsid w:val="00EE6A6D"/>
    <w:rsid w:val="00EF03E2"/>
    <w:rsid w:val="00EF08B7"/>
    <w:rsid w:val="00EF4F2C"/>
    <w:rsid w:val="00EF4F2E"/>
    <w:rsid w:val="00EF7F8B"/>
    <w:rsid w:val="00F01F6A"/>
    <w:rsid w:val="00F03814"/>
    <w:rsid w:val="00F05FB3"/>
    <w:rsid w:val="00F0766F"/>
    <w:rsid w:val="00F07A09"/>
    <w:rsid w:val="00F07E23"/>
    <w:rsid w:val="00F10B66"/>
    <w:rsid w:val="00F1102B"/>
    <w:rsid w:val="00F1390C"/>
    <w:rsid w:val="00F1415E"/>
    <w:rsid w:val="00F14D98"/>
    <w:rsid w:val="00F20C5E"/>
    <w:rsid w:val="00F21C65"/>
    <w:rsid w:val="00F2332C"/>
    <w:rsid w:val="00F24011"/>
    <w:rsid w:val="00F2465F"/>
    <w:rsid w:val="00F255F1"/>
    <w:rsid w:val="00F26BA1"/>
    <w:rsid w:val="00F3011B"/>
    <w:rsid w:val="00F32EB3"/>
    <w:rsid w:val="00F33C82"/>
    <w:rsid w:val="00F34053"/>
    <w:rsid w:val="00F35A12"/>
    <w:rsid w:val="00F36A1D"/>
    <w:rsid w:val="00F37CCD"/>
    <w:rsid w:val="00F42557"/>
    <w:rsid w:val="00F44278"/>
    <w:rsid w:val="00F44616"/>
    <w:rsid w:val="00F50D11"/>
    <w:rsid w:val="00F51B65"/>
    <w:rsid w:val="00F52AAB"/>
    <w:rsid w:val="00F52EB6"/>
    <w:rsid w:val="00F55260"/>
    <w:rsid w:val="00F554E0"/>
    <w:rsid w:val="00F558D4"/>
    <w:rsid w:val="00F6316B"/>
    <w:rsid w:val="00F65AE0"/>
    <w:rsid w:val="00F7265C"/>
    <w:rsid w:val="00F74E38"/>
    <w:rsid w:val="00F755B2"/>
    <w:rsid w:val="00F76D6F"/>
    <w:rsid w:val="00F778B0"/>
    <w:rsid w:val="00F81EF5"/>
    <w:rsid w:val="00F8210D"/>
    <w:rsid w:val="00F8352C"/>
    <w:rsid w:val="00F83BC2"/>
    <w:rsid w:val="00F92EC1"/>
    <w:rsid w:val="00F94C47"/>
    <w:rsid w:val="00F97631"/>
    <w:rsid w:val="00FA0421"/>
    <w:rsid w:val="00FA22E5"/>
    <w:rsid w:val="00FA3389"/>
    <w:rsid w:val="00FA3476"/>
    <w:rsid w:val="00FA495F"/>
    <w:rsid w:val="00FA6129"/>
    <w:rsid w:val="00FB0C10"/>
    <w:rsid w:val="00FB1A20"/>
    <w:rsid w:val="00FB245E"/>
    <w:rsid w:val="00FB3C36"/>
    <w:rsid w:val="00FB3E53"/>
    <w:rsid w:val="00FB4280"/>
    <w:rsid w:val="00FB4A8C"/>
    <w:rsid w:val="00FB7CCE"/>
    <w:rsid w:val="00FC01C8"/>
    <w:rsid w:val="00FC13C8"/>
    <w:rsid w:val="00FC5027"/>
    <w:rsid w:val="00FC50C7"/>
    <w:rsid w:val="00FC511D"/>
    <w:rsid w:val="00FC5453"/>
    <w:rsid w:val="00FC68BC"/>
    <w:rsid w:val="00FC6FF0"/>
    <w:rsid w:val="00FD08F0"/>
    <w:rsid w:val="00FD0D1A"/>
    <w:rsid w:val="00FD11D4"/>
    <w:rsid w:val="00FD225D"/>
    <w:rsid w:val="00FD2384"/>
    <w:rsid w:val="00FD332B"/>
    <w:rsid w:val="00FD56AC"/>
    <w:rsid w:val="00FE27FD"/>
    <w:rsid w:val="00FE452E"/>
    <w:rsid w:val="00FE57DA"/>
    <w:rsid w:val="00FE6584"/>
    <w:rsid w:val="00FF1DBC"/>
    <w:rsid w:val="00FF38DB"/>
    <w:rsid w:val="00FF4275"/>
    <w:rsid w:val="00FF4A4C"/>
    <w:rsid w:val="00FF4ACB"/>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9D72C84"/>
  <w15:docId w15:val="{0D18FC76-2234-4C4F-B15D-71D374AB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2E31B1"/>
    <w:pPr>
      <w:keepNext/>
      <w:tabs>
        <w:tab w:val="num" w:pos="864"/>
      </w:tabs>
      <w:spacing w:before="240" w:after="60"/>
      <w:ind w:left="864" w:hanging="864"/>
      <w:jc w:val="left"/>
      <w:outlineLvl w:val="3"/>
    </w:pPr>
    <w:rPr>
      <w:b/>
      <w:bCs/>
      <w:sz w:val="28"/>
      <w:szCs w:val="28"/>
      <w:lang w:val="es-ES" w:eastAsia="es-ES"/>
    </w:rPr>
  </w:style>
  <w:style w:type="paragraph" w:styleId="Ttulo5">
    <w:name w:val="heading 5"/>
    <w:basedOn w:val="Normal"/>
    <w:next w:val="Normal"/>
    <w:link w:val="Ttulo5Car"/>
    <w:qFormat/>
    <w:rsid w:val="001C3A32"/>
    <w:pPr>
      <w:keepNext/>
      <w:tabs>
        <w:tab w:val="left" w:pos="7200"/>
      </w:tabs>
      <w:spacing w:after="0"/>
      <w:ind w:right="44" w:firstLine="0"/>
      <w:jc w:val="center"/>
      <w:outlineLvl w:val="4"/>
    </w:pPr>
    <w:rPr>
      <w:b/>
      <w:sz w:val="28"/>
      <w:lang w:val="es-ES"/>
    </w:rPr>
  </w:style>
  <w:style w:type="paragraph" w:styleId="Ttulo6">
    <w:name w:val="heading 6"/>
    <w:basedOn w:val="Normal"/>
    <w:next w:val="Normal"/>
    <w:link w:val="Ttulo6Car"/>
    <w:qFormat/>
    <w:rsid w:val="00C30199"/>
    <w:pPr>
      <w:tabs>
        <w:tab w:val="num" w:pos="1152"/>
      </w:tabs>
      <w:spacing w:before="240" w:after="60"/>
      <w:ind w:left="1152" w:hanging="1152"/>
      <w:jc w:val="left"/>
      <w:outlineLvl w:val="5"/>
    </w:pPr>
    <w:rPr>
      <w:b/>
      <w:bCs/>
      <w:sz w:val="22"/>
      <w:szCs w:val="22"/>
      <w:lang w:val="es-ES" w:eastAsia="es-ES"/>
    </w:rPr>
  </w:style>
  <w:style w:type="paragraph" w:styleId="Ttulo7">
    <w:name w:val="heading 7"/>
    <w:basedOn w:val="Normal"/>
    <w:next w:val="Normal"/>
    <w:link w:val="Ttulo7Car"/>
    <w:qFormat/>
    <w:rsid w:val="00C30199"/>
    <w:pPr>
      <w:keepNext/>
      <w:spacing w:after="0"/>
      <w:ind w:firstLine="0"/>
      <w:jc w:val="center"/>
      <w:outlineLvl w:val="6"/>
    </w:pPr>
    <w:rPr>
      <w:sz w:val="52"/>
      <w:lang w:val="es-ES" w:eastAsia="es-ES"/>
    </w:rPr>
  </w:style>
  <w:style w:type="paragraph" w:styleId="Ttulo8">
    <w:name w:val="heading 8"/>
    <w:basedOn w:val="Normal"/>
    <w:next w:val="Normal"/>
    <w:link w:val="Ttulo8Car"/>
    <w:qFormat/>
    <w:rsid w:val="00C30199"/>
    <w:pPr>
      <w:tabs>
        <w:tab w:val="num" w:pos="1440"/>
      </w:tabs>
      <w:spacing w:before="240" w:after="60"/>
      <w:ind w:left="1440" w:hanging="1440"/>
      <w:jc w:val="left"/>
      <w:outlineLvl w:val="7"/>
    </w:pPr>
    <w:rPr>
      <w:i/>
      <w:iCs/>
      <w:sz w:val="24"/>
      <w:szCs w:val="24"/>
      <w:lang w:val="es-ES" w:eastAsia="es-ES"/>
    </w:rPr>
  </w:style>
  <w:style w:type="paragraph" w:styleId="Ttulo9">
    <w:name w:val="heading 9"/>
    <w:basedOn w:val="Normal"/>
    <w:next w:val="Normal"/>
    <w:link w:val="Ttulo9Car"/>
    <w:qFormat/>
    <w:rsid w:val="00C30199"/>
    <w:pPr>
      <w:tabs>
        <w:tab w:val="num" w:pos="1584"/>
      </w:tabs>
      <w:spacing w:before="240" w:after="60"/>
      <w:ind w:left="1584" w:hanging="1584"/>
      <w:jc w:val="left"/>
      <w:outlineLvl w:val="8"/>
    </w:pPr>
    <w:rPr>
      <w:rFonts w:ascii="Arial" w:hAnsi="Arial" w:cs="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075677"/>
    <w:pPr>
      <w:keepLines/>
      <w:tabs>
        <w:tab w:val="right" w:pos="2835"/>
        <w:tab w:val="right" w:pos="3969"/>
        <w:tab w:val="right" w:pos="5103"/>
        <w:tab w:val="right" w:pos="6237"/>
        <w:tab w:val="right" w:pos="7371"/>
      </w:tabs>
      <w:spacing w:after="0" w:line="240" w:lineRule="atLeast"/>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FE57DA"/>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Descripcin"/>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Descripcin">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qFormat/>
    <w:rsid w:val="00075677"/>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Ttulo5Car">
    <w:name w:val="Título 5 Car"/>
    <w:link w:val="Ttulo5"/>
    <w:locked/>
    <w:rsid w:val="002E31B1"/>
    <w:rPr>
      <w:b/>
      <w:sz w:val="28"/>
      <w:lang w:eastAsia="en-US"/>
    </w:rPr>
  </w:style>
  <w:style w:type="character" w:customStyle="1" w:styleId="atitulo1Car">
    <w:name w:val="atitulo1 Car"/>
    <w:basedOn w:val="Fuentedeprrafopredeter"/>
    <w:link w:val="atitulo1"/>
    <w:locked/>
    <w:rsid w:val="002E31B1"/>
    <w:rPr>
      <w:rFonts w:ascii="Arial" w:hAnsi="Arial"/>
      <w:b/>
      <w:color w:val="000000"/>
      <w:kern w:val="28"/>
      <w:sz w:val="25"/>
      <w:szCs w:val="26"/>
      <w:lang w:val="es-ES_tradnl" w:eastAsia="en-US"/>
    </w:rPr>
  </w:style>
  <w:style w:type="character" w:customStyle="1" w:styleId="Ttulo4Car">
    <w:name w:val="Título 4 Car"/>
    <w:basedOn w:val="Fuentedeprrafopredeter"/>
    <w:link w:val="Ttulo4"/>
    <w:rsid w:val="002E31B1"/>
    <w:rPr>
      <w:b/>
      <w:bCs/>
      <w:sz w:val="28"/>
      <w:szCs w:val="28"/>
    </w:rPr>
  </w:style>
  <w:style w:type="character" w:customStyle="1" w:styleId="atitulo2Car">
    <w:name w:val="atitulo2 Car"/>
    <w:link w:val="atitulo2"/>
    <w:locked/>
    <w:rsid w:val="002E31B1"/>
    <w:rPr>
      <w:rFonts w:ascii="Arial" w:hAnsi="Arial"/>
      <w:bCs/>
      <w:iCs/>
      <w:color w:val="000000"/>
      <w:spacing w:val="10"/>
      <w:kern w:val="28"/>
      <w:sz w:val="25"/>
      <w:szCs w:val="26"/>
      <w:lang w:val="es-ES_tradnl" w:eastAsia="en-US"/>
    </w:rPr>
  </w:style>
  <w:style w:type="character" w:customStyle="1" w:styleId="Ttulo6Car">
    <w:name w:val="Título 6 Car"/>
    <w:basedOn w:val="Fuentedeprrafopredeter"/>
    <w:link w:val="Ttulo6"/>
    <w:rsid w:val="00C30199"/>
    <w:rPr>
      <w:b/>
      <w:bCs/>
      <w:sz w:val="22"/>
      <w:szCs w:val="22"/>
    </w:rPr>
  </w:style>
  <w:style w:type="character" w:customStyle="1" w:styleId="Ttulo7Car">
    <w:name w:val="Título 7 Car"/>
    <w:basedOn w:val="Fuentedeprrafopredeter"/>
    <w:link w:val="Ttulo7"/>
    <w:rsid w:val="00C30199"/>
    <w:rPr>
      <w:sz w:val="52"/>
    </w:rPr>
  </w:style>
  <w:style w:type="character" w:customStyle="1" w:styleId="Ttulo8Car">
    <w:name w:val="Título 8 Car"/>
    <w:basedOn w:val="Fuentedeprrafopredeter"/>
    <w:link w:val="Ttulo8"/>
    <w:rsid w:val="00C30199"/>
    <w:rPr>
      <w:i/>
      <w:iCs/>
      <w:sz w:val="24"/>
      <w:szCs w:val="24"/>
    </w:rPr>
  </w:style>
  <w:style w:type="character" w:customStyle="1" w:styleId="Ttulo9Car">
    <w:name w:val="Título 9 Car"/>
    <w:basedOn w:val="Fuentedeprrafopredeter"/>
    <w:link w:val="Ttulo9"/>
    <w:rsid w:val="00C30199"/>
    <w:rPr>
      <w:rFonts w:ascii="Arial" w:hAnsi="Arial" w:cs="Arial"/>
      <w:sz w:val="22"/>
      <w:szCs w:val="22"/>
    </w:rPr>
  </w:style>
  <w:style w:type="paragraph" w:styleId="Textonotapie">
    <w:name w:val="footnote text"/>
    <w:basedOn w:val="Normal"/>
    <w:link w:val="TextonotapieCar"/>
    <w:unhideWhenUsed/>
    <w:rsid w:val="00C30199"/>
    <w:pPr>
      <w:spacing w:after="0"/>
    </w:pPr>
  </w:style>
  <w:style w:type="character" w:customStyle="1" w:styleId="TextonotapieCar">
    <w:name w:val="Texto nota pie Car"/>
    <w:basedOn w:val="Fuentedeprrafopredeter"/>
    <w:link w:val="Textonotapie"/>
    <w:rsid w:val="00C30199"/>
    <w:rPr>
      <w:lang w:val="es-ES_tradnl" w:eastAsia="en-US"/>
    </w:rPr>
  </w:style>
  <w:style w:type="character" w:styleId="Refdenotaalpie">
    <w:name w:val="footnote reference"/>
    <w:basedOn w:val="Fuentedeprrafopredeter"/>
    <w:unhideWhenUsed/>
    <w:rsid w:val="00C30199"/>
    <w:rPr>
      <w:vertAlign w:val="superscript"/>
    </w:rPr>
  </w:style>
  <w:style w:type="paragraph" w:styleId="NormalWeb">
    <w:name w:val="Normal (Web)"/>
    <w:basedOn w:val="Normal"/>
    <w:uiPriority w:val="99"/>
    <w:unhideWhenUsed/>
    <w:rsid w:val="00C30199"/>
    <w:pPr>
      <w:spacing w:before="100" w:beforeAutospacing="1" w:after="100" w:afterAutospacing="1"/>
      <w:ind w:firstLine="0"/>
      <w:jc w:val="left"/>
    </w:pPr>
    <w:rPr>
      <w:rFonts w:eastAsiaTheme="minorEastAsia"/>
      <w:sz w:val="24"/>
      <w:szCs w:val="24"/>
      <w:lang w:val="es-ES" w:eastAsia="es-ES"/>
    </w:rPr>
  </w:style>
  <w:style w:type="paragraph" w:styleId="Prrafodelista">
    <w:name w:val="List Paragraph"/>
    <w:basedOn w:val="Normal"/>
    <w:uiPriority w:val="34"/>
    <w:qFormat/>
    <w:rsid w:val="00C30199"/>
    <w:pPr>
      <w:ind w:left="720"/>
      <w:contextualSpacing/>
    </w:pPr>
  </w:style>
  <w:style w:type="character" w:customStyle="1" w:styleId="Ttulo1Car">
    <w:name w:val="Título 1 Car"/>
    <w:link w:val="Ttulo1"/>
    <w:locked/>
    <w:rsid w:val="00C30199"/>
    <w:rPr>
      <w:rFonts w:ascii="Arial" w:hAnsi="Arial" w:cs="Arial"/>
      <w:b/>
      <w:bCs/>
      <w:kern w:val="32"/>
      <w:sz w:val="32"/>
      <w:szCs w:val="32"/>
      <w:lang w:val="es-ES_tradnl" w:eastAsia="en-US"/>
    </w:rPr>
  </w:style>
  <w:style w:type="character" w:customStyle="1" w:styleId="Ttulo2Car">
    <w:name w:val="Título 2 Car"/>
    <w:link w:val="Ttulo2"/>
    <w:locked/>
    <w:rsid w:val="00C30199"/>
    <w:rPr>
      <w:rFonts w:ascii="Arial" w:hAnsi="Arial" w:cs="Arial"/>
      <w:b/>
      <w:bCs/>
      <w:i/>
      <w:iCs/>
      <w:sz w:val="28"/>
      <w:szCs w:val="28"/>
      <w:lang w:val="es-ES_tradnl" w:eastAsia="en-US"/>
    </w:rPr>
  </w:style>
  <w:style w:type="character" w:customStyle="1" w:styleId="Ttulo3Car">
    <w:name w:val="Título 3 Car"/>
    <w:link w:val="Ttulo3"/>
    <w:locked/>
    <w:rsid w:val="00C30199"/>
    <w:rPr>
      <w:rFonts w:ascii="Arial" w:hAnsi="Arial" w:cs="Arial"/>
      <w:b/>
      <w:bCs/>
      <w:szCs w:val="26"/>
      <w:lang w:val="es-ES_tradnl" w:eastAsia="en-US"/>
    </w:rPr>
  </w:style>
  <w:style w:type="character" w:customStyle="1" w:styleId="TextodegloboCar">
    <w:name w:val="Texto de globo Car"/>
    <w:link w:val="Textodeglobo"/>
    <w:semiHidden/>
    <w:locked/>
    <w:rsid w:val="00C30199"/>
    <w:rPr>
      <w:rFonts w:ascii="Tahoma" w:hAnsi="Tahoma" w:cs="Tahoma"/>
      <w:sz w:val="16"/>
      <w:szCs w:val="16"/>
      <w:lang w:val="es-ES_tradnl" w:eastAsia="en-US"/>
    </w:rPr>
  </w:style>
  <w:style w:type="character" w:customStyle="1" w:styleId="EncabezadoCar">
    <w:name w:val="Encabezado Car"/>
    <w:link w:val="Encabezado"/>
    <w:locked/>
    <w:rsid w:val="00C30199"/>
    <w:rPr>
      <w:bCs/>
      <w:caps/>
      <w:sz w:val="14"/>
      <w:szCs w:val="12"/>
      <w:lang w:val="es-ES_tradnl" w:eastAsia="en-US"/>
    </w:rPr>
  </w:style>
  <w:style w:type="character" w:customStyle="1" w:styleId="PiedepginaCar">
    <w:name w:val="Pie de página Car"/>
    <w:link w:val="Piedepgina"/>
    <w:uiPriority w:val="99"/>
    <w:locked/>
    <w:rsid w:val="00C30199"/>
    <w:rPr>
      <w:spacing w:val="6"/>
      <w:lang w:val="es-ES_tradnl" w:eastAsia="en-US"/>
    </w:rPr>
  </w:style>
  <w:style w:type="paragraph" w:customStyle="1" w:styleId="cuatitul">
    <w:name w:val="cuatitul"/>
    <w:basedOn w:val="Normal"/>
    <w:rsid w:val="00C30199"/>
    <w:pPr>
      <w:spacing w:after="60"/>
      <w:ind w:firstLine="0"/>
      <w:jc w:val="center"/>
    </w:pPr>
    <w:rPr>
      <w:rFonts w:ascii="GillSans" w:eastAsia="Calibri" w:hAnsi="GillSans"/>
      <w:sz w:val="22"/>
      <w:lang w:eastAsia="es-ES"/>
    </w:rPr>
  </w:style>
  <w:style w:type="paragraph" w:customStyle="1" w:styleId="TablaCC">
    <w:name w:val="TablaCC"/>
    <w:basedOn w:val="Normal"/>
    <w:rsid w:val="00C30199"/>
    <w:pPr>
      <w:spacing w:before="200" w:after="0"/>
      <w:ind w:firstLine="0"/>
      <w:jc w:val="left"/>
    </w:pPr>
    <w:rPr>
      <w:rFonts w:ascii="Arial" w:eastAsia="Calibri" w:hAnsi="Arial"/>
      <w:b/>
      <w:sz w:val="24"/>
      <w:szCs w:val="24"/>
      <w:lang w:val="es-ES"/>
    </w:rPr>
  </w:style>
  <w:style w:type="paragraph" w:customStyle="1" w:styleId="xl25">
    <w:name w:val="xl25"/>
    <w:basedOn w:val="Normal"/>
    <w:rsid w:val="00C30199"/>
    <w:pPr>
      <w:pBdr>
        <w:left w:val="double" w:sz="6" w:space="0" w:color="auto"/>
      </w:pBdr>
      <w:spacing w:before="100" w:beforeAutospacing="1" w:after="100" w:afterAutospacing="1"/>
      <w:ind w:firstLine="0"/>
      <w:jc w:val="left"/>
      <w:textAlignment w:val="top"/>
    </w:pPr>
    <w:rPr>
      <w:rFonts w:eastAsia="Arial Unicode MS"/>
      <w:sz w:val="24"/>
      <w:szCs w:val="24"/>
      <w:lang w:val="es-ES" w:eastAsia="es-ES"/>
    </w:rPr>
  </w:style>
  <w:style w:type="paragraph" w:styleId="Textoindependiente">
    <w:name w:val="Body Text"/>
    <w:basedOn w:val="Normal"/>
    <w:link w:val="TextoindependienteCar"/>
    <w:rsid w:val="00C30199"/>
    <w:pPr>
      <w:spacing w:after="0"/>
      <w:ind w:firstLine="0"/>
    </w:pPr>
    <w:rPr>
      <w:rFonts w:ascii="Arial" w:eastAsia="Calibri" w:hAnsi="Arial"/>
      <w:sz w:val="24"/>
      <w:lang w:eastAsia="es-ES"/>
    </w:rPr>
  </w:style>
  <w:style w:type="character" w:customStyle="1" w:styleId="TextoindependienteCar">
    <w:name w:val="Texto independiente Car"/>
    <w:basedOn w:val="Fuentedeprrafopredeter"/>
    <w:link w:val="Textoindependiente"/>
    <w:rsid w:val="00C30199"/>
    <w:rPr>
      <w:rFonts w:ascii="Arial" w:eastAsia="Calibri" w:hAnsi="Arial"/>
      <w:sz w:val="24"/>
      <w:lang w:val="es-ES_tradnl"/>
    </w:rPr>
  </w:style>
  <w:style w:type="character" w:customStyle="1" w:styleId="AyuntamientoCar">
    <w:name w:val="Ayuntamiento Car"/>
    <w:link w:val="Ayuntamiento"/>
    <w:locked/>
    <w:rsid w:val="00C30199"/>
    <w:rPr>
      <w:rFonts w:ascii="Arial" w:hAnsi="Arial"/>
      <w:sz w:val="24"/>
      <w:lang w:val="x-none"/>
    </w:rPr>
  </w:style>
  <w:style w:type="paragraph" w:customStyle="1" w:styleId="Ayuntamiento">
    <w:name w:val="Ayuntamiento"/>
    <w:basedOn w:val="Normal"/>
    <w:link w:val="AyuntamientoCar"/>
    <w:rsid w:val="00C30199"/>
    <w:pPr>
      <w:spacing w:after="0"/>
      <w:ind w:firstLine="0"/>
    </w:pPr>
    <w:rPr>
      <w:rFonts w:ascii="Arial" w:hAnsi="Arial"/>
      <w:sz w:val="24"/>
      <w:lang w:val="x-none" w:eastAsia="es-ES"/>
    </w:rPr>
  </w:style>
  <w:style w:type="character" w:customStyle="1" w:styleId="JavierCar">
    <w:name w:val="Javier Car"/>
    <w:link w:val="Javier"/>
    <w:locked/>
    <w:rsid w:val="00C30199"/>
    <w:rPr>
      <w:rFonts w:ascii="Arial" w:hAnsi="Arial"/>
      <w:sz w:val="24"/>
      <w:lang w:val="x-none"/>
    </w:rPr>
  </w:style>
  <w:style w:type="paragraph" w:customStyle="1" w:styleId="Javier">
    <w:name w:val="Javier"/>
    <w:basedOn w:val="Normal"/>
    <w:link w:val="JavierCar"/>
    <w:rsid w:val="00C30199"/>
    <w:pPr>
      <w:spacing w:after="0"/>
      <w:ind w:firstLine="0"/>
    </w:pPr>
    <w:rPr>
      <w:rFonts w:ascii="Arial" w:hAnsi="Arial"/>
      <w:sz w:val="24"/>
      <w:lang w:val="x-none" w:eastAsia="es-ES"/>
    </w:rPr>
  </w:style>
  <w:style w:type="character" w:styleId="Textoennegrita">
    <w:name w:val="Strong"/>
    <w:qFormat/>
    <w:rsid w:val="00C30199"/>
    <w:rPr>
      <w:b/>
    </w:rPr>
  </w:style>
  <w:style w:type="paragraph" w:customStyle="1" w:styleId="foral-f-parrafo-c">
    <w:name w:val="foral-f-parrafo-c"/>
    <w:basedOn w:val="Normal"/>
    <w:rsid w:val="00C30199"/>
    <w:pPr>
      <w:spacing w:after="240"/>
      <w:ind w:firstLine="0"/>
      <w:jc w:val="left"/>
    </w:pPr>
    <w:rPr>
      <w:rFonts w:eastAsia="Calibri"/>
      <w:sz w:val="24"/>
      <w:szCs w:val="24"/>
      <w:lang w:val="es-ES" w:eastAsia="es-ES"/>
    </w:rPr>
  </w:style>
  <w:style w:type="paragraph" w:customStyle="1" w:styleId="Estndar">
    <w:name w:val="Estándar"/>
    <w:rsid w:val="00C30199"/>
    <w:pPr>
      <w:snapToGrid w:val="0"/>
    </w:pPr>
    <w:rPr>
      <w:rFonts w:ascii="CG Omega" w:hAnsi="CG Omega"/>
      <w:color w:val="000000"/>
      <w:sz w:val="22"/>
    </w:rPr>
  </w:style>
  <w:style w:type="paragraph" w:styleId="Textoindependiente2">
    <w:name w:val="Body Text 2"/>
    <w:basedOn w:val="Normal"/>
    <w:link w:val="Textoindependiente2Car"/>
    <w:rsid w:val="00C30199"/>
    <w:pPr>
      <w:spacing w:after="120" w:line="480" w:lineRule="auto"/>
    </w:pPr>
    <w:rPr>
      <w:rFonts w:eastAsia="Calibri"/>
    </w:rPr>
  </w:style>
  <w:style w:type="character" w:customStyle="1" w:styleId="Textoindependiente2Car">
    <w:name w:val="Texto independiente 2 Car"/>
    <w:basedOn w:val="Fuentedeprrafopredeter"/>
    <w:link w:val="Textoindependiente2"/>
    <w:rsid w:val="00C30199"/>
    <w:rPr>
      <w:rFonts w:eastAsia="Calibri"/>
      <w:lang w:val="es-ES_tradnl" w:eastAsia="en-US"/>
    </w:rPr>
  </w:style>
  <w:style w:type="paragraph" w:styleId="Textoindependiente3">
    <w:name w:val="Body Text 3"/>
    <w:basedOn w:val="Normal"/>
    <w:link w:val="Textoindependiente3Car"/>
    <w:rsid w:val="00C30199"/>
    <w:pPr>
      <w:spacing w:after="0"/>
      <w:ind w:firstLine="0"/>
      <w:jc w:val="center"/>
    </w:pPr>
    <w:rPr>
      <w:rFonts w:ascii="ITCCentury Book" w:hAnsi="ITCCentury Book"/>
      <w:b/>
      <w:sz w:val="96"/>
      <w:lang w:val="es-ES" w:eastAsia="es-ES"/>
    </w:rPr>
  </w:style>
  <w:style w:type="character" w:customStyle="1" w:styleId="Textoindependiente3Car">
    <w:name w:val="Texto independiente 3 Car"/>
    <w:basedOn w:val="Fuentedeprrafopredeter"/>
    <w:link w:val="Textoindependiente3"/>
    <w:rsid w:val="00C30199"/>
    <w:rPr>
      <w:rFonts w:ascii="ITCCentury Book" w:hAnsi="ITCCentury Book"/>
      <w:b/>
      <w:sz w:val="96"/>
    </w:rPr>
  </w:style>
  <w:style w:type="paragraph" w:customStyle="1" w:styleId="c22">
    <w:name w:val="c22"/>
    <w:basedOn w:val="Normal"/>
    <w:rsid w:val="00C30199"/>
    <w:pPr>
      <w:spacing w:before="100" w:beforeAutospacing="1" w:after="100" w:afterAutospacing="1"/>
      <w:ind w:firstLine="0"/>
      <w:jc w:val="left"/>
    </w:pPr>
    <w:rPr>
      <w:sz w:val="24"/>
      <w:szCs w:val="24"/>
      <w:lang w:val="es-ES" w:eastAsia="es-ES"/>
    </w:rPr>
  </w:style>
  <w:style w:type="paragraph" w:customStyle="1" w:styleId="np">
    <w:name w:val="np"/>
    <w:basedOn w:val="Normal"/>
    <w:rsid w:val="00C30199"/>
    <w:pPr>
      <w:spacing w:before="100" w:beforeAutospacing="1" w:after="100" w:afterAutospacing="1"/>
      <w:ind w:firstLine="0"/>
      <w:jc w:val="left"/>
    </w:pPr>
    <w:rPr>
      <w:sz w:val="24"/>
      <w:szCs w:val="24"/>
      <w:lang w:val="es-ES" w:eastAsia="es-ES"/>
    </w:rPr>
  </w:style>
  <w:style w:type="paragraph" w:customStyle="1" w:styleId="Default">
    <w:name w:val="Default"/>
    <w:rsid w:val="00C30199"/>
    <w:pPr>
      <w:autoSpaceDE w:val="0"/>
      <w:autoSpaceDN w:val="0"/>
      <w:adjustRightInd w:val="0"/>
    </w:pPr>
    <w:rPr>
      <w:rFonts w:ascii="TimesNewRoman" w:hAnsi="TimesNewRoman" w:cs="TimesNewRoman"/>
    </w:rPr>
  </w:style>
  <w:style w:type="paragraph" w:customStyle="1" w:styleId="Subepgrafe">
    <w:name w:val="Subepígrafe"/>
    <w:basedOn w:val="Normal"/>
    <w:next w:val="Normal"/>
    <w:rsid w:val="00C30199"/>
    <w:pPr>
      <w:overflowPunct w:val="0"/>
      <w:adjustRightInd w:val="0"/>
      <w:spacing w:before="240" w:after="0"/>
      <w:ind w:firstLine="0"/>
    </w:pPr>
    <w:rPr>
      <w:sz w:val="22"/>
      <w:lang w:eastAsia="es-ES"/>
    </w:rPr>
  </w:style>
  <w:style w:type="paragraph" w:customStyle="1" w:styleId="xa1">
    <w:name w:val="xa1"/>
    <w:basedOn w:val="Normal"/>
    <w:uiPriority w:val="99"/>
    <w:rsid w:val="00C30199"/>
    <w:pPr>
      <w:spacing w:before="100" w:beforeAutospacing="1" w:after="100" w:afterAutospacing="1"/>
      <w:ind w:firstLine="0"/>
      <w:jc w:val="left"/>
    </w:pPr>
    <w:rPr>
      <w:rFonts w:eastAsia="Calibri"/>
      <w:sz w:val="24"/>
      <w:szCs w:val="24"/>
      <w:lang w:val="es-ES" w:eastAsia="es-ES"/>
    </w:rPr>
  </w:style>
  <w:style w:type="paragraph" w:customStyle="1" w:styleId="xl2">
    <w:name w:val="xl2"/>
    <w:basedOn w:val="Normal"/>
    <w:rsid w:val="00C30199"/>
    <w:pPr>
      <w:spacing w:before="100" w:beforeAutospacing="1" w:after="100" w:afterAutospacing="1"/>
      <w:ind w:firstLine="0"/>
      <w:jc w:val="left"/>
    </w:pPr>
    <w:rPr>
      <w:sz w:val="24"/>
      <w:szCs w:val="24"/>
      <w:lang w:val="es-ES" w:eastAsia="es-ES"/>
    </w:rPr>
  </w:style>
  <w:style w:type="character" w:customStyle="1" w:styleId="apple-converted-space">
    <w:name w:val="apple-converted-space"/>
    <w:rsid w:val="00C30199"/>
  </w:style>
  <w:style w:type="paragraph" w:customStyle="1" w:styleId="pie">
    <w:name w:val="pie"/>
    <w:basedOn w:val="Normal"/>
    <w:rsid w:val="00C30199"/>
    <w:pPr>
      <w:spacing w:before="100" w:beforeAutospacing="1" w:after="100" w:afterAutospacing="1"/>
      <w:ind w:firstLine="0"/>
      <w:jc w:val="left"/>
    </w:pPr>
    <w:rPr>
      <w:sz w:val="24"/>
      <w:szCs w:val="24"/>
      <w:lang w:val="es-ES" w:eastAsia="es-ES"/>
    </w:rPr>
  </w:style>
  <w:style w:type="character" w:customStyle="1" w:styleId="hvr">
    <w:name w:val="hvr"/>
    <w:basedOn w:val="Fuentedeprrafopredeter"/>
    <w:rsid w:val="00C30199"/>
  </w:style>
  <w:style w:type="character" w:customStyle="1" w:styleId="spelle">
    <w:name w:val="spelle"/>
    <w:rsid w:val="00C30199"/>
  </w:style>
  <w:style w:type="character" w:customStyle="1" w:styleId="grame">
    <w:name w:val="grame"/>
    <w:rsid w:val="00C30199"/>
  </w:style>
  <w:style w:type="paragraph" w:customStyle="1" w:styleId="Informal2">
    <w:name w:val="Informal2"/>
    <w:basedOn w:val="Normal"/>
    <w:rsid w:val="00C30199"/>
    <w:pPr>
      <w:spacing w:before="60" w:after="60"/>
      <w:ind w:firstLine="0"/>
      <w:jc w:val="left"/>
    </w:pPr>
    <w:rPr>
      <w:rFonts w:ascii="Arial" w:hAnsi="Arial"/>
      <w:b/>
      <w:lang w:eastAsia="es-ES"/>
    </w:rPr>
  </w:style>
  <w:style w:type="paragraph" w:customStyle="1" w:styleId="xdef">
    <w:name w:val="xdef"/>
    <w:basedOn w:val="Normal"/>
    <w:rsid w:val="00C30199"/>
    <w:pPr>
      <w:spacing w:before="100" w:beforeAutospacing="1" w:after="100" w:afterAutospacing="1"/>
      <w:ind w:firstLine="0"/>
      <w:jc w:val="left"/>
    </w:pPr>
    <w:rPr>
      <w:sz w:val="24"/>
      <w:szCs w:val="24"/>
      <w:lang w:val="es-ES" w:eastAsia="es-ES"/>
    </w:rPr>
  </w:style>
  <w:style w:type="table" w:customStyle="1" w:styleId="Tablaconcuadrcula1">
    <w:name w:val="Tabla con cuadrícula1"/>
    <w:basedOn w:val="Tablanormal"/>
    <w:next w:val="Tablaconcuadrcula"/>
    <w:rsid w:val="00C301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
    <w:name w:val="xl1"/>
    <w:basedOn w:val="Normal"/>
    <w:rsid w:val="00C30199"/>
    <w:pPr>
      <w:spacing w:before="100" w:beforeAutospacing="1" w:after="100" w:afterAutospacing="1"/>
      <w:ind w:firstLine="0"/>
      <w:jc w:val="left"/>
    </w:pPr>
    <w:rPr>
      <w:sz w:val="24"/>
      <w:szCs w:val="24"/>
      <w:lang w:val="es-ES" w:eastAsia="es-ES"/>
    </w:rPr>
  </w:style>
  <w:style w:type="paragraph" w:styleId="Textonotaalfinal">
    <w:name w:val="endnote text"/>
    <w:basedOn w:val="Normal"/>
    <w:link w:val="TextonotaalfinalCar"/>
    <w:rsid w:val="00C30199"/>
    <w:pPr>
      <w:spacing w:after="0"/>
    </w:pPr>
  </w:style>
  <w:style w:type="character" w:customStyle="1" w:styleId="TextonotaalfinalCar">
    <w:name w:val="Texto nota al final Car"/>
    <w:basedOn w:val="Fuentedeprrafopredeter"/>
    <w:link w:val="Textonotaalfinal"/>
    <w:rsid w:val="00C30199"/>
    <w:rPr>
      <w:lang w:val="es-ES_tradnl" w:eastAsia="en-US"/>
    </w:rPr>
  </w:style>
  <w:style w:type="character" w:styleId="Refdenotaalfinal">
    <w:name w:val="endnote reference"/>
    <w:basedOn w:val="Fuentedeprrafopredeter"/>
    <w:rsid w:val="00C30199"/>
    <w:rPr>
      <w:vertAlign w:val="superscript"/>
    </w:rPr>
  </w:style>
  <w:style w:type="character" w:styleId="Hipervnculovisitado">
    <w:name w:val="FollowedHyperlink"/>
    <w:basedOn w:val="Fuentedeprrafopredeter"/>
    <w:uiPriority w:val="99"/>
    <w:unhideWhenUsed/>
    <w:rsid w:val="00C30199"/>
    <w:rPr>
      <w:color w:val="800080"/>
      <w:u w:val="single"/>
    </w:rPr>
  </w:style>
  <w:style w:type="paragraph" w:customStyle="1" w:styleId="xl66">
    <w:name w:val="xl66"/>
    <w:basedOn w:val="Normal"/>
    <w:rsid w:val="00C30199"/>
    <w:pPr>
      <w:spacing w:before="100" w:beforeAutospacing="1" w:after="100" w:afterAutospacing="1"/>
      <w:ind w:firstLine="0"/>
      <w:jc w:val="left"/>
    </w:pPr>
    <w:rPr>
      <w:lang w:val="es-ES" w:eastAsia="es-ES"/>
    </w:rPr>
  </w:style>
  <w:style w:type="paragraph" w:customStyle="1" w:styleId="xl67">
    <w:name w:val="xl67"/>
    <w:basedOn w:val="Normal"/>
    <w:rsid w:val="00C30199"/>
    <w:pPr>
      <w:shd w:val="clear" w:color="000000" w:fill="F2F2F2"/>
      <w:spacing w:before="100" w:beforeAutospacing="1" w:after="100" w:afterAutospacing="1"/>
      <w:ind w:firstLine="0"/>
      <w:jc w:val="left"/>
    </w:pPr>
    <w:rPr>
      <w:lang w:val="es-ES" w:eastAsia="es-ES"/>
    </w:rPr>
  </w:style>
  <w:style w:type="paragraph" w:customStyle="1" w:styleId="xl68">
    <w:name w:val="xl68"/>
    <w:basedOn w:val="Normal"/>
    <w:rsid w:val="00C30199"/>
    <w:pPr>
      <w:shd w:val="clear" w:color="000000" w:fill="F2F2F2"/>
      <w:spacing w:before="100" w:beforeAutospacing="1" w:after="100" w:afterAutospacing="1"/>
      <w:ind w:firstLine="0"/>
      <w:jc w:val="left"/>
    </w:pPr>
    <w:rPr>
      <w:sz w:val="36"/>
      <w:szCs w:val="36"/>
      <w:lang w:val="es-ES" w:eastAsia="es-ES"/>
    </w:rPr>
  </w:style>
  <w:style w:type="paragraph" w:customStyle="1" w:styleId="xl69">
    <w:name w:val="xl69"/>
    <w:basedOn w:val="Normal"/>
    <w:rsid w:val="00C30199"/>
    <w:pPr>
      <w:shd w:val="clear" w:color="000000" w:fill="EBF1DE"/>
      <w:spacing w:before="100" w:beforeAutospacing="1" w:after="100" w:afterAutospacing="1"/>
      <w:ind w:firstLine="0"/>
      <w:jc w:val="left"/>
    </w:pPr>
    <w:rPr>
      <w:lang w:val="es-ES" w:eastAsia="es-ES"/>
    </w:rPr>
  </w:style>
  <w:style w:type="paragraph" w:customStyle="1" w:styleId="xl70">
    <w:name w:val="xl70"/>
    <w:basedOn w:val="Normal"/>
    <w:rsid w:val="00C30199"/>
    <w:pPr>
      <w:shd w:val="clear" w:color="000000" w:fill="E4DFEC"/>
      <w:spacing w:before="100" w:beforeAutospacing="1" w:after="100" w:afterAutospacing="1"/>
      <w:ind w:firstLine="0"/>
      <w:jc w:val="left"/>
    </w:pPr>
    <w:rPr>
      <w:lang w:val="es-ES" w:eastAsia="es-ES"/>
    </w:rPr>
  </w:style>
  <w:style w:type="paragraph" w:customStyle="1" w:styleId="xl71">
    <w:name w:val="xl71"/>
    <w:basedOn w:val="Normal"/>
    <w:rsid w:val="00C30199"/>
    <w:pPr>
      <w:shd w:val="clear" w:color="000000" w:fill="E4DFEC"/>
      <w:spacing w:before="100" w:beforeAutospacing="1" w:after="100" w:afterAutospacing="1"/>
      <w:ind w:firstLine="0"/>
      <w:jc w:val="left"/>
    </w:pPr>
    <w:rPr>
      <w:b/>
      <w:bCs/>
      <w:lang w:val="es-ES" w:eastAsia="es-ES"/>
    </w:rPr>
  </w:style>
  <w:style w:type="paragraph" w:customStyle="1" w:styleId="xl72">
    <w:name w:val="xl72"/>
    <w:basedOn w:val="Normal"/>
    <w:rsid w:val="00C30199"/>
    <w:pPr>
      <w:shd w:val="clear" w:color="000000" w:fill="DAEEF3"/>
      <w:spacing w:before="100" w:beforeAutospacing="1" w:after="100" w:afterAutospacing="1"/>
      <w:ind w:firstLine="0"/>
      <w:jc w:val="left"/>
    </w:pPr>
    <w:rPr>
      <w:lang w:val="es-ES" w:eastAsia="es-ES"/>
    </w:rPr>
  </w:style>
  <w:style w:type="paragraph" w:customStyle="1" w:styleId="xl73">
    <w:name w:val="xl73"/>
    <w:basedOn w:val="Normal"/>
    <w:rsid w:val="00C30199"/>
    <w:pPr>
      <w:shd w:val="clear" w:color="000000" w:fill="DAEEF3"/>
      <w:spacing w:before="100" w:beforeAutospacing="1" w:after="100" w:afterAutospacing="1"/>
      <w:ind w:firstLine="0"/>
      <w:jc w:val="center"/>
    </w:pPr>
    <w:rPr>
      <w:lang w:val="es-ES" w:eastAsia="es-ES"/>
    </w:rPr>
  </w:style>
  <w:style w:type="paragraph" w:customStyle="1" w:styleId="xl74">
    <w:name w:val="xl74"/>
    <w:basedOn w:val="Normal"/>
    <w:rsid w:val="00C30199"/>
    <w:pPr>
      <w:shd w:val="clear" w:color="000000" w:fill="FDE9D9"/>
      <w:spacing w:before="100" w:beforeAutospacing="1" w:after="100" w:afterAutospacing="1"/>
      <w:ind w:firstLine="0"/>
      <w:jc w:val="left"/>
    </w:pPr>
    <w:rPr>
      <w:lang w:val="es-ES" w:eastAsia="es-ES"/>
    </w:rPr>
  </w:style>
  <w:style w:type="paragraph" w:customStyle="1" w:styleId="xl75">
    <w:name w:val="xl75"/>
    <w:basedOn w:val="Normal"/>
    <w:rsid w:val="00C30199"/>
    <w:pPr>
      <w:shd w:val="clear" w:color="000000" w:fill="FDE9D9"/>
      <w:spacing w:before="100" w:beforeAutospacing="1" w:after="100" w:afterAutospacing="1"/>
      <w:ind w:firstLine="0"/>
      <w:jc w:val="left"/>
    </w:pPr>
    <w:rPr>
      <w:sz w:val="36"/>
      <w:szCs w:val="36"/>
      <w:lang w:val="es-ES" w:eastAsia="es-ES"/>
    </w:rPr>
  </w:style>
  <w:style w:type="paragraph" w:styleId="Sinespaciado">
    <w:name w:val="No Spacing"/>
    <w:link w:val="SinespaciadoCar"/>
    <w:uiPriority w:val="1"/>
    <w:qFormat/>
    <w:rsid w:val="00C30199"/>
    <w:rPr>
      <w:rFonts w:ascii="EYInterstate Light" w:hAnsi="EYInterstate Light"/>
      <w:szCs w:val="24"/>
      <w:lang w:val="en-US" w:eastAsia="en-US"/>
    </w:rPr>
  </w:style>
  <w:style w:type="character" w:customStyle="1" w:styleId="SinespaciadoCar">
    <w:name w:val="Sin espaciado Car"/>
    <w:basedOn w:val="Fuentedeprrafopredeter"/>
    <w:link w:val="Sinespaciado"/>
    <w:uiPriority w:val="1"/>
    <w:rsid w:val="00C30199"/>
    <w:rPr>
      <w:rFonts w:ascii="EYInterstate Light" w:hAnsi="EYInterstate Light"/>
      <w:szCs w:val="24"/>
      <w:lang w:val="en-US" w:eastAsia="en-US"/>
    </w:rPr>
  </w:style>
  <w:style w:type="character" w:styleId="Refdecomentario">
    <w:name w:val="annotation reference"/>
    <w:basedOn w:val="Fuentedeprrafopredeter"/>
    <w:semiHidden/>
    <w:unhideWhenUsed/>
    <w:rsid w:val="00C30199"/>
    <w:rPr>
      <w:sz w:val="16"/>
      <w:szCs w:val="16"/>
    </w:rPr>
  </w:style>
  <w:style w:type="paragraph" w:styleId="Textocomentario">
    <w:name w:val="annotation text"/>
    <w:basedOn w:val="Normal"/>
    <w:link w:val="TextocomentarioCar"/>
    <w:unhideWhenUsed/>
    <w:rsid w:val="00C30199"/>
  </w:style>
  <w:style w:type="character" w:customStyle="1" w:styleId="TextocomentarioCar">
    <w:name w:val="Texto comentario Car"/>
    <w:basedOn w:val="Fuentedeprrafopredeter"/>
    <w:link w:val="Textocomentario"/>
    <w:rsid w:val="00C30199"/>
    <w:rPr>
      <w:lang w:val="es-ES_tradnl" w:eastAsia="en-US"/>
    </w:rPr>
  </w:style>
  <w:style w:type="paragraph" w:styleId="Asuntodelcomentario">
    <w:name w:val="annotation subject"/>
    <w:basedOn w:val="Textocomentario"/>
    <w:next w:val="Textocomentario"/>
    <w:link w:val="AsuntodelcomentarioCar"/>
    <w:semiHidden/>
    <w:unhideWhenUsed/>
    <w:rsid w:val="00C30199"/>
    <w:rPr>
      <w:b/>
      <w:bCs/>
    </w:rPr>
  </w:style>
  <w:style w:type="character" w:customStyle="1" w:styleId="AsuntodelcomentarioCar">
    <w:name w:val="Asunto del comentario Car"/>
    <w:basedOn w:val="TextocomentarioCar"/>
    <w:link w:val="Asuntodelcomentario"/>
    <w:semiHidden/>
    <w:rsid w:val="00C30199"/>
    <w:rPr>
      <w:b/>
      <w:bCs/>
      <w:lang w:val="es-ES_tradnl" w:eastAsia="en-US"/>
    </w:rPr>
  </w:style>
  <w:style w:type="paragraph" w:styleId="Revisin">
    <w:name w:val="Revision"/>
    <w:hidden/>
    <w:uiPriority w:val="99"/>
    <w:semiHidden/>
    <w:rsid w:val="00C30199"/>
    <w:rPr>
      <w:lang w:val="es-ES_tradnl" w:eastAsia="en-US"/>
    </w:rPr>
  </w:style>
  <w:style w:type="character" w:customStyle="1" w:styleId="jselectarea">
    <w:name w:val="jselectarea"/>
    <w:basedOn w:val="Fuentedeprrafopredeter"/>
    <w:rsid w:val="00C30199"/>
  </w:style>
  <w:style w:type="table" w:customStyle="1" w:styleId="TableNormal">
    <w:name w:val="Table Normal"/>
    <w:uiPriority w:val="59"/>
    <w:rsid w:val="00C30199"/>
    <w:pPr>
      <w:autoSpaceDE w:val="0"/>
      <w:autoSpaceDN w:val="0"/>
      <w:adjustRightInd w:val="0"/>
      <w:spacing w:line="276" w:lineRule="auto"/>
    </w:pPr>
    <w:rPr>
      <w:rFonts w:ascii="Verdana" w:hAnsi="Verdana"/>
      <w:color w:val="000000"/>
      <w:sz w:val="24"/>
      <w:szCs w:val="24"/>
      <w:u w:color="000000"/>
      <w:lang w:val="en-US"/>
    </w:rPr>
    <w:tblPr>
      <w:tblCellMar>
        <w:top w:w="0" w:type="dxa"/>
        <w:left w:w="0" w:type="dxa"/>
        <w:bottom w:w="0" w:type="dxa"/>
        <w:right w:w="0" w:type="dxa"/>
      </w:tblCellMar>
    </w:tblPr>
  </w:style>
  <w:style w:type="character" w:customStyle="1" w:styleId="atitulo3Car">
    <w:name w:val="atitulo3 Car"/>
    <w:link w:val="atitulo3"/>
    <w:rsid w:val="00C30199"/>
    <w:rPr>
      <w:rFonts w:ascii="Arial" w:hAnsi="Arial"/>
      <w:i/>
      <w:iCs/>
      <w:color w:val="000000"/>
      <w:spacing w:val="10"/>
      <w:kern w:val="28"/>
      <w:sz w:val="25"/>
      <w:szCs w:val="26"/>
      <w:lang w:val="es-ES_tradnl" w:eastAsia="en-US"/>
    </w:rPr>
  </w:style>
  <w:style w:type="table" w:customStyle="1" w:styleId="Tablaconcuadrcula2">
    <w:name w:val="Tabla con cuadrícula2"/>
    <w:basedOn w:val="Tablanormal"/>
    <w:next w:val="Tablaconcuadrcula"/>
    <w:rsid w:val="00C301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C301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
    <w:name w:val="Quote"/>
    <w:basedOn w:val="Normal"/>
    <w:next w:val="Normal"/>
    <w:link w:val="CitaCar"/>
    <w:uiPriority w:val="29"/>
    <w:qFormat/>
    <w:rsid w:val="00BF147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F1472"/>
    <w:rPr>
      <w:i/>
      <w:iCs/>
      <w:color w:val="404040" w:themeColor="text1" w:themeTint="BF"/>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10945">
      <w:bodyDiv w:val="1"/>
      <w:marLeft w:val="0"/>
      <w:marRight w:val="0"/>
      <w:marTop w:val="0"/>
      <w:marBottom w:val="0"/>
      <w:divBdr>
        <w:top w:val="none" w:sz="0" w:space="0" w:color="auto"/>
        <w:left w:val="none" w:sz="0" w:space="0" w:color="auto"/>
        <w:bottom w:val="none" w:sz="0" w:space="0" w:color="auto"/>
        <w:right w:val="none" w:sz="0" w:space="0" w:color="auto"/>
      </w:divBdr>
    </w:div>
    <w:div w:id="315570509">
      <w:bodyDiv w:val="1"/>
      <w:marLeft w:val="0"/>
      <w:marRight w:val="0"/>
      <w:marTop w:val="0"/>
      <w:marBottom w:val="0"/>
      <w:divBdr>
        <w:top w:val="none" w:sz="0" w:space="0" w:color="auto"/>
        <w:left w:val="none" w:sz="0" w:space="0" w:color="auto"/>
        <w:bottom w:val="none" w:sz="0" w:space="0" w:color="auto"/>
        <w:right w:val="none" w:sz="0" w:space="0" w:color="auto"/>
      </w:divBdr>
    </w:div>
    <w:div w:id="621032759">
      <w:bodyDiv w:val="1"/>
      <w:marLeft w:val="0"/>
      <w:marRight w:val="0"/>
      <w:marTop w:val="0"/>
      <w:marBottom w:val="0"/>
      <w:divBdr>
        <w:top w:val="none" w:sz="0" w:space="0" w:color="auto"/>
        <w:left w:val="none" w:sz="0" w:space="0" w:color="auto"/>
        <w:bottom w:val="none" w:sz="0" w:space="0" w:color="auto"/>
        <w:right w:val="none" w:sz="0" w:space="0" w:color="auto"/>
      </w:divBdr>
    </w:div>
    <w:div w:id="661157296">
      <w:bodyDiv w:val="1"/>
      <w:marLeft w:val="0"/>
      <w:marRight w:val="0"/>
      <w:marTop w:val="0"/>
      <w:marBottom w:val="0"/>
      <w:divBdr>
        <w:top w:val="none" w:sz="0" w:space="0" w:color="auto"/>
        <w:left w:val="none" w:sz="0" w:space="0" w:color="auto"/>
        <w:bottom w:val="none" w:sz="0" w:space="0" w:color="auto"/>
        <w:right w:val="none" w:sz="0" w:space="0" w:color="auto"/>
      </w:divBdr>
    </w:div>
    <w:div w:id="871041143">
      <w:bodyDiv w:val="1"/>
      <w:marLeft w:val="0"/>
      <w:marRight w:val="0"/>
      <w:marTop w:val="0"/>
      <w:marBottom w:val="0"/>
      <w:divBdr>
        <w:top w:val="none" w:sz="0" w:space="0" w:color="auto"/>
        <w:left w:val="none" w:sz="0" w:space="0" w:color="auto"/>
        <w:bottom w:val="none" w:sz="0" w:space="0" w:color="auto"/>
        <w:right w:val="none" w:sz="0" w:space="0" w:color="auto"/>
      </w:divBdr>
    </w:div>
    <w:div w:id="1173567351">
      <w:bodyDiv w:val="1"/>
      <w:marLeft w:val="0"/>
      <w:marRight w:val="0"/>
      <w:marTop w:val="0"/>
      <w:marBottom w:val="0"/>
      <w:divBdr>
        <w:top w:val="none" w:sz="0" w:space="0" w:color="auto"/>
        <w:left w:val="none" w:sz="0" w:space="0" w:color="auto"/>
        <w:bottom w:val="none" w:sz="0" w:space="0" w:color="auto"/>
        <w:right w:val="none" w:sz="0" w:space="0" w:color="auto"/>
      </w:divBdr>
    </w:div>
    <w:div w:id="1474761013">
      <w:bodyDiv w:val="1"/>
      <w:marLeft w:val="0"/>
      <w:marRight w:val="0"/>
      <w:marTop w:val="0"/>
      <w:marBottom w:val="0"/>
      <w:divBdr>
        <w:top w:val="none" w:sz="0" w:space="0" w:color="auto"/>
        <w:left w:val="none" w:sz="0" w:space="0" w:color="auto"/>
        <w:bottom w:val="none" w:sz="0" w:space="0" w:color="auto"/>
        <w:right w:val="none" w:sz="0" w:space="0" w:color="auto"/>
      </w:divBdr>
    </w:div>
    <w:div w:id="1799100921">
      <w:bodyDiv w:val="1"/>
      <w:marLeft w:val="0"/>
      <w:marRight w:val="0"/>
      <w:marTop w:val="0"/>
      <w:marBottom w:val="0"/>
      <w:divBdr>
        <w:top w:val="none" w:sz="0" w:space="0" w:color="auto"/>
        <w:left w:val="none" w:sz="0" w:space="0" w:color="auto"/>
        <w:bottom w:val="none" w:sz="0" w:space="0" w:color="auto"/>
        <w:right w:val="none" w:sz="0" w:space="0" w:color="auto"/>
      </w:divBdr>
    </w:div>
    <w:div w:id="211007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Tráfico PEF vs. REAL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strRef>
              <c:f>Gráficos!$B$50</c:f>
              <c:strCache>
                <c:ptCount val="1"/>
                <c:pt idx="0">
                  <c:v>Tráfico PEF Oficial - ligeros</c:v>
                </c:pt>
              </c:strCache>
            </c:strRef>
          </c:tx>
          <c:spPr>
            <a:ln w="28575" cap="rnd">
              <a:solidFill>
                <a:schemeClr val="accent1"/>
              </a:solidFill>
              <a:round/>
            </a:ln>
            <a:effectLst/>
          </c:spPr>
          <c:marker>
            <c:symbol val="none"/>
          </c:marker>
          <c:cat>
            <c:numRef>
              <c:f>Gráficos!$A$51:$A$65</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Gráficos!$B$51:$B$65</c:f>
              <c:numCache>
                <c:formatCode>_-* #,##0_-;\-* #,##0_-;_-* "-"??_-;_-@_-</c:formatCode>
                <c:ptCount val="15"/>
                <c:pt idx="0">
                  <c:v>262277747</c:v>
                </c:pt>
                <c:pt idx="1">
                  <c:v>270539426.0988645</c:v>
                </c:pt>
                <c:pt idx="2">
                  <c:v>277816426.88023508</c:v>
                </c:pt>
                <c:pt idx="3">
                  <c:v>284452806.86274558</c:v>
                </c:pt>
                <c:pt idx="4">
                  <c:v>290641617.62133998</c:v>
                </c:pt>
                <c:pt idx="5">
                  <c:v>296242498.79141909</c:v>
                </c:pt>
                <c:pt idx="6">
                  <c:v>301737917.96446991</c:v>
                </c:pt>
                <c:pt idx="7">
                  <c:v>323618322.6841585</c:v>
                </c:pt>
                <c:pt idx="8">
                  <c:v>347817500.52553397</c:v>
                </c:pt>
                <c:pt idx="9">
                  <c:v>371505910.92626488</c:v>
                </c:pt>
                <c:pt idx="10">
                  <c:v>377121320.65656787</c:v>
                </c:pt>
                <c:pt idx="11">
                  <c:v>382657842.32287526</c:v>
                </c:pt>
                <c:pt idx="12">
                  <c:v>388109015.67218304</c:v>
                </c:pt>
                <c:pt idx="13">
                  <c:v>393468362.29014158</c:v>
                </c:pt>
                <c:pt idx="14">
                  <c:v>398729396.14773053</c:v>
                </c:pt>
              </c:numCache>
            </c:numRef>
          </c:val>
          <c:smooth val="0"/>
          <c:extLst>
            <c:ext xmlns:c16="http://schemas.microsoft.com/office/drawing/2014/chart" uri="{C3380CC4-5D6E-409C-BE32-E72D297353CC}">
              <c16:uniqueId val="{00000000-B2C8-46C7-B5FC-6627F82A4F83}"/>
            </c:ext>
          </c:extLst>
        </c:ser>
        <c:ser>
          <c:idx val="1"/>
          <c:order val="1"/>
          <c:tx>
            <c:strRef>
              <c:f>Gráficos!$C$50</c:f>
              <c:strCache>
                <c:ptCount val="1"/>
                <c:pt idx="0">
                  <c:v>Tráfico PEF Oficial - pesados</c:v>
                </c:pt>
              </c:strCache>
            </c:strRef>
          </c:tx>
          <c:spPr>
            <a:ln w="28575" cap="rnd">
              <a:solidFill>
                <a:schemeClr val="accent2"/>
              </a:solidFill>
              <a:round/>
            </a:ln>
            <a:effectLst/>
          </c:spPr>
          <c:marker>
            <c:symbol val="none"/>
          </c:marker>
          <c:cat>
            <c:numRef>
              <c:f>Gráficos!$A$51:$A$65</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Gráficos!$C$51:$C$65</c:f>
              <c:numCache>
                <c:formatCode>_-* #,##0_-;\-* #,##0_-;_-* "-"??_-;_-@_-</c:formatCode>
                <c:ptCount val="15"/>
                <c:pt idx="0">
                  <c:v>32258326</c:v>
                </c:pt>
                <c:pt idx="1">
                  <c:v>32499344.342997998</c:v>
                </c:pt>
                <c:pt idx="2">
                  <c:v>32742163.456490379</c:v>
                </c:pt>
                <c:pt idx="3">
                  <c:v>32986796.794948541</c:v>
                </c:pt>
                <c:pt idx="4">
                  <c:v>33233257.913368907</c:v>
                </c:pt>
                <c:pt idx="5">
                  <c:v>33481560.468024224</c:v>
                </c:pt>
                <c:pt idx="6">
                  <c:v>33731718.217220172</c:v>
                </c:pt>
                <c:pt idx="7">
                  <c:v>35882421.998815745</c:v>
                </c:pt>
                <c:pt idx="8">
                  <c:v>38009577.859511405</c:v>
                </c:pt>
                <c:pt idx="9">
                  <c:v>40133601.75758484</c:v>
                </c:pt>
                <c:pt idx="10">
                  <c:v>40654223.236730091</c:v>
                </c:pt>
                <c:pt idx="11">
                  <c:v>41170651.725089021</c:v>
                </c:pt>
                <c:pt idx="12">
                  <c:v>41682504.416323848</c:v>
                </c:pt>
                <c:pt idx="13">
                  <c:v>42189394.038517646</c:v>
                </c:pt>
                <c:pt idx="14">
                  <c:v>42690929.138994895</c:v>
                </c:pt>
              </c:numCache>
            </c:numRef>
          </c:val>
          <c:smooth val="0"/>
          <c:extLst>
            <c:ext xmlns:c16="http://schemas.microsoft.com/office/drawing/2014/chart" uri="{C3380CC4-5D6E-409C-BE32-E72D297353CC}">
              <c16:uniqueId val="{00000001-B2C8-46C7-B5FC-6627F82A4F83}"/>
            </c:ext>
          </c:extLst>
        </c:ser>
        <c:ser>
          <c:idx val="2"/>
          <c:order val="2"/>
          <c:tx>
            <c:strRef>
              <c:f>Gráficos!$D$50</c:f>
              <c:strCache>
                <c:ptCount val="1"/>
                <c:pt idx="0">
                  <c:v>Tráfico ligero real</c:v>
                </c:pt>
              </c:strCache>
            </c:strRef>
          </c:tx>
          <c:spPr>
            <a:ln w="28575" cap="rnd">
              <a:solidFill>
                <a:schemeClr val="accent3"/>
              </a:solidFill>
              <a:round/>
            </a:ln>
            <a:effectLst/>
          </c:spPr>
          <c:marker>
            <c:symbol val="none"/>
          </c:marker>
          <c:cat>
            <c:numRef>
              <c:f>Gráficos!$A$51:$A$65</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Gráficos!$D$51:$D$65</c:f>
              <c:numCache>
                <c:formatCode>_-* #,##0_-;\-* #,##0_-;_-* "-"??_-;_-@_-</c:formatCode>
                <c:ptCount val="15"/>
                <c:pt idx="0">
                  <c:v>262277747</c:v>
                </c:pt>
                <c:pt idx="1">
                  <c:v>270003855</c:v>
                </c:pt>
                <c:pt idx="2">
                  <c:v>273478310</c:v>
                </c:pt>
                <c:pt idx="3">
                  <c:v>276945551</c:v>
                </c:pt>
                <c:pt idx="4">
                  <c:v>275225500</c:v>
                </c:pt>
                <c:pt idx="5">
                  <c:v>261794171</c:v>
                </c:pt>
                <c:pt idx="6">
                  <c:v>256966508</c:v>
                </c:pt>
                <c:pt idx="7">
                  <c:v>263619512</c:v>
                </c:pt>
                <c:pt idx="8">
                  <c:v>272080170</c:v>
                </c:pt>
                <c:pt idx="9">
                  <c:v>284904646</c:v>
                </c:pt>
                <c:pt idx="10">
                  <c:v>294260429</c:v>
                </c:pt>
                <c:pt idx="11">
                  <c:v>300250787</c:v>
                </c:pt>
                <c:pt idx="12">
                  <c:v>304116825</c:v>
                </c:pt>
                <c:pt idx="13">
                  <c:v>235070244</c:v>
                </c:pt>
                <c:pt idx="14">
                  <c:v>285113798</c:v>
                </c:pt>
              </c:numCache>
            </c:numRef>
          </c:val>
          <c:smooth val="0"/>
          <c:extLst>
            <c:ext xmlns:c16="http://schemas.microsoft.com/office/drawing/2014/chart" uri="{C3380CC4-5D6E-409C-BE32-E72D297353CC}">
              <c16:uniqueId val="{00000002-B2C8-46C7-B5FC-6627F82A4F83}"/>
            </c:ext>
          </c:extLst>
        </c:ser>
        <c:ser>
          <c:idx val="3"/>
          <c:order val="3"/>
          <c:tx>
            <c:strRef>
              <c:f>Gráficos!$E$50</c:f>
              <c:strCache>
                <c:ptCount val="1"/>
                <c:pt idx="0">
                  <c:v>Tráfico pesado real</c:v>
                </c:pt>
              </c:strCache>
            </c:strRef>
          </c:tx>
          <c:spPr>
            <a:ln w="28575" cap="rnd">
              <a:solidFill>
                <a:schemeClr val="accent4"/>
              </a:solidFill>
              <a:round/>
            </a:ln>
            <a:effectLst/>
          </c:spPr>
          <c:marker>
            <c:symbol val="none"/>
          </c:marker>
          <c:cat>
            <c:numRef>
              <c:f>Gráficos!$A$51:$A$65</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Gráficos!$E$51:$E$65</c:f>
              <c:numCache>
                <c:formatCode>_-* #,##0_-;\-* #,##0_-;_-* "-"??_-;_-@_-</c:formatCode>
                <c:ptCount val="15"/>
                <c:pt idx="0">
                  <c:v>32258326</c:v>
                </c:pt>
                <c:pt idx="1">
                  <c:v>33255072</c:v>
                </c:pt>
                <c:pt idx="2">
                  <c:v>30986103</c:v>
                </c:pt>
                <c:pt idx="3">
                  <c:v>32430992</c:v>
                </c:pt>
                <c:pt idx="4">
                  <c:v>31551861</c:v>
                </c:pt>
                <c:pt idx="5">
                  <c:v>29715571</c:v>
                </c:pt>
                <c:pt idx="6">
                  <c:v>30014280</c:v>
                </c:pt>
                <c:pt idx="7">
                  <c:v>30855866</c:v>
                </c:pt>
                <c:pt idx="8">
                  <c:v>33202019</c:v>
                </c:pt>
                <c:pt idx="9">
                  <c:v>35097208</c:v>
                </c:pt>
                <c:pt idx="10">
                  <c:v>36278635</c:v>
                </c:pt>
                <c:pt idx="11">
                  <c:v>37537460</c:v>
                </c:pt>
                <c:pt idx="12">
                  <c:v>37771087</c:v>
                </c:pt>
                <c:pt idx="13">
                  <c:v>33697612</c:v>
                </c:pt>
                <c:pt idx="14">
                  <c:v>37256789</c:v>
                </c:pt>
              </c:numCache>
            </c:numRef>
          </c:val>
          <c:smooth val="0"/>
          <c:extLst>
            <c:ext xmlns:c16="http://schemas.microsoft.com/office/drawing/2014/chart" uri="{C3380CC4-5D6E-409C-BE32-E72D297353CC}">
              <c16:uniqueId val="{00000003-B2C8-46C7-B5FC-6627F82A4F83}"/>
            </c:ext>
          </c:extLst>
        </c:ser>
        <c:dLbls>
          <c:showLegendKey val="0"/>
          <c:showVal val="0"/>
          <c:showCatName val="0"/>
          <c:showSerName val="0"/>
          <c:showPercent val="0"/>
          <c:showBubbleSize val="0"/>
        </c:dLbls>
        <c:smooth val="0"/>
        <c:axId val="739208528"/>
        <c:axId val="739217056"/>
      </c:lineChart>
      <c:catAx>
        <c:axId val="73920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39217056"/>
        <c:crosses val="autoZero"/>
        <c:auto val="1"/>
        <c:lblAlgn val="ctr"/>
        <c:lblOffset val="100"/>
        <c:noMultiLvlLbl val="0"/>
      </c:catAx>
      <c:valAx>
        <c:axId val="73921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sz="1000" b="0" i="0" baseline="0">
                    <a:effectLst/>
                  </a:rPr>
                  <a:t>vehículos-km</a:t>
                </a:r>
                <a:endParaRPr lang="es-ES"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3920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CANON DEVENGADO (demanda y extra conservación ) sin IVA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strRef>
              <c:f>Gráficos!$B$98</c:f>
              <c:strCache>
                <c:ptCount val="1"/>
                <c:pt idx="0">
                  <c:v>Canon demanda PEF (€ corrientes)</c:v>
                </c:pt>
              </c:strCache>
            </c:strRef>
          </c:tx>
          <c:spPr>
            <a:ln w="28575" cap="rnd">
              <a:solidFill>
                <a:schemeClr val="accent1"/>
              </a:solidFill>
              <a:round/>
            </a:ln>
            <a:effectLst/>
          </c:spPr>
          <c:marker>
            <c:symbol val="none"/>
          </c:marker>
          <c:cat>
            <c:numRef>
              <c:f>Gráficos!$A$99:$A$113</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Gráficos!$B$99:$B$113</c:f>
              <c:numCache>
                <c:formatCode>_-* #,##0\ [$€-C0A]_-;\-* #,##0\ [$€-C0A]_-;_-* "-"??\ [$€-C0A]_-;_-@_-</c:formatCode>
                <c:ptCount val="15"/>
                <c:pt idx="0">
                  <c:v>27612744.6609</c:v>
                </c:pt>
                <c:pt idx="1">
                  <c:v>29016957.399628438</c:v>
                </c:pt>
                <c:pt idx="2">
                  <c:v>30459334.039918412</c:v>
                </c:pt>
                <c:pt idx="3">
                  <c:v>31906595.286465593</c:v>
                </c:pt>
                <c:pt idx="4">
                  <c:v>33346356.677743964</c:v>
                </c:pt>
                <c:pt idx="5">
                  <c:v>34790825.191198938</c:v>
                </c:pt>
                <c:pt idx="6">
                  <c:v>36254237.732296981</c:v>
                </c:pt>
                <c:pt idx="7">
                  <c:v>39808582.263833962</c:v>
                </c:pt>
                <c:pt idx="8">
                  <c:v>43626405.174061611</c:v>
                </c:pt>
                <c:pt idx="9">
                  <c:v>46355958.966990151</c:v>
                </c:pt>
                <c:pt idx="10">
                  <c:v>47916154.156517729</c:v>
                </c:pt>
                <c:pt idx="11">
                  <c:v>49405151.424813941</c:v>
                </c:pt>
                <c:pt idx="12">
                  <c:v>50806906.998859346</c:v>
                </c:pt>
                <c:pt idx="13">
                  <c:v>52219616.720454834</c:v>
                </c:pt>
                <c:pt idx="14">
                  <c:v>53677792.966417454</c:v>
                </c:pt>
              </c:numCache>
            </c:numRef>
          </c:val>
          <c:smooth val="0"/>
          <c:extLst>
            <c:ext xmlns:c16="http://schemas.microsoft.com/office/drawing/2014/chart" uri="{C3380CC4-5D6E-409C-BE32-E72D297353CC}">
              <c16:uniqueId val="{00000000-CDD4-4188-B591-2A6463F20EF5}"/>
            </c:ext>
          </c:extLst>
        </c:ser>
        <c:ser>
          <c:idx val="1"/>
          <c:order val="1"/>
          <c:tx>
            <c:strRef>
              <c:f>Gráficos!$C$98</c:f>
              <c:strCache>
                <c:ptCount val="1"/>
                <c:pt idx="0">
                  <c:v>Canon Extra Conservación PEF (€ corrientes)</c:v>
                </c:pt>
              </c:strCache>
            </c:strRef>
          </c:tx>
          <c:spPr>
            <a:ln w="28575" cap="rnd">
              <a:solidFill>
                <a:schemeClr val="accent2"/>
              </a:solidFill>
              <a:round/>
            </a:ln>
            <a:effectLst/>
          </c:spPr>
          <c:marker>
            <c:symbol val="none"/>
          </c:marker>
          <c:cat>
            <c:numRef>
              <c:f>Gráficos!$A$99:$A$113</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Gráficos!$C$99:$C$113</c:f>
              <c:numCache>
                <c:formatCode>_-* #,##0\ [$€-C0A]_-;\-* #,##0\ [$€-C0A]_-;_-* "-"??\ [$€-C0A]_-;_-@_-</c:formatCode>
                <c:ptCount val="15"/>
                <c:pt idx="0">
                  <c:v>1696933.7743299999</c:v>
                </c:pt>
                <c:pt idx="1">
                  <c:v>1782253.5367610662</c:v>
                </c:pt>
                <c:pt idx="2">
                  <c:v>1870484.5800384865</c:v>
                </c:pt>
                <c:pt idx="3">
                  <c:v>1960222.7071653979</c:v>
                </c:pt>
                <c:pt idx="4">
                  <c:v>2049329.9962934107</c:v>
                </c:pt>
                <c:pt idx="5">
                  <c:v>2137062.412784406</c:v>
                </c:pt>
                <c:pt idx="6">
                  <c:v>2228936.7959108492</c:v>
                </c:pt>
                <c:pt idx="7">
                  <c:v>2447685.6463912553</c:v>
                </c:pt>
                <c:pt idx="8">
                  <c:v>2680273.8645087518</c:v>
                </c:pt>
                <c:pt idx="9">
                  <c:v>2849175.501967038</c:v>
                </c:pt>
                <c:pt idx="10">
                  <c:v>2944236.0938284546</c:v>
                </c:pt>
                <c:pt idx="11">
                  <c:v>3036427.4837075574</c:v>
                </c:pt>
                <c:pt idx="12">
                  <c:v>3120888.3712065872</c:v>
                </c:pt>
                <c:pt idx="13">
                  <c:v>3209562.2933022752</c:v>
                </c:pt>
                <c:pt idx="14">
                  <c:v>3299345.910043194</c:v>
                </c:pt>
              </c:numCache>
            </c:numRef>
          </c:val>
          <c:smooth val="0"/>
          <c:extLst>
            <c:ext xmlns:c16="http://schemas.microsoft.com/office/drawing/2014/chart" uri="{C3380CC4-5D6E-409C-BE32-E72D297353CC}">
              <c16:uniqueId val="{00000001-CDD4-4188-B591-2A6463F20EF5}"/>
            </c:ext>
          </c:extLst>
        </c:ser>
        <c:ser>
          <c:idx val="2"/>
          <c:order val="2"/>
          <c:tx>
            <c:strRef>
              <c:f>Gráficos!$D$98</c:f>
              <c:strCache>
                <c:ptCount val="1"/>
                <c:pt idx="0">
                  <c:v>Canon demanda REAL</c:v>
                </c:pt>
              </c:strCache>
            </c:strRef>
          </c:tx>
          <c:spPr>
            <a:ln w="28575" cap="rnd">
              <a:solidFill>
                <a:schemeClr val="accent3"/>
              </a:solidFill>
              <a:round/>
            </a:ln>
            <a:effectLst/>
          </c:spPr>
          <c:marker>
            <c:symbol val="none"/>
          </c:marker>
          <c:cat>
            <c:numRef>
              <c:f>Gráficos!$A$99:$A$113</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Gráficos!$D$99:$D$113</c:f>
              <c:numCache>
                <c:formatCode>_-* #,##0\ [$€-C0A]_-;\-* #,##0\ [$€-C0A]_-;_-* "-"??\ [$€-C0A]_-;_-@_-</c:formatCode>
                <c:ptCount val="15"/>
                <c:pt idx="0">
                  <c:v>27541727.337700002</c:v>
                </c:pt>
                <c:pt idx="1">
                  <c:v>29061612.280499998</c:v>
                </c:pt>
                <c:pt idx="2">
                  <c:v>30519485.459800001</c:v>
                </c:pt>
                <c:pt idx="3">
                  <c:v>30789829.459200002</c:v>
                </c:pt>
                <c:pt idx="4">
                  <c:v>31051221.815899998</c:v>
                </c:pt>
                <c:pt idx="5">
                  <c:v>30374839.701499999</c:v>
                </c:pt>
                <c:pt idx="6">
                  <c:v>30734633.764399998</c:v>
                </c:pt>
                <c:pt idx="7">
                  <c:v>31999601.069800001</c:v>
                </c:pt>
                <c:pt idx="8">
                  <c:v>33059446.410000004</c:v>
                </c:pt>
                <c:pt idx="9">
                  <c:v>34529240.722600006</c:v>
                </c:pt>
                <c:pt idx="10">
                  <c:v>35634125.0207</c:v>
                </c:pt>
                <c:pt idx="11">
                  <c:v>37025546.078499995</c:v>
                </c:pt>
                <c:pt idx="12">
                  <c:v>38283264.002200007</c:v>
                </c:pt>
                <c:pt idx="13">
                  <c:v>30330944.728399999</c:v>
                </c:pt>
                <c:pt idx="14">
                  <c:v>36091656.1065</c:v>
                </c:pt>
              </c:numCache>
            </c:numRef>
          </c:val>
          <c:smooth val="0"/>
          <c:extLst>
            <c:ext xmlns:c16="http://schemas.microsoft.com/office/drawing/2014/chart" uri="{C3380CC4-5D6E-409C-BE32-E72D297353CC}">
              <c16:uniqueId val="{00000002-CDD4-4188-B591-2A6463F20EF5}"/>
            </c:ext>
          </c:extLst>
        </c:ser>
        <c:ser>
          <c:idx val="3"/>
          <c:order val="3"/>
          <c:tx>
            <c:strRef>
              <c:f>Gráficos!$E$98</c:f>
              <c:strCache>
                <c:ptCount val="1"/>
                <c:pt idx="0">
                  <c:v>Canon extra conservación REAL</c:v>
                </c:pt>
              </c:strCache>
            </c:strRef>
          </c:tx>
          <c:spPr>
            <a:ln w="28575" cap="rnd">
              <a:solidFill>
                <a:schemeClr val="accent4"/>
              </a:solidFill>
              <a:round/>
            </a:ln>
            <a:effectLst/>
          </c:spPr>
          <c:marker>
            <c:symbol val="none"/>
          </c:marker>
          <c:cat>
            <c:numRef>
              <c:f>Gráficos!$A$99:$A$113</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Gráficos!$E$99:$E$113</c:f>
              <c:numCache>
                <c:formatCode>_-* #,##0\ [$€-C0A]_-;\-* #,##0\ [$€-C0A]_-;_-* "-"??\ [$€-C0A]_-;_-@_-</c:formatCode>
                <c:ptCount val="15"/>
                <c:pt idx="0">
                  <c:v>1696933.7743300002</c:v>
                </c:pt>
                <c:pt idx="1">
                  <c:v>1784990.6079299999</c:v>
                </c:pt>
                <c:pt idx="2">
                  <c:v>1875394.6295300003</c:v>
                </c:pt>
                <c:pt idx="3">
                  <c:v>1891805.1372999998</c:v>
                </c:pt>
                <c:pt idx="4">
                  <c:v>1909359.8104899998</c:v>
                </c:pt>
                <c:pt idx="5">
                  <c:v>1868036.6249200001</c:v>
                </c:pt>
                <c:pt idx="6">
                  <c:v>1890929.08488</c:v>
                </c:pt>
                <c:pt idx="7">
                  <c:v>1970810.9643999999</c:v>
                </c:pt>
                <c:pt idx="8">
                  <c:v>2036340.93726</c:v>
                </c:pt>
                <c:pt idx="9">
                  <c:v>2125576.6952800001</c:v>
                </c:pt>
                <c:pt idx="10">
                  <c:v>2192320.4023099998</c:v>
                </c:pt>
                <c:pt idx="11">
                  <c:v>2276705.0080300001</c:v>
                </c:pt>
                <c:pt idx="12">
                  <c:v>2353590.35666</c:v>
                </c:pt>
                <c:pt idx="13">
                  <c:v>1865147.7261199998</c:v>
                </c:pt>
                <c:pt idx="14">
                  <c:v>2219783.9006400001</c:v>
                </c:pt>
              </c:numCache>
            </c:numRef>
          </c:val>
          <c:smooth val="0"/>
          <c:extLst>
            <c:ext xmlns:c16="http://schemas.microsoft.com/office/drawing/2014/chart" uri="{C3380CC4-5D6E-409C-BE32-E72D297353CC}">
              <c16:uniqueId val="{00000003-CDD4-4188-B591-2A6463F20EF5}"/>
            </c:ext>
          </c:extLst>
        </c:ser>
        <c:dLbls>
          <c:showLegendKey val="0"/>
          <c:showVal val="0"/>
          <c:showCatName val="0"/>
          <c:showSerName val="0"/>
          <c:showPercent val="0"/>
          <c:showBubbleSize val="0"/>
        </c:dLbls>
        <c:smooth val="0"/>
        <c:axId val="707626256"/>
        <c:axId val="707628880"/>
      </c:lineChart>
      <c:catAx>
        <c:axId val="70762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07628880"/>
        <c:crosses val="autoZero"/>
        <c:auto val="1"/>
        <c:lblAlgn val="ctr"/>
        <c:lblOffset val="100"/>
        <c:noMultiLvlLbl val="0"/>
      </c:catAx>
      <c:valAx>
        <c:axId val="707628880"/>
        <c:scaling>
          <c:orientation val="minMax"/>
        </c:scaling>
        <c:delete val="0"/>
        <c:axPos val="l"/>
        <c:majorGridlines>
          <c:spPr>
            <a:ln w="9525" cap="flat" cmpd="sng" algn="ctr">
              <a:solidFill>
                <a:schemeClr val="tx1">
                  <a:lumMod val="15000"/>
                  <a:lumOff val="85000"/>
                </a:schemeClr>
              </a:solidFill>
              <a:round/>
            </a:ln>
            <a:effectLst/>
          </c:spPr>
        </c:majorGridlines>
        <c:numFmt formatCode="_-* #,##0\ [$€-C0A]_-;\-* #,##0\ [$€-C0A]_-;_-* &quot;-&quot;\ [$€-C0A]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0762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TRÁFICO PEF vs. REAL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strRef>
              <c:f>Gráficos!$B$43</c:f>
              <c:strCache>
                <c:ptCount val="1"/>
                <c:pt idx="0">
                  <c:v>Tráfico PEF Oficial - ligeros</c:v>
                </c:pt>
              </c:strCache>
            </c:strRef>
          </c:tx>
          <c:spPr>
            <a:ln w="28575" cap="rnd">
              <a:solidFill>
                <a:schemeClr val="accent1"/>
              </a:solidFill>
              <a:round/>
            </a:ln>
            <a:effectLst/>
          </c:spPr>
          <c:marker>
            <c:symbol val="none"/>
          </c:marker>
          <c:cat>
            <c:strRef>
              <c:f>Gráficos!$A$44:$A$53</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Gráficos!$B$44:$B$53</c:f>
              <c:numCache>
                <c:formatCode>_(* #,##0_);_(* \(#,##0\);_(* "-"??_);_(@_)</c:formatCode>
                <c:ptCount val="10"/>
                <c:pt idx="0">
                  <c:v>118824219.07910705</c:v>
                </c:pt>
                <c:pt idx="1">
                  <c:v>179916500.21712515</c:v>
                </c:pt>
                <c:pt idx="2">
                  <c:v>194437753.77506399</c:v>
                </c:pt>
                <c:pt idx="3">
                  <c:v>209719432.57027864</c:v>
                </c:pt>
                <c:pt idx="4">
                  <c:v>224606716.58428678</c:v>
                </c:pt>
                <c:pt idx="5">
                  <c:v>240229344.59581861</c:v>
                </c:pt>
                <c:pt idx="6">
                  <c:v>246644832.55702466</c:v>
                </c:pt>
                <c:pt idx="7">
                  <c:v>253231705.69022524</c:v>
                </c:pt>
                <c:pt idx="8" formatCode="_-* #,##0_-;\-* #,##0_-;_-* &quot;-&quot;??_-;_-@_-">
                  <c:v>259994543.94178459</c:v>
                </c:pt>
                <c:pt idx="9" formatCode="_-* #,##0_-;\-* #,##0_-;_-* &quot;-&quot;??_-;_-@_-">
                  <c:v>266443974.06043792</c:v>
                </c:pt>
              </c:numCache>
            </c:numRef>
          </c:val>
          <c:smooth val="0"/>
          <c:extLst>
            <c:ext xmlns:c16="http://schemas.microsoft.com/office/drawing/2014/chart" uri="{C3380CC4-5D6E-409C-BE32-E72D297353CC}">
              <c16:uniqueId val="{00000000-7BC3-4272-807C-6BC41042FFFC}"/>
            </c:ext>
          </c:extLst>
        </c:ser>
        <c:ser>
          <c:idx val="1"/>
          <c:order val="1"/>
          <c:tx>
            <c:strRef>
              <c:f>Gráficos!$C$43</c:f>
              <c:strCache>
                <c:ptCount val="1"/>
                <c:pt idx="0">
                  <c:v>Tráfico PEF Oficial - pesados</c:v>
                </c:pt>
              </c:strCache>
            </c:strRef>
          </c:tx>
          <c:spPr>
            <a:ln w="28575" cap="rnd">
              <a:solidFill>
                <a:schemeClr val="accent2"/>
              </a:solidFill>
              <a:round/>
            </a:ln>
            <a:effectLst/>
          </c:spPr>
          <c:marker>
            <c:symbol val="none"/>
          </c:marker>
          <c:cat>
            <c:strRef>
              <c:f>Gráficos!$A$44:$A$53</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Gráficos!$C$44:$C$53</c:f>
              <c:numCache>
                <c:formatCode>_(* #,##0_);_(* \(#,##0\);_(* "-"??_);_(@_)</c:formatCode>
                <c:ptCount val="10"/>
                <c:pt idx="0">
                  <c:v>6318461.6271856539</c:v>
                </c:pt>
                <c:pt idx="1">
                  <c:v>17474261.670414377</c:v>
                </c:pt>
                <c:pt idx="2">
                  <c:v>19744010.624385349</c:v>
                </c:pt>
                <c:pt idx="3">
                  <c:v>22162540.637567129</c:v>
                </c:pt>
                <c:pt idx="4">
                  <c:v>24596391.139370348</c:v>
                </c:pt>
                <c:pt idx="5">
                  <c:v>27166168.213499188</c:v>
                </c:pt>
                <c:pt idx="6">
                  <c:v>28027163.688155506</c:v>
                </c:pt>
                <c:pt idx="7">
                  <c:v>28915500.983814452</c:v>
                </c:pt>
                <c:pt idx="8">
                  <c:v>29832049.95381337</c:v>
                </c:pt>
                <c:pt idx="9">
                  <c:v>30669016.583423194</c:v>
                </c:pt>
              </c:numCache>
            </c:numRef>
          </c:val>
          <c:smooth val="0"/>
          <c:extLst>
            <c:ext xmlns:c16="http://schemas.microsoft.com/office/drawing/2014/chart" uri="{C3380CC4-5D6E-409C-BE32-E72D297353CC}">
              <c16:uniqueId val="{00000001-7BC3-4272-807C-6BC41042FFFC}"/>
            </c:ext>
          </c:extLst>
        </c:ser>
        <c:ser>
          <c:idx val="2"/>
          <c:order val="2"/>
          <c:tx>
            <c:strRef>
              <c:f>Gráficos!$D$43</c:f>
              <c:strCache>
                <c:ptCount val="1"/>
                <c:pt idx="0">
                  <c:v>Tráfico ligero real</c:v>
                </c:pt>
              </c:strCache>
            </c:strRef>
          </c:tx>
          <c:spPr>
            <a:ln w="28575" cap="rnd">
              <a:solidFill>
                <a:schemeClr val="accent3"/>
              </a:solidFill>
              <a:round/>
            </a:ln>
            <a:effectLst/>
          </c:spPr>
          <c:marker>
            <c:symbol val="none"/>
          </c:marker>
          <c:cat>
            <c:strRef>
              <c:f>Gráficos!$A$44:$A$53</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Gráficos!$D$44:$D$53</c:f>
              <c:numCache>
                <c:formatCode>_(* #,##0_);_(* \(#,##0\);_(* "-"??_);_(@_)</c:formatCode>
                <c:ptCount val="10"/>
                <c:pt idx="0">
                  <c:v>104200551</c:v>
                </c:pt>
                <c:pt idx="1">
                  <c:v>113229715</c:v>
                </c:pt>
                <c:pt idx="2">
                  <c:v>117435362</c:v>
                </c:pt>
                <c:pt idx="3">
                  <c:v>123369401</c:v>
                </c:pt>
                <c:pt idx="4">
                  <c:v>129831779</c:v>
                </c:pt>
                <c:pt idx="5">
                  <c:v>136173561</c:v>
                </c:pt>
                <c:pt idx="6">
                  <c:v>135406220</c:v>
                </c:pt>
                <c:pt idx="7">
                  <c:v>143119655</c:v>
                </c:pt>
                <c:pt idx="8">
                  <c:v>115518109</c:v>
                </c:pt>
                <c:pt idx="9">
                  <c:v>137452512</c:v>
                </c:pt>
              </c:numCache>
            </c:numRef>
          </c:val>
          <c:smooth val="0"/>
          <c:extLst>
            <c:ext xmlns:c16="http://schemas.microsoft.com/office/drawing/2014/chart" uri="{C3380CC4-5D6E-409C-BE32-E72D297353CC}">
              <c16:uniqueId val="{00000002-7BC3-4272-807C-6BC41042FFFC}"/>
            </c:ext>
          </c:extLst>
        </c:ser>
        <c:ser>
          <c:idx val="3"/>
          <c:order val="3"/>
          <c:tx>
            <c:strRef>
              <c:f>Gráficos!$E$43</c:f>
              <c:strCache>
                <c:ptCount val="1"/>
                <c:pt idx="0">
                  <c:v>Tráfico pesado real</c:v>
                </c:pt>
              </c:strCache>
            </c:strRef>
          </c:tx>
          <c:spPr>
            <a:ln w="28575" cap="rnd">
              <a:solidFill>
                <a:schemeClr val="accent4"/>
              </a:solidFill>
              <a:round/>
            </a:ln>
            <a:effectLst/>
          </c:spPr>
          <c:marker>
            <c:symbol val="none"/>
          </c:marker>
          <c:cat>
            <c:strRef>
              <c:f>Gráficos!$A$44:$A$53</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Gráficos!$E$44:$E$53</c:f>
              <c:numCache>
                <c:formatCode>_(* #,##0_);_(* \(#,##0\);_(* "-"??_);_(@_)</c:formatCode>
                <c:ptCount val="10"/>
                <c:pt idx="0">
                  <c:v>5488913</c:v>
                </c:pt>
                <c:pt idx="1">
                  <c:v>6150979</c:v>
                </c:pt>
                <c:pt idx="2">
                  <c:v>6036105</c:v>
                </c:pt>
                <c:pt idx="3">
                  <c:v>6270753</c:v>
                </c:pt>
                <c:pt idx="4">
                  <c:v>6143789</c:v>
                </c:pt>
                <c:pt idx="5">
                  <c:v>6436225</c:v>
                </c:pt>
                <c:pt idx="6">
                  <c:v>6507838</c:v>
                </c:pt>
                <c:pt idx="7">
                  <c:v>6815692</c:v>
                </c:pt>
                <c:pt idx="8">
                  <c:v>6129596</c:v>
                </c:pt>
                <c:pt idx="9">
                  <c:v>6631808</c:v>
                </c:pt>
              </c:numCache>
            </c:numRef>
          </c:val>
          <c:smooth val="0"/>
          <c:extLst>
            <c:ext xmlns:c16="http://schemas.microsoft.com/office/drawing/2014/chart" uri="{C3380CC4-5D6E-409C-BE32-E72D297353CC}">
              <c16:uniqueId val="{00000003-7BC3-4272-807C-6BC41042FFFC}"/>
            </c:ext>
          </c:extLst>
        </c:ser>
        <c:dLbls>
          <c:showLegendKey val="0"/>
          <c:showVal val="0"/>
          <c:showCatName val="0"/>
          <c:showSerName val="0"/>
          <c:showPercent val="0"/>
          <c:showBubbleSize val="0"/>
        </c:dLbls>
        <c:smooth val="0"/>
        <c:axId val="969532480"/>
        <c:axId val="969532808"/>
      </c:lineChart>
      <c:catAx>
        <c:axId val="96953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69532808"/>
        <c:crosses val="autoZero"/>
        <c:auto val="1"/>
        <c:lblAlgn val="ctr"/>
        <c:lblOffset val="100"/>
        <c:noMultiLvlLbl val="0"/>
      </c:catAx>
      <c:valAx>
        <c:axId val="969532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S"/>
                  <a:t>Vehículos-km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6953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CANON DEVENGADO (CD y CEICS ) sin IVA: PEF - Real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strRef>
              <c:f>Gráficos!$B$86</c:f>
              <c:strCache>
                <c:ptCount val="1"/>
                <c:pt idx="0">
                  <c:v>Canon demanda PEF (€ corrientes)</c:v>
                </c:pt>
              </c:strCache>
            </c:strRef>
          </c:tx>
          <c:spPr>
            <a:ln w="28575" cap="rnd">
              <a:solidFill>
                <a:schemeClr val="accent1"/>
              </a:solidFill>
              <a:round/>
            </a:ln>
            <a:effectLst/>
          </c:spPr>
          <c:marker>
            <c:symbol val="none"/>
          </c:marker>
          <c:cat>
            <c:strRef>
              <c:f>Gráficos!$A$87:$A$96</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Gráficos!$B$87:$B$96</c:f>
              <c:numCache>
                <c:formatCode>_-* #,##0\ [$€-C0A]_-;\-* #,##0\ [$€-C0A]_-;_-* "-"??\ [$€-C0A]_-;_-@_-</c:formatCode>
                <c:ptCount val="10"/>
                <c:pt idx="0">
                  <c:v>10766750.891728435</c:v>
                </c:pt>
                <c:pt idx="1">
                  <c:v>13359614.684879636</c:v>
                </c:pt>
                <c:pt idx="2">
                  <c:v>15227497.887797706</c:v>
                </c:pt>
                <c:pt idx="3">
                  <c:v>16917470.134709038</c:v>
                </c:pt>
                <c:pt idx="4">
                  <c:v>18655379.46827152</c:v>
                </c:pt>
                <c:pt idx="5">
                  <c:v>20537758.77787517</c:v>
                </c:pt>
                <c:pt idx="6">
                  <c:v>21627290.76835015</c:v>
                </c:pt>
                <c:pt idx="7">
                  <c:v>22774694.251645774</c:v>
                </c:pt>
                <c:pt idx="8">
                  <c:v>23983047.208865561</c:v>
                </c:pt>
                <c:pt idx="9">
                  <c:v>25203131.513894819</c:v>
                </c:pt>
              </c:numCache>
            </c:numRef>
          </c:val>
          <c:smooth val="0"/>
          <c:extLst>
            <c:ext xmlns:c16="http://schemas.microsoft.com/office/drawing/2014/chart" uri="{C3380CC4-5D6E-409C-BE32-E72D297353CC}">
              <c16:uniqueId val="{00000000-9E77-4B4A-A72B-937AC14F50DE}"/>
            </c:ext>
          </c:extLst>
        </c:ser>
        <c:ser>
          <c:idx val="1"/>
          <c:order val="1"/>
          <c:tx>
            <c:strRef>
              <c:f>Gráficos!$C$86</c:f>
              <c:strCache>
                <c:ptCount val="1"/>
                <c:pt idx="0">
                  <c:v>Canon CEICS PEF (€ corrientes)</c:v>
                </c:pt>
              </c:strCache>
            </c:strRef>
          </c:tx>
          <c:spPr>
            <a:ln w="28575" cap="rnd">
              <a:solidFill>
                <a:schemeClr val="accent2"/>
              </a:solidFill>
              <a:round/>
            </a:ln>
            <a:effectLst/>
          </c:spPr>
          <c:marker>
            <c:symbol val="none"/>
          </c:marker>
          <c:cat>
            <c:strRef>
              <c:f>Gráficos!$A$87:$A$96</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Gráficos!$C$87:$C$96</c:f>
              <c:numCache>
                <c:formatCode>_-* #,##0\ [$€-C0A]_-;\-* #,##0\ [$€-C0A]_-;_-* "-"??\ [$€-C0A]_-;_-@_-</c:formatCode>
                <c:ptCount val="10"/>
                <c:pt idx="0">
                  <c:v>3240840.908960124</c:v>
                </c:pt>
                <c:pt idx="1">
                  <c:v>5046636.3347322745</c:v>
                </c:pt>
                <c:pt idx="2">
                  <c:v>4134720.3894492923</c:v>
                </c:pt>
                <c:pt idx="3">
                  <c:v>4238088.3991855234</c:v>
                </c:pt>
                <c:pt idx="4">
                  <c:v>4344040.6091651609</c:v>
                </c:pt>
                <c:pt idx="5">
                  <c:v>4452641.6243942901</c:v>
                </c:pt>
                <c:pt idx="6">
                  <c:v>4563957.6650041472</c:v>
                </c:pt>
                <c:pt idx="7">
                  <c:v>4678056.6066292496</c:v>
                </c:pt>
                <c:pt idx="8">
                  <c:v>4795008.0217949804</c:v>
                </c:pt>
                <c:pt idx="9">
                  <c:v>4914883.2223398555</c:v>
                </c:pt>
              </c:numCache>
            </c:numRef>
          </c:val>
          <c:smooth val="0"/>
          <c:extLst>
            <c:ext xmlns:c16="http://schemas.microsoft.com/office/drawing/2014/chart" uri="{C3380CC4-5D6E-409C-BE32-E72D297353CC}">
              <c16:uniqueId val="{00000001-9E77-4B4A-A72B-937AC14F50DE}"/>
            </c:ext>
          </c:extLst>
        </c:ser>
        <c:ser>
          <c:idx val="2"/>
          <c:order val="2"/>
          <c:tx>
            <c:strRef>
              <c:f>Gráficos!$D$86</c:f>
              <c:strCache>
                <c:ptCount val="1"/>
                <c:pt idx="0">
                  <c:v>Canon demanda REAL</c:v>
                </c:pt>
              </c:strCache>
            </c:strRef>
          </c:tx>
          <c:spPr>
            <a:ln w="28575" cap="rnd">
              <a:solidFill>
                <a:schemeClr val="accent3"/>
              </a:solidFill>
              <a:round/>
            </a:ln>
            <a:effectLst/>
          </c:spPr>
          <c:marker>
            <c:symbol val="none"/>
          </c:marker>
          <c:cat>
            <c:strRef>
              <c:f>Gráficos!$A$87:$A$96</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Gráficos!$D$87:$D$96</c:f>
              <c:numCache>
                <c:formatCode>_-* #,##0\ [$€-C0A]_-;\-* #,##0\ [$€-C0A]_-;_-* "-"??\ [$€-C0A]_-;_-@_-</c:formatCode>
                <c:ptCount val="10"/>
                <c:pt idx="0">
                  <c:v>7183160.7911</c:v>
                </c:pt>
                <c:pt idx="1">
                  <c:v>8300709.7982999999</c:v>
                </c:pt>
                <c:pt idx="2">
                  <c:v>8602662.0095000006</c:v>
                </c:pt>
                <c:pt idx="3">
                  <c:v>8938846.3625999987</c:v>
                </c:pt>
                <c:pt idx="4">
                  <c:v>9365365.6886</c:v>
                </c:pt>
                <c:pt idx="5">
                  <c:v>9981570.9003999997</c:v>
                </c:pt>
                <c:pt idx="6">
                  <c:v>10050201.0898</c:v>
                </c:pt>
                <c:pt idx="7">
                  <c:v>10738789.555899998</c:v>
                </c:pt>
                <c:pt idx="8">
                  <c:v>8801778.7659000009</c:v>
                </c:pt>
                <c:pt idx="9">
                  <c:v>10351230.262400001</c:v>
                </c:pt>
              </c:numCache>
            </c:numRef>
          </c:val>
          <c:smooth val="0"/>
          <c:extLst>
            <c:ext xmlns:c16="http://schemas.microsoft.com/office/drawing/2014/chart" uri="{C3380CC4-5D6E-409C-BE32-E72D297353CC}">
              <c16:uniqueId val="{00000002-9E77-4B4A-A72B-937AC14F50DE}"/>
            </c:ext>
          </c:extLst>
        </c:ser>
        <c:ser>
          <c:idx val="3"/>
          <c:order val="3"/>
          <c:tx>
            <c:strRef>
              <c:f>Gráficos!$E$86</c:f>
              <c:strCache>
                <c:ptCount val="1"/>
                <c:pt idx="0">
                  <c:v>Canon CEICS conservación REAL</c:v>
                </c:pt>
              </c:strCache>
            </c:strRef>
          </c:tx>
          <c:spPr>
            <a:ln w="28575" cap="rnd">
              <a:solidFill>
                <a:schemeClr val="accent4"/>
              </a:solidFill>
              <a:round/>
            </a:ln>
            <a:effectLst/>
          </c:spPr>
          <c:marker>
            <c:symbol val="none"/>
          </c:marker>
          <c:cat>
            <c:strRef>
              <c:f>Gráficos!$A$87:$A$96</c:f>
              <c:strCache>
                <c:ptCount val="10"/>
                <c:pt idx="0">
                  <c:v>2012 - transit.</c:v>
                </c:pt>
                <c:pt idx="1">
                  <c:v>2013</c:v>
                </c:pt>
                <c:pt idx="2">
                  <c:v>2014</c:v>
                </c:pt>
                <c:pt idx="3">
                  <c:v>2015</c:v>
                </c:pt>
                <c:pt idx="4">
                  <c:v>2016</c:v>
                </c:pt>
                <c:pt idx="5">
                  <c:v>2017</c:v>
                </c:pt>
                <c:pt idx="6">
                  <c:v>2018</c:v>
                </c:pt>
                <c:pt idx="7">
                  <c:v>2019</c:v>
                </c:pt>
                <c:pt idx="8">
                  <c:v>2020</c:v>
                </c:pt>
                <c:pt idx="9">
                  <c:v>2021</c:v>
                </c:pt>
              </c:strCache>
            </c:strRef>
          </c:cat>
          <c:val>
            <c:numRef>
              <c:f>Gráficos!$E$87:$E$96</c:f>
              <c:numCache>
                <c:formatCode>_-* #,##0\ [$€-C0A]_-;\-* #,##0\ [$€-C0A]_-;_-* "-"??\ [$€-C0A]_-;_-@_-</c:formatCode>
                <c:ptCount val="10"/>
                <c:pt idx="0">
                  <c:v>3602311.9414720498</c:v>
                </c:pt>
                <c:pt idx="1">
                  <c:v>4233000.3050999995</c:v>
                </c:pt>
                <c:pt idx="2">
                  <c:v>4267034.5118899997</c:v>
                </c:pt>
                <c:pt idx="3">
                  <c:v>4216923.8376499992</c:v>
                </c:pt>
                <c:pt idx="4">
                  <c:v>4210004.2876499994</c:v>
                </c:pt>
                <c:pt idx="5">
                  <c:v>4332207.7338400008</c:v>
                </c:pt>
                <c:pt idx="6">
                  <c:v>4379862.0175799998</c:v>
                </c:pt>
                <c:pt idx="7">
                  <c:v>4371385.9574100003</c:v>
                </c:pt>
                <c:pt idx="8">
                  <c:v>4466856.7601199998</c:v>
                </c:pt>
                <c:pt idx="9">
                  <c:v>4394977.8658999996</c:v>
                </c:pt>
              </c:numCache>
            </c:numRef>
          </c:val>
          <c:smooth val="0"/>
          <c:extLst>
            <c:ext xmlns:c16="http://schemas.microsoft.com/office/drawing/2014/chart" uri="{C3380CC4-5D6E-409C-BE32-E72D297353CC}">
              <c16:uniqueId val="{00000003-9E77-4B4A-A72B-937AC14F50DE}"/>
            </c:ext>
          </c:extLst>
        </c:ser>
        <c:dLbls>
          <c:showLegendKey val="0"/>
          <c:showVal val="0"/>
          <c:showCatName val="0"/>
          <c:showSerName val="0"/>
          <c:showPercent val="0"/>
          <c:showBubbleSize val="0"/>
        </c:dLbls>
        <c:smooth val="0"/>
        <c:axId val="969554128"/>
        <c:axId val="969553472"/>
      </c:lineChart>
      <c:catAx>
        <c:axId val="96955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69553472"/>
        <c:crosses val="autoZero"/>
        <c:auto val="1"/>
        <c:lblAlgn val="ctr"/>
        <c:lblOffset val="100"/>
        <c:noMultiLvlLbl val="0"/>
      </c:catAx>
      <c:valAx>
        <c:axId val="969553472"/>
        <c:scaling>
          <c:orientation val="minMax"/>
        </c:scaling>
        <c:delete val="0"/>
        <c:axPos val="l"/>
        <c:majorGridlines>
          <c:spPr>
            <a:ln w="9525" cap="flat" cmpd="sng" algn="ctr">
              <a:solidFill>
                <a:schemeClr val="tx1">
                  <a:lumMod val="15000"/>
                  <a:lumOff val="85000"/>
                </a:schemeClr>
              </a:solidFill>
              <a:round/>
            </a:ln>
            <a:effectLst/>
          </c:spPr>
        </c:majorGridlines>
        <c:numFmt formatCode="_-* #,##0\ [$€-C0A]_-;\-* #,##0\ [$€-C0A]_-;_-* &quot;-&quot;??\ [$€-C0A]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96955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Volumen</a:t>
            </a:r>
            <a:r>
              <a:rPr lang="es-ES" baseline="0"/>
              <a:t> agua anual (m</a:t>
            </a:r>
            <a:r>
              <a:rPr lang="es-ES" baseline="30000"/>
              <a:t>3</a:t>
            </a:r>
            <a:r>
              <a:rPr lang="es-ES" baseline="0"/>
              <a:t>)</a:t>
            </a:r>
            <a:endParaRPr lang="es-E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Gráficos!$B$19</c:f>
              <c:strCache>
                <c:ptCount val="1"/>
                <c:pt idx="0">
                  <c:v>Consumo oferta </c:v>
                </c:pt>
              </c:strCache>
            </c:strRef>
          </c:tx>
          <c:spPr>
            <a:solidFill>
              <a:schemeClr val="accent1"/>
            </a:solidFill>
            <a:ln>
              <a:noFill/>
            </a:ln>
            <a:effectLst/>
          </c:spPr>
          <c:invertIfNegative val="0"/>
          <c:cat>
            <c:numRef>
              <c:f>Gráficos!$A$20:$A$29</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Gráficos!$B$20:$B$29</c:f>
              <c:numCache>
                <c:formatCode>#,##0</c:formatCode>
                <c:ptCount val="10"/>
                <c:pt idx="0">
                  <c:v>124959547.47681001</c:v>
                </c:pt>
                <c:pt idx="1">
                  <c:v>124959547.47681001</c:v>
                </c:pt>
                <c:pt idx="2">
                  <c:v>124959547.47681001</c:v>
                </c:pt>
                <c:pt idx="3">
                  <c:v>124959547.47681001</c:v>
                </c:pt>
                <c:pt idx="4">
                  <c:v>124959547.47681001</c:v>
                </c:pt>
                <c:pt idx="5">
                  <c:v>124959547.47681001</c:v>
                </c:pt>
                <c:pt idx="6">
                  <c:v>124959547.47681001</c:v>
                </c:pt>
                <c:pt idx="7">
                  <c:v>124959547.47681001</c:v>
                </c:pt>
                <c:pt idx="8">
                  <c:v>124959547.47681001</c:v>
                </c:pt>
                <c:pt idx="9">
                  <c:v>124959547.47681001</c:v>
                </c:pt>
              </c:numCache>
            </c:numRef>
          </c:val>
          <c:extLst>
            <c:ext xmlns:c16="http://schemas.microsoft.com/office/drawing/2014/chart" uri="{C3380CC4-5D6E-409C-BE32-E72D297353CC}">
              <c16:uniqueId val="{00000000-5761-4026-A135-E96CD9FF6922}"/>
            </c:ext>
          </c:extLst>
        </c:ser>
        <c:ser>
          <c:idx val="1"/>
          <c:order val="1"/>
          <c:tx>
            <c:strRef>
              <c:f>Gráficos!$C$19</c:f>
              <c:strCache>
                <c:ptCount val="1"/>
                <c:pt idx="0">
                  <c:v>Consumo PEF 2011</c:v>
                </c:pt>
              </c:strCache>
            </c:strRef>
          </c:tx>
          <c:spPr>
            <a:solidFill>
              <a:schemeClr val="accent2"/>
            </a:solidFill>
            <a:ln>
              <a:noFill/>
            </a:ln>
            <a:effectLst/>
          </c:spPr>
          <c:invertIfNegative val="0"/>
          <c:cat>
            <c:numRef>
              <c:f>Gráficos!$A$20:$A$29</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Gráficos!$C$20:$C$29</c:f>
              <c:numCache>
                <c:formatCode>#,##0</c:formatCode>
                <c:ptCount val="10"/>
                <c:pt idx="0">
                  <c:v>117914613.28985642</c:v>
                </c:pt>
                <c:pt idx="1">
                  <c:v>117914613.28985642</c:v>
                </c:pt>
                <c:pt idx="2">
                  <c:v>117914613.28985642</c:v>
                </c:pt>
                <c:pt idx="3">
                  <c:v>117914613.28985642</c:v>
                </c:pt>
                <c:pt idx="4">
                  <c:v>117914613.28985642</c:v>
                </c:pt>
                <c:pt idx="5">
                  <c:v>117914613.28985642</c:v>
                </c:pt>
                <c:pt idx="6">
                  <c:v>117914613.28985642</c:v>
                </c:pt>
                <c:pt idx="7">
                  <c:v>117914613.28985642</c:v>
                </c:pt>
                <c:pt idx="8">
                  <c:v>117914613.28985642</c:v>
                </c:pt>
                <c:pt idx="9">
                  <c:v>117914613.28985642</c:v>
                </c:pt>
              </c:numCache>
            </c:numRef>
          </c:val>
          <c:extLst>
            <c:ext xmlns:c16="http://schemas.microsoft.com/office/drawing/2014/chart" uri="{C3380CC4-5D6E-409C-BE32-E72D297353CC}">
              <c16:uniqueId val="{00000001-5761-4026-A135-E96CD9FF6922}"/>
            </c:ext>
          </c:extLst>
        </c:ser>
        <c:dLbls>
          <c:showLegendKey val="0"/>
          <c:showVal val="0"/>
          <c:showCatName val="0"/>
          <c:showSerName val="0"/>
          <c:showPercent val="0"/>
          <c:showBubbleSize val="0"/>
        </c:dLbls>
        <c:gapWidth val="150"/>
        <c:axId val="821536216"/>
        <c:axId val="821536872"/>
      </c:barChart>
      <c:lineChart>
        <c:grouping val="standard"/>
        <c:varyColors val="0"/>
        <c:ser>
          <c:idx val="2"/>
          <c:order val="2"/>
          <c:tx>
            <c:strRef>
              <c:f>Gráficos!$D$19</c:f>
              <c:strCache>
                <c:ptCount val="1"/>
                <c:pt idx="0">
                  <c:v>Consumo real</c:v>
                </c:pt>
              </c:strCache>
            </c:strRef>
          </c:tx>
          <c:spPr>
            <a:ln w="28575" cap="rnd">
              <a:solidFill>
                <a:schemeClr val="accent3"/>
              </a:solidFill>
              <a:round/>
            </a:ln>
            <a:effectLst/>
          </c:spPr>
          <c:marker>
            <c:symbol val="none"/>
          </c:marker>
          <c:cat>
            <c:numRef>
              <c:f>Gráficos!$A$20:$A$29</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Gráficos!$D$20:$D$29</c:f>
              <c:numCache>
                <c:formatCode>#,##0</c:formatCode>
                <c:ptCount val="10"/>
                <c:pt idx="0">
                  <c:v>91735636</c:v>
                </c:pt>
                <c:pt idx="1">
                  <c:v>76004672</c:v>
                </c:pt>
                <c:pt idx="2">
                  <c:v>90296525</c:v>
                </c:pt>
                <c:pt idx="3">
                  <c:v>94166393</c:v>
                </c:pt>
                <c:pt idx="4">
                  <c:v>93788682</c:v>
                </c:pt>
                <c:pt idx="5">
                  <c:v>87425080</c:v>
                </c:pt>
                <c:pt idx="6">
                  <c:v>79130220</c:v>
                </c:pt>
                <c:pt idx="7">
                  <c:v>98752369</c:v>
                </c:pt>
                <c:pt idx="8">
                  <c:v>81607196</c:v>
                </c:pt>
                <c:pt idx="9">
                  <c:v>86220081</c:v>
                </c:pt>
              </c:numCache>
            </c:numRef>
          </c:val>
          <c:smooth val="0"/>
          <c:extLst>
            <c:ext xmlns:c16="http://schemas.microsoft.com/office/drawing/2014/chart" uri="{C3380CC4-5D6E-409C-BE32-E72D297353CC}">
              <c16:uniqueId val="{00000002-5761-4026-A135-E96CD9FF6922}"/>
            </c:ext>
          </c:extLst>
        </c:ser>
        <c:dLbls>
          <c:showLegendKey val="0"/>
          <c:showVal val="0"/>
          <c:showCatName val="0"/>
          <c:showSerName val="0"/>
          <c:showPercent val="0"/>
          <c:showBubbleSize val="0"/>
        </c:dLbls>
        <c:marker val="1"/>
        <c:smooth val="0"/>
        <c:axId val="821536216"/>
        <c:axId val="821536872"/>
      </c:lineChart>
      <c:catAx>
        <c:axId val="821536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21536872"/>
        <c:crosses val="autoZero"/>
        <c:auto val="1"/>
        <c:lblAlgn val="ctr"/>
        <c:lblOffset val="100"/>
        <c:noMultiLvlLbl val="0"/>
      </c:catAx>
      <c:valAx>
        <c:axId val="821536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21536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Canon Demanda  y calidad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Gráficos!$O$35</c:f>
              <c:strCache>
                <c:ptCount val="1"/>
                <c:pt idx="0">
                  <c:v>CD+CCGI  Oferta</c:v>
                </c:pt>
              </c:strCache>
            </c:strRef>
          </c:tx>
          <c:spPr>
            <a:solidFill>
              <a:schemeClr val="accent1"/>
            </a:solidFill>
            <a:ln>
              <a:noFill/>
            </a:ln>
            <a:effectLst/>
          </c:spPr>
          <c:invertIfNegative val="0"/>
          <c:cat>
            <c:numRef>
              <c:f>Gráficos!$N$36:$N$45</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Gráficos!$O$36:$O$45</c:f>
              <c:numCache>
                <c:formatCode>#,##0.0</c:formatCode>
                <c:ptCount val="10"/>
                <c:pt idx="0">
                  <c:v>11154918.332287986</c:v>
                </c:pt>
                <c:pt idx="1">
                  <c:v>11433402.430130269</c:v>
                </c:pt>
                <c:pt idx="2">
                  <c:v>11719237.490883525</c:v>
                </c:pt>
                <c:pt idx="3">
                  <c:v>12012218.428155612</c:v>
                </c:pt>
                <c:pt idx="4">
                  <c:v>12312942.649048602</c:v>
                </c:pt>
                <c:pt idx="5">
                  <c:v>12620336.986080991</c:v>
                </c:pt>
                <c:pt idx="6">
                  <c:v>12935845.410733014</c:v>
                </c:pt>
                <c:pt idx="7">
                  <c:v>13259241.546001337</c:v>
                </c:pt>
                <c:pt idx="8">
                  <c:v>13591184.817546181</c:v>
                </c:pt>
                <c:pt idx="9">
                  <c:v>13925752.672467241</c:v>
                </c:pt>
              </c:numCache>
            </c:numRef>
          </c:val>
          <c:extLst>
            <c:ext xmlns:c16="http://schemas.microsoft.com/office/drawing/2014/chart" uri="{C3380CC4-5D6E-409C-BE32-E72D297353CC}">
              <c16:uniqueId val="{00000000-33DD-415B-A8D1-06413E866284}"/>
            </c:ext>
          </c:extLst>
        </c:ser>
        <c:ser>
          <c:idx val="1"/>
          <c:order val="1"/>
          <c:tx>
            <c:strRef>
              <c:f>Gráficos!$P$35</c:f>
              <c:strCache>
                <c:ptCount val="1"/>
                <c:pt idx="0">
                  <c:v>CD+CCGI PEF 2011</c:v>
                </c:pt>
              </c:strCache>
            </c:strRef>
          </c:tx>
          <c:spPr>
            <a:solidFill>
              <a:schemeClr val="accent2"/>
            </a:solidFill>
            <a:ln>
              <a:noFill/>
            </a:ln>
            <a:effectLst/>
          </c:spPr>
          <c:invertIfNegative val="0"/>
          <c:cat>
            <c:numRef>
              <c:f>Gráficos!$N$36:$N$45</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Gráficos!$P$36:$P$45</c:f>
              <c:numCache>
                <c:formatCode>#,##0.0</c:formatCode>
                <c:ptCount val="10"/>
                <c:pt idx="0">
                  <c:v>13327111.625266284</c:v>
                </c:pt>
                <c:pt idx="1">
                  <c:v>13707742.230182856</c:v>
                </c:pt>
                <c:pt idx="2">
                  <c:v>14050435.785937428</c:v>
                </c:pt>
                <c:pt idx="3">
                  <c:v>14401696.680585861</c:v>
                </c:pt>
                <c:pt idx="4">
                  <c:v>14762241.157837037</c:v>
                </c:pt>
                <c:pt idx="5">
                  <c:v>15130782.575040523</c:v>
                </c:pt>
                <c:pt idx="6">
                  <c:v>15509052.139416533</c:v>
                </c:pt>
                <c:pt idx="7">
                  <c:v>15896778.442901945</c:v>
                </c:pt>
                <c:pt idx="8">
                  <c:v>16294752.084535446</c:v>
                </c:pt>
                <c:pt idx="9">
                  <c:v>16695917.354815846</c:v>
                </c:pt>
              </c:numCache>
            </c:numRef>
          </c:val>
          <c:extLst>
            <c:ext xmlns:c16="http://schemas.microsoft.com/office/drawing/2014/chart" uri="{C3380CC4-5D6E-409C-BE32-E72D297353CC}">
              <c16:uniqueId val="{00000001-33DD-415B-A8D1-06413E866284}"/>
            </c:ext>
          </c:extLst>
        </c:ser>
        <c:dLbls>
          <c:showLegendKey val="0"/>
          <c:showVal val="0"/>
          <c:showCatName val="0"/>
          <c:showSerName val="0"/>
          <c:showPercent val="0"/>
          <c:showBubbleSize val="0"/>
        </c:dLbls>
        <c:gapWidth val="219"/>
        <c:overlap val="-27"/>
        <c:axId val="774883408"/>
        <c:axId val="774883736"/>
      </c:barChart>
      <c:lineChart>
        <c:grouping val="standard"/>
        <c:varyColors val="0"/>
        <c:ser>
          <c:idx val="2"/>
          <c:order val="2"/>
          <c:tx>
            <c:strRef>
              <c:f>Gráficos!$Q$35</c:f>
              <c:strCache>
                <c:ptCount val="1"/>
                <c:pt idx="0">
                  <c:v>Canon Demanda + Calidad</c:v>
                </c:pt>
              </c:strCache>
            </c:strRef>
          </c:tx>
          <c:spPr>
            <a:ln w="28575" cap="rnd">
              <a:solidFill>
                <a:schemeClr val="accent3"/>
              </a:solidFill>
              <a:round/>
            </a:ln>
            <a:effectLst/>
          </c:spPr>
          <c:marker>
            <c:symbol val="none"/>
          </c:marker>
          <c:cat>
            <c:numRef>
              <c:f>Gráficos!$N$36:$N$45</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Gráficos!$Q$36:$Q$45</c:f>
              <c:numCache>
                <c:formatCode>#,##0.00</c:formatCode>
                <c:ptCount val="10"/>
                <c:pt idx="0">
                  <c:v>11857760.210000001</c:v>
                </c:pt>
                <c:pt idx="1">
                  <c:v>11556263.220000001</c:v>
                </c:pt>
                <c:pt idx="2">
                  <c:v>12344164.129999999</c:v>
                </c:pt>
                <c:pt idx="3">
                  <c:v>12539721.699999999</c:v>
                </c:pt>
                <c:pt idx="4">
                  <c:v>12363363.699999999</c:v>
                </c:pt>
                <c:pt idx="5">
                  <c:v>12282707.390000001</c:v>
                </c:pt>
                <c:pt idx="6">
                  <c:v>11980140.130000001</c:v>
                </c:pt>
                <c:pt idx="7">
                  <c:v>13042256.82</c:v>
                </c:pt>
                <c:pt idx="8">
                  <c:v>12355604.509999998</c:v>
                </c:pt>
                <c:pt idx="9">
                  <c:v>12482379.609999998</c:v>
                </c:pt>
              </c:numCache>
            </c:numRef>
          </c:val>
          <c:smooth val="0"/>
          <c:extLst>
            <c:ext xmlns:c16="http://schemas.microsoft.com/office/drawing/2014/chart" uri="{C3380CC4-5D6E-409C-BE32-E72D297353CC}">
              <c16:uniqueId val="{00000002-33DD-415B-A8D1-06413E866284}"/>
            </c:ext>
          </c:extLst>
        </c:ser>
        <c:dLbls>
          <c:showLegendKey val="0"/>
          <c:showVal val="0"/>
          <c:showCatName val="0"/>
          <c:showSerName val="0"/>
          <c:showPercent val="0"/>
          <c:showBubbleSize val="0"/>
        </c:dLbls>
        <c:marker val="1"/>
        <c:smooth val="0"/>
        <c:axId val="774883408"/>
        <c:axId val="774883736"/>
      </c:lineChart>
      <c:catAx>
        <c:axId val="77488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74883736"/>
        <c:crosses val="autoZero"/>
        <c:auto val="1"/>
        <c:lblAlgn val="ctr"/>
        <c:lblOffset val="100"/>
        <c:noMultiLvlLbl val="0"/>
      </c:catAx>
      <c:valAx>
        <c:axId val="7748837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74883408"/>
        <c:crosses val="autoZero"/>
        <c:crossBetween val="between"/>
      </c:valAx>
      <c:spPr>
        <a:noFill/>
        <a:ln>
          <a:noFill/>
        </a:ln>
        <a:effectLst/>
      </c:spPr>
    </c:plotArea>
    <c:legend>
      <c:legendPos val="b"/>
      <c:layout>
        <c:manualLayout>
          <c:xMode val="edge"/>
          <c:yMode val="edge"/>
          <c:x val="0.05"/>
          <c:y val="0.89409667541557303"/>
          <c:w val="0.93888888888888888"/>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baseline="0"/>
              <a:t>Volumen agua anual (m</a:t>
            </a:r>
            <a:r>
              <a:rPr lang="es-ES" baseline="30000"/>
              <a:t>3</a:t>
            </a:r>
            <a:r>
              <a:rPr lang="es-ES" baseline="0"/>
              <a:t>)</a:t>
            </a:r>
            <a:endParaRPr lang="es-ES"/>
          </a:p>
        </c:rich>
      </c:tx>
      <c:layout>
        <c:manualLayout>
          <c:xMode val="edge"/>
          <c:yMode val="edge"/>
          <c:x val="0.35690266841644797"/>
          <c:y val="5.55555555555555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Gráficos!$B$27</c:f>
              <c:strCache>
                <c:ptCount val="1"/>
                <c:pt idx="0">
                  <c:v>Consumo Oferta </c:v>
                </c:pt>
              </c:strCache>
            </c:strRef>
          </c:tx>
          <c:spPr>
            <a:solidFill>
              <a:schemeClr val="accent1"/>
            </a:solidFill>
            <a:ln>
              <a:noFill/>
            </a:ln>
            <a:effectLst/>
          </c:spPr>
          <c:invertIfNegative val="0"/>
          <c:cat>
            <c:numRef>
              <c:f>Gráficos!$A$28:$A$34</c:f>
              <c:numCache>
                <c:formatCode>General</c:formatCode>
                <c:ptCount val="7"/>
                <c:pt idx="0">
                  <c:v>2015</c:v>
                </c:pt>
                <c:pt idx="1">
                  <c:v>2016</c:v>
                </c:pt>
                <c:pt idx="2">
                  <c:v>2017</c:v>
                </c:pt>
                <c:pt idx="3">
                  <c:v>2018</c:v>
                </c:pt>
                <c:pt idx="4">
                  <c:v>2019</c:v>
                </c:pt>
                <c:pt idx="5">
                  <c:v>2020</c:v>
                </c:pt>
                <c:pt idx="6">
                  <c:v>2021</c:v>
                </c:pt>
              </c:numCache>
            </c:numRef>
          </c:cat>
          <c:val>
            <c:numRef>
              <c:f>Gráficos!$B$28:$B$34</c:f>
              <c:numCache>
                <c:formatCode>#,##0</c:formatCode>
                <c:ptCount val="7"/>
                <c:pt idx="0">
                  <c:v>892659.35342465737</c:v>
                </c:pt>
                <c:pt idx="1">
                  <c:v>15646547.786301369</c:v>
                </c:pt>
                <c:pt idx="2">
                  <c:v>42465092.471232884</c:v>
                </c:pt>
                <c:pt idx="3">
                  <c:v>56464732.07123287</c:v>
                </c:pt>
                <c:pt idx="4">
                  <c:v>61765644.800000004</c:v>
                </c:pt>
                <c:pt idx="5">
                  <c:v>63392521.700000003</c:v>
                </c:pt>
                <c:pt idx="6">
                  <c:v>64046135</c:v>
                </c:pt>
              </c:numCache>
            </c:numRef>
          </c:val>
          <c:extLst>
            <c:ext xmlns:c16="http://schemas.microsoft.com/office/drawing/2014/chart" uri="{C3380CC4-5D6E-409C-BE32-E72D297353CC}">
              <c16:uniqueId val="{00000000-2DBD-425A-B856-9B531E5E5C01}"/>
            </c:ext>
          </c:extLst>
        </c:ser>
        <c:ser>
          <c:idx val="1"/>
          <c:order val="1"/>
          <c:tx>
            <c:strRef>
              <c:f>Gráficos!$C$27</c:f>
              <c:strCache>
                <c:ptCount val="1"/>
                <c:pt idx="0">
                  <c:v>Consumo PEF 2021</c:v>
                </c:pt>
              </c:strCache>
            </c:strRef>
          </c:tx>
          <c:spPr>
            <a:solidFill>
              <a:schemeClr val="accent2"/>
            </a:solidFill>
            <a:ln>
              <a:noFill/>
            </a:ln>
            <a:effectLst/>
          </c:spPr>
          <c:invertIfNegative val="0"/>
          <c:cat>
            <c:numRef>
              <c:f>Gráficos!$A$28:$A$34</c:f>
              <c:numCache>
                <c:formatCode>General</c:formatCode>
                <c:ptCount val="7"/>
                <c:pt idx="0">
                  <c:v>2015</c:v>
                </c:pt>
                <c:pt idx="1">
                  <c:v>2016</c:v>
                </c:pt>
                <c:pt idx="2">
                  <c:v>2017</c:v>
                </c:pt>
                <c:pt idx="3">
                  <c:v>2018</c:v>
                </c:pt>
                <c:pt idx="4">
                  <c:v>2019</c:v>
                </c:pt>
                <c:pt idx="5">
                  <c:v>2020</c:v>
                </c:pt>
                <c:pt idx="6">
                  <c:v>2021</c:v>
                </c:pt>
              </c:numCache>
            </c:numRef>
          </c:cat>
          <c:val>
            <c:numRef>
              <c:f>Gráficos!$C$28:$C$34</c:f>
              <c:numCache>
                <c:formatCode>#,##0</c:formatCode>
                <c:ptCount val="7"/>
                <c:pt idx="0">
                  <c:v>187650.1716164384</c:v>
                </c:pt>
                <c:pt idx="1">
                  <c:v>7947501.7810216434</c:v>
                </c:pt>
                <c:pt idx="2">
                  <c:v>27149967.368999999</c:v>
                </c:pt>
                <c:pt idx="3">
                  <c:v>34911843.700438358</c:v>
                </c:pt>
                <c:pt idx="4">
                  <c:v>38576447.802000009</c:v>
                </c:pt>
                <c:pt idx="5">
                  <c:v>39561233.108493149</c:v>
                </c:pt>
                <c:pt idx="6">
                  <c:v>44714357.039726034</c:v>
                </c:pt>
              </c:numCache>
            </c:numRef>
          </c:val>
          <c:extLst>
            <c:ext xmlns:c16="http://schemas.microsoft.com/office/drawing/2014/chart" uri="{C3380CC4-5D6E-409C-BE32-E72D297353CC}">
              <c16:uniqueId val="{00000001-2DBD-425A-B856-9B531E5E5C01}"/>
            </c:ext>
          </c:extLst>
        </c:ser>
        <c:dLbls>
          <c:showLegendKey val="0"/>
          <c:showVal val="0"/>
          <c:showCatName val="0"/>
          <c:showSerName val="0"/>
          <c:showPercent val="0"/>
          <c:showBubbleSize val="0"/>
        </c:dLbls>
        <c:gapWidth val="219"/>
        <c:axId val="737236072"/>
        <c:axId val="737236400"/>
      </c:barChart>
      <c:lineChart>
        <c:grouping val="standard"/>
        <c:varyColors val="0"/>
        <c:ser>
          <c:idx val="2"/>
          <c:order val="2"/>
          <c:tx>
            <c:strRef>
              <c:f>Gráficos!$D$27</c:f>
              <c:strCache>
                <c:ptCount val="1"/>
                <c:pt idx="0">
                  <c:v>Consumo real</c:v>
                </c:pt>
              </c:strCache>
            </c:strRef>
          </c:tx>
          <c:spPr>
            <a:ln w="28575" cap="rnd">
              <a:solidFill>
                <a:schemeClr val="accent3"/>
              </a:solidFill>
              <a:round/>
            </a:ln>
            <a:effectLst/>
          </c:spPr>
          <c:marker>
            <c:symbol val="none"/>
          </c:marker>
          <c:cat>
            <c:numRef>
              <c:f>Gráficos!$A$28:$A$34</c:f>
              <c:numCache>
                <c:formatCode>General</c:formatCode>
                <c:ptCount val="7"/>
                <c:pt idx="0">
                  <c:v>2015</c:v>
                </c:pt>
                <c:pt idx="1">
                  <c:v>2016</c:v>
                </c:pt>
                <c:pt idx="2">
                  <c:v>2017</c:v>
                </c:pt>
                <c:pt idx="3">
                  <c:v>2018</c:v>
                </c:pt>
                <c:pt idx="4">
                  <c:v>2019</c:v>
                </c:pt>
                <c:pt idx="5">
                  <c:v>2020</c:v>
                </c:pt>
                <c:pt idx="6">
                  <c:v>2021</c:v>
                </c:pt>
              </c:numCache>
            </c:numRef>
          </c:cat>
          <c:val>
            <c:numRef>
              <c:f>Gráficos!$D$28:$D$34</c:f>
              <c:numCache>
                <c:formatCode>General</c:formatCode>
                <c:ptCount val="7"/>
                <c:pt idx="2" formatCode="#,##0">
                  <c:v>7186853</c:v>
                </c:pt>
                <c:pt idx="3" formatCode="#,##0">
                  <c:v>14532748</c:v>
                </c:pt>
                <c:pt idx="4" formatCode="#,##0">
                  <c:v>28346656</c:v>
                </c:pt>
                <c:pt idx="5" formatCode="#,##0">
                  <c:v>25109573</c:v>
                </c:pt>
                <c:pt idx="6" formatCode="#,##0">
                  <c:v>32337081</c:v>
                </c:pt>
              </c:numCache>
            </c:numRef>
          </c:val>
          <c:smooth val="0"/>
          <c:extLst>
            <c:ext xmlns:c16="http://schemas.microsoft.com/office/drawing/2014/chart" uri="{C3380CC4-5D6E-409C-BE32-E72D297353CC}">
              <c16:uniqueId val="{00000002-2DBD-425A-B856-9B531E5E5C01}"/>
            </c:ext>
          </c:extLst>
        </c:ser>
        <c:dLbls>
          <c:showLegendKey val="0"/>
          <c:showVal val="0"/>
          <c:showCatName val="0"/>
          <c:showSerName val="0"/>
          <c:showPercent val="0"/>
          <c:showBubbleSize val="0"/>
        </c:dLbls>
        <c:marker val="1"/>
        <c:smooth val="0"/>
        <c:axId val="737236072"/>
        <c:axId val="737236400"/>
      </c:lineChart>
      <c:catAx>
        <c:axId val="737236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37236400"/>
        <c:crosses val="autoZero"/>
        <c:auto val="1"/>
        <c:lblAlgn val="ctr"/>
        <c:lblOffset val="100"/>
        <c:noMultiLvlLbl val="0"/>
      </c:catAx>
      <c:valAx>
        <c:axId val="737236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37236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Canon de demanda y calidad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Gráficos!$B$69</c:f>
              <c:strCache>
                <c:ptCount val="1"/>
                <c:pt idx="0">
                  <c:v>CD+CCGI  Oferta</c:v>
                </c:pt>
              </c:strCache>
            </c:strRef>
          </c:tx>
          <c:spPr>
            <a:solidFill>
              <a:schemeClr val="accent1"/>
            </a:solidFill>
            <a:ln>
              <a:noFill/>
            </a:ln>
            <a:effectLst/>
          </c:spPr>
          <c:invertIfNegative val="0"/>
          <c:cat>
            <c:numRef>
              <c:f>Gráficos!$A$70:$A$76</c:f>
              <c:numCache>
                <c:formatCode>General</c:formatCode>
                <c:ptCount val="7"/>
                <c:pt idx="0">
                  <c:v>2015</c:v>
                </c:pt>
                <c:pt idx="1">
                  <c:v>2016</c:v>
                </c:pt>
                <c:pt idx="2">
                  <c:v>2017</c:v>
                </c:pt>
                <c:pt idx="3">
                  <c:v>2018</c:v>
                </c:pt>
                <c:pt idx="4">
                  <c:v>2019</c:v>
                </c:pt>
                <c:pt idx="5">
                  <c:v>2020</c:v>
                </c:pt>
                <c:pt idx="6">
                  <c:v>2021</c:v>
                </c:pt>
              </c:numCache>
            </c:numRef>
          </c:cat>
          <c:val>
            <c:numRef>
              <c:f>Gráficos!$B$70:$B$76</c:f>
              <c:numCache>
                <c:formatCode>#,##0</c:formatCode>
                <c:ptCount val="7"/>
                <c:pt idx="0">
                  <c:v>202136.84723120206</c:v>
                </c:pt>
                <c:pt idx="1">
                  <c:v>3740704.8026514463</c:v>
                </c:pt>
                <c:pt idx="2">
                  <c:v>7135919.2468659068</c:v>
                </c:pt>
                <c:pt idx="3">
                  <c:v>9107739.7684638724</c:v>
                </c:pt>
                <c:pt idx="4">
                  <c:v>9835046.8202124238</c:v>
                </c:pt>
                <c:pt idx="5">
                  <c:v>10123404.739410469</c:v>
                </c:pt>
                <c:pt idx="6">
                  <c:v>10393983.991503289</c:v>
                </c:pt>
              </c:numCache>
            </c:numRef>
          </c:val>
          <c:extLst>
            <c:ext xmlns:c16="http://schemas.microsoft.com/office/drawing/2014/chart" uri="{C3380CC4-5D6E-409C-BE32-E72D297353CC}">
              <c16:uniqueId val="{00000000-D3AA-4646-81C5-07156D8F17D1}"/>
            </c:ext>
          </c:extLst>
        </c:ser>
        <c:ser>
          <c:idx val="1"/>
          <c:order val="1"/>
          <c:tx>
            <c:strRef>
              <c:f>Gráficos!$C$69</c:f>
              <c:strCache>
                <c:ptCount val="1"/>
                <c:pt idx="0">
                  <c:v>CD+CCGI PEF 2021</c:v>
                </c:pt>
              </c:strCache>
            </c:strRef>
          </c:tx>
          <c:spPr>
            <a:solidFill>
              <a:schemeClr val="accent2"/>
            </a:solidFill>
            <a:ln>
              <a:noFill/>
            </a:ln>
            <a:effectLst/>
          </c:spPr>
          <c:invertIfNegative val="0"/>
          <c:cat>
            <c:numRef>
              <c:f>Gráficos!$A$70:$A$76</c:f>
              <c:numCache>
                <c:formatCode>General</c:formatCode>
                <c:ptCount val="7"/>
                <c:pt idx="0">
                  <c:v>2015</c:v>
                </c:pt>
                <c:pt idx="1">
                  <c:v>2016</c:v>
                </c:pt>
                <c:pt idx="2">
                  <c:v>2017</c:v>
                </c:pt>
                <c:pt idx="3">
                  <c:v>2018</c:v>
                </c:pt>
                <c:pt idx="4">
                  <c:v>2019</c:v>
                </c:pt>
                <c:pt idx="5">
                  <c:v>2020</c:v>
                </c:pt>
                <c:pt idx="6">
                  <c:v>2021</c:v>
                </c:pt>
              </c:numCache>
            </c:numRef>
          </c:cat>
          <c:val>
            <c:numRef>
              <c:f>Gráficos!$C$70:$C$76</c:f>
              <c:numCache>
                <c:formatCode>#,##0</c:formatCode>
                <c:ptCount val="7"/>
                <c:pt idx="0">
                  <c:v>67268.630717884153</c:v>
                </c:pt>
                <c:pt idx="1">
                  <c:v>2442627.0636533243</c:v>
                </c:pt>
                <c:pt idx="2">
                  <c:v>4704641.5126546267</c:v>
                </c:pt>
                <c:pt idx="3">
                  <c:v>5663056.9497571606</c:v>
                </c:pt>
                <c:pt idx="4">
                  <c:v>6875466.4691678416</c:v>
                </c:pt>
                <c:pt idx="5">
                  <c:v>7477323.5840823194</c:v>
                </c:pt>
                <c:pt idx="6">
                  <c:v>11172036.162576053</c:v>
                </c:pt>
              </c:numCache>
            </c:numRef>
          </c:val>
          <c:extLst>
            <c:ext xmlns:c16="http://schemas.microsoft.com/office/drawing/2014/chart" uri="{C3380CC4-5D6E-409C-BE32-E72D297353CC}">
              <c16:uniqueId val="{00000001-D3AA-4646-81C5-07156D8F17D1}"/>
            </c:ext>
          </c:extLst>
        </c:ser>
        <c:dLbls>
          <c:showLegendKey val="0"/>
          <c:showVal val="0"/>
          <c:showCatName val="0"/>
          <c:showSerName val="0"/>
          <c:showPercent val="0"/>
          <c:showBubbleSize val="0"/>
        </c:dLbls>
        <c:gapWidth val="219"/>
        <c:overlap val="-27"/>
        <c:axId val="530961864"/>
        <c:axId val="530960224"/>
      </c:barChart>
      <c:lineChart>
        <c:grouping val="standard"/>
        <c:varyColors val="0"/>
        <c:ser>
          <c:idx val="2"/>
          <c:order val="2"/>
          <c:tx>
            <c:strRef>
              <c:f>Gráficos!$D$69</c:f>
              <c:strCache>
                <c:ptCount val="1"/>
                <c:pt idx="0">
                  <c:v>Canon Demanda + Calidad (Real)</c:v>
                </c:pt>
              </c:strCache>
            </c:strRef>
          </c:tx>
          <c:spPr>
            <a:ln w="28575" cap="rnd">
              <a:solidFill>
                <a:schemeClr val="accent3"/>
              </a:solidFill>
              <a:round/>
            </a:ln>
            <a:effectLst/>
          </c:spPr>
          <c:marker>
            <c:symbol val="none"/>
          </c:marker>
          <c:cat>
            <c:numRef>
              <c:f>Gráficos!$A$70:$A$76</c:f>
              <c:numCache>
                <c:formatCode>General</c:formatCode>
                <c:ptCount val="7"/>
                <c:pt idx="0">
                  <c:v>2015</c:v>
                </c:pt>
                <c:pt idx="1">
                  <c:v>2016</c:v>
                </c:pt>
                <c:pt idx="2">
                  <c:v>2017</c:v>
                </c:pt>
                <c:pt idx="3">
                  <c:v>2018</c:v>
                </c:pt>
                <c:pt idx="4">
                  <c:v>2019</c:v>
                </c:pt>
                <c:pt idx="5">
                  <c:v>2020</c:v>
                </c:pt>
                <c:pt idx="6">
                  <c:v>2021</c:v>
                </c:pt>
              </c:numCache>
            </c:numRef>
          </c:cat>
          <c:val>
            <c:numRef>
              <c:f>Gráficos!$D$70:$D$76</c:f>
              <c:numCache>
                <c:formatCode>#,##0</c:formatCode>
                <c:ptCount val="7"/>
                <c:pt idx="0">
                  <c:v>6145.2163422233334</c:v>
                </c:pt>
                <c:pt idx="1">
                  <c:v>393325.7708023875</c:v>
                </c:pt>
                <c:pt idx="2">
                  <c:v>3064657.26</c:v>
                </c:pt>
                <c:pt idx="3">
                  <c:v>4302527.9400000013</c:v>
                </c:pt>
                <c:pt idx="4">
                  <c:v>5218985.3599999994</c:v>
                </c:pt>
                <c:pt idx="5">
                  <c:v>5436487.96</c:v>
                </c:pt>
                <c:pt idx="6">
                  <c:v>7588717.6000000006</c:v>
                </c:pt>
              </c:numCache>
            </c:numRef>
          </c:val>
          <c:smooth val="0"/>
          <c:extLst>
            <c:ext xmlns:c16="http://schemas.microsoft.com/office/drawing/2014/chart" uri="{C3380CC4-5D6E-409C-BE32-E72D297353CC}">
              <c16:uniqueId val="{00000002-D3AA-4646-81C5-07156D8F17D1}"/>
            </c:ext>
          </c:extLst>
        </c:ser>
        <c:dLbls>
          <c:showLegendKey val="0"/>
          <c:showVal val="0"/>
          <c:showCatName val="0"/>
          <c:showSerName val="0"/>
          <c:showPercent val="0"/>
          <c:showBubbleSize val="0"/>
        </c:dLbls>
        <c:marker val="1"/>
        <c:smooth val="0"/>
        <c:axId val="530961864"/>
        <c:axId val="530960224"/>
      </c:lineChart>
      <c:catAx>
        <c:axId val="530961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30960224"/>
        <c:crosses val="autoZero"/>
        <c:auto val="1"/>
        <c:lblAlgn val="ctr"/>
        <c:lblOffset val="100"/>
        <c:noMultiLvlLbl val="0"/>
      </c:catAx>
      <c:valAx>
        <c:axId val="530960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30961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Base">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se">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Override>
</file>

<file path=word/theme/themeOverride2.xml><?xml version="1.0" encoding="utf-8"?>
<a:themeOverride xmlns:a="http://schemas.openxmlformats.org/drawingml/2006/main">
  <a:clrScheme name="Base">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se">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Override>
</file>

<file path=word/theme/themeOverride3.xml><?xml version="1.0" encoding="utf-8"?>
<a:themeOverride xmlns:a="http://schemas.openxmlformats.org/drawingml/2006/main">
  <a:clrScheme name="Base">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se">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Override>
</file>

<file path=word/theme/themeOverride4.xml><?xml version="1.0" encoding="utf-8"?>
<a:themeOverride xmlns:a="http://schemas.openxmlformats.org/drawingml/2006/main">
  <a:clrScheme name="Base">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se">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6BC3D-5DBD-4CC2-A563-21AB46406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13912</Words>
  <Characters>76520</Characters>
  <Application>Microsoft Office Word</Application>
  <DocSecurity>0</DocSecurity>
  <Lines>637</Lines>
  <Paragraphs>180</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90252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d841144</dc:creator>
  <cp:lastModifiedBy>De Santiago, Iñaki</cp:lastModifiedBy>
  <cp:revision>2</cp:revision>
  <cp:lastPrinted>2023-02-01T07:35:00Z</cp:lastPrinted>
  <dcterms:created xsi:type="dcterms:W3CDTF">2023-03-10T09:32:00Z</dcterms:created>
  <dcterms:modified xsi:type="dcterms:W3CDTF">2023-03-10T09:32:00Z</dcterms:modified>
</cp:coreProperties>
</file>