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858" w14:textId="77777777" w:rsidR="004D0FEF" w:rsidRPr="004D0FEF" w:rsidRDefault="00645AFB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Navarra Suma talde parlamentarioari atxikiriko foru parlamentari Jorge Esparza Garrido jaunak idatzizko galdera egin du (PES-00044), non honako informazio hau eskatzen baitio Nafarroako Gobernuari:</w:t>
      </w:r>
    </w:p>
    <w:p w14:paraId="230EDE64" w14:textId="77777777" w:rsidR="004D0FEF" w:rsidRPr="004D0FEF" w:rsidRDefault="006C6B4B" w:rsidP="004D0FEF">
      <w:pPr>
        <w:pStyle w:val="Default"/>
        <w:spacing w:after="200"/>
        <w:rPr>
          <w:b/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 </w:t>
      </w:r>
      <w:r>
        <w:rPr>
          <w:sz w:val="28"/>
          <w:b/>
          <w:rFonts w:ascii="Calibri" w:hAnsi="Calibri"/>
        </w:rPr>
        <w:t xml:space="preserve">Irisgarritasunari buruzko 2021eko Plan Operatiboak aldaketa bakarra xedatzen zuen Toki Administrazioaren eta Despopulazioaren Zuzendaritza Nagusiarentzat; hain zuzen, honako neurri hau:</w:t>
      </w:r>
      <w:r>
        <w:rPr>
          <w:sz w:val="28"/>
          <w:b/>
          <w:rFonts w:ascii="Calibri" w:hAnsi="Calibri"/>
        </w:rPr>
        <w:t xml:space="preserve"> </w:t>
      </w:r>
      <w:r>
        <w:rPr>
          <w:sz w:val="28"/>
          <w:b/>
          <w:rFonts w:ascii="Calibri" w:hAnsi="Calibri"/>
        </w:rPr>
        <w:t xml:space="preserve">Despopulazioaren aurkako borrokara bideratutako azpiegiturak eraberritzeko dirulaguntzak ezartzea, irisgarritasunaren arloko puntuazioa handituz.</w:t>
      </w:r>
    </w:p>
    <w:p w14:paraId="0C767713" w14:textId="77777777" w:rsidR="004D0FEF" w:rsidRPr="004D0FEF" w:rsidRDefault="006C6B4B" w:rsidP="004D0FEF">
      <w:pPr>
        <w:pStyle w:val="Default"/>
        <w:spacing w:after="200"/>
        <w:rPr>
          <w:b/>
          <w:sz w:val="28"/>
          <w:szCs w:val="22"/>
          <w:rFonts w:ascii="Calibri" w:hAnsi="Calibri" w:cs="Calibri"/>
        </w:rPr>
      </w:pPr>
      <w:r>
        <w:rPr>
          <w:b/>
          <w:sz w:val="28"/>
          <w:rFonts w:ascii="Calibri" w:hAnsi="Calibri"/>
        </w:rPr>
        <w:t xml:space="preserve">Planaren ebaluazioan, zergatik eman da neurri hori “amaitutzat” kontuan hartuta txostenaren 112-113. orrialdeetan berariaz jasotzen dela irisgarritasun-aurrekontua “datozen urteetan era horretako jarduketak egiteko aurreikusitako guztizkoaren % 11 dela” eta lortu nahi zen helburua, gutxienez, % 15ekoa zela?</w:t>
      </w:r>
    </w:p>
    <w:p w14:paraId="37C2D817" w14:textId="77777777" w:rsidR="004D0FEF" w:rsidRPr="004D0FEF" w:rsidRDefault="006C6B4B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Lehenik, eskertu nahi dizut Irisgarritasun Unibertsalari buruzko 2021eko Plan Operatiboan jasotako neurriez agertutako interesa.</w:t>
      </w:r>
    </w:p>
    <w:p w14:paraId="48E8A912" w14:textId="77777777" w:rsidR="004D0FEF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Toki Administrazioaren eta Despopulazioaren Zuzendaritza Nagusiaren 2021eko Irisgarritasun Planak neurri hau zekarren:</w:t>
      </w:r>
    </w:p>
    <w:p w14:paraId="20AAF2A7" w14:textId="77777777" w:rsidR="004D0FEF" w:rsidRPr="004D0FEF" w:rsidRDefault="00EA2D32" w:rsidP="004D0FEF">
      <w:pPr>
        <w:pStyle w:val="Default"/>
        <w:spacing w:after="200"/>
        <w:rPr>
          <w:i/>
          <w:sz w:val="28"/>
          <w:szCs w:val="22"/>
          <w:rFonts w:ascii="Calibri" w:hAnsi="Calibri" w:cs="Calibri"/>
        </w:rPr>
      </w:pPr>
      <w:r>
        <w:rPr>
          <w:i/>
          <w:sz w:val="28"/>
          <w:rFonts w:ascii="Calibri" w:hAnsi="Calibri"/>
        </w:rPr>
        <w:t xml:space="preserve">Despopulazioaren aurkako borrokara bideratutako azpiegiturak eraberritzeko Nafarroako toki entitateei dirulaguntzak emateko deialdian irisgarritasunaren arloko jarduketak bereziki baloratzea, puntu gehiago emanez.</w:t>
      </w:r>
    </w:p>
    <w:p w14:paraId="592BC5B6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Deialdi horretan egindako eraberritze lanen % 15, gutxienez, udal eta kontzejuen ekipamendu-eraikinen irisgarritasuna hobetzeko lanak izatea lortu nahi zen.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Deialdia 1.200.000 euroz hornituta zegoela kontuan hartuta, irisgarritasunerako aurrekontuak 180.000 eurokoa izan behar zuen.</w:t>
      </w:r>
    </w:p>
    <w:p w14:paraId="7F4CB72C" w14:textId="77777777" w:rsidR="00EA2D32" w:rsidRPr="004D0FEF" w:rsidRDefault="00EA2D32" w:rsidP="004D0FEF">
      <w:pPr>
        <w:spacing w:after="200"/>
        <w:rPr>
          <w:rFonts w:ascii="Calibri" w:hAnsi="Calibri" w:cs="Calibri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380"/>
      </w:tblGrid>
      <w:tr w:rsidR="00EA2D32" w:rsidRPr="004D0FEF" w14:paraId="249BF916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D1C0DF1" w14:textId="77777777" w:rsidR="00EA2D32" w:rsidRPr="004D0FEF" w:rsidRDefault="00EA2D32" w:rsidP="004D0FEF">
            <w:pPr>
              <w:spacing w:before="40" w:after="40"/>
              <w:rPr>
                <w:b/>
                <w:bCs/>
                <w:rFonts w:ascii="Calibri" w:hAnsi="Calibri" w:cs="Calibri"/>
              </w:rPr>
            </w:pPr>
            <w:r>
              <w:rPr>
                <w:b/>
                <w:rFonts w:ascii="Calibri" w:hAnsi="Calibri"/>
              </w:rPr>
              <w:t xml:space="preserve">Aldaketa-Neurria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784FB33C" w14:textId="77777777" w:rsidR="00EA2D32" w:rsidRPr="004D0FEF" w:rsidRDefault="00EA2D32" w:rsidP="004D0FEF">
            <w:pPr>
              <w:spacing w:before="40" w:after="40"/>
              <w:rPr>
                <w:b/>
                <w:bCs/>
                <w:rFonts w:ascii="Calibri" w:hAnsi="Calibri" w:cs="Calibri"/>
              </w:rPr>
            </w:pPr>
            <w:r>
              <w:rPr>
                <w:b/>
                <w:rFonts w:ascii="Calibri" w:hAnsi="Calibri"/>
              </w:rPr>
              <w:t xml:space="preserve">Definizio osoa</w:t>
            </w:r>
          </w:p>
        </w:tc>
      </w:tr>
      <w:tr w:rsidR="00EA2D32" w:rsidRPr="004D0FEF" w14:paraId="03BB845D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EAF973D" w14:textId="77777777" w:rsidR="00EA2D32" w:rsidRPr="004D0FEF" w:rsidRDefault="00EA2D32" w:rsidP="004D0FEF">
            <w:pPr>
              <w:spacing w:before="40" w:after="40"/>
              <w:rPr>
                <w:b/>
                <w:bCs/>
                <w:rFonts w:ascii="Calibri" w:hAnsi="Calibri" w:cs="Calibri"/>
              </w:rPr>
            </w:pPr>
            <w:r>
              <w:rPr>
                <w:b/>
                <w:rFonts w:ascii="Calibri" w:hAnsi="Calibri"/>
              </w:rPr>
              <w:t xml:space="preserve">1. aldaketa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0149B543" w14:textId="77777777" w:rsidR="00EA2D32" w:rsidRPr="004D0FEF" w:rsidRDefault="00EA2D32" w:rsidP="004D0FEF">
            <w:pPr>
              <w:spacing w:before="40" w:after="40"/>
              <w:rPr>
                <w:b/>
                <w:bCs/>
                <w:rFonts w:ascii="Calibri" w:hAnsi="Calibri" w:cs="Calibri"/>
              </w:rPr>
            </w:pPr>
            <w:r>
              <w:rPr>
                <w:b/>
                <w:rFonts w:ascii="Calibri" w:hAnsi="Calibri"/>
              </w:rPr>
              <w:t xml:space="preserve">C1.</w:t>
            </w:r>
            <w:r>
              <w:rPr>
                <w:b/>
                <w:rFonts w:ascii="Calibri" w:hAnsi="Calibri"/>
              </w:rPr>
              <w:t xml:space="preserve"> </w:t>
            </w:r>
            <w:r>
              <w:rPr>
                <w:b/>
                <w:rFonts w:ascii="Calibri" w:hAnsi="Calibri"/>
              </w:rPr>
              <w:t xml:space="preserve">Irisgarritasun unibertsalerako jarduketak sustatzea Nafarroako udal eta kontzejuen ekipamendu-eraikinetan.</w:t>
            </w:r>
          </w:p>
        </w:tc>
      </w:tr>
      <w:tr w:rsidR="00EA2D32" w:rsidRPr="004D0FEF" w14:paraId="2BF53ADE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BD1A00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1. neurria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43F51361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M1.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Despopulazioaren aurkako borrokara bideratutako azpiegiturak eraberritzeko dirulaguntzak ezartzea, irisgarritasunaren arloko puntuazioa handituz.</w:t>
            </w:r>
          </w:p>
        </w:tc>
      </w:tr>
    </w:tbl>
    <w:p w14:paraId="79E02D30" w14:textId="77777777" w:rsidR="004D0FEF" w:rsidRDefault="004D0FEF" w:rsidP="004D0FEF">
      <w:pPr>
        <w:spacing w:after="200"/>
        <w:rPr>
          <w:rFonts w:ascii="Calibri" w:hAnsi="Calibri" w:cs="Calibri"/>
          <w:sz w:val="28"/>
          <w:szCs w:val="22"/>
        </w:rPr>
      </w:pPr>
    </w:p>
    <w:p w14:paraId="283282C6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Toki Administrazioaren eta Despopulazioaren zuzendari nagusiaren ekainaren 29ko 104E/2021 Ebazpenaren bidez deialdi hau onetsi zen: despopulazio arriskua duten udal eta kontzejuei 2021ean dirulaguntzak emateko deialdia, despopulazioaren aurkako borrokarako inbertsioak egin ditzaten.</w:t>
      </w:r>
    </w:p>
    <w:p w14:paraId="34CFB4FB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Ebazpenean inbertsio finantzagarritzat jotzen dira Nafarroako Despopulazioaren aurkako Borrokaren Estrategiaren ildoan proposatzen diren eskaera eta beharrei erantzuten eta haren helburuak erdiesten laguntzen dutenak, honako apartatu hauetan sailka badaitezke: </w:t>
      </w:r>
    </w:p>
    <w:p w14:paraId="1F5ECCDD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a) Zuzkidurak eraikitzea, handitzea edo eraberritzea erabilera hauetarako: administraziorako, gizarte erabilerarako, kulturarako, kirolerako, aisia eta jolaserako, eta turismorako, udal bakoitzak dituen eskumenen arabera.</w:t>
      </w:r>
    </w:p>
    <w:p w14:paraId="12E5FF4C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b) Etxebizitzak eraberritu eta/edo erostea alokairura bideratzeko.</w:t>
      </w:r>
    </w:p>
    <w:p w14:paraId="1C7FC540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Balorazio irizpideetan 5 puntu arteko balorazioa ematen zaie irisgarritasunerako jarduketei:</w:t>
      </w:r>
    </w:p>
    <w:p w14:paraId="6CBEFC64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</w:p>
    <w:tbl>
      <w:tblPr>
        <w:tblW w:w="9359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3"/>
        <w:gridCol w:w="2196"/>
      </w:tblGrid>
      <w:tr w:rsidR="00EA2D32" w:rsidRPr="004D0FEF" w14:paraId="01DD2E7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587DA" w14:textId="77777777" w:rsidR="00EA2D32" w:rsidRPr="004D0FEF" w:rsidRDefault="00EA2D32" w:rsidP="004D0FEF">
            <w:pPr>
              <w:spacing w:before="40" w:after="40"/>
              <w:rPr>
                <w:b/>
                <w:bCs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INBERTSIOA BALORATZEKO IRIZPIDEAK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BC65" w14:textId="77777777" w:rsidR="00EA2D32" w:rsidRPr="004D0FEF" w:rsidRDefault="00EA2D32" w:rsidP="004D0FEF">
            <w:pPr>
              <w:spacing w:before="40" w:after="40"/>
              <w:rPr>
                <w:b/>
                <w:bCs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100 PUNTU GEHIENEZ</w:t>
            </w:r>
          </w:p>
        </w:tc>
      </w:tr>
      <w:tr w:rsidR="00EA2D32" w:rsidRPr="004D0FEF" w14:paraId="6E3E04D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0816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A IRIZPIDEA: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INBERTSIOAREN LURRALDE EREMUA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0135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50 PUNTU GEHIENEZ</w:t>
            </w:r>
          </w:p>
        </w:tc>
      </w:tr>
      <w:tr w:rsidR="00EA2D32" w:rsidRPr="004D0FEF" w14:paraId="6DEAC63C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7F3D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A.1.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 EGIN DEN UDALERRIKO DESPOPULAZIORAKO ARRISKU-MAILAREN INDIZEA</w:t>
            </w:r>
          </w:p>
          <w:p w14:paraId="7DBA2232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1.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Muturreko arriskua: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40 puntu</w:t>
            </w:r>
          </w:p>
          <w:p w14:paraId="68BECC9A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2.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Arrisku bizia: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30 puntu</w:t>
            </w:r>
          </w:p>
          <w:p w14:paraId="7ABC1445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3.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Arrisku esanguratsua: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20 puntu</w:t>
            </w:r>
          </w:p>
          <w:p w14:paraId="1C62A397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4.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Gainbehera bizia: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10 puntu</w:t>
            </w:r>
          </w:p>
          <w:p w14:paraId="0F2A8989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5.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Gainbehera moderatua: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3 puntu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B10A7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40 puntu gehienez</w:t>
            </w:r>
          </w:p>
        </w:tc>
      </w:tr>
      <w:tr w:rsidR="00EA2D32" w:rsidRPr="004D0FEF" w14:paraId="138A62B5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D778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A.2.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 EGIN DEN UDAL EDO KONTZEJUKO ZAHARTZE INDIZEA (*)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F12F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5 puntu gehienez</w:t>
            </w:r>
          </w:p>
        </w:tc>
      </w:tr>
      <w:tr w:rsidR="00EA2D32" w:rsidRPr="004D0FEF" w14:paraId="1F3AAC03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969EF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A.3.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 EGIN DEN UDAL EDO KONTZEJUKO MASKULINIZAZIO INDIZEA (*)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C7CD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5 puntu gehienez</w:t>
            </w:r>
          </w:p>
        </w:tc>
      </w:tr>
      <w:tr w:rsidR="00EA2D32" w:rsidRPr="004D0FEF" w14:paraId="1FBD24E5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ACD5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B IRIZPIDEA: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INBERTSIOAREN BALORAZIO ESPEZIFIKOA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4023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50 PUNTU GEHIENEZ</w:t>
            </w:r>
          </w:p>
        </w:tc>
      </w:tr>
      <w:tr w:rsidR="00EA2D32" w:rsidRPr="004D0FEF" w14:paraId="05005B84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D1A6E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B.1.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 GAUZATZEKO PREMIA</w:t>
            </w:r>
          </w:p>
          <w:p w14:paraId="612BB6C1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1.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Esku hartzeko premia presako eta saihetsezina: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20 puntu</w:t>
            </w:r>
          </w:p>
          <w:p w14:paraId="650EE287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2.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Epe labur edo ertainera esku hartzeko premia: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12 puntu</w:t>
            </w:r>
          </w:p>
          <w:p w14:paraId="07153BC6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3.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Obrak egitea komeni da: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5 puntu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2CF87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20 puntu gehienez</w:t>
            </w:r>
          </w:p>
        </w:tc>
      </w:tr>
      <w:tr w:rsidR="00EA2D32" w:rsidRPr="004D0FEF" w14:paraId="54D0A22B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98E3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B.2.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NAFARROAKO DESPOPULAZIOAREN AURKAKO BORROKARAKO ESTRATEGIAREKIKO EGOKITASUNA</w:t>
            </w:r>
          </w:p>
          <w:p w14:paraId="5FCD36AC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1.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Proposamenaren egokitasuna: 16 puntu arte</w:t>
            </w:r>
          </w:p>
          <w:p w14:paraId="5EB74836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2.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Espero diren emaitzak: 3 puntu arte</w:t>
            </w:r>
          </w:p>
          <w:p w14:paraId="385A36C1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3.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Talde onuradunak: 3 puntu arte</w:t>
            </w:r>
          </w:p>
          <w:p w14:paraId="77F35C9B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4.</w:t>
            </w:r>
            <w:r>
              <w:rPr>
                <w:color w:val="333333"/>
                <w:rFonts w:ascii="Calibri" w:hAnsi="Calibri"/>
              </w:rPr>
              <w:t xml:space="preserve"> </w:t>
            </w:r>
            <w:r>
              <w:rPr>
                <w:color w:val="333333"/>
                <w:rFonts w:ascii="Calibri" w:hAnsi="Calibri"/>
              </w:rPr>
              <w:t xml:space="preserve">Inbertsioaren bideragarritasuna: 3 puntu arte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4A5FC" w14:textId="77777777" w:rsidR="00EA2D32" w:rsidRPr="004D0FEF" w:rsidRDefault="00EA2D32" w:rsidP="004D0FEF">
            <w:pPr>
              <w:spacing w:before="40" w:after="40"/>
              <w:rPr>
                <w:color w:val="333333"/>
                <w:rFonts w:ascii="Calibri" w:hAnsi="Calibri" w:cs="Calibri"/>
              </w:rPr>
            </w:pPr>
            <w:r>
              <w:rPr>
                <w:color w:val="333333"/>
                <w:rFonts w:ascii="Calibri" w:hAnsi="Calibri"/>
              </w:rPr>
              <w:t xml:space="preserve">25 puntu gehienez</w:t>
            </w:r>
          </w:p>
        </w:tc>
      </w:tr>
      <w:tr w:rsidR="00EA2D32" w:rsidRPr="004D0FEF" w14:paraId="1EBF79F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A1B7E" w14:textId="77777777" w:rsidR="00EA2D32" w:rsidRPr="004D0FEF" w:rsidRDefault="00EA2D32" w:rsidP="004D0FEF">
            <w:pPr>
              <w:spacing w:before="40" w:after="40"/>
              <w:rPr>
                <w:b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B.3.</w:t>
            </w:r>
            <w:r>
              <w:rPr>
                <w:b/>
                <w:color w:val="333333"/>
                <w:rFonts w:ascii="Calibri" w:hAnsi="Calibri"/>
              </w:rPr>
              <w:t xml:space="preserve"> </w:t>
            </w:r>
            <w:r>
              <w:rPr>
                <w:b/>
                <w:color w:val="333333"/>
                <w:rFonts w:ascii="Calibri" w:hAnsi="Calibri"/>
              </w:rPr>
              <w:t xml:space="preserve">IRISGARRITASUNERAKO JARDUKETAK SARTZEA</w:t>
            </w:r>
          </w:p>
          <w:p w14:paraId="4A2DA2BD" w14:textId="77777777" w:rsidR="00EA2D32" w:rsidRPr="004D0FEF" w:rsidRDefault="00EA2D32" w:rsidP="004D0FEF">
            <w:pPr>
              <w:spacing w:before="40" w:after="40"/>
              <w:rPr>
                <w:b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1.</w:t>
            </w:r>
            <w:r>
              <w:rPr>
                <w:b/>
                <w:color w:val="333333"/>
                <w:rFonts w:ascii="Calibri" w:hAnsi="Calibri"/>
              </w:rPr>
              <w:t xml:space="preserve"> </w:t>
            </w:r>
            <w:r>
              <w:rPr>
                <w:b/>
                <w:color w:val="333333"/>
                <w:rFonts w:ascii="Calibri" w:hAnsi="Calibri"/>
              </w:rPr>
              <w:t xml:space="preserve">Irisgarritasunerako aurrekontua ≥ guztizkoaren % 30:</w:t>
            </w:r>
            <w:r>
              <w:rPr>
                <w:b/>
                <w:color w:val="333333"/>
                <w:rFonts w:ascii="Calibri" w:hAnsi="Calibri"/>
              </w:rPr>
              <w:t xml:space="preserve"> </w:t>
            </w:r>
            <w:r>
              <w:rPr>
                <w:b/>
                <w:color w:val="333333"/>
                <w:rFonts w:ascii="Calibri" w:hAnsi="Calibri"/>
              </w:rPr>
              <w:t xml:space="preserve">5 puntu</w:t>
            </w:r>
          </w:p>
          <w:p w14:paraId="53C91110" w14:textId="77777777" w:rsidR="00EA2D32" w:rsidRPr="004D0FEF" w:rsidRDefault="00EA2D32" w:rsidP="004D0FEF">
            <w:pPr>
              <w:spacing w:before="40" w:after="40"/>
              <w:rPr>
                <w:b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2.</w:t>
            </w:r>
            <w:r>
              <w:rPr>
                <w:b/>
                <w:color w:val="333333"/>
                <w:rFonts w:ascii="Calibri" w:hAnsi="Calibri"/>
              </w:rPr>
              <w:t xml:space="preserve"> </w:t>
            </w:r>
            <w:r>
              <w:rPr>
                <w:b/>
                <w:color w:val="333333"/>
                <w:rFonts w:ascii="Calibri" w:hAnsi="Calibri"/>
              </w:rPr>
              <w:t xml:space="preserve">Irisgarritasunerako aurrekontua ≥ guztizkoaren % 10 eta &lt; guztizkoaren % 30:</w:t>
            </w:r>
            <w:r>
              <w:rPr>
                <w:b/>
                <w:color w:val="333333"/>
                <w:rFonts w:ascii="Calibri" w:hAnsi="Calibri"/>
              </w:rPr>
              <w:t xml:space="preserve"> </w:t>
            </w:r>
            <w:r>
              <w:rPr>
                <w:b/>
                <w:color w:val="333333"/>
                <w:rFonts w:ascii="Calibri" w:hAnsi="Calibri"/>
              </w:rPr>
              <w:t xml:space="preserve">2 puntu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07BEF" w14:textId="77777777" w:rsidR="00EA2D32" w:rsidRPr="004D0FEF" w:rsidRDefault="00EA2D32" w:rsidP="004D0FEF">
            <w:pPr>
              <w:spacing w:before="40" w:after="40"/>
              <w:rPr>
                <w:b/>
                <w:color w:val="333333"/>
                <w:rFonts w:ascii="Calibri" w:hAnsi="Calibri" w:cs="Calibri"/>
              </w:rPr>
            </w:pPr>
            <w:r>
              <w:rPr>
                <w:b/>
                <w:color w:val="333333"/>
                <w:rFonts w:ascii="Calibri" w:hAnsi="Calibri"/>
              </w:rPr>
              <w:t xml:space="preserve">5 puntu gehienez</w:t>
            </w:r>
          </w:p>
        </w:tc>
      </w:tr>
    </w:tbl>
    <w:p w14:paraId="32B688B1" w14:textId="77777777" w:rsidR="00EA2D32" w:rsidRPr="004D0FEF" w:rsidRDefault="00EA2D32" w:rsidP="004D0FEF">
      <w:pPr>
        <w:spacing w:after="200"/>
        <w:rPr>
          <w:rFonts w:ascii="Calibri" w:hAnsi="Calibri" w:cs="Calibri"/>
          <w:sz w:val="28"/>
          <w:szCs w:val="22"/>
        </w:rPr>
      </w:pPr>
    </w:p>
    <w:p w14:paraId="1FA6BC3A" w14:textId="77777777" w:rsidR="00EA2D32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Deialdia ebatzi ondoren, irisgarritasunaren arloko jarduketetarako benetan gauzatutako aurrekontua 127.164,09 eurokoa zela kalkulatu zen.</w:t>
      </w:r>
    </w:p>
    <w:p w14:paraId="5A8FD350" w14:textId="77777777" w:rsid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Neurria 2021eko ekitaldirako zegoen proposatuta, deialdia urte horretan egin baitzen. Beraz, amaitutzat ematen da.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Azken emaitza toki entitateen eskaeren eta beharren ondoriozkoa da.</w:t>
      </w:r>
    </w:p>
    <w:p w14:paraId="5AAA8086" w14:textId="77777777" w:rsidR="004D0FEF" w:rsidRPr="004D0FEF" w:rsidRDefault="00EA2D32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Hori guztia jakinarazten dizut, Nafarroako Parlamentuko Erregelamenduaren 194. artikuluan xedatutakoa betez.</w:t>
      </w:r>
    </w:p>
    <w:p w14:paraId="5A117410" w14:textId="77777777" w:rsidR="004D0FEF" w:rsidRPr="004D0FEF" w:rsidRDefault="002A0B65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Iruñean, 2023ko martxoaren 3an</w:t>
      </w:r>
    </w:p>
    <w:p w14:paraId="6A9E6C6A" w14:textId="77777777" w:rsidR="00FC285A" w:rsidRPr="004D0FEF" w:rsidRDefault="004D0FEF" w:rsidP="004D0FEF">
      <w:pPr>
        <w:pStyle w:val="Default"/>
        <w:spacing w:after="200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Lehendakaritzako, Berdintasuneko, Funtzio Publikoko eta Barneko kontseilaria: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Javier Remírez Apesteguía</w:t>
      </w:r>
    </w:p>
    <w:sectPr w:rsidR="00FC285A" w:rsidRPr="004D0FEF" w:rsidSect="004D0FEF">
      <w:headerReference w:type="default" r:id="rId7"/>
      <w:pgSz w:w="11906" w:h="16838" w:code="9"/>
      <w:pgMar w:top="1418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983D" w14:textId="77777777" w:rsidR="00B31B06" w:rsidRDefault="00B31B06" w:rsidP="00C61F02">
      <w:r>
        <w:separator/>
      </w:r>
    </w:p>
  </w:endnote>
  <w:endnote w:type="continuationSeparator" w:id="0">
    <w:p w14:paraId="246F1357" w14:textId="77777777" w:rsidR="00B31B06" w:rsidRDefault="00B31B06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5B0E" w14:textId="77777777" w:rsidR="00B31B06" w:rsidRDefault="00B31B06" w:rsidP="00C61F02">
      <w:r>
        <w:separator/>
      </w:r>
    </w:p>
  </w:footnote>
  <w:footnote w:type="continuationSeparator" w:id="0">
    <w:p w14:paraId="01152D24" w14:textId="77777777" w:rsidR="00B31B06" w:rsidRDefault="00B31B06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DBC0" w14:textId="77777777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A9"/>
    <w:multiLevelType w:val="hybridMultilevel"/>
    <w:tmpl w:val="766C8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3CEE"/>
    <w:multiLevelType w:val="hybridMultilevel"/>
    <w:tmpl w:val="4926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1B50"/>
    <w:multiLevelType w:val="hybridMultilevel"/>
    <w:tmpl w:val="03B80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EED"/>
    <w:multiLevelType w:val="hybridMultilevel"/>
    <w:tmpl w:val="D1D8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0565D"/>
    <w:multiLevelType w:val="hybridMultilevel"/>
    <w:tmpl w:val="E7741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2C1"/>
    <w:multiLevelType w:val="hybridMultilevel"/>
    <w:tmpl w:val="3542AA40"/>
    <w:lvl w:ilvl="0" w:tplc="0C0A0017">
      <w:start w:val="1"/>
      <w:numFmt w:val="lowerLetter"/>
      <w:lvlText w:val="%1)"/>
      <w:lvlJc w:val="left"/>
      <w:pPr>
        <w:ind w:left="927" w:hanging="360"/>
      </w:pPr>
      <w:rPr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205198">
    <w:abstractNumId w:val="16"/>
  </w:num>
  <w:num w:numId="2" w16cid:durableId="20686064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030060">
    <w:abstractNumId w:val="8"/>
  </w:num>
  <w:num w:numId="4" w16cid:durableId="764233140">
    <w:abstractNumId w:val="17"/>
  </w:num>
  <w:num w:numId="5" w16cid:durableId="1304120136">
    <w:abstractNumId w:val="5"/>
  </w:num>
  <w:num w:numId="6" w16cid:durableId="1237591326">
    <w:abstractNumId w:val="3"/>
  </w:num>
  <w:num w:numId="7" w16cid:durableId="643394749">
    <w:abstractNumId w:val="2"/>
  </w:num>
  <w:num w:numId="8" w16cid:durableId="1627155806">
    <w:abstractNumId w:val="13"/>
  </w:num>
  <w:num w:numId="9" w16cid:durableId="14574093">
    <w:abstractNumId w:val="12"/>
  </w:num>
  <w:num w:numId="10" w16cid:durableId="1360735965">
    <w:abstractNumId w:val="22"/>
  </w:num>
  <w:num w:numId="11" w16cid:durableId="5642253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53789025">
    <w:abstractNumId w:val="6"/>
  </w:num>
  <w:num w:numId="13" w16cid:durableId="1666518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340973">
    <w:abstractNumId w:val="4"/>
  </w:num>
  <w:num w:numId="15" w16cid:durableId="2139642048">
    <w:abstractNumId w:val="10"/>
  </w:num>
  <w:num w:numId="16" w16cid:durableId="21326763">
    <w:abstractNumId w:val="11"/>
  </w:num>
  <w:num w:numId="17" w16cid:durableId="1093434733">
    <w:abstractNumId w:val="15"/>
  </w:num>
  <w:num w:numId="18" w16cid:durableId="18630612">
    <w:abstractNumId w:val="7"/>
  </w:num>
  <w:num w:numId="19" w16cid:durableId="1302809143">
    <w:abstractNumId w:val="0"/>
  </w:num>
  <w:num w:numId="20" w16cid:durableId="1430005550">
    <w:abstractNumId w:val="21"/>
  </w:num>
  <w:num w:numId="21" w16cid:durableId="12622967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6937764">
    <w:abstractNumId w:val="23"/>
  </w:num>
  <w:num w:numId="23" w16cid:durableId="439186852">
    <w:abstractNumId w:val="1"/>
  </w:num>
  <w:num w:numId="24" w16cid:durableId="1656033114">
    <w:abstractNumId w:val="14"/>
  </w:num>
  <w:num w:numId="25" w16cid:durableId="897327098">
    <w:abstractNumId w:val="20"/>
  </w:num>
  <w:num w:numId="26" w16cid:durableId="1915504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5896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1972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4F9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34B1"/>
    <w:rsid w:val="00124541"/>
    <w:rsid w:val="00125068"/>
    <w:rsid w:val="00125C23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066E"/>
    <w:rsid w:val="00230745"/>
    <w:rsid w:val="00231034"/>
    <w:rsid w:val="002316F5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1D59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77478"/>
    <w:rsid w:val="002778C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573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1EE8"/>
    <w:rsid w:val="003222C6"/>
    <w:rsid w:val="0032284D"/>
    <w:rsid w:val="0032286A"/>
    <w:rsid w:val="00322E51"/>
    <w:rsid w:val="00323AE5"/>
    <w:rsid w:val="00323CCB"/>
    <w:rsid w:val="00323E11"/>
    <w:rsid w:val="00323E2F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D83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D37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1C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3B1F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0FEF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4A00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6D9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77A02"/>
    <w:rsid w:val="00580210"/>
    <w:rsid w:val="00580D8A"/>
    <w:rsid w:val="00582237"/>
    <w:rsid w:val="00582A11"/>
    <w:rsid w:val="00582C80"/>
    <w:rsid w:val="00583207"/>
    <w:rsid w:val="0058339A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004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6F89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6F64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0DF2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4795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EC4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5B45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6B4B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76F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926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2350"/>
    <w:rsid w:val="00773EBD"/>
    <w:rsid w:val="00773F4E"/>
    <w:rsid w:val="00774086"/>
    <w:rsid w:val="007744CC"/>
    <w:rsid w:val="00775503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1BD9"/>
    <w:rsid w:val="007A2847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0494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5163"/>
    <w:rsid w:val="00806345"/>
    <w:rsid w:val="00806ABE"/>
    <w:rsid w:val="00807F5A"/>
    <w:rsid w:val="0081126B"/>
    <w:rsid w:val="00811351"/>
    <w:rsid w:val="0081198D"/>
    <w:rsid w:val="00811A16"/>
    <w:rsid w:val="00812050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0F2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220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2E89"/>
    <w:rsid w:val="00973483"/>
    <w:rsid w:val="0097388B"/>
    <w:rsid w:val="00973B5C"/>
    <w:rsid w:val="00974DC8"/>
    <w:rsid w:val="00976A6E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49D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149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076"/>
    <w:rsid w:val="00A41855"/>
    <w:rsid w:val="00A421B0"/>
    <w:rsid w:val="00A4221C"/>
    <w:rsid w:val="00A42385"/>
    <w:rsid w:val="00A432B7"/>
    <w:rsid w:val="00A43419"/>
    <w:rsid w:val="00A44C0E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52A3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5905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22AF"/>
    <w:rsid w:val="00AC273D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45E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4D0B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B06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6DC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2284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5A6B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95A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B15"/>
    <w:rsid w:val="00D25D66"/>
    <w:rsid w:val="00D27131"/>
    <w:rsid w:val="00D2750F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6EE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6A2"/>
    <w:rsid w:val="00D64728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2B58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6784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14D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2D76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57FA8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2D32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660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12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5830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2F8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E6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val="eu-ES" w:eastAsia="en-US"/>
    </w:rPr>
  </w:style>
  <w:style w:type="paragraph" w:styleId="NormalWeb">
    <w:name w:val="Normal (Web)"/>
    <w:basedOn w:val="Normal"/>
    <w:uiPriority w:val="99"/>
    <w:unhideWhenUsed/>
    <w:rsid w:val="00657EC4"/>
  </w:style>
  <w:style w:type="character" w:styleId="Textoennegrita">
    <w:name w:val="Strong"/>
    <w:uiPriority w:val="22"/>
    <w:qFormat/>
    <w:rsid w:val="007A2847"/>
    <w:rPr>
      <w:b/>
      <w:bCs/>
    </w:rPr>
  </w:style>
  <w:style w:type="character" w:customStyle="1" w:styleId="active">
    <w:name w:val="active"/>
    <w:rsid w:val="007A2847"/>
  </w:style>
  <w:style w:type="table" w:styleId="Tablaconcuadrcula">
    <w:name w:val="Table Grid"/>
    <w:basedOn w:val="Tablanormal"/>
    <w:rsid w:val="00EA2D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2023-03-07T10:31:00Z</dcterms:created>
  <dcterms:modified xsi:type="dcterms:W3CDTF">2023-03-07T10:31:00Z</dcterms:modified>
</cp:coreProperties>
</file>