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D085" w14:textId="77777777" w:rsidR="00312CCC" w:rsidRDefault="00312CCC" w:rsidP="00292F09">
      <w:pPr>
        <w:spacing w:line="360" w:lineRule="auto"/>
        <w:ind w:firstLine="709"/>
        <w:jc w:val="both"/>
        <w:rPr>
          <w:rFonts w:ascii="Arial" w:hAnsi="Arial"/>
          <w:color w:val="000000"/>
          <w:sz w:val="24"/>
          <w:szCs w:val="24"/>
        </w:rPr>
      </w:pPr>
    </w:p>
    <w:p w14:paraId="6B62BFD0" w14:textId="77777777" w:rsidR="00312CCC" w:rsidRDefault="00292F09" w:rsidP="00292F09">
      <w:pPr>
        <w:spacing w:line="360" w:lineRule="auto"/>
        <w:ind w:firstLine="709"/>
        <w:jc w:val="both"/>
        <w:rPr>
          <w:color w:val="000000"/>
          <w:sz w:val="24"/>
          <w:szCs w:val="24"/>
          <w:rFonts w:ascii="Arial" w:hAnsi="Arial"/>
        </w:rPr>
      </w:pPr>
      <w:r>
        <w:rPr>
          <w:color w:val="000000"/>
          <w:sz w:val="24"/>
          <w:rFonts w:ascii="Arial" w:hAnsi="Arial"/>
        </w:rPr>
        <w:t xml:space="preserve">EH Bildu-Nafarroa talde parlamentarioari atxikitako foru parlamentari Adolfo Araiz Flamarique jaunak 10-23/PES-00060 idatzizko galdera egin du. Hori dela-eta, Lurraldearen Antolamenduko, Etxebizitzako, Paisaiako eta Proiektu Estrategikoetako kontseilariak honako informazio hau igortzen dio:</w:t>
      </w:r>
    </w:p>
    <w:p w14:paraId="3C6B88CE" w14:textId="77777777" w:rsidR="00312CCC" w:rsidRDefault="00F57294" w:rsidP="00F57294">
      <w:pPr>
        <w:autoSpaceDE w:val="0"/>
        <w:autoSpaceDN w:val="0"/>
        <w:adjustRightInd w:val="0"/>
        <w:spacing w:line="276" w:lineRule="auto"/>
        <w:jc w:val="both"/>
        <w:rPr>
          <w:i/>
          <w:sz w:val="22"/>
          <w:szCs w:val="22"/>
          <w:rFonts w:ascii="Arial" w:hAnsi="Arial" w:cs="Arial"/>
        </w:rPr>
      </w:pPr>
      <w:r>
        <w:rPr>
          <w:sz w:val="22"/>
          <w:rFonts w:ascii="Arial" w:hAnsi="Arial"/>
        </w:rPr>
        <w:tab/>
      </w:r>
      <w:r>
        <w:rPr>
          <w:sz w:val="22"/>
          <w:i/>
          <w:rFonts w:ascii="Arial" w:hAnsi="Arial"/>
        </w:rPr>
        <w:t xml:space="preserve">1.- Lurralde Antolamenduko, Etxebizitzako, Paisaiako eta Proiektu Estrategikoetako Departamentuak zer dela-eta eskatu zion laguntza 2021ean eta 2022an Guardia Zibileko SEPRONAri, eta ez, ordea, Foruzaingoko Ingurumen Brigadari, Lurralde Antolamenduko Zuzendaritza Nagusiaren zenbait ebazpenen betetzeari buruko ikuskapenak egiteko?</w:t>
      </w:r>
    </w:p>
    <w:p w14:paraId="2488F63A" w14:textId="46656F4C" w:rsidR="00F57294" w:rsidRDefault="00F57294" w:rsidP="002B1445">
      <w:pPr>
        <w:spacing w:line="276" w:lineRule="auto"/>
        <w:jc w:val="both"/>
        <w:rPr>
          <w:color w:val="000000"/>
          <w:sz w:val="22"/>
          <w:szCs w:val="24"/>
          <w:rFonts w:ascii="Arial" w:hAnsi="Arial"/>
        </w:rPr>
      </w:pPr>
      <w:r>
        <w:rPr>
          <w:sz w:val="22"/>
          <w:rFonts w:ascii="Arial" w:hAnsi="Arial"/>
        </w:rPr>
        <w:tab/>
      </w:r>
      <w:r>
        <w:rPr>
          <w:sz w:val="22"/>
          <w:rFonts w:ascii="Arial" w:hAnsi="Arial"/>
        </w:rPr>
        <w:t xml:space="preserve">Lurralde Antolamenduko, Etxebizitzako, Paisaiako eta Proiektu Estrategikoetako Departamentuaren egitura organikoa ezartzen duen </w:t>
      </w:r>
      <w:r>
        <w:rPr>
          <w:sz w:val="22"/>
          <w:color w:val="000000"/>
          <w:rFonts w:ascii="Arial" w:hAnsi="Arial"/>
        </w:rPr>
        <w:t xml:space="preserve">urriaren 30eko 262/2019 Foru Dekretuaren arabera, hauek dira Lurralde Antolamenduko Zuzendaritza Nagusiaren eginkizunak, besteak beste:</w:t>
      </w:r>
    </w:p>
    <w:p w14:paraId="355ACC10" w14:textId="77777777" w:rsidR="00F57294" w:rsidRPr="002A00BF" w:rsidRDefault="00F57294" w:rsidP="00F57294">
      <w:pPr>
        <w:pStyle w:val="foral-f-parrafo-c"/>
        <w:ind w:left="708"/>
        <w:jc w:val="both"/>
        <w:rPr>
          <w:i/>
          <w:sz w:val="22"/>
          <w:szCs w:val="22"/>
          <w:rFonts w:ascii="Arial" w:hAnsi="Arial" w:cs="Arial"/>
        </w:rPr>
      </w:pPr>
      <w:r>
        <w:rPr>
          <w:i/>
          <w:sz w:val="22"/>
          <w:rFonts w:ascii="Arial" w:hAnsi="Arial"/>
        </w:rPr>
        <w:t xml:space="preserve">e) Hirigintza arloan, hautsitako lege-ordenaren gainean kautelazko neurriak eta  ordena hori berreskuratzekoak hartzerakoan laguntza juridiko-administratiboa ematea.</w:t>
      </w:r>
    </w:p>
    <w:p w14:paraId="7753561B" w14:textId="77777777" w:rsidR="00F57294" w:rsidRPr="002A00BF" w:rsidRDefault="00F57294" w:rsidP="00F57294">
      <w:pPr>
        <w:pStyle w:val="foral-f-parrafo-c"/>
        <w:ind w:left="708"/>
        <w:jc w:val="both"/>
        <w:rPr>
          <w:i/>
          <w:sz w:val="22"/>
          <w:szCs w:val="22"/>
          <w:rFonts w:ascii="Arial" w:hAnsi="Arial" w:cs="Arial"/>
        </w:rPr>
      </w:pPr>
      <w:r>
        <w:rPr>
          <w:i/>
          <w:sz w:val="22"/>
          <w:rFonts w:ascii="Arial" w:hAnsi="Arial"/>
        </w:rPr>
        <w:t xml:space="preserve">f) Hirigintza arloan zehapen espedienteak instruitu eta jarraipena egitea, eta zigor jurisdikzioarekin koordinazioa izatea.</w:t>
      </w:r>
    </w:p>
    <w:p w14:paraId="531B30E9" w14:textId="77777777" w:rsidR="00F57294" w:rsidRPr="002A00BF" w:rsidRDefault="00F57294" w:rsidP="00F57294">
      <w:pPr>
        <w:pStyle w:val="foral-f-parrafo-c"/>
        <w:ind w:left="708"/>
        <w:jc w:val="both"/>
        <w:rPr>
          <w:i/>
          <w:sz w:val="22"/>
          <w:szCs w:val="22"/>
          <w:rFonts w:ascii="Arial" w:hAnsi="Arial" w:cs="Arial"/>
        </w:rPr>
      </w:pPr>
      <w:r>
        <w:rPr>
          <w:i/>
          <w:sz w:val="22"/>
          <w:rFonts w:ascii="Arial" w:hAnsi="Arial"/>
        </w:rPr>
        <w:t xml:space="preserve">j) Hirigintza arloko legezkotasuna babesteko ekintzak sustatu eta bultzatzea.</w:t>
      </w:r>
    </w:p>
    <w:p w14:paraId="44ACAD52" w14:textId="77777777" w:rsidR="00312CCC" w:rsidRDefault="00F57294" w:rsidP="00F57294">
      <w:pPr>
        <w:pStyle w:val="foral-f-parrafo-c"/>
        <w:ind w:left="708"/>
        <w:jc w:val="both"/>
        <w:rPr>
          <w:i/>
          <w:sz w:val="22"/>
          <w:szCs w:val="22"/>
          <w:rFonts w:ascii="Arial" w:hAnsi="Arial" w:cs="Arial"/>
        </w:rPr>
      </w:pPr>
      <w:r>
        <w:rPr>
          <w:i/>
          <w:sz w:val="22"/>
          <w:rFonts w:ascii="Arial" w:hAnsi="Arial"/>
        </w:rPr>
        <w:t xml:space="preserve">k) Hirigintzari buruzko legeriaren kontrako arau-hausteen gaineko salaketak, erreklamazioak eta kexak bideratu eta, hala behar denean, haiek ebazteko proposamenak egitea.</w:t>
      </w:r>
    </w:p>
    <w:p w14:paraId="0DF9D0ED" w14:textId="77777777" w:rsidR="00312CCC" w:rsidRDefault="00F57294" w:rsidP="00F57294">
      <w:pPr>
        <w:autoSpaceDE w:val="0"/>
        <w:autoSpaceDN w:val="0"/>
        <w:adjustRightInd w:val="0"/>
        <w:spacing w:line="276" w:lineRule="auto"/>
        <w:ind w:firstLine="708"/>
        <w:jc w:val="both"/>
        <w:rPr>
          <w:sz w:val="22"/>
          <w:szCs w:val="22"/>
          <w:rFonts w:ascii="Arial" w:hAnsi="Arial" w:cs="Arial"/>
        </w:rPr>
      </w:pPr>
      <w:r>
        <w:rPr>
          <w:sz w:val="22"/>
          <w:rFonts w:ascii="Arial" w:hAnsi="Arial"/>
        </w:rPr>
        <w:t xml:space="preserve">Ordenamendu juridikoa urratzen duen jarduketaren bat egin dela jakiten denean, hautsitako ordena berrezartzeko zer neurri hartu behar diren zehazteko mekanismoak abiarazten dira.</w:t>
      </w:r>
      <w:r>
        <w:rPr>
          <w:sz w:val="22"/>
          <w:rFonts w:ascii="Arial" w:hAnsi="Arial"/>
        </w:rPr>
        <w:t xml:space="preserve"> </w:t>
      </w:r>
      <w:r>
        <w:rPr>
          <w:sz w:val="22"/>
          <w:rFonts w:ascii="Arial" w:hAnsi="Arial"/>
        </w:rPr>
        <w:t xml:space="preserve">Horretarako, ezinbestean landa ikuskapenak egin behar dira, eta agintaritzaren agente guztien lankidetza behar da (Basozainak, Foruzaingoa, SEPRONA), Lurralde Antolamenduko Zuzendaritza Nagusiak ez baitu lan horretarako giza baliabiderik.</w:t>
      </w:r>
      <w:r>
        <w:rPr>
          <w:sz w:val="22"/>
          <w:rFonts w:ascii="Arial" w:hAnsi="Arial"/>
        </w:rPr>
        <w:t xml:space="preserve"> </w:t>
      </w:r>
    </w:p>
    <w:p w14:paraId="6F212209" w14:textId="31EDE1BD" w:rsidR="00F57294" w:rsidRPr="00F57294" w:rsidRDefault="00F57294" w:rsidP="00F57294">
      <w:pPr>
        <w:autoSpaceDE w:val="0"/>
        <w:autoSpaceDN w:val="0"/>
        <w:adjustRightInd w:val="0"/>
        <w:spacing w:line="276" w:lineRule="auto"/>
        <w:ind w:firstLine="708"/>
        <w:jc w:val="both"/>
        <w:rPr>
          <w:sz w:val="22"/>
          <w:szCs w:val="22"/>
          <w:rFonts w:ascii="Arial" w:hAnsi="Arial" w:cs="Arial"/>
        </w:rPr>
      </w:pPr>
      <w:r>
        <w:rPr>
          <w:sz w:val="22"/>
          <w:rFonts w:ascii="Arial" w:hAnsi="Arial"/>
        </w:rPr>
        <w:t xml:space="preserve">Horregatik, aspaldiko urteetan zuzendaritza honek laguntza eskatu izan die zenbait segurtasun kidegori, ez SEPRONAri bakarrik, baita Foruzaingoari eta are Basozainei ere.</w:t>
      </w:r>
      <w:r>
        <w:rPr>
          <w:sz w:val="22"/>
          <w:rFonts w:ascii="Arial" w:hAnsi="Arial"/>
        </w:rPr>
        <w:t xml:space="preserve"> </w:t>
      </w:r>
      <w:r>
        <w:rPr>
          <w:sz w:val="22"/>
          <w:rFonts w:ascii="Arial" w:hAnsi="Arial"/>
        </w:rPr>
        <w:t xml:space="preserve">Helburu horrekin, urteetan zehar koordinaziorako bilera teknikoak egin dira segurtasun kidegoekin. Are gehiago, foruzainei Nafarroako Segurtasun eta Larrialdi Eskolaren bitartez hirigintza arloko prestakuntza emateko jardunaldietan parte hartu izan da.</w:t>
      </w:r>
      <w:r>
        <w:rPr>
          <w:sz w:val="22"/>
          <w:rFonts w:ascii="Arial" w:hAnsi="Arial"/>
        </w:rPr>
        <w:t xml:space="preserve"> </w:t>
      </w:r>
    </w:p>
    <w:p w14:paraId="7110E1A0" w14:textId="77777777" w:rsidR="00312CCC" w:rsidRDefault="00F57294" w:rsidP="00F57294">
      <w:pPr>
        <w:spacing w:line="360" w:lineRule="auto"/>
        <w:jc w:val="both"/>
        <w:rPr>
          <w:sz w:val="22"/>
          <w:szCs w:val="22"/>
          <w:rFonts w:ascii="Arial" w:hAnsi="Arial" w:cs="Arial"/>
        </w:rPr>
      </w:pPr>
      <w:r>
        <w:rPr>
          <w:sz w:val="22"/>
          <w:rFonts w:ascii="Arial" w:hAnsi="Arial"/>
        </w:rPr>
        <w:tab/>
      </w:r>
      <w:r>
        <w:rPr>
          <w:sz w:val="22"/>
          <w:rFonts w:ascii="Arial" w:hAnsi="Arial"/>
        </w:rPr>
        <w:t xml:space="preserve">Azaldutakoagatik, argi utzi behar da Departamentuak aipatu agente guztiekin lan egiten duela.</w:t>
      </w:r>
    </w:p>
    <w:p w14:paraId="0B9DF5C2" w14:textId="77777777" w:rsidR="00312CCC" w:rsidRDefault="00F57294" w:rsidP="00F57294">
      <w:pPr>
        <w:autoSpaceDE w:val="0"/>
        <w:autoSpaceDN w:val="0"/>
        <w:adjustRightInd w:val="0"/>
        <w:spacing w:line="276" w:lineRule="auto"/>
        <w:ind w:firstLine="708"/>
        <w:jc w:val="both"/>
        <w:rPr>
          <w:sz w:val="22"/>
          <w:szCs w:val="22"/>
          <w:rFonts w:ascii="Arial" w:hAnsi="Arial" w:cs="Arial"/>
        </w:rPr>
      </w:pPr>
      <w:r>
        <w:rPr>
          <w:sz w:val="22"/>
          <w:rFonts w:ascii="Arial" w:hAnsi="Arial"/>
        </w:rPr>
        <w:t xml:space="preserve">Bestalde, garrantzitsua da azpimarratzea ezen, hirigintzaren esparruan, akzio publikoa onartuta dagoela (Lurralde Antolamenduari eta Hirigintzari buruzko Foru Legearen testu bateginaren 9. artikulua) eta, beraz, pertsona eta entitate orok zilegi duela legez kanpokotzat jotzen dituen obren kontra salaketak aurkeztea eta legezkotasuna berrezartzeko eskumenak egikaritu daitezen premiatzea.</w:t>
      </w:r>
      <w:r>
        <w:rPr>
          <w:sz w:val="22"/>
          <w:rFonts w:ascii="Arial" w:hAnsi="Arial"/>
        </w:rPr>
        <w:t xml:space="preserve"> </w:t>
      </w:r>
      <w:r>
        <w:rPr>
          <w:sz w:val="22"/>
          <w:rFonts w:ascii="Arial" w:hAnsi="Arial"/>
        </w:rPr>
        <w:t xml:space="preserve">Horren haritik, aitortu behar da SEPRONAren presentzia eta parte-hartze handiagoa hautematen dela hirigintza arloko lege-urratzeen zaintzan, kontrolean eta salaketan.</w:t>
      </w:r>
      <w:r>
        <w:rPr>
          <w:sz w:val="22"/>
          <w:rFonts w:ascii="Arial" w:hAnsi="Arial"/>
        </w:rPr>
        <w:t xml:space="preserve"> </w:t>
      </w:r>
      <w:r>
        <w:rPr>
          <w:sz w:val="22"/>
          <w:rFonts w:ascii="Arial" w:hAnsi="Arial"/>
        </w:rPr>
        <w:t xml:space="preserve">Hain zuzen ere, departamentu honen artxiboetako datuen arabera, 2022an 26 salaketa jaso ziren SEPRONAtik eta 2 besterik ez Foruzaingotik.</w:t>
      </w:r>
      <w:r>
        <w:rPr>
          <w:sz w:val="22"/>
          <w:rFonts w:ascii="Arial" w:hAnsi="Arial"/>
        </w:rPr>
        <w:t xml:space="preserve"> </w:t>
      </w:r>
      <w:r>
        <w:rPr>
          <w:sz w:val="22"/>
          <w:rFonts w:ascii="Arial" w:hAnsi="Arial"/>
        </w:rPr>
        <w:t xml:space="preserve">Hori dela-eta, Departamentuak ikuskapen lanetarako lankidetza handiagoa eskatzen dio aipatu segurtasun kidegoari.</w:t>
      </w:r>
      <w:r>
        <w:rPr>
          <w:sz w:val="22"/>
          <w:rFonts w:ascii="Arial" w:hAnsi="Arial"/>
        </w:rPr>
        <w:t xml:space="preserve"> </w:t>
      </w:r>
    </w:p>
    <w:p w14:paraId="3473F0F6" w14:textId="77777777" w:rsidR="00312CCC" w:rsidRDefault="00F57294" w:rsidP="00F57294">
      <w:pPr>
        <w:autoSpaceDE w:val="0"/>
        <w:autoSpaceDN w:val="0"/>
        <w:adjustRightInd w:val="0"/>
        <w:spacing w:line="276" w:lineRule="auto"/>
        <w:ind w:firstLine="708"/>
        <w:jc w:val="both"/>
        <w:rPr>
          <w:i/>
          <w:sz w:val="22"/>
          <w:szCs w:val="22"/>
          <w:rFonts w:ascii="Arial" w:hAnsi="Arial" w:cs="Arial"/>
        </w:rPr>
      </w:pPr>
      <w:r>
        <w:rPr>
          <w:i/>
          <w:sz w:val="22"/>
          <w:rFonts w:ascii="Arial" w:hAnsi="Arial"/>
        </w:rPr>
        <w:t xml:space="preserve">2.- Ez al du uste Departamentuak Foruzaingoko Ingurumen Brigadak ikuskapen horiek eta kasuan kasuko txostenak emateko gaitasun profesional nahikoa duenik?</w:t>
      </w:r>
    </w:p>
    <w:p w14:paraId="31CB2D5A" w14:textId="77777777" w:rsidR="00312CCC" w:rsidRDefault="00F57294" w:rsidP="00F57294">
      <w:pPr>
        <w:autoSpaceDE w:val="0"/>
        <w:autoSpaceDN w:val="0"/>
        <w:adjustRightInd w:val="0"/>
        <w:spacing w:line="276" w:lineRule="auto"/>
        <w:ind w:firstLine="708"/>
        <w:jc w:val="both"/>
        <w:rPr>
          <w:sz w:val="22"/>
          <w:szCs w:val="22"/>
          <w:rFonts w:ascii="Arial" w:hAnsi="Arial" w:cs="Arial"/>
        </w:rPr>
      </w:pPr>
      <w:r>
        <w:rPr>
          <w:sz w:val="22"/>
          <w:rFonts w:ascii="Arial" w:hAnsi="Arial"/>
        </w:rPr>
        <w:t xml:space="preserve">Ikus 1. galderari emandako erantzuna.</w:t>
      </w:r>
      <w:r>
        <w:rPr>
          <w:sz w:val="22"/>
          <w:rFonts w:ascii="Arial" w:hAnsi="Arial"/>
        </w:rPr>
        <w:t xml:space="preserve"> </w:t>
      </w:r>
    </w:p>
    <w:p w14:paraId="08BD065E" w14:textId="77777777" w:rsidR="00312CCC" w:rsidRDefault="00F57294" w:rsidP="00F57294">
      <w:pPr>
        <w:autoSpaceDE w:val="0"/>
        <w:autoSpaceDN w:val="0"/>
        <w:adjustRightInd w:val="0"/>
        <w:spacing w:line="276" w:lineRule="auto"/>
        <w:ind w:firstLine="708"/>
        <w:jc w:val="both"/>
        <w:rPr>
          <w:i/>
          <w:sz w:val="22"/>
          <w:szCs w:val="22"/>
          <w:rFonts w:ascii="Arial" w:hAnsi="Arial" w:cs="Arial"/>
        </w:rPr>
      </w:pPr>
      <w:r>
        <w:rPr>
          <w:i/>
          <w:sz w:val="22"/>
          <w:rFonts w:ascii="Arial" w:hAnsi="Arial"/>
        </w:rPr>
        <w:t xml:space="preserve">3.- Zer kargu politiko edo administratibok erabaki zuen aipatu ikuskapen horiek Guardia Zibileko SEPRONAk egitea eta ez Foruzaingoko Ingurumen Brigadak?</w:t>
      </w:r>
    </w:p>
    <w:p w14:paraId="5F32B954" w14:textId="77777777" w:rsidR="00312CCC" w:rsidRDefault="00F57294" w:rsidP="00F57294">
      <w:pPr>
        <w:autoSpaceDE w:val="0"/>
        <w:autoSpaceDN w:val="0"/>
        <w:adjustRightInd w:val="0"/>
        <w:spacing w:line="276" w:lineRule="auto"/>
        <w:ind w:firstLine="708"/>
        <w:jc w:val="both"/>
        <w:rPr>
          <w:i/>
          <w:sz w:val="22"/>
          <w:szCs w:val="22"/>
          <w:rFonts w:ascii="Arial" w:hAnsi="Arial" w:cs="Arial"/>
        </w:rPr>
      </w:pPr>
      <w:r>
        <w:rPr>
          <w:sz w:val="22"/>
          <w:rFonts w:ascii="Arial" w:hAnsi="Arial"/>
        </w:rPr>
        <w:t xml:space="preserve">Lehen galderan azaldu den bezala, ikuskapenetan ohitura da SEPRONAren lankidetza eskatzea, kontuan hartuz arlo horretan duen gaitasuna eta esperientzia.</w:t>
      </w:r>
      <w:r>
        <w:rPr>
          <w:sz w:val="22"/>
          <w:rFonts w:ascii="Arial" w:hAnsi="Arial"/>
        </w:rPr>
        <w:t xml:space="preserve"> </w:t>
      </w:r>
      <w:r>
        <w:rPr>
          <w:sz w:val="22"/>
          <w:rFonts w:ascii="Arial" w:hAnsi="Arial"/>
        </w:rPr>
        <w:t xml:space="preserve">Inoiz ez da berariazko erabakirik hartu horri buruz.</w:t>
      </w:r>
    </w:p>
    <w:p w14:paraId="3A3EC3E2" w14:textId="30C06014" w:rsidR="00312CCC" w:rsidRDefault="00F57294" w:rsidP="00F57294">
      <w:pPr>
        <w:autoSpaceDE w:val="0"/>
        <w:autoSpaceDN w:val="0"/>
        <w:adjustRightInd w:val="0"/>
        <w:spacing w:line="276" w:lineRule="auto"/>
        <w:ind w:firstLine="708"/>
        <w:jc w:val="both"/>
        <w:rPr>
          <w:i/>
          <w:sz w:val="22"/>
          <w:szCs w:val="22"/>
          <w:rFonts w:ascii="Arial" w:hAnsi="Arial" w:cs="Arial"/>
        </w:rPr>
      </w:pPr>
      <w:r>
        <w:rPr>
          <w:i/>
          <w:sz w:val="22"/>
          <w:rFonts w:ascii="Arial" w:hAnsi="Arial"/>
        </w:rPr>
        <w:t xml:space="preserve">4.- Antzeko egoeren aurrean, ba al dago Departamentuko langileek jarraitu beharreko jarduketa-protokolorik edo kasu bakoitzean arduradun politiko edo administratiboek askatasun osoa dute erabakitzeko zein polizia-kidegori eskatzen zaion behar den laguntza?</w:t>
      </w:r>
    </w:p>
    <w:p w14:paraId="7A3AF214" w14:textId="77777777" w:rsidR="00312CCC" w:rsidRDefault="003571E4" w:rsidP="00F57294">
      <w:pPr>
        <w:autoSpaceDE w:val="0"/>
        <w:autoSpaceDN w:val="0"/>
        <w:adjustRightInd w:val="0"/>
        <w:spacing w:line="276" w:lineRule="auto"/>
        <w:ind w:firstLine="708"/>
        <w:jc w:val="both"/>
        <w:rPr>
          <w:i/>
          <w:sz w:val="22"/>
          <w:szCs w:val="22"/>
          <w:rFonts w:ascii="Arial" w:hAnsi="Arial" w:cs="Arial"/>
        </w:rPr>
      </w:pPr>
      <w:r>
        <w:rPr>
          <w:sz w:val="22"/>
          <w:rFonts w:ascii="Arial" w:hAnsi="Arial"/>
        </w:rPr>
        <w:t xml:space="preserve">Ikus aurreko galderei emandako erantzunak.</w:t>
      </w:r>
    </w:p>
    <w:p w14:paraId="5B3EAC64" w14:textId="6FCED4C4" w:rsidR="00312CCC" w:rsidRDefault="00B412D3" w:rsidP="00B412D3">
      <w:pPr>
        <w:autoSpaceDE w:val="0"/>
        <w:autoSpaceDN w:val="0"/>
        <w:adjustRightInd w:val="0"/>
        <w:spacing w:line="276" w:lineRule="auto"/>
        <w:ind w:firstLine="708"/>
        <w:jc w:val="both"/>
        <w:rPr>
          <w:sz w:val="22"/>
          <w:szCs w:val="22"/>
          <w:rFonts w:ascii="Arial" w:hAnsi="Arial" w:cs="Arial"/>
        </w:rPr>
      </w:pPr>
      <w:r>
        <w:rPr>
          <w:sz w:val="22"/>
          <w:rFonts w:ascii="Arial" w:hAnsi="Arial"/>
        </w:rPr>
        <w:t xml:space="preserve">Hori guztia jakinarazten dut, Nafarroako Parlamentuko Erregelamenduaren 194. artikuluan ezarritakoa betez.</w:t>
      </w:r>
    </w:p>
    <w:p w14:paraId="6905AC56" w14:textId="65D0218B" w:rsidR="00312CCC" w:rsidRPr="00312CCC" w:rsidRDefault="002C38C5" w:rsidP="009E6018">
      <w:pPr>
        <w:ind w:firstLine="708"/>
        <w:rPr>
          <w:sz w:val="22"/>
          <w:szCs w:val="22"/>
          <w:rFonts w:ascii="Arial" w:hAnsi="Arial" w:cs="Arial"/>
        </w:rPr>
      </w:pPr>
      <w:r>
        <w:rPr>
          <w:sz w:val="22"/>
          <w:rFonts w:ascii="Arial" w:hAnsi="Arial"/>
        </w:rPr>
        <w:t xml:space="preserve">Iruñean, 2023ko martxoaren 21ean</w:t>
      </w:r>
    </w:p>
    <w:p w14:paraId="7DBCD9BF" w14:textId="414E3187" w:rsidR="001D0746" w:rsidRPr="005F3928" w:rsidRDefault="00312CCC" w:rsidP="00312CCC">
      <w:pPr>
        <w:spacing w:line="360" w:lineRule="auto"/>
        <w:jc w:val="center"/>
        <w:rPr>
          <w:sz w:val="22"/>
          <w:szCs w:val="22"/>
          <w:rFonts w:ascii="Arial" w:hAnsi="Arial" w:cs="Arial"/>
        </w:rPr>
      </w:pPr>
      <w:r>
        <w:rPr>
          <w:sz w:val="22"/>
          <w:rFonts w:ascii="Arial" w:hAnsi="Arial"/>
        </w:rPr>
        <w:t xml:space="preserve">Lurraldearen Antolamenduko, Etxebizitzako, Paisaiako eta Proiektu Estrategikoetako kontseilaria:</w:t>
      </w:r>
      <w:r>
        <w:rPr>
          <w:sz w:val="22"/>
          <w:rFonts w:ascii="Arial" w:hAnsi="Arial"/>
        </w:rPr>
        <w:t xml:space="preserve"> </w:t>
      </w:r>
      <w:r>
        <w:rPr>
          <w:sz w:val="22"/>
          <w:rFonts w:ascii="Arial" w:hAnsi="Arial"/>
        </w:rPr>
        <w:t xml:space="preserve">José María Aierdi Fernández de Barrena</w:t>
      </w:r>
    </w:p>
    <w:sectPr w:rsidR="001D0746" w:rsidRPr="005F3928" w:rsidSect="00312CCC">
      <w:headerReference w:type="default" r:id="rId8"/>
      <w:footerReference w:type="default" r:id="rId9"/>
      <w:headerReference w:type="first" r:id="rId10"/>
      <w:footerReference w:type="first" r:id="rId11"/>
      <w:type w:val="continuous"/>
      <w:pgSz w:w="11906" w:h="16838" w:code="9"/>
      <w:pgMar w:top="1276" w:right="1134" w:bottom="1701" w:left="1701" w:header="709" w:footer="5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0C12" w14:textId="77777777" w:rsidR="00F74BAE" w:rsidRDefault="00F74BAE">
      <w:r>
        <w:separator/>
      </w:r>
    </w:p>
  </w:endnote>
  <w:endnote w:type="continuationSeparator" w:id="0">
    <w:p w14:paraId="05A6B3A8" w14:textId="77777777" w:rsidR="00F74BAE" w:rsidRDefault="00F7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2660" w14:textId="77777777" w:rsidR="00012315" w:rsidRDefault="00012315" w:rsidP="0091444C">
    <w:pPr>
      <w:pStyle w:val="Piedepgina"/>
      <w:tabs>
        <w:tab w:val="clear" w:pos="4252"/>
        <w:tab w:val="clear" w:pos="8504"/>
        <w:tab w:val="left" w:pos="34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A77F" w14:textId="77777777" w:rsidR="00D201B6" w:rsidRPr="00F706F2" w:rsidRDefault="00D201B6" w:rsidP="00D201B6">
    <w:pPr>
      <w:pBdr>
        <w:bottom w:val="single" w:sz="12" w:space="1" w:color="auto"/>
      </w:pBdr>
      <w:rPr>
        <w:color w:val="000000"/>
        <w:sz w:val="22"/>
        <w:szCs w:val="22"/>
        <w:rFonts w:cs="Arial"/>
      </w:rPr>
    </w:pPr>
    <w:r>
      <w:rPr>
        <w:color w:val="000000"/>
        <w:sz w:val="22"/>
      </w:rPr>
      <w:t xml:space="preserve">NAFARROAKO PARLAMENTUKO LEHENDAKARIA</w:t>
    </w:r>
  </w:p>
  <w:p w14:paraId="6D9D91B2" w14:textId="77777777" w:rsidR="00D201B6" w:rsidRPr="00F706F2" w:rsidRDefault="00D201B6" w:rsidP="00D201B6">
    <w:pPr>
      <w:pStyle w:val="Piedepgina"/>
      <w:spacing w:before="120"/>
      <w:rPr>
        <w:sz w:val="22"/>
        <w:szCs w:val="22"/>
        <w:rFonts w:cs="Arial"/>
      </w:rPr>
    </w:pPr>
    <w:r>
      <w:rPr>
        <w:sz w:val="22"/>
        <w:rFonts w:ascii="Arial" w:hAnsi="Arial"/>
      </w:rPr>
      <w:t xml:space="preserve">10-22/PEI-00310</w:t>
    </w:r>
    <w:r>
      <w:rPr>
        <w:sz w:val="22"/>
        <w:b/>
        <w:rFonts w:ascii="Arial" w:hAnsi="Arial"/>
      </w:rPr>
      <w:t xml:space="preserve"> </w:t>
    </w:r>
    <w:r>
      <w:rPr>
        <w:sz w:val="22"/>
        <w:rStyle w:val="Nmerodepgina"/>
      </w:rPr>
      <w:tab/>
    </w:r>
    <w:r>
      <w:rPr>
        <w:sz w:val="22"/>
        <w:rStyle w:val="Nmerodepgina"/>
      </w:rPr>
      <w:tab/>
    </w:r>
    <w:r w:rsidR="001B1452" w:rsidRPr="00F706F2">
      <w:rPr>
        <w:rStyle w:val="Nmerodepgina"/>
        <w:sz w:val="22"/>
        <w:rFonts w:cs="Arial"/>
      </w:rPr>
      <w:fldChar w:fldCharType="begin"/>
    </w:r>
    <w:r w:rsidRPr="00F706F2">
      <w:rPr>
        <w:rStyle w:val="Nmerodepgina"/>
        <w:sz w:val="22"/>
        <w:rFonts w:cs="Arial"/>
      </w:rPr>
      <w:instrText xml:space="preserve"> PAGE </w:instrText>
    </w:r>
    <w:r w:rsidR="001B1452" w:rsidRPr="00F706F2">
      <w:rPr>
        <w:rStyle w:val="Nmerodepgina"/>
        <w:sz w:val="22"/>
        <w:rFonts w:cs="Arial"/>
      </w:rPr>
      <w:fldChar w:fldCharType="separate"/>
    </w:r>
    <w:r w:rsidR="009E77B4">
      <w:rPr>
        <w:rStyle w:val="Nmerodepgina"/>
        <w:sz w:val="22"/>
        <w:rFonts w:cs="Arial"/>
      </w:rPr>
      <w:t>1</w:t>
    </w:r>
    <w:r w:rsidR="001B1452" w:rsidRPr="00F706F2">
      <w:rPr>
        <w:rStyle w:val="Nmerodepgina"/>
        <w:sz w:val="22"/>
        <w:rFonts w:cs="Arial"/>
      </w:rPr>
      <w:fldChar w:fldCharType="end"/>
    </w:r>
    <w:r>
      <w:rPr>
        <w:rStyle w:val="Nmerodepgina"/>
        <w:sz w:val="22"/>
      </w:rPr>
      <w:t xml:space="preserve">/</w:t>
    </w:r>
    <w:r w:rsidR="001B1452" w:rsidRPr="00F706F2">
      <w:rPr>
        <w:rStyle w:val="Nmerodepgina"/>
        <w:sz w:val="22"/>
        <w:rFonts w:cs="Arial"/>
      </w:rPr>
      <w:fldChar w:fldCharType="begin" w:dirty="true"/>
    </w:r>
    <w:r w:rsidRPr="00F706F2">
      <w:rPr>
        <w:rStyle w:val="Nmerodepgina"/>
        <w:sz w:val="22"/>
        <w:rFonts w:cs="Arial"/>
      </w:rPr>
      <w:instrText xml:space="preserve"> NUMPAGES </w:instrText>
    </w:r>
    <w:r w:rsidR="001B1452" w:rsidRPr="00F706F2">
      <w:rPr>
        <w:rStyle w:val="Nmerodepgina"/>
        <w:sz w:val="22"/>
        <w:rFonts w:cs="Arial"/>
      </w:rPr>
      <w:fldChar w:fldCharType="separate"/>
    </w:r>
    <w:r w:rsidR="00423AF7">
      <w:rPr>
        <w:rStyle w:val="Nmerodepgina"/>
        <w:sz w:val="22"/>
        <w:rFonts w:cs="Arial"/>
      </w:rPr>
      <w:t>3</w:t>
    </w:r>
    <w:r w:rsidR="001B1452" w:rsidRPr="00F706F2">
      <w:rPr>
        <w:rStyle w:val="Nmerodepgina"/>
        <w:sz w:val="22"/>
        <w:rFonts w:cs="Arial"/>
      </w:rPr>
      <w:fldChar w:fldCharType="end"/>
    </w:r>
  </w:p>
  <w:p w14:paraId="50EB3C58" w14:textId="77777777" w:rsidR="00012315" w:rsidRDefault="000123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600F" w14:textId="77777777" w:rsidR="00F74BAE" w:rsidRDefault="00F74BAE">
      <w:r>
        <w:separator/>
      </w:r>
    </w:p>
  </w:footnote>
  <w:footnote w:type="continuationSeparator" w:id="0">
    <w:p w14:paraId="3ADC1C43" w14:textId="77777777" w:rsidR="00F74BAE" w:rsidRDefault="00F7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A19A" w14:textId="72E71496" w:rsidR="0091444C" w:rsidRDefault="0091444C" w:rsidP="0091444C">
    <w:pPr>
      <w:pStyle w:val="Encabezado"/>
      <w:tabs>
        <w:tab w:val="clear" w:pos="4252"/>
        <w:tab w:val="clear" w:pos="8504"/>
        <w:tab w:val="left" w:pos="10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9FD6" w14:textId="77777777" w:rsidR="00012315" w:rsidRDefault="0019534E" w:rsidP="00BD0FD7">
    <w:pPr>
      <w:pStyle w:val="Encabezado"/>
    </w:pPr>
    <w:r>
      <w:drawing>
        <wp:anchor distT="0" distB="0" distL="114300" distR="114300" simplePos="0" relativeHeight="251657216" behindDoc="0" locked="0" layoutInCell="1" allowOverlap="1" wp14:anchorId="295F0DC3" wp14:editId="3E9FB4FA">
          <wp:simplePos x="0" y="0"/>
          <wp:positionH relativeFrom="page">
            <wp:posOffset>-104775</wp:posOffset>
          </wp:positionH>
          <wp:positionV relativeFrom="page">
            <wp:posOffset>-333375</wp:posOffset>
          </wp:positionV>
          <wp:extent cx="7569200" cy="1802765"/>
          <wp:effectExtent l="0" t="0" r="0" b="0"/>
          <wp:wrapNone/>
          <wp:docPr id="14" name="Imagen 1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E1C77"/>
    <w:multiLevelType w:val="hybridMultilevel"/>
    <w:tmpl w:val="CADAB4EC"/>
    <w:lvl w:ilvl="0" w:tplc="AC4AFEC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55E33D43"/>
    <w:multiLevelType w:val="hybridMultilevel"/>
    <w:tmpl w:val="5EBA7710"/>
    <w:lvl w:ilvl="0" w:tplc="64E2B72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3255C90"/>
    <w:multiLevelType w:val="hybridMultilevel"/>
    <w:tmpl w:val="D2AA51A6"/>
    <w:lvl w:ilvl="0" w:tplc="67CA31C6">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6D051A8A"/>
    <w:multiLevelType w:val="hybridMultilevel"/>
    <w:tmpl w:val="F2D810F4"/>
    <w:lvl w:ilvl="0" w:tplc="20A48FA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068533336">
    <w:abstractNumId w:val="0"/>
  </w:num>
  <w:num w:numId="2" w16cid:durableId="628626626">
    <w:abstractNumId w:val="3"/>
  </w:num>
  <w:num w:numId="3" w16cid:durableId="1388333401">
    <w:abstractNumId w:val="2"/>
  </w:num>
  <w:num w:numId="4" w16cid:durableId="189727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95"/>
    <w:rsid w:val="000031A4"/>
    <w:rsid w:val="0000784A"/>
    <w:rsid w:val="00012315"/>
    <w:rsid w:val="0001241B"/>
    <w:rsid w:val="00055AB0"/>
    <w:rsid w:val="0006476E"/>
    <w:rsid w:val="0008105E"/>
    <w:rsid w:val="00096FB0"/>
    <w:rsid w:val="000B7525"/>
    <w:rsid w:val="000E7267"/>
    <w:rsid w:val="000F6F99"/>
    <w:rsid w:val="00145437"/>
    <w:rsid w:val="0016690D"/>
    <w:rsid w:val="001758DA"/>
    <w:rsid w:val="0019534E"/>
    <w:rsid w:val="001B1452"/>
    <w:rsid w:val="001D0746"/>
    <w:rsid w:val="00226BE6"/>
    <w:rsid w:val="00255D51"/>
    <w:rsid w:val="0026006A"/>
    <w:rsid w:val="00262A0B"/>
    <w:rsid w:val="00275D5E"/>
    <w:rsid w:val="00292F09"/>
    <w:rsid w:val="0029489A"/>
    <w:rsid w:val="002B1445"/>
    <w:rsid w:val="002C38C5"/>
    <w:rsid w:val="002E6565"/>
    <w:rsid w:val="0030333F"/>
    <w:rsid w:val="00312CCC"/>
    <w:rsid w:val="003571E4"/>
    <w:rsid w:val="003E5C98"/>
    <w:rsid w:val="00405B6B"/>
    <w:rsid w:val="0041058C"/>
    <w:rsid w:val="00417383"/>
    <w:rsid w:val="00423AF7"/>
    <w:rsid w:val="00435CB3"/>
    <w:rsid w:val="00436871"/>
    <w:rsid w:val="0044405B"/>
    <w:rsid w:val="00450B01"/>
    <w:rsid w:val="004904B9"/>
    <w:rsid w:val="004B75DD"/>
    <w:rsid w:val="004B79BB"/>
    <w:rsid w:val="004C0B7B"/>
    <w:rsid w:val="004D4AB1"/>
    <w:rsid w:val="0051364C"/>
    <w:rsid w:val="00532656"/>
    <w:rsid w:val="005538ED"/>
    <w:rsid w:val="00597F1B"/>
    <w:rsid w:val="005B7958"/>
    <w:rsid w:val="005F2684"/>
    <w:rsid w:val="005F3928"/>
    <w:rsid w:val="00633E04"/>
    <w:rsid w:val="0063451C"/>
    <w:rsid w:val="0064106C"/>
    <w:rsid w:val="00662815"/>
    <w:rsid w:val="00671FEC"/>
    <w:rsid w:val="00674F0E"/>
    <w:rsid w:val="00696352"/>
    <w:rsid w:val="006D1CCE"/>
    <w:rsid w:val="006F092E"/>
    <w:rsid w:val="006F310E"/>
    <w:rsid w:val="007148C4"/>
    <w:rsid w:val="007565F0"/>
    <w:rsid w:val="00762091"/>
    <w:rsid w:val="00784D2C"/>
    <w:rsid w:val="00813C76"/>
    <w:rsid w:val="00822C13"/>
    <w:rsid w:val="00842D46"/>
    <w:rsid w:val="0085691A"/>
    <w:rsid w:val="00864304"/>
    <w:rsid w:val="008A2F0A"/>
    <w:rsid w:val="008A2F35"/>
    <w:rsid w:val="008F56AB"/>
    <w:rsid w:val="008F5986"/>
    <w:rsid w:val="00901293"/>
    <w:rsid w:val="009034C7"/>
    <w:rsid w:val="0091444C"/>
    <w:rsid w:val="009162C1"/>
    <w:rsid w:val="009230C8"/>
    <w:rsid w:val="00924578"/>
    <w:rsid w:val="00926869"/>
    <w:rsid w:val="00956243"/>
    <w:rsid w:val="0097115F"/>
    <w:rsid w:val="009760A1"/>
    <w:rsid w:val="009819EA"/>
    <w:rsid w:val="00993037"/>
    <w:rsid w:val="009950CA"/>
    <w:rsid w:val="009B292B"/>
    <w:rsid w:val="009B517F"/>
    <w:rsid w:val="009B5C95"/>
    <w:rsid w:val="009D45F5"/>
    <w:rsid w:val="009E6018"/>
    <w:rsid w:val="009E77B4"/>
    <w:rsid w:val="00A17FB9"/>
    <w:rsid w:val="00A554B8"/>
    <w:rsid w:val="00A6513A"/>
    <w:rsid w:val="00A670E9"/>
    <w:rsid w:val="00A84604"/>
    <w:rsid w:val="00AE7CAC"/>
    <w:rsid w:val="00B40FF9"/>
    <w:rsid w:val="00B412D3"/>
    <w:rsid w:val="00B717FD"/>
    <w:rsid w:val="00B808AF"/>
    <w:rsid w:val="00BD0FD7"/>
    <w:rsid w:val="00C73DD7"/>
    <w:rsid w:val="00CB1FDD"/>
    <w:rsid w:val="00CB75AB"/>
    <w:rsid w:val="00D13984"/>
    <w:rsid w:val="00D201B6"/>
    <w:rsid w:val="00D346CE"/>
    <w:rsid w:val="00D37241"/>
    <w:rsid w:val="00D50A8A"/>
    <w:rsid w:val="00D93755"/>
    <w:rsid w:val="00D973B6"/>
    <w:rsid w:val="00DC1818"/>
    <w:rsid w:val="00DD5808"/>
    <w:rsid w:val="00E11393"/>
    <w:rsid w:val="00E73EAD"/>
    <w:rsid w:val="00E83521"/>
    <w:rsid w:val="00E92FB4"/>
    <w:rsid w:val="00EC3E80"/>
    <w:rsid w:val="00ED400F"/>
    <w:rsid w:val="00EE2C07"/>
    <w:rsid w:val="00F13F6C"/>
    <w:rsid w:val="00F247BE"/>
    <w:rsid w:val="00F517B9"/>
    <w:rsid w:val="00F52D89"/>
    <w:rsid w:val="00F57294"/>
    <w:rsid w:val="00F73F8E"/>
    <w:rsid w:val="00F74BAE"/>
    <w:rsid w:val="00F8104B"/>
    <w:rsid w:val="00FC00A8"/>
  </w:rsids>
  <m:mathPr>
    <m:mathFont m:val="Cambria Math"/>
    <m:brkBin m:val="before"/>
    <m:brkBinSub m:val="--"/>
    <m:smallFrac m:val="0"/>
    <m:dispDef/>
    <m:lMargin m:val="0"/>
    <m:rMargin m:val="0"/>
    <m:defJc m:val="centerGroup"/>
    <m:wrapIndent m:val="1440"/>
    <m:intLim m:val="subSup"/>
    <m:naryLim m:val="undOvr"/>
  </m:mathPr>
  <w:attachedSchema w:val="http://tempuri.org/Ubicaciones.xsd"/>
  <w:attachedSchema w:val="errors@http://tempuri.org/Ubicaciones.xsd"/>
  <w:attachedSchema w:val="http://tempuri.org/XMLSchema.xsd"/>
  <w:attachedSchema w:val="http://navarra.es/Extra/Plantillas/extra-common.xsd"/>
  <w:attachedSchema w:val="http://navarra.es/Extra/Plantillas/extra-datosComunes.xsd"/>
  <w:attachedSchema w:val="http://navarra.es/Extra/Plantillas/extra-recursos.xsd"/>
  <w:attachedSchema w:val="http://navarra.es/Extra/Plantillas/extra-sancionador.xsd"/>
  <w:attachedSchema w:val="http://navarra.es/Extra/Plantillas/extra-ot.xsd"/>
  <w:attachedSchema w:val="plantilla"/>
  <w:attachedSchema w:val="http://navarra.es/Extra/Plantillas/extra-Convocatoria.xsd"/>
  <w:attachedSchema w:val="http://navarra.es/Extra/Plantillas/extra-Solicitudes.xsd"/>
  <w:attachedSchema w:val="http://navarra.es/Extra/Plantillas/extra-seguimientoResoluciones.xsd"/>
  <w:attachedSchema w:val="http://navarra.es/Extra/Plantillas/extra-recursoAlzadaTAN.xsd"/>
  <w:attachedSchema w:val="http://navarra.es/Extra/Plantillas/extra-datosGestionEconomica.xsd"/>
  <w:attachedSchema w:val="http://navarra.es/Extra/Plantillas/extra-Reintegro.xsd"/>
  <w:attachedSchema w:val="http://navarra.es/Extra/Plantillas/extra-debug.xsd"/>
  <w:attachedSchema w:val="http://navarra.es/Extra/Plantillas/extra-documentos.xsd"/>
  <w:attachedSchema w:val="errors@http://navarra.es/Extra/Plantillas/extra-common.xsd"/>
  <w:attachedSchema w:val="http://navarra.es/Extra/Plantillas/extra-datosEvaluacionComunes.xsd"/>
  <w:attachedSchema w:val="errors@http://navarra.es/Extra/Plantillas/extra-Solicitudes.xsd"/>
  <w:attachedSchema w:val="errors@http://navarra.es/Extra/Plantillas/extra-datosComunes.xsd"/>
  <w:attachedSchema w:val="http://navarra.es/Extra/Plantillas/extra-autInstalacionMaquinas.xsd"/>
  <w:attachedSchema w:val="http://navarra.es/Extra/Plantillas/extra-InspeccionServicioRSSSS.xsd"/>
  <w:attachedSchema w:val="http://navarra.es/Extra/Plantillas/extra-ConcesionDirecta.xsd"/>
  <w:attachedSchema w:val="http://navarra.es/Extra/Plantillas/extra-ConvocatoriaResolucionesConjuntas.xsd"/>
  <w:attachedSchema w:val="http://navarra.es/Extra/Plantillas/extra-elabInformesTercerosCorp.xsd"/>
  <w:attachedSchema w:val="http://navarra.es/Extra/Plantillas/extra-datosInstalacionEyC.xsd"/>
  <w:attachedSchema w:val="http://navarra.es/Extra/Plantillas/extra-datosOtraInformacionEyC.xsd"/>
  <w:attachedSchema w:val="http://navarra.es/Extra/Plantillas/extra-datosProcesosEyC.xsd"/>
  <w:attachedSchema w:val="http://navarra.es/Extra/Plantillas/extra-datosResiduosEyC.xsd"/>
  <w:attachedSchema w:val="http://navarra.es/Extra/Plantillas/extra-InspeccionCorporativo.xsd"/>
  <w:attachedSchema w:val="http://navarra.es/Extra/Plantillas/extra-RRHH-LicenciaParto.xsd"/>
  <w:attachedSchema w:val="errors@http://navarra.es/Extra/Plantillas/extra-datosHabides.xsd"/>
  <w:attachedSchema w:val="http://navarra.es/Extra/Plantillas/extra-datosHabides.xsd"/>
  <w:attachedSchema w:val="http://navarra.es/Extra/Plantillas/extra-RRHH-ComisionServicios.xsd"/>
  <w:attachedSchema w:val="http://navarra.es/Extra/Plantillas/extra-RRHH-Situacion.xsd"/>
  <w:attachedSchema w:val="http://navarra.es/Extra/Plantillas/extra-RRHH-ReduccionJornada.xsd"/>
  <w:attachedSchema w:val="http://navarra.es/Extra/Plantillas/extra-RRHH-Exclusividad.xsd"/>
  <w:attachedSchema w:val="http://navarra.es/Extra/Plantillas/extra-autServiciosSociales.xsd"/>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25999F"/>
  <w15:docId w15:val="{81CA73AF-F6EB-457D-9FA2-04570687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utoRedefine/>
    <w:rsid w:val="00BD0FD7"/>
    <w:pPr>
      <w:tabs>
        <w:tab w:val="center" w:pos="4252"/>
        <w:tab w:val="right" w:pos="8504"/>
      </w:tabs>
      <w:ind w:left="-1134" w:right="-568"/>
    </w:pPr>
  </w:style>
  <w:style w:type="paragraph" w:styleId="Piedepgina">
    <w:name w:val="footer"/>
    <w:basedOn w:val="Normal"/>
    <w:rsid w:val="00E11393"/>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u-ES"/>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17383"/>
    <w:rPr>
      <w:color w:val="0563C1"/>
      <w:u w:val="single"/>
    </w:rPr>
  </w:style>
  <w:style w:type="character" w:styleId="Nmerodepgina">
    <w:name w:val="page number"/>
    <w:rsid w:val="00D201B6"/>
  </w:style>
  <w:style w:type="character" w:styleId="Hipervnculovisitado">
    <w:name w:val="FollowedHyperlink"/>
    <w:basedOn w:val="Fuentedeprrafopredeter"/>
    <w:rsid w:val="0029489A"/>
    <w:rPr>
      <w:color w:val="954F72" w:themeColor="followedHyperlink"/>
      <w:u w:val="single"/>
    </w:rPr>
  </w:style>
  <w:style w:type="paragraph" w:styleId="Prrafodelista">
    <w:name w:val="List Paragraph"/>
    <w:basedOn w:val="Normal"/>
    <w:qFormat/>
    <w:rsid w:val="00275D5E"/>
    <w:pPr>
      <w:ind w:left="720"/>
      <w:contextualSpacing/>
    </w:pPr>
  </w:style>
  <w:style w:type="paragraph" w:customStyle="1" w:styleId="foral-f-parrafo-c">
    <w:name w:val="foral-f-parrafo-c"/>
    <w:basedOn w:val="Normal"/>
    <w:rsid w:val="00F57294"/>
    <w:pPr>
      <w:spacing w:before="100" w:beforeAutospacing="1" w:after="100" w:afterAutospacing="1"/>
    </w:pPr>
    <w:rPr>
      <w:sz w:val="24"/>
      <w:szCs w:val="24"/>
    </w:rPr>
  </w:style>
  <w:style w:type="paragraph" w:styleId="Textodeglobo">
    <w:name w:val="Balloon Text"/>
    <w:basedOn w:val="Normal"/>
    <w:link w:val="TextodegloboCar"/>
    <w:rsid w:val="00423AF7"/>
    <w:rPr>
      <w:rFonts w:ascii="Segoe UI" w:hAnsi="Segoe UI" w:cs="Segoe UI"/>
      <w:sz w:val="18"/>
      <w:szCs w:val="18"/>
    </w:rPr>
  </w:style>
  <w:style w:type="character" w:customStyle="1" w:styleId="TextodegloboCar">
    <w:name w:val="Texto de globo Car"/>
    <w:basedOn w:val="Fuentedeprrafopredeter"/>
    <w:link w:val="Textodeglobo"/>
    <w:rsid w:val="00423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7306">
      <w:bodyDiv w:val="1"/>
      <w:marLeft w:val="0"/>
      <w:marRight w:val="0"/>
      <w:marTop w:val="0"/>
      <w:marBottom w:val="0"/>
      <w:divBdr>
        <w:top w:val="none" w:sz="0" w:space="0" w:color="auto"/>
        <w:left w:val="none" w:sz="0" w:space="0" w:color="auto"/>
        <w:bottom w:val="none" w:sz="0" w:space="0" w:color="auto"/>
        <w:right w:val="none" w:sz="0" w:space="0" w:color="auto"/>
      </w:divBdr>
    </w:div>
    <w:div w:id="1827815632">
      <w:bodyDiv w:val="1"/>
      <w:marLeft w:val="0"/>
      <w:marRight w:val="0"/>
      <w:marTop w:val="0"/>
      <w:marBottom w:val="0"/>
      <w:divBdr>
        <w:top w:val="none" w:sz="0" w:space="0" w:color="auto"/>
        <w:left w:val="none" w:sz="0" w:space="0" w:color="auto"/>
        <w:bottom w:val="none" w:sz="0" w:space="0" w:color="auto"/>
        <w:right w:val="none" w:sz="0" w:space="0" w:color="auto"/>
      </w:divBdr>
    </w:div>
    <w:div w:id="1926180651">
      <w:bodyDiv w:val="1"/>
      <w:marLeft w:val="0"/>
      <w:marRight w:val="0"/>
      <w:marTop w:val="0"/>
      <w:marBottom w:val="0"/>
      <w:divBdr>
        <w:top w:val="none" w:sz="0" w:space="0" w:color="auto"/>
        <w:left w:val="none" w:sz="0" w:space="0" w:color="auto"/>
        <w:bottom w:val="none" w:sz="0" w:space="0" w:color="auto"/>
        <w:right w:val="none" w:sz="0" w:space="0" w:color="auto"/>
      </w:divBdr>
    </w:div>
    <w:div w:id="20204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53539\Documents\Respuesta%20PE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F68C-9B7E-4CE7-9BD4-B5623494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PEI</Template>
  <TotalTime>31</TotalTime>
  <Pages>2</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 Sánchez, Eugenio (Departamento DRMAyAL)</dc:creator>
  <cp:keywords/>
  <dc:description/>
  <cp:lastModifiedBy>Aranaz, Carlota</cp:lastModifiedBy>
  <cp:revision>14</cp:revision>
  <cp:lastPrinted>2023-03-20T11:06:00Z</cp:lastPrinted>
  <dcterms:created xsi:type="dcterms:W3CDTF">2023-03-20T07:38:00Z</dcterms:created>
  <dcterms:modified xsi:type="dcterms:W3CDTF">2023-03-24T08:47:00Z</dcterms:modified>
</cp:coreProperties>
</file>