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7C60" w14:textId="77F4056C" w:rsidR="00462CF4" w:rsidRDefault="00462CF4" w:rsidP="00A20699">
      <w:pPr>
        <w:spacing w:before="60" w:after="120"/>
        <w:ind w:left="0" w:firstLine="426"/>
        <w:rPr>
          <w:sz w:val="22"/>
        </w:rPr>
      </w:pPr>
      <w:r>
        <w:rPr>
          <w:sz w:val="22"/>
        </w:rPr>
        <w:t>23MOC-29</w:t>
      </w:r>
    </w:p>
    <w:p w14:paraId="62A5F3A2" w14:textId="77777777" w:rsidR="002A1C4A" w:rsidRPr="002A1C4A" w:rsidRDefault="002A1C4A" w:rsidP="002A1C4A">
      <w:pPr>
        <w:spacing w:before="60" w:after="120"/>
        <w:ind w:left="0" w:right="14" w:firstLine="426"/>
        <w:rPr>
          <w:sz w:val="22"/>
        </w:rPr>
      </w:pPr>
      <w:r w:rsidRPr="002A1C4A">
        <w:rPr>
          <w:sz w:val="22"/>
        </w:rPr>
        <w:t>Alderdi Popularraren talde parlamentarioak, Legebiltzarreko Erregelamenduan ezarritakoaren babesean, honako mozio hau aurkeztu du, Lehendakaritza eta Berdintasun Batzordean eztabaidatzeko:</w:t>
      </w:r>
    </w:p>
    <w:p w14:paraId="138087C3" w14:textId="77777777" w:rsidR="002A1C4A" w:rsidRPr="002A1C4A" w:rsidRDefault="002A1C4A" w:rsidP="002A1C4A">
      <w:pPr>
        <w:spacing w:before="60" w:after="120"/>
        <w:ind w:left="0" w:right="14" w:firstLine="426"/>
        <w:jc w:val="center"/>
        <w:rPr>
          <w:sz w:val="22"/>
        </w:rPr>
      </w:pPr>
      <w:r w:rsidRPr="002A1C4A">
        <w:rPr>
          <w:sz w:val="22"/>
        </w:rPr>
        <w:t>Zioen azalpena</w:t>
      </w:r>
    </w:p>
    <w:p w14:paraId="44E50B9F" w14:textId="77777777" w:rsidR="002A1C4A" w:rsidRPr="002A1C4A" w:rsidRDefault="002A1C4A" w:rsidP="002A1C4A">
      <w:pPr>
        <w:spacing w:before="60" w:after="120"/>
        <w:ind w:left="0" w:right="14" w:firstLine="426"/>
        <w:rPr>
          <w:sz w:val="22"/>
        </w:rPr>
      </w:pPr>
      <w:r w:rsidRPr="002A1C4A">
        <w:rPr>
          <w:sz w:val="22"/>
        </w:rPr>
        <w:t>1977ko urriaren 15ean, gure trantsizioa demokraziara bideratu zuen adiskidetze nazionalaren printzipiori jarraikiz egindako Amnistia Legea onetsi zuen Diputatuen Kongresuak. Gizarteak amnistia eskatzen zuen, eta ezinbestekoa zen diktaduraren ordenamendu juridikoa aurkaratzeko. Espainiako gizartearen parte batek pairatu zuen errepresioari amaiera eman zion tresnetako bat izan zen, demokraziarako bidea sendotu zuen akordio handietako bat.</w:t>
      </w:r>
    </w:p>
    <w:p w14:paraId="21FBAD0D" w14:textId="77777777" w:rsidR="002A1C4A" w:rsidRPr="002A1C4A" w:rsidRDefault="002A1C4A" w:rsidP="002A1C4A">
      <w:pPr>
        <w:spacing w:before="60" w:after="120"/>
        <w:ind w:left="0" w:right="14" w:firstLine="426"/>
        <w:rPr>
          <w:sz w:val="22"/>
        </w:rPr>
      </w:pPr>
      <w:r w:rsidRPr="002A1C4A">
        <w:rPr>
          <w:sz w:val="22"/>
        </w:rPr>
        <w:t>1978ko Konstituzioa izapidetu zen bitartean, amnistiaren auzia eztabaidatu zen, bi zuzenketa aurkeztu baitziren Gorte Nagusiek eskumen hori eduki ahal izan zezaten. Zuzenketa haiek ez ziren onetsi; aldiz, indultu orokorrak debekatzen dituen 62. artikulua onetsi zen. Alegia, barkamena –zeina gure ordenamenduan bai baitago eta Indultuari buruzko Legeak arautzen baitu– nahitaez izanen da banakakoa, sekula ere ez orokorra.</w:t>
      </w:r>
    </w:p>
    <w:p w14:paraId="4F2AA0D7" w14:textId="77777777" w:rsidR="002A1C4A" w:rsidRPr="002A1C4A" w:rsidRDefault="002A1C4A" w:rsidP="002A1C4A">
      <w:pPr>
        <w:spacing w:before="60" w:after="120"/>
        <w:ind w:left="0" w:right="14" w:firstLine="426"/>
        <w:rPr>
          <w:sz w:val="22"/>
        </w:rPr>
      </w:pPr>
      <w:r w:rsidRPr="002A1C4A">
        <w:rPr>
          <w:sz w:val="22"/>
        </w:rPr>
        <w:t>Demokrazia europar sendotu batean –2023ko Espainiako demokrazia, kasu–, amnistia zuzenbide estatuaren oinarrizko zenbait printzipioren aurkakoa da, hala nola botere judizialaren esklusibotasuna epaitzeko eta epaitutakoa betearazteko, berdintasuna legearen aplikazioan edo segurtasun juridikoa. Ez legegileak ez botere betearazleak ezin dute beretzat hartu pertsona-talde bat immune deklaratzeko ahalmena, edo haien delituak ezabatzekoa, ez eta beste edozein herritarren modura epaituak izatea ekiditekoa ere. Hain gutxi EBko Justizia Auzitegiak eta Giza Eskubideen Europako Auzitegiak  balizko amnistia mahai gainean jarri den eta Espainiari eragiten dion auzi horri buruzko epaiak eman behar dituztenean.</w:t>
      </w:r>
    </w:p>
    <w:p w14:paraId="31693F22" w14:textId="77777777" w:rsidR="002A1C4A" w:rsidRPr="002A1C4A" w:rsidRDefault="002A1C4A" w:rsidP="002A1C4A">
      <w:pPr>
        <w:spacing w:before="60" w:after="120"/>
        <w:ind w:left="0" w:right="14" w:firstLine="426"/>
        <w:rPr>
          <w:sz w:val="22"/>
        </w:rPr>
      </w:pPr>
      <w:r w:rsidRPr="002A1C4A">
        <w:rPr>
          <w:sz w:val="22"/>
        </w:rPr>
        <w:t>2017an, Kataluniako botere publikoen matxinada-saiakera bat gertatu zen, ordena konstituzionalaren aurkakoa. Zuzenbide Estatuak Konstituzioaren 155. artikulua aplikatuta eta sustatzaileen aurka zigor-tresnak abiarazita erantzun zion saiakera hari.</w:t>
      </w:r>
    </w:p>
    <w:p w14:paraId="2DA7CBD3" w14:textId="77777777" w:rsidR="002A1C4A" w:rsidRPr="002A1C4A" w:rsidRDefault="002A1C4A" w:rsidP="002A1C4A">
      <w:pPr>
        <w:spacing w:before="60" w:after="120"/>
        <w:ind w:left="0" w:right="14" w:firstLine="426"/>
        <w:rPr>
          <w:sz w:val="22"/>
        </w:rPr>
      </w:pPr>
      <w:r w:rsidRPr="002A1C4A">
        <w:rPr>
          <w:sz w:val="22"/>
        </w:rPr>
        <w:t xml:space="preserve">Auzitegi Gorenak saiakeraren buruzagiei 9 urtetik 13 urtera bitarteko kondenak ezarri zizkien, albaramenduagatik eta ondasun publikoak bidegabe eralgitzeagatik. Arduradun nagusi haietako batzuek atzerrira ihes egin zuten. Ordutik hona, Espainiako nahiz Europako auzitegien akzioa ekiditen saiatzen ari dira. Ez zen izan hori egin zuen bakarra. Iragan irailaren 5ean, </w:t>
      </w:r>
      <w:proofErr w:type="spellStart"/>
      <w:r w:rsidRPr="002A1C4A">
        <w:rPr>
          <w:sz w:val="22"/>
        </w:rPr>
        <w:t>Puigdemontek</w:t>
      </w:r>
      <w:proofErr w:type="spellEnd"/>
      <w:r w:rsidRPr="002A1C4A">
        <w:rPr>
          <w:sz w:val="22"/>
        </w:rPr>
        <w:t xml:space="preserve"> Espainiaren gobernagarritasuna baldintzatu zuen, besteak beste, 2017ko erreferendum ilegala dela-eta auzipetutakoei –zenbait kasutan, muturreko indarkeriazko gertakariengatik– mesede eginen dien amnistia lege bat onestera.</w:t>
      </w:r>
    </w:p>
    <w:p w14:paraId="19433AA4" w14:textId="77777777" w:rsidR="002A1C4A" w:rsidRPr="002A1C4A" w:rsidRDefault="002A1C4A" w:rsidP="002A1C4A">
      <w:pPr>
        <w:spacing w:before="60" w:after="120"/>
        <w:ind w:left="0" w:right="14" w:firstLine="426"/>
        <w:rPr>
          <w:sz w:val="22"/>
        </w:rPr>
      </w:pPr>
      <w:r w:rsidRPr="002A1C4A">
        <w:rPr>
          <w:sz w:val="22"/>
        </w:rPr>
        <w:t xml:space="preserve"> Ez da auzi hori planteatzen den lehen aldia. Izan ere, 2021ean antzeko ekimen bat aurkeztu zen Kongresuan, eta legelariek ekimena izapidetzearen aurkako txosten biribila egin zuten. Izan ere, Pedro Sánchezek berak eta bere Gobernuko ministro Juan Carlos </w:t>
      </w:r>
      <w:proofErr w:type="spellStart"/>
      <w:r w:rsidRPr="002A1C4A">
        <w:rPr>
          <w:sz w:val="22"/>
        </w:rPr>
        <w:t>Campok</w:t>
      </w:r>
      <w:proofErr w:type="spellEnd"/>
      <w:r w:rsidRPr="002A1C4A">
        <w:rPr>
          <w:sz w:val="22"/>
        </w:rPr>
        <w:t xml:space="preserve">, Fernando </w:t>
      </w:r>
      <w:proofErr w:type="spellStart"/>
      <w:r w:rsidRPr="002A1C4A">
        <w:rPr>
          <w:sz w:val="22"/>
        </w:rPr>
        <w:t>Grande</w:t>
      </w:r>
      <w:proofErr w:type="spellEnd"/>
      <w:r w:rsidRPr="002A1C4A">
        <w:rPr>
          <w:sz w:val="22"/>
        </w:rPr>
        <w:t xml:space="preserve"> Marlaskak eta Carmen Calvok nahiz beste buruzagi sozialista askok ere adierazia dute balizko amnistia bat konstituzioaren kontrakoa litzatekeela.</w:t>
      </w:r>
    </w:p>
    <w:p w14:paraId="432D6904" w14:textId="77777777" w:rsidR="002A1C4A" w:rsidRPr="002A1C4A" w:rsidRDefault="002A1C4A" w:rsidP="002A1C4A">
      <w:pPr>
        <w:spacing w:before="60" w:after="120"/>
        <w:ind w:left="0" w:right="14" w:firstLine="426"/>
        <w:rPr>
          <w:sz w:val="22"/>
        </w:rPr>
      </w:pPr>
      <w:r w:rsidRPr="002A1C4A">
        <w:rPr>
          <w:sz w:val="22"/>
        </w:rPr>
        <w:t>Egitate juridikoak berberak dira, baina inguruabar politikoak dira aldatu direnak. Pedro Sánchez, Gobernuko lehendakari izaten jarraitzeko ahalegin etsi-etsian, prest azaldu da lege-proposamen bat izapidetu dadin. Konstituzioaren kontra nabarmen joateaz gain, lasterbide bat baliatu nahi da beste behin, Botere Judizialaren Kontseilu Nagusiaren, Fiskaltzaren eta Estatu-Kontseiluaren legezkotasun-kontrolak saihesteko.</w:t>
      </w:r>
    </w:p>
    <w:p w14:paraId="40228436" w14:textId="77777777" w:rsidR="002A1C4A" w:rsidRPr="002A1C4A" w:rsidRDefault="002A1C4A" w:rsidP="002A1C4A">
      <w:pPr>
        <w:spacing w:before="60" w:after="120"/>
        <w:ind w:left="0" w:right="14" w:firstLine="426"/>
        <w:rPr>
          <w:sz w:val="22"/>
        </w:rPr>
      </w:pPr>
      <w:r w:rsidRPr="002A1C4A">
        <w:rPr>
          <w:sz w:val="22"/>
        </w:rPr>
        <w:t>Lehendakaritza lortzearen prezioa, ehunka delitu errugabetzea ez ezik, Zuzenbide Estatua deslegitimatzea eta gertatu zen albaramendua zuritzea eta legitimatzea izanen litzateke. Labur esanda, prezio politiko jasanezina edozein agintari zintzorentzat  , zeren Gobernuak berariaz eta irmo ez arbuiatzea astindu sakona eragiten ari baita gizartean.</w:t>
      </w:r>
    </w:p>
    <w:p w14:paraId="0736E995" w14:textId="77777777" w:rsidR="002A1C4A" w:rsidRPr="002A1C4A" w:rsidRDefault="002A1C4A" w:rsidP="002A1C4A">
      <w:pPr>
        <w:spacing w:before="60" w:after="120"/>
        <w:ind w:left="0" w:right="14" w:firstLine="426"/>
        <w:rPr>
          <w:sz w:val="22"/>
        </w:rPr>
      </w:pPr>
      <w:r w:rsidRPr="002A1C4A">
        <w:rPr>
          <w:sz w:val="22"/>
        </w:rPr>
        <w:t>Horregatik guztiagatik, Nafarroako Parlamentuak:</w:t>
      </w:r>
    </w:p>
    <w:p w14:paraId="60ABA410" w14:textId="77777777" w:rsidR="002A1C4A" w:rsidRPr="002A1C4A" w:rsidRDefault="002A1C4A" w:rsidP="002A1C4A">
      <w:pPr>
        <w:spacing w:before="60" w:after="120"/>
        <w:ind w:left="0" w:right="14" w:firstLine="426"/>
        <w:rPr>
          <w:sz w:val="22"/>
        </w:rPr>
      </w:pPr>
      <w:r w:rsidRPr="002A1C4A">
        <w:rPr>
          <w:sz w:val="22"/>
        </w:rPr>
        <w:t>1. Arbuiatu egiten du edozein herritar-talderentzako amnistia edo indultu orokor oro, egindako delitua zein ere den.</w:t>
      </w:r>
    </w:p>
    <w:p w14:paraId="33C1D6BA" w14:textId="77777777" w:rsidR="002A1C4A" w:rsidRPr="002A1C4A" w:rsidRDefault="002A1C4A" w:rsidP="002A1C4A">
      <w:pPr>
        <w:spacing w:before="60" w:after="120"/>
        <w:ind w:left="0" w:right="14" w:firstLine="426"/>
        <w:rPr>
          <w:sz w:val="22"/>
        </w:rPr>
      </w:pPr>
      <w:r w:rsidRPr="002A1C4A">
        <w:rPr>
          <w:sz w:val="22"/>
        </w:rPr>
        <w:t>2. Uste du herri-borondatearen adierazpidea dela legearen inperioa, Konstituzioaren hitzaurrean ezartzen denez, eta botere guztiak daude hura betetzera konprometituta.</w:t>
      </w:r>
    </w:p>
    <w:p w14:paraId="2E575A0A" w14:textId="77777777" w:rsidR="002A1C4A" w:rsidRPr="002A1C4A" w:rsidRDefault="002A1C4A" w:rsidP="002A1C4A">
      <w:pPr>
        <w:spacing w:before="60" w:after="120"/>
        <w:ind w:left="0" w:right="14" w:firstLine="426"/>
        <w:rPr>
          <w:sz w:val="22"/>
        </w:rPr>
      </w:pPr>
      <w:r w:rsidRPr="002A1C4A">
        <w:rPr>
          <w:sz w:val="22"/>
        </w:rPr>
        <w:lastRenderedPageBreak/>
        <w:t xml:space="preserve">  3. Bi alderdi nagusiei dei egiten die Estatu-akordioak bila ditzaten, Espainiako gizartea alderdi independentisten legez kontrako baldintzetara makurtu beharra ekiditeko.</w:t>
      </w:r>
    </w:p>
    <w:p w14:paraId="6825FB83" w14:textId="77777777" w:rsidR="002A1C4A" w:rsidRPr="002A1C4A" w:rsidRDefault="002A1C4A" w:rsidP="002A1C4A">
      <w:pPr>
        <w:spacing w:before="60" w:after="120"/>
        <w:ind w:left="0" w:right="14" w:firstLine="426"/>
        <w:rPr>
          <w:sz w:val="22"/>
        </w:rPr>
      </w:pPr>
      <w:r w:rsidRPr="002A1C4A">
        <w:rPr>
          <w:sz w:val="22"/>
        </w:rPr>
        <w:t>4. Erabakiok honako hauei helaraziko die: Gobernuko lehendakariari, lehen lehendakariorde eta gai Ekonomikoetako eta Eraldaketa Digitaleko Ministerioari, bigarren lehendakariorde eta Lan eta Gizarte Ekonomiako Ministerioari, Lurralde Politikako Ministerioari eta Kongresuko eta Senatuko eledun parlamentarioei.</w:t>
      </w:r>
    </w:p>
    <w:p w14:paraId="142EAE2E" w14:textId="77777777" w:rsidR="002A1C4A" w:rsidRPr="002A1C4A" w:rsidRDefault="002A1C4A" w:rsidP="002A1C4A">
      <w:pPr>
        <w:spacing w:before="60" w:after="120"/>
        <w:ind w:left="0" w:right="14" w:firstLine="426"/>
        <w:rPr>
          <w:sz w:val="22"/>
        </w:rPr>
      </w:pPr>
      <w:r w:rsidRPr="002A1C4A">
        <w:rPr>
          <w:sz w:val="22"/>
        </w:rPr>
        <w:t>Iruñean, 2023ko irailaren 14an</w:t>
      </w:r>
    </w:p>
    <w:p w14:paraId="0CE7B811" w14:textId="5DDCC92A" w:rsidR="00ED3BFA" w:rsidRPr="00A20699" w:rsidRDefault="002A1C4A" w:rsidP="002A1C4A">
      <w:pPr>
        <w:spacing w:before="60" w:after="120"/>
        <w:ind w:left="0" w:right="14" w:firstLine="426"/>
        <w:rPr>
          <w:sz w:val="22"/>
        </w:rPr>
      </w:pPr>
      <w:r w:rsidRPr="002A1C4A">
        <w:rPr>
          <w:sz w:val="22"/>
        </w:rPr>
        <w:t>Eleduna: Javier García Jiménez</w:t>
      </w:r>
    </w:p>
    <w:sectPr w:rsidR="00ED3BFA" w:rsidRPr="00A20699" w:rsidSect="00A20699">
      <w:footerReference w:type="even" r:id="rId6"/>
      <w:footerReference w:type="first" r:id="rId7"/>
      <w:pgSz w:w="11900" w:h="16840"/>
      <w:pgMar w:top="1560" w:right="936" w:bottom="1598" w:left="1134" w:header="72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DEBE3" w14:textId="77777777" w:rsidR="00462CF4" w:rsidRDefault="00462CF4">
      <w:pPr>
        <w:spacing w:after="0" w:line="240" w:lineRule="auto"/>
      </w:pPr>
      <w:r>
        <w:separator/>
      </w:r>
    </w:p>
  </w:endnote>
  <w:endnote w:type="continuationSeparator" w:id="0">
    <w:p w14:paraId="6C329FD5" w14:textId="77777777" w:rsidR="00462CF4" w:rsidRDefault="0046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25FC" w14:textId="77777777" w:rsidR="00ED3BFA" w:rsidRDefault="00462CF4">
    <w:pPr>
      <w:spacing w:after="0" w:line="259" w:lineRule="auto"/>
      <w:ind w:left="0" w:right="216"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0F4B" w14:textId="77777777" w:rsidR="00ED3BFA" w:rsidRDefault="00462CF4">
    <w:pPr>
      <w:spacing w:after="0" w:line="259" w:lineRule="auto"/>
      <w:ind w:left="0" w:right="216" w:firstLine="0"/>
      <w:jc w:val="right"/>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83C3" w14:textId="77777777" w:rsidR="00462CF4" w:rsidRDefault="00462CF4">
      <w:pPr>
        <w:spacing w:after="0" w:line="240" w:lineRule="auto"/>
      </w:pPr>
      <w:r>
        <w:separator/>
      </w:r>
    </w:p>
  </w:footnote>
  <w:footnote w:type="continuationSeparator" w:id="0">
    <w:p w14:paraId="7E557FCB" w14:textId="77777777" w:rsidR="00462CF4" w:rsidRDefault="00462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FA"/>
    <w:rsid w:val="002A1C4A"/>
    <w:rsid w:val="003D0A50"/>
    <w:rsid w:val="00462CF4"/>
    <w:rsid w:val="00A20699"/>
    <w:rsid w:val="00ED3B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5754"/>
  <w15:docId w15:val="{9539F66A-4071-481F-A696-59FFC71A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1" w:line="226" w:lineRule="auto"/>
      <w:ind w:left="182" w:right="125" w:firstLine="9"/>
      <w:jc w:val="both"/>
    </w:pPr>
    <w:rPr>
      <w:rFonts w:ascii="Calibri" w:eastAsia="Calibri" w:hAnsi="Calibri" w:cs="Calibri"/>
      <w:color w:val="000000"/>
      <w:sz w:val="28"/>
    </w:rPr>
  </w:style>
  <w:style w:type="paragraph" w:styleId="Ttulo1">
    <w:name w:val="heading 1"/>
    <w:next w:val="Normal"/>
    <w:link w:val="Ttulo1Car"/>
    <w:uiPriority w:val="9"/>
    <w:qFormat/>
    <w:pPr>
      <w:keepNext/>
      <w:keepLines/>
      <w:spacing w:after="550"/>
      <w:ind w:left="77"/>
      <w:jc w:val="center"/>
      <w:outlineLvl w:val="0"/>
    </w:pPr>
    <w:rPr>
      <w:rFonts w:ascii="Calibri" w:eastAsia="Calibri" w:hAnsi="Calibri" w:cs="Calibri"/>
      <w:color w:val="000000"/>
      <w:sz w:val="28"/>
      <w:u w:val="single" w:color="000000"/>
    </w:rPr>
  </w:style>
  <w:style w:type="paragraph" w:styleId="Ttulo2">
    <w:name w:val="heading 2"/>
    <w:next w:val="Normal"/>
    <w:link w:val="Ttulo2Car"/>
    <w:uiPriority w:val="9"/>
    <w:unhideWhenUsed/>
    <w:qFormat/>
    <w:pPr>
      <w:keepNext/>
      <w:keepLines/>
      <w:spacing w:after="87" w:line="265" w:lineRule="auto"/>
      <w:ind w:left="192" w:right="125" w:hanging="10"/>
      <w:jc w:val="center"/>
      <w:outlineLvl w:val="1"/>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color w:val="000000"/>
      <w:sz w:val="28"/>
    </w:rPr>
  </w:style>
  <w:style w:type="character" w:customStyle="1" w:styleId="Ttulo1Car">
    <w:name w:val="Título 1 Car"/>
    <w:link w:val="Ttulo1"/>
    <w:rPr>
      <w:rFonts w:ascii="Calibri" w:eastAsia="Calibri" w:hAnsi="Calibri" w:cs="Calibri"/>
      <w:color w:val="000000"/>
      <w:sz w:val="28"/>
      <w:u w:val="single" w:color="000000"/>
    </w:rPr>
  </w:style>
  <w:style w:type="paragraph" w:styleId="Encabezado">
    <w:name w:val="header"/>
    <w:basedOn w:val="Normal"/>
    <w:link w:val="EncabezadoCar"/>
    <w:uiPriority w:val="99"/>
    <w:unhideWhenUsed/>
    <w:rsid w:val="00A206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0699"/>
    <w:rPr>
      <w:rFonts w:ascii="Calibri" w:eastAsia="Calibri" w:hAnsi="Calibri" w:cs="Calibri"/>
      <w:color w:val="000000"/>
      <w:sz w:val="28"/>
    </w:rPr>
  </w:style>
  <w:style w:type="paragraph" w:styleId="Piedepgina">
    <w:name w:val="footer"/>
    <w:basedOn w:val="Normal"/>
    <w:link w:val="PiedepginaCar"/>
    <w:uiPriority w:val="99"/>
    <w:semiHidden/>
    <w:unhideWhenUsed/>
    <w:rsid w:val="00A206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0699"/>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723</Words>
  <Characters>3981</Characters>
  <Application>Microsoft Office Word</Application>
  <DocSecurity>0</DocSecurity>
  <Lines>33</Lines>
  <Paragraphs>9</Paragraphs>
  <ScaleCrop>false</ScaleCrop>
  <Company>Hewlett-Packard Company</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Martin Cestao, Nerea</cp:lastModifiedBy>
  <cp:revision>5</cp:revision>
  <dcterms:created xsi:type="dcterms:W3CDTF">2023-09-15T09:50:00Z</dcterms:created>
  <dcterms:modified xsi:type="dcterms:W3CDTF">2023-09-20T10:00:00Z</dcterms:modified>
</cp:coreProperties>
</file>