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74C0C" w14:textId="4383AE5C" w:rsidR="00003AAD" w:rsidRPr="00E05004" w:rsidRDefault="00815147" w:rsidP="005305AC">
      <w:pPr>
        <w:pStyle w:val="Style"/>
        <w:spacing w:before="100" w:beforeAutospacing="1" w:after="200" w:line="276" w:lineRule="auto"/>
        <w:rPr>
          <w:rFonts w:ascii="Calibri" w:hAnsi="Calibri" w:cs="Calibri"/>
          <w:sz w:val="22"/>
          <w:szCs w:val="22"/>
        </w:rPr>
      </w:pPr>
      <w:r w:rsidRPr="00E05004">
        <w:rPr>
          <w:rFonts w:ascii="Calibri" w:hAnsi="Calibri" w:cs="Calibri"/>
          <w:sz w:val="22"/>
          <w:szCs w:val="22"/>
        </w:rPr>
        <w:t>23MOC-57</w:t>
      </w:r>
    </w:p>
    <w:p w14:paraId="67C16252" w14:textId="77777777" w:rsidR="00E63206" w:rsidRDefault="0074465C" w:rsidP="005305AC">
      <w:pPr>
        <w:pStyle w:val="Style"/>
        <w:spacing w:before="100" w:beforeAutospacing="1" w:after="200" w:line="276" w:lineRule="auto"/>
        <w:ind w:right="24"/>
        <w:jc w:val="both"/>
        <w:textAlignment w:val="baseline"/>
        <w:rPr>
          <w:rFonts w:ascii="Calibri" w:hAnsi="Calibri" w:cs="Calibri"/>
          <w:sz w:val="22"/>
          <w:szCs w:val="22"/>
        </w:rPr>
      </w:pPr>
      <w:r w:rsidRPr="00E63206">
        <w:rPr>
          <w:rFonts w:ascii="Calibri" w:hAnsi="Calibri" w:cs="Calibri"/>
          <w:bCs/>
          <w:sz w:val="22"/>
          <w:szCs w:val="22"/>
        </w:rPr>
        <w:t>Adolfo Araiz Flamarique,</w:t>
      </w:r>
      <w:r w:rsidRPr="00E05004">
        <w:rPr>
          <w:rFonts w:ascii="Calibri" w:hAnsi="Calibri" w:cs="Calibri"/>
          <w:b/>
          <w:sz w:val="22"/>
          <w:szCs w:val="22"/>
        </w:rPr>
        <w:t xml:space="preserve"> </w:t>
      </w:r>
      <w:r w:rsidRPr="00E05004">
        <w:rPr>
          <w:rFonts w:ascii="Calibri" w:hAnsi="Calibri" w:cs="Calibri"/>
          <w:sz w:val="22"/>
          <w:szCs w:val="22"/>
        </w:rPr>
        <w:t xml:space="preserve">parlamentario adscrito al Grupo Parlamentario </w:t>
      </w:r>
      <w:r w:rsidRPr="00E63206">
        <w:rPr>
          <w:rFonts w:ascii="Calibri" w:hAnsi="Calibri" w:cs="Calibri"/>
          <w:bCs/>
          <w:w w:val="85"/>
          <w:sz w:val="22"/>
          <w:szCs w:val="22"/>
        </w:rPr>
        <w:t xml:space="preserve">EH </w:t>
      </w:r>
      <w:r w:rsidR="00E63206" w:rsidRPr="00E63206">
        <w:rPr>
          <w:rFonts w:ascii="Calibri" w:hAnsi="Calibri" w:cs="Calibri"/>
          <w:bCs/>
          <w:w w:val="85"/>
          <w:sz w:val="22"/>
          <w:szCs w:val="22"/>
        </w:rPr>
        <w:t>Bildu Nafarroa</w:t>
      </w:r>
      <w:r w:rsidRPr="00E63206">
        <w:rPr>
          <w:rFonts w:ascii="Calibri" w:hAnsi="Calibri" w:cs="Calibri"/>
          <w:bCs/>
          <w:w w:val="85"/>
          <w:sz w:val="22"/>
          <w:szCs w:val="22"/>
        </w:rPr>
        <w:t>,</w:t>
      </w:r>
      <w:r w:rsidRPr="00E05004">
        <w:rPr>
          <w:rFonts w:ascii="Calibri" w:hAnsi="Calibri" w:cs="Calibri"/>
          <w:b/>
          <w:w w:val="85"/>
          <w:sz w:val="22"/>
          <w:szCs w:val="22"/>
        </w:rPr>
        <w:t xml:space="preserve"> </w:t>
      </w:r>
      <w:r w:rsidRPr="00E05004">
        <w:rPr>
          <w:rFonts w:ascii="Calibri" w:hAnsi="Calibri" w:cs="Calibri"/>
          <w:sz w:val="22"/>
          <w:szCs w:val="22"/>
        </w:rPr>
        <w:t xml:space="preserve">al amparo de lo dispuesto en el artículo 220 del Reglamento de la Cámara presenta la siguiente </w:t>
      </w:r>
      <w:r w:rsidR="00E63206" w:rsidRPr="00E63206">
        <w:rPr>
          <w:rFonts w:ascii="Calibri" w:hAnsi="Calibri" w:cs="Calibri"/>
          <w:bCs/>
          <w:w w:val="85"/>
          <w:sz w:val="22"/>
          <w:szCs w:val="22"/>
        </w:rPr>
        <w:t>moción:</w:t>
      </w:r>
      <w:r w:rsidR="00E63206" w:rsidRPr="00E05004">
        <w:rPr>
          <w:rFonts w:ascii="Calibri" w:hAnsi="Calibri" w:cs="Calibri"/>
          <w:b/>
          <w:w w:val="85"/>
          <w:sz w:val="22"/>
          <w:szCs w:val="22"/>
        </w:rPr>
        <w:t xml:space="preserve"> </w:t>
      </w:r>
    </w:p>
    <w:p w14:paraId="4D7135F2" w14:textId="7CE17AF4" w:rsidR="00003AAD" w:rsidRPr="00E05004" w:rsidRDefault="0074465C" w:rsidP="005305AC">
      <w:pPr>
        <w:pStyle w:val="Style"/>
        <w:spacing w:before="100" w:beforeAutospacing="1" w:after="200" w:line="276" w:lineRule="auto"/>
        <w:ind w:right="24"/>
        <w:jc w:val="both"/>
        <w:textAlignment w:val="baseline"/>
        <w:rPr>
          <w:rFonts w:ascii="Calibri" w:hAnsi="Calibri" w:cs="Calibri"/>
          <w:sz w:val="22"/>
          <w:szCs w:val="22"/>
        </w:rPr>
      </w:pPr>
      <w:r w:rsidRPr="00E05004">
        <w:rPr>
          <w:rFonts w:ascii="Calibri" w:hAnsi="Calibri" w:cs="Calibri"/>
          <w:sz w:val="22"/>
          <w:szCs w:val="22"/>
        </w:rPr>
        <w:t xml:space="preserve">En la Exposición de Motivos del Informe del Parlamento Europeo sobre movilidad urbana sostenible del año 2014 (2014/2242), cuyo texto final fue aprobado mediante Resolución del Parlamento Europeo el 2 de diciembre de 2015, ya se entendía la movilidad como un derecho del ciudadano, estableciendo que </w:t>
      </w:r>
      <w:r w:rsidR="00715439">
        <w:rPr>
          <w:rFonts w:ascii="Calibri" w:hAnsi="Calibri" w:cs="Calibri"/>
          <w:i/>
          <w:iCs/>
          <w:sz w:val="22"/>
          <w:szCs w:val="22"/>
        </w:rPr>
        <w:t>“</w:t>
      </w:r>
      <w:r w:rsidRPr="00E05004">
        <w:rPr>
          <w:rFonts w:ascii="Calibri" w:hAnsi="Calibri" w:cs="Calibri"/>
          <w:i/>
          <w:iCs/>
          <w:sz w:val="22"/>
          <w:szCs w:val="22"/>
        </w:rPr>
        <w:t>la movilidad no es un fin en sí mismo, sino que debería ser un derecho para tod</w:t>
      </w:r>
      <w:r w:rsidR="00E63206">
        <w:rPr>
          <w:rFonts w:ascii="Calibri" w:hAnsi="Calibri" w:cs="Calibri"/>
          <w:i/>
          <w:iCs/>
          <w:sz w:val="22"/>
          <w:szCs w:val="22"/>
        </w:rPr>
        <w:t>o</w:t>
      </w:r>
      <w:r w:rsidRPr="00E05004">
        <w:rPr>
          <w:rFonts w:ascii="Calibri" w:hAnsi="Calibri" w:cs="Calibri"/>
          <w:i/>
          <w:iCs/>
          <w:sz w:val="22"/>
          <w:szCs w:val="22"/>
        </w:rPr>
        <w:t>s</w:t>
      </w:r>
      <w:r w:rsidR="00E63206">
        <w:rPr>
          <w:rFonts w:ascii="Calibri" w:hAnsi="Calibri" w:cs="Calibri"/>
          <w:i/>
          <w:iCs/>
          <w:sz w:val="22"/>
          <w:szCs w:val="22"/>
        </w:rPr>
        <w:t xml:space="preserve"> </w:t>
      </w:r>
      <w:r w:rsidRPr="00E05004">
        <w:rPr>
          <w:rFonts w:ascii="Calibri" w:hAnsi="Calibri" w:cs="Calibri"/>
          <w:i/>
          <w:iCs/>
          <w:sz w:val="22"/>
          <w:szCs w:val="22"/>
        </w:rPr>
        <w:t>(...)</w:t>
      </w:r>
      <w:r w:rsidR="00461E03">
        <w:rPr>
          <w:rFonts w:ascii="Calibri" w:hAnsi="Calibri" w:cs="Calibri"/>
          <w:i/>
          <w:iCs/>
          <w:sz w:val="22"/>
          <w:szCs w:val="22"/>
        </w:rPr>
        <w:t>.</w:t>
      </w:r>
      <w:r w:rsidRPr="00E05004">
        <w:rPr>
          <w:rFonts w:ascii="Calibri" w:hAnsi="Calibri" w:cs="Calibri"/>
          <w:i/>
          <w:iCs/>
          <w:sz w:val="22"/>
          <w:szCs w:val="22"/>
        </w:rPr>
        <w:t xml:space="preserve"> La misión de la movilidad es facilitar a todos, incluidas las personas de movilidad reducida, el acceso a los centros de enseñanza, al trabajo, a la cultura, a las actividades de ocio </w:t>
      </w:r>
      <w:r w:rsidRPr="00E05004">
        <w:rPr>
          <w:rFonts w:ascii="Calibri" w:hAnsi="Calibri" w:cs="Calibri"/>
          <w:i/>
          <w:iCs/>
          <w:w w:val="108"/>
          <w:sz w:val="22"/>
          <w:szCs w:val="22"/>
        </w:rPr>
        <w:t xml:space="preserve">y </w:t>
      </w:r>
      <w:r w:rsidRPr="00E05004">
        <w:rPr>
          <w:rFonts w:ascii="Calibri" w:hAnsi="Calibri" w:cs="Calibri"/>
          <w:i/>
          <w:iCs/>
          <w:sz w:val="22"/>
          <w:szCs w:val="22"/>
        </w:rPr>
        <w:t>a los servicios de salud</w:t>
      </w:r>
      <w:r w:rsidR="00E63206">
        <w:rPr>
          <w:rFonts w:ascii="Calibri" w:hAnsi="Calibri" w:cs="Calibri"/>
          <w:i/>
          <w:iCs/>
          <w:sz w:val="22"/>
          <w:szCs w:val="22"/>
        </w:rPr>
        <w:t xml:space="preserve"> </w:t>
      </w:r>
      <w:r w:rsidRPr="00E05004">
        <w:rPr>
          <w:rFonts w:ascii="Calibri" w:hAnsi="Calibri" w:cs="Calibri"/>
          <w:i/>
          <w:iCs/>
          <w:sz w:val="22"/>
          <w:szCs w:val="22"/>
        </w:rPr>
        <w:t>(...)</w:t>
      </w:r>
      <w:r w:rsidR="00715439">
        <w:rPr>
          <w:rFonts w:ascii="Calibri" w:hAnsi="Calibri" w:cs="Calibri"/>
          <w:i/>
          <w:iCs/>
          <w:sz w:val="22"/>
          <w:szCs w:val="22"/>
        </w:rPr>
        <w:t>”</w:t>
      </w:r>
      <w:r w:rsidRPr="00E05004">
        <w:rPr>
          <w:rFonts w:ascii="Calibri" w:hAnsi="Calibri" w:cs="Calibri"/>
          <w:i/>
          <w:iCs/>
          <w:sz w:val="22"/>
          <w:szCs w:val="22"/>
        </w:rPr>
        <w:t xml:space="preserve">. </w:t>
      </w:r>
    </w:p>
    <w:p w14:paraId="36A59A0D" w14:textId="5AAF661A" w:rsidR="00E63206" w:rsidRDefault="0074465C" w:rsidP="005305AC">
      <w:pPr>
        <w:pStyle w:val="Style"/>
        <w:spacing w:before="100" w:beforeAutospacing="1" w:after="200" w:line="276" w:lineRule="auto"/>
        <w:jc w:val="both"/>
        <w:textAlignment w:val="baseline"/>
        <w:rPr>
          <w:rFonts w:ascii="Calibri" w:hAnsi="Calibri" w:cs="Calibri"/>
          <w:sz w:val="22"/>
          <w:szCs w:val="22"/>
        </w:rPr>
      </w:pPr>
      <w:r w:rsidRPr="00E05004">
        <w:rPr>
          <w:rFonts w:ascii="Calibri" w:hAnsi="Calibri" w:cs="Calibri"/>
          <w:sz w:val="22"/>
          <w:szCs w:val="22"/>
        </w:rPr>
        <w:t xml:space="preserve">Por su parte, el artículo 44 de la Ley Foral 4/2022, de 22 de marzo, del </w:t>
      </w:r>
      <w:r w:rsidR="00DE1397">
        <w:rPr>
          <w:rFonts w:ascii="Calibri" w:hAnsi="Calibri" w:cs="Calibri"/>
          <w:sz w:val="22"/>
          <w:szCs w:val="22"/>
        </w:rPr>
        <w:t>C</w:t>
      </w:r>
      <w:r w:rsidRPr="00E05004">
        <w:rPr>
          <w:rFonts w:ascii="Calibri" w:hAnsi="Calibri" w:cs="Calibri"/>
          <w:sz w:val="22"/>
          <w:szCs w:val="22"/>
        </w:rPr>
        <w:t xml:space="preserve">ambio </w:t>
      </w:r>
      <w:r w:rsidR="00DE1397">
        <w:rPr>
          <w:rFonts w:ascii="Calibri" w:hAnsi="Calibri" w:cs="Calibri"/>
          <w:sz w:val="22"/>
          <w:szCs w:val="22"/>
        </w:rPr>
        <w:t>C</w:t>
      </w:r>
      <w:r w:rsidRPr="00E05004">
        <w:rPr>
          <w:rFonts w:ascii="Calibri" w:hAnsi="Calibri" w:cs="Calibri"/>
          <w:sz w:val="22"/>
          <w:szCs w:val="22"/>
        </w:rPr>
        <w:t xml:space="preserve">limático y </w:t>
      </w:r>
      <w:r w:rsidR="00DE1397">
        <w:rPr>
          <w:rFonts w:ascii="Calibri" w:hAnsi="Calibri" w:cs="Calibri"/>
          <w:sz w:val="22"/>
          <w:szCs w:val="22"/>
        </w:rPr>
        <w:t>T</w:t>
      </w:r>
      <w:r w:rsidRPr="00E05004">
        <w:rPr>
          <w:rFonts w:ascii="Calibri" w:hAnsi="Calibri" w:cs="Calibri"/>
          <w:sz w:val="22"/>
          <w:szCs w:val="22"/>
        </w:rPr>
        <w:t xml:space="preserve">ransición </w:t>
      </w:r>
      <w:r w:rsidR="00DE1397">
        <w:rPr>
          <w:rFonts w:ascii="Calibri" w:hAnsi="Calibri" w:cs="Calibri"/>
          <w:sz w:val="22"/>
          <w:szCs w:val="22"/>
        </w:rPr>
        <w:t>E</w:t>
      </w:r>
      <w:r w:rsidRPr="00E05004">
        <w:rPr>
          <w:rFonts w:ascii="Calibri" w:hAnsi="Calibri" w:cs="Calibri"/>
          <w:sz w:val="22"/>
          <w:szCs w:val="22"/>
        </w:rPr>
        <w:t xml:space="preserve">nergética establece que las administraciones públicas de Navarra, en el marco de sus respectivas competencias, adoptarán medidas para el impulso de la movilidad sostenible que permitan alcanzar en el sector de la movilidad y el transporte unos objetivos de reducción de emisiones de gases de efecto invernadero coherentes con los enunciados en esta ley foral. </w:t>
      </w:r>
    </w:p>
    <w:p w14:paraId="1AF79EAB" w14:textId="77777777" w:rsidR="00715439" w:rsidRDefault="0074465C" w:rsidP="005305AC">
      <w:pPr>
        <w:pStyle w:val="Style"/>
        <w:spacing w:before="100" w:beforeAutospacing="1" w:after="200" w:line="276" w:lineRule="auto"/>
        <w:ind w:left="19"/>
        <w:textAlignment w:val="baseline"/>
        <w:rPr>
          <w:rFonts w:ascii="Calibri" w:hAnsi="Calibri" w:cs="Calibri"/>
          <w:sz w:val="22"/>
          <w:szCs w:val="22"/>
        </w:rPr>
      </w:pPr>
      <w:r w:rsidRPr="00E05004">
        <w:rPr>
          <w:rFonts w:ascii="Calibri" w:hAnsi="Calibri" w:cs="Calibri"/>
          <w:sz w:val="22"/>
          <w:szCs w:val="22"/>
        </w:rPr>
        <w:t xml:space="preserve">Así mismo se fijan los principios básicos de las políticas de movilidad y transporte desarrolladas por las administraciones públicas de Navarra que serán: </w:t>
      </w:r>
    </w:p>
    <w:p w14:paraId="1B039A56" w14:textId="36377354" w:rsidR="00003AAD" w:rsidRDefault="005305AC" w:rsidP="005305AC">
      <w:pPr>
        <w:pStyle w:val="Style"/>
        <w:spacing w:before="100" w:beforeAutospacing="1" w:after="200" w:line="276" w:lineRule="auto"/>
        <w:ind w:left="1224"/>
        <w:textAlignment w:val="baseline"/>
        <w:rPr>
          <w:rFonts w:ascii="Calibri" w:hAnsi="Calibri" w:cs="Calibri"/>
          <w:sz w:val="22"/>
          <w:szCs w:val="22"/>
        </w:rPr>
      </w:pPr>
      <w:r>
        <w:rPr>
          <w:rFonts w:ascii="Calibri" w:hAnsi="Calibri" w:cs="Calibri"/>
          <w:sz w:val="22"/>
          <w:szCs w:val="22"/>
        </w:rPr>
        <w:t>a</w:t>
      </w:r>
      <w:r w:rsidRPr="00E05004">
        <w:rPr>
          <w:rFonts w:ascii="Calibri" w:hAnsi="Calibri" w:cs="Calibri"/>
          <w:sz w:val="22"/>
          <w:szCs w:val="22"/>
        </w:rPr>
        <w:t xml:space="preserve">) </w:t>
      </w:r>
      <w:r w:rsidR="0074465C" w:rsidRPr="00E05004">
        <w:rPr>
          <w:rFonts w:ascii="Calibri" w:hAnsi="Calibri" w:cs="Calibri"/>
          <w:sz w:val="22"/>
          <w:szCs w:val="22"/>
        </w:rPr>
        <w:t>Reducir el peso de la movilidad privada y motorizada· en el reparto modal de los desplazamientos.</w:t>
      </w:r>
    </w:p>
    <w:p w14:paraId="20DFDE67" w14:textId="7FCDCBF9" w:rsidR="00461E03" w:rsidRDefault="005305AC" w:rsidP="005305AC">
      <w:pPr>
        <w:pStyle w:val="Style"/>
        <w:spacing w:before="100" w:beforeAutospacing="1" w:after="200" w:line="276" w:lineRule="auto"/>
        <w:ind w:left="1229"/>
        <w:textAlignment w:val="baseline"/>
        <w:rPr>
          <w:rFonts w:ascii="Calibri" w:hAnsi="Calibri" w:cs="Calibri"/>
          <w:sz w:val="22"/>
          <w:szCs w:val="22"/>
        </w:rPr>
      </w:pPr>
      <w:r>
        <w:rPr>
          <w:rFonts w:ascii="Calibri" w:hAnsi="Calibri" w:cs="Calibri"/>
          <w:sz w:val="22"/>
          <w:szCs w:val="22"/>
        </w:rPr>
        <w:t>b</w:t>
      </w:r>
      <w:r w:rsidRPr="00E05004">
        <w:rPr>
          <w:rFonts w:ascii="Calibri" w:hAnsi="Calibri" w:cs="Calibri"/>
          <w:sz w:val="22"/>
          <w:szCs w:val="22"/>
        </w:rPr>
        <w:t xml:space="preserve">) </w:t>
      </w:r>
      <w:r w:rsidR="0074465C" w:rsidRPr="00E05004">
        <w:rPr>
          <w:rFonts w:ascii="Calibri" w:hAnsi="Calibri" w:cs="Calibri"/>
          <w:sz w:val="22"/>
          <w:szCs w:val="22"/>
        </w:rPr>
        <w:t xml:space="preserve">La movilidad no motorizada, especialmente en los centros urbanos. </w:t>
      </w:r>
    </w:p>
    <w:p w14:paraId="5626D0D2" w14:textId="0CDE42A3" w:rsidR="00E63206" w:rsidRPr="00461E03" w:rsidRDefault="005305AC" w:rsidP="005305AC">
      <w:pPr>
        <w:pStyle w:val="Style"/>
        <w:spacing w:before="100" w:beforeAutospacing="1" w:after="200" w:line="276" w:lineRule="auto"/>
        <w:ind w:left="1229"/>
        <w:textAlignment w:val="baseline"/>
        <w:rPr>
          <w:rFonts w:ascii="Calibri" w:hAnsi="Calibri" w:cs="Calibri"/>
          <w:sz w:val="22"/>
          <w:szCs w:val="22"/>
        </w:rPr>
      </w:pPr>
      <w:r>
        <w:rPr>
          <w:rFonts w:ascii="Calibri" w:hAnsi="Calibri" w:cs="Calibri"/>
          <w:sz w:val="22"/>
          <w:szCs w:val="22"/>
        </w:rPr>
        <w:t>c</w:t>
      </w:r>
      <w:r w:rsidRPr="00E05004">
        <w:rPr>
          <w:rFonts w:ascii="Calibri" w:hAnsi="Calibri" w:cs="Calibri"/>
          <w:sz w:val="22"/>
          <w:szCs w:val="22"/>
        </w:rPr>
        <w:t xml:space="preserve">) </w:t>
      </w:r>
      <w:r w:rsidR="0074465C" w:rsidRPr="00461E03">
        <w:rPr>
          <w:rFonts w:ascii="Calibri" w:hAnsi="Calibri" w:cs="Calibri"/>
          <w:sz w:val="22"/>
          <w:szCs w:val="22"/>
        </w:rPr>
        <w:t xml:space="preserve">Promoción del transporte público colectivo urbano e interurbano y vehículos compartidos entre particulares, y de la intermodalidad, mostrando una especial atención a las poblaciones rurales. </w:t>
      </w:r>
    </w:p>
    <w:p w14:paraId="0C7D455A" w14:textId="77777777" w:rsidR="00E63206" w:rsidRDefault="0074465C" w:rsidP="005305AC">
      <w:pPr>
        <w:pStyle w:val="Style"/>
        <w:spacing w:before="100" w:beforeAutospacing="1" w:after="200" w:line="276" w:lineRule="auto"/>
        <w:ind w:left="922" w:right="43" w:firstLine="307"/>
        <w:textAlignment w:val="baseline"/>
        <w:rPr>
          <w:rFonts w:ascii="Calibri" w:hAnsi="Calibri" w:cs="Calibri"/>
          <w:sz w:val="22"/>
          <w:szCs w:val="22"/>
        </w:rPr>
      </w:pPr>
      <w:r w:rsidRPr="00E05004">
        <w:rPr>
          <w:rFonts w:ascii="Calibri" w:hAnsi="Calibri" w:cs="Calibri"/>
          <w:sz w:val="22"/>
          <w:szCs w:val="22"/>
        </w:rPr>
        <w:t xml:space="preserve">d) Promoción de la movilidad activa peatonal y ciclista. </w:t>
      </w:r>
    </w:p>
    <w:p w14:paraId="1AD2545E" w14:textId="77777777" w:rsidR="00E63206" w:rsidRDefault="0074465C" w:rsidP="005305AC">
      <w:pPr>
        <w:pStyle w:val="Style"/>
        <w:spacing w:before="100" w:beforeAutospacing="1" w:after="200" w:line="276" w:lineRule="auto"/>
        <w:ind w:left="1229" w:right="24"/>
        <w:textAlignment w:val="baseline"/>
        <w:rPr>
          <w:rFonts w:ascii="Calibri" w:hAnsi="Calibri" w:cs="Calibri"/>
          <w:sz w:val="22"/>
          <w:szCs w:val="22"/>
        </w:rPr>
      </w:pPr>
      <w:r w:rsidRPr="00E05004">
        <w:rPr>
          <w:rFonts w:ascii="Calibri" w:hAnsi="Calibri" w:cs="Calibri"/>
          <w:sz w:val="22"/>
          <w:szCs w:val="22"/>
        </w:rPr>
        <w:t xml:space="preserve">e) Promoción del trasvase modal de viajeros y mercancías de la carretera al ferrocarril. </w:t>
      </w:r>
    </w:p>
    <w:p w14:paraId="7305ABF7" w14:textId="77777777" w:rsidR="00E63206" w:rsidRDefault="0074465C" w:rsidP="005305AC">
      <w:pPr>
        <w:pStyle w:val="Style"/>
        <w:spacing w:before="100" w:beforeAutospacing="1" w:after="200" w:line="276" w:lineRule="auto"/>
        <w:ind w:left="922" w:right="43" w:firstLine="307"/>
        <w:textAlignment w:val="baseline"/>
        <w:rPr>
          <w:rFonts w:ascii="Calibri" w:hAnsi="Calibri" w:cs="Calibri"/>
          <w:sz w:val="22"/>
          <w:szCs w:val="22"/>
        </w:rPr>
      </w:pPr>
      <w:r w:rsidRPr="00E05004">
        <w:rPr>
          <w:rFonts w:ascii="Calibri" w:eastAsia="Arial" w:hAnsi="Calibri" w:cs="Calibri"/>
          <w:sz w:val="22"/>
          <w:szCs w:val="22"/>
        </w:rPr>
        <w:t xml:space="preserve">f) </w:t>
      </w:r>
      <w:r w:rsidRPr="00E05004">
        <w:rPr>
          <w:rFonts w:ascii="Calibri" w:hAnsi="Calibri" w:cs="Calibri"/>
          <w:sz w:val="22"/>
          <w:szCs w:val="22"/>
        </w:rPr>
        <w:t xml:space="preserve">Mejora de la accesibilidad. </w:t>
      </w:r>
    </w:p>
    <w:p w14:paraId="78D6E6BA" w14:textId="77777777" w:rsidR="00E63206" w:rsidRDefault="0074465C" w:rsidP="005305AC">
      <w:pPr>
        <w:pStyle w:val="Style"/>
        <w:spacing w:before="100" w:beforeAutospacing="1" w:after="200" w:line="276" w:lineRule="auto"/>
        <w:ind w:left="922" w:right="43" w:firstLine="307"/>
        <w:textAlignment w:val="baseline"/>
        <w:rPr>
          <w:rFonts w:ascii="Calibri" w:hAnsi="Calibri" w:cs="Calibri"/>
          <w:sz w:val="22"/>
          <w:szCs w:val="22"/>
        </w:rPr>
      </w:pPr>
      <w:r w:rsidRPr="00E05004">
        <w:rPr>
          <w:rFonts w:ascii="Calibri" w:hAnsi="Calibri" w:cs="Calibri"/>
          <w:sz w:val="22"/>
          <w:szCs w:val="22"/>
        </w:rPr>
        <w:t xml:space="preserve">g) Mejora de la seguridad. </w:t>
      </w:r>
    </w:p>
    <w:p w14:paraId="2DBCEA0F" w14:textId="77777777" w:rsidR="00E63206" w:rsidRDefault="0074465C" w:rsidP="005305AC">
      <w:pPr>
        <w:pStyle w:val="Style"/>
        <w:spacing w:before="100" w:beforeAutospacing="1" w:after="200" w:line="276" w:lineRule="auto"/>
        <w:ind w:left="379" w:right="29" w:firstLine="850"/>
        <w:textAlignment w:val="baseline"/>
        <w:rPr>
          <w:rFonts w:ascii="Calibri" w:hAnsi="Calibri" w:cs="Calibri"/>
          <w:sz w:val="22"/>
          <w:szCs w:val="22"/>
        </w:rPr>
      </w:pPr>
      <w:r w:rsidRPr="00E05004">
        <w:rPr>
          <w:rFonts w:ascii="Calibri" w:hAnsi="Calibri" w:cs="Calibri"/>
          <w:sz w:val="22"/>
          <w:szCs w:val="22"/>
        </w:rPr>
        <w:t xml:space="preserve">h) Reducción del consumo energético y transición a vehículos cero emisiones. </w:t>
      </w:r>
    </w:p>
    <w:p w14:paraId="7D54B7C5" w14:textId="675E750A" w:rsidR="00003AAD" w:rsidRPr="00E05004" w:rsidRDefault="0074465C" w:rsidP="005305AC">
      <w:pPr>
        <w:pStyle w:val="Style"/>
        <w:spacing w:before="100" w:beforeAutospacing="1" w:after="200" w:line="276" w:lineRule="auto"/>
        <w:ind w:left="38" w:right="38"/>
        <w:jc w:val="both"/>
        <w:textAlignment w:val="baseline"/>
        <w:rPr>
          <w:rFonts w:ascii="Calibri" w:hAnsi="Calibri" w:cs="Calibri"/>
          <w:sz w:val="22"/>
          <w:szCs w:val="22"/>
        </w:rPr>
      </w:pPr>
      <w:r w:rsidRPr="00E05004">
        <w:rPr>
          <w:rFonts w:ascii="Calibri" w:hAnsi="Calibri" w:cs="Calibri"/>
          <w:sz w:val="22"/>
          <w:szCs w:val="22"/>
        </w:rPr>
        <w:t xml:space="preserve">En el apartado 3 de este artículo se indica que las administraciones públicas actuarán de forma coordinada, correspondiendo a la Administración de la Comunidad Foral de Navarra el establecimiento y coordinación de las líneas estratégicas de actuación, mediante la aprobación y ejecución del Plan Director de Movilidad Sostenible de Navarra en el que se incorporarán los principios reseñados, determinando sus objetivos de reducción de emisiones y medidas específicas para cumplir los objetivos esperados. </w:t>
      </w:r>
    </w:p>
    <w:p w14:paraId="39B8573C" w14:textId="0D8E4BAF" w:rsidR="00E63206" w:rsidRDefault="0074465C" w:rsidP="005305AC">
      <w:pPr>
        <w:pStyle w:val="Style"/>
        <w:spacing w:before="100" w:beforeAutospacing="1" w:after="200" w:line="276" w:lineRule="auto"/>
        <w:ind w:right="67"/>
        <w:jc w:val="both"/>
        <w:textAlignment w:val="baseline"/>
        <w:rPr>
          <w:rFonts w:ascii="Calibri" w:hAnsi="Calibri" w:cs="Calibri"/>
          <w:sz w:val="22"/>
          <w:szCs w:val="22"/>
        </w:rPr>
      </w:pPr>
      <w:r w:rsidRPr="00E05004">
        <w:rPr>
          <w:rFonts w:ascii="Calibri" w:hAnsi="Calibri" w:cs="Calibri"/>
          <w:sz w:val="22"/>
          <w:szCs w:val="22"/>
        </w:rPr>
        <w:t xml:space="preserve">Por su parte la Disposición Adicional Tercera de la mismo Ley Foral, dispone que: </w:t>
      </w:r>
      <w:r w:rsidRPr="00E05004">
        <w:rPr>
          <w:rFonts w:ascii="Calibri" w:hAnsi="Calibri" w:cs="Calibri"/>
          <w:i/>
          <w:iCs/>
          <w:sz w:val="22"/>
          <w:szCs w:val="22"/>
        </w:rPr>
        <w:t>"</w:t>
      </w:r>
      <w:r w:rsidR="00461E03">
        <w:rPr>
          <w:rFonts w:ascii="Calibri" w:hAnsi="Calibri" w:cs="Calibri"/>
          <w:i/>
          <w:iCs/>
          <w:sz w:val="22"/>
          <w:szCs w:val="22"/>
        </w:rPr>
        <w:t>c</w:t>
      </w:r>
      <w:r w:rsidRPr="00E05004">
        <w:rPr>
          <w:rFonts w:ascii="Calibri" w:hAnsi="Calibri" w:cs="Calibri"/>
          <w:i/>
          <w:iCs/>
          <w:sz w:val="22"/>
          <w:szCs w:val="22"/>
        </w:rPr>
        <w:t xml:space="preserve">on objeto </w:t>
      </w:r>
      <w:r w:rsidRPr="00E05004">
        <w:rPr>
          <w:rFonts w:ascii="Calibri" w:hAnsi="Calibri" w:cs="Calibri"/>
          <w:i/>
          <w:iCs/>
          <w:sz w:val="22"/>
          <w:szCs w:val="22"/>
        </w:rPr>
        <w:lastRenderedPageBreak/>
        <w:t>de reforzar y complementar el cumplimiento de las medidas de impulso de la movilidad sostenible, movilidad eléctrica y cero emisiones establecidas en esta ley foral, el Gobierno de Navarra presentará al Parlamento de Navarra un proyecto de ley foral de movilidad sostenible</w:t>
      </w:r>
      <w:r w:rsidR="00DE1397">
        <w:rPr>
          <w:rFonts w:ascii="Calibri" w:hAnsi="Calibri" w:cs="Calibri"/>
          <w:i/>
          <w:iCs/>
          <w:sz w:val="22"/>
          <w:szCs w:val="22"/>
        </w:rPr>
        <w:t>”.</w:t>
      </w:r>
    </w:p>
    <w:p w14:paraId="280D9D51" w14:textId="26FA2A07" w:rsidR="00003AAD" w:rsidRPr="00E05004" w:rsidRDefault="0074465C" w:rsidP="005305AC">
      <w:pPr>
        <w:pStyle w:val="Style"/>
        <w:spacing w:before="100" w:beforeAutospacing="1" w:after="200" w:line="276" w:lineRule="auto"/>
        <w:ind w:right="106"/>
        <w:jc w:val="both"/>
        <w:textAlignment w:val="baseline"/>
        <w:rPr>
          <w:rFonts w:ascii="Calibri" w:hAnsi="Calibri" w:cs="Calibri"/>
          <w:sz w:val="22"/>
          <w:szCs w:val="22"/>
        </w:rPr>
        <w:sectPr w:rsidR="00003AAD" w:rsidRPr="00E05004">
          <w:type w:val="continuous"/>
          <w:pgSz w:w="11900" w:h="16840"/>
          <w:pgMar w:top="1042" w:right="1546" w:bottom="360" w:left="1757" w:header="0" w:footer="0" w:gutter="0"/>
          <w:cols w:space="720"/>
        </w:sectPr>
      </w:pPr>
      <w:r w:rsidRPr="00E05004">
        <w:rPr>
          <w:rFonts w:ascii="Calibri" w:hAnsi="Calibri" w:cs="Calibri"/>
          <w:sz w:val="22"/>
          <w:szCs w:val="22"/>
        </w:rPr>
        <w:t>En 2018 se sometió a participación pública la propuesta de Plan Director de Movilidad Sostenible de Navarra (2018-2030) que, finalmente, no llegó a aprobarse</w:t>
      </w:r>
      <w:r w:rsidR="00461E03">
        <w:rPr>
          <w:rFonts w:ascii="Calibri" w:hAnsi="Calibri" w:cs="Calibri"/>
          <w:sz w:val="22"/>
          <w:szCs w:val="22"/>
        </w:rPr>
        <w:t>.</w:t>
      </w:r>
    </w:p>
    <w:p w14:paraId="027FCE31" w14:textId="2FFE5EB3" w:rsidR="00E63206" w:rsidRDefault="0074465C" w:rsidP="005305AC">
      <w:pPr>
        <w:pStyle w:val="Style"/>
        <w:spacing w:before="100" w:beforeAutospacing="1" w:after="200" w:line="276" w:lineRule="auto"/>
        <w:ind w:right="1378"/>
        <w:textAlignment w:val="baseline"/>
        <w:rPr>
          <w:rFonts w:ascii="Calibri" w:hAnsi="Calibri" w:cs="Calibri"/>
          <w:sz w:val="22"/>
          <w:szCs w:val="22"/>
        </w:rPr>
      </w:pPr>
      <w:r w:rsidRPr="00E05004">
        <w:rPr>
          <w:rFonts w:ascii="Calibri" w:hAnsi="Calibri" w:cs="Calibri"/>
          <w:sz w:val="22"/>
          <w:szCs w:val="22"/>
        </w:rPr>
        <w:t xml:space="preserve">Por todo ello, se propone la adopción del siguiente </w:t>
      </w:r>
      <w:r w:rsidR="00DE1397" w:rsidRPr="00DE1397">
        <w:rPr>
          <w:rFonts w:ascii="Calibri" w:hAnsi="Calibri" w:cs="Calibri"/>
          <w:bCs/>
          <w:w w:val="85"/>
          <w:sz w:val="22"/>
          <w:szCs w:val="22"/>
        </w:rPr>
        <w:t>acuerdo</w:t>
      </w:r>
      <w:r w:rsidR="00DE1397">
        <w:rPr>
          <w:rFonts w:ascii="Calibri" w:hAnsi="Calibri" w:cs="Calibri"/>
          <w:sz w:val="22"/>
          <w:szCs w:val="22"/>
        </w:rPr>
        <w:t>:</w:t>
      </w:r>
      <w:r w:rsidR="00DE1397" w:rsidRPr="00DE1397">
        <w:rPr>
          <w:rFonts w:ascii="Calibri" w:hAnsi="Calibri" w:cs="Calibri"/>
          <w:sz w:val="22"/>
          <w:szCs w:val="22"/>
        </w:rPr>
        <w:t xml:space="preserve"> </w:t>
      </w:r>
    </w:p>
    <w:p w14:paraId="70B4D857" w14:textId="662B23E2" w:rsidR="00E63206" w:rsidRDefault="0074465C" w:rsidP="005305AC">
      <w:pPr>
        <w:pStyle w:val="Style"/>
        <w:spacing w:before="100" w:beforeAutospacing="1" w:after="200" w:line="276" w:lineRule="auto"/>
        <w:jc w:val="both"/>
        <w:textAlignment w:val="baseline"/>
        <w:rPr>
          <w:rFonts w:ascii="Calibri" w:hAnsi="Calibri" w:cs="Calibri"/>
          <w:sz w:val="22"/>
          <w:szCs w:val="22"/>
        </w:rPr>
      </w:pPr>
      <w:r w:rsidRPr="00DE1397">
        <w:rPr>
          <w:rFonts w:ascii="Calibri" w:eastAsia="Arial" w:hAnsi="Calibri" w:cs="Calibri"/>
          <w:bCs/>
          <w:sz w:val="22"/>
          <w:szCs w:val="22"/>
        </w:rPr>
        <w:t>Único.-</w:t>
      </w:r>
      <w:r w:rsidR="00461E03">
        <w:rPr>
          <w:rFonts w:ascii="Calibri" w:eastAsia="Arial" w:hAnsi="Calibri" w:cs="Calibri"/>
          <w:bCs/>
          <w:sz w:val="22"/>
          <w:szCs w:val="22"/>
        </w:rPr>
        <w:t xml:space="preserve"> </w:t>
      </w:r>
      <w:r w:rsidRPr="00DE1397">
        <w:rPr>
          <w:rFonts w:ascii="Calibri" w:eastAsia="Arial" w:hAnsi="Calibri" w:cs="Calibri"/>
          <w:bCs/>
          <w:sz w:val="22"/>
          <w:szCs w:val="22"/>
        </w:rPr>
        <w:t>El</w:t>
      </w:r>
      <w:r w:rsidRPr="00E05004">
        <w:rPr>
          <w:rFonts w:ascii="Calibri" w:eastAsia="Arial" w:hAnsi="Calibri" w:cs="Calibri"/>
          <w:b/>
          <w:sz w:val="22"/>
          <w:szCs w:val="22"/>
        </w:rPr>
        <w:t xml:space="preserve"> </w:t>
      </w:r>
      <w:r w:rsidRPr="00E05004">
        <w:rPr>
          <w:rFonts w:ascii="Calibri" w:hAnsi="Calibri" w:cs="Calibri"/>
          <w:sz w:val="22"/>
          <w:szCs w:val="22"/>
        </w:rPr>
        <w:t xml:space="preserve">Parlamento de Navarra insta al Gobierno de Navarra a que antes del 30 de septiembre de 2024 remita al Parlamento un Proyecto de Ley Foral de movilidad sostenible de Navarra. </w:t>
      </w:r>
    </w:p>
    <w:p w14:paraId="79CBBB2F" w14:textId="019CA159" w:rsidR="00E63206" w:rsidRDefault="0074465C" w:rsidP="005305AC">
      <w:pPr>
        <w:pStyle w:val="Style"/>
        <w:spacing w:before="100" w:beforeAutospacing="1" w:after="200" w:line="276" w:lineRule="auto"/>
        <w:ind w:right="1382"/>
        <w:textAlignment w:val="baseline"/>
        <w:rPr>
          <w:rFonts w:ascii="Calibri" w:hAnsi="Calibri" w:cs="Calibri"/>
          <w:sz w:val="22"/>
          <w:szCs w:val="22"/>
        </w:rPr>
      </w:pPr>
      <w:r w:rsidRPr="00E05004">
        <w:rPr>
          <w:rFonts w:ascii="Calibri" w:hAnsi="Calibri" w:cs="Calibri"/>
          <w:sz w:val="22"/>
          <w:szCs w:val="22"/>
        </w:rPr>
        <w:t>Iruñea/Pamplona</w:t>
      </w:r>
      <w:r>
        <w:rPr>
          <w:rFonts w:ascii="Calibri" w:hAnsi="Calibri" w:cs="Calibri"/>
          <w:sz w:val="22"/>
          <w:szCs w:val="22"/>
        </w:rPr>
        <w:t>,</w:t>
      </w:r>
      <w:r w:rsidRPr="00E05004">
        <w:rPr>
          <w:rFonts w:ascii="Calibri" w:hAnsi="Calibri" w:cs="Calibri"/>
          <w:sz w:val="22"/>
          <w:szCs w:val="22"/>
        </w:rPr>
        <w:t xml:space="preserve"> a 25 de octubre de 2023</w:t>
      </w:r>
    </w:p>
    <w:p w14:paraId="4EF7C46F" w14:textId="37853BD6" w:rsidR="00003AAD" w:rsidRPr="00E05004" w:rsidRDefault="00DE1397" w:rsidP="005305AC">
      <w:pPr>
        <w:pStyle w:val="Style"/>
        <w:spacing w:before="100" w:beforeAutospacing="1" w:after="200" w:line="276" w:lineRule="auto"/>
        <w:ind w:right="1382"/>
        <w:textAlignment w:val="baseline"/>
        <w:rPr>
          <w:rFonts w:ascii="Calibri" w:hAnsi="Calibri" w:cs="Calibri"/>
          <w:sz w:val="22"/>
          <w:szCs w:val="22"/>
        </w:rPr>
      </w:pPr>
      <w:r>
        <w:rPr>
          <w:rFonts w:ascii="Calibri" w:hAnsi="Calibri" w:cs="Calibri"/>
          <w:sz w:val="22"/>
          <w:szCs w:val="22"/>
        </w:rPr>
        <w:t>El Parlamentario Foral: Adolfo Araiz Flamarique</w:t>
      </w:r>
    </w:p>
    <w:sectPr w:rsidR="00003AAD" w:rsidRPr="00E05004">
      <w:type w:val="continuous"/>
      <w:pgSz w:w="11900" w:h="16840"/>
      <w:pgMar w:top="1675" w:right="1584" w:bottom="360" w:left="181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943E2"/>
    <w:multiLevelType w:val="singleLevel"/>
    <w:tmpl w:val="CEBC99A0"/>
    <w:lvl w:ilvl="0">
      <w:start w:val="3"/>
      <w:numFmt w:val="lowerLetter"/>
      <w:lvlText w:val="%1)"/>
      <w:legacy w:legacy="1" w:legacySpace="0" w:legacyIndent="0"/>
      <w:lvlJc w:val="left"/>
      <w:rPr>
        <w:rFonts w:ascii="Times New Roman" w:hAnsi="Times New Roman" w:cs="Times New Roman" w:hint="default"/>
        <w:sz w:val="24"/>
        <w:szCs w:val="24"/>
      </w:rPr>
    </w:lvl>
  </w:abstractNum>
  <w:abstractNum w:abstractNumId="1" w15:restartNumberingAfterBreak="0">
    <w:nsid w:val="20A63BCE"/>
    <w:multiLevelType w:val="singleLevel"/>
    <w:tmpl w:val="0F826618"/>
    <w:lvl w:ilvl="0">
      <w:start w:val="1"/>
      <w:numFmt w:val="lowerLetter"/>
      <w:lvlText w:val="%1)"/>
      <w:legacy w:legacy="1" w:legacySpace="0" w:legacyIndent="0"/>
      <w:lvlJc w:val="left"/>
      <w:rPr>
        <w:rFonts w:ascii="Times New Roman" w:hAnsi="Times New Roman" w:cs="Times New Roman" w:hint="default"/>
        <w:sz w:val="24"/>
        <w:szCs w:val="24"/>
      </w:rPr>
    </w:lvl>
  </w:abstractNum>
  <w:abstractNum w:abstractNumId="2" w15:restartNumberingAfterBreak="0">
    <w:nsid w:val="36146888"/>
    <w:multiLevelType w:val="hybridMultilevel"/>
    <w:tmpl w:val="89B6B160"/>
    <w:lvl w:ilvl="0" w:tplc="9D6486E6">
      <w:start w:val="3"/>
      <w:numFmt w:val="lowerLetter"/>
      <w:lvlText w:val="%1)"/>
      <w:lvlJc w:val="left"/>
      <w:pPr>
        <w:ind w:left="1589" w:hanging="360"/>
      </w:pPr>
      <w:rPr>
        <w:rFonts w:hint="default"/>
      </w:rPr>
    </w:lvl>
    <w:lvl w:ilvl="1" w:tplc="0C0A0019" w:tentative="1">
      <w:start w:val="1"/>
      <w:numFmt w:val="lowerLetter"/>
      <w:lvlText w:val="%2."/>
      <w:lvlJc w:val="left"/>
      <w:pPr>
        <w:ind w:left="2309" w:hanging="360"/>
      </w:pPr>
    </w:lvl>
    <w:lvl w:ilvl="2" w:tplc="0C0A001B" w:tentative="1">
      <w:start w:val="1"/>
      <w:numFmt w:val="lowerRoman"/>
      <w:lvlText w:val="%3."/>
      <w:lvlJc w:val="right"/>
      <w:pPr>
        <w:ind w:left="3029" w:hanging="180"/>
      </w:pPr>
    </w:lvl>
    <w:lvl w:ilvl="3" w:tplc="0C0A000F" w:tentative="1">
      <w:start w:val="1"/>
      <w:numFmt w:val="decimal"/>
      <w:lvlText w:val="%4."/>
      <w:lvlJc w:val="left"/>
      <w:pPr>
        <w:ind w:left="3749" w:hanging="360"/>
      </w:pPr>
    </w:lvl>
    <w:lvl w:ilvl="4" w:tplc="0C0A0019" w:tentative="1">
      <w:start w:val="1"/>
      <w:numFmt w:val="lowerLetter"/>
      <w:lvlText w:val="%5."/>
      <w:lvlJc w:val="left"/>
      <w:pPr>
        <w:ind w:left="4469" w:hanging="360"/>
      </w:pPr>
    </w:lvl>
    <w:lvl w:ilvl="5" w:tplc="0C0A001B" w:tentative="1">
      <w:start w:val="1"/>
      <w:numFmt w:val="lowerRoman"/>
      <w:lvlText w:val="%6."/>
      <w:lvlJc w:val="right"/>
      <w:pPr>
        <w:ind w:left="5189" w:hanging="180"/>
      </w:pPr>
    </w:lvl>
    <w:lvl w:ilvl="6" w:tplc="0C0A000F" w:tentative="1">
      <w:start w:val="1"/>
      <w:numFmt w:val="decimal"/>
      <w:lvlText w:val="%7."/>
      <w:lvlJc w:val="left"/>
      <w:pPr>
        <w:ind w:left="5909" w:hanging="360"/>
      </w:pPr>
    </w:lvl>
    <w:lvl w:ilvl="7" w:tplc="0C0A0019" w:tentative="1">
      <w:start w:val="1"/>
      <w:numFmt w:val="lowerLetter"/>
      <w:lvlText w:val="%8."/>
      <w:lvlJc w:val="left"/>
      <w:pPr>
        <w:ind w:left="6629" w:hanging="360"/>
      </w:pPr>
    </w:lvl>
    <w:lvl w:ilvl="8" w:tplc="0C0A001B" w:tentative="1">
      <w:start w:val="1"/>
      <w:numFmt w:val="lowerRoman"/>
      <w:lvlText w:val="%9."/>
      <w:lvlJc w:val="right"/>
      <w:pPr>
        <w:ind w:left="7349" w:hanging="180"/>
      </w:pPr>
    </w:lvl>
  </w:abstractNum>
  <w:abstractNum w:abstractNumId="3" w15:restartNumberingAfterBreak="0">
    <w:nsid w:val="734B6057"/>
    <w:multiLevelType w:val="hybridMultilevel"/>
    <w:tmpl w:val="98E40282"/>
    <w:lvl w:ilvl="0" w:tplc="B882D06E">
      <w:start w:val="1"/>
      <w:numFmt w:val="lowerLetter"/>
      <w:lvlText w:val="%1)"/>
      <w:lvlJc w:val="left"/>
      <w:pPr>
        <w:ind w:left="1224" w:hanging="360"/>
      </w:pPr>
      <w:rPr>
        <w:rFonts w:hint="default"/>
      </w:rPr>
    </w:lvl>
    <w:lvl w:ilvl="1" w:tplc="0C0A0019" w:tentative="1">
      <w:start w:val="1"/>
      <w:numFmt w:val="lowerLetter"/>
      <w:lvlText w:val="%2."/>
      <w:lvlJc w:val="left"/>
      <w:pPr>
        <w:ind w:left="1944" w:hanging="360"/>
      </w:pPr>
    </w:lvl>
    <w:lvl w:ilvl="2" w:tplc="0C0A001B" w:tentative="1">
      <w:start w:val="1"/>
      <w:numFmt w:val="lowerRoman"/>
      <w:lvlText w:val="%3."/>
      <w:lvlJc w:val="right"/>
      <w:pPr>
        <w:ind w:left="2664" w:hanging="180"/>
      </w:pPr>
    </w:lvl>
    <w:lvl w:ilvl="3" w:tplc="0C0A000F" w:tentative="1">
      <w:start w:val="1"/>
      <w:numFmt w:val="decimal"/>
      <w:lvlText w:val="%4."/>
      <w:lvlJc w:val="left"/>
      <w:pPr>
        <w:ind w:left="3384" w:hanging="360"/>
      </w:pPr>
    </w:lvl>
    <w:lvl w:ilvl="4" w:tplc="0C0A0019" w:tentative="1">
      <w:start w:val="1"/>
      <w:numFmt w:val="lowerLetter"/>
      <w:lvlText w:val="%5."/>
      <w:lvlJc w:val="left"/>
      <w:pPr>
        <w:ind w:left="4104" w:hanging="360"/>
      </w:pPr>
    </w:lvl>
    <w:lvl w:ilvl="5" w:tplc="0C0A001B" w:tentative="1">
      <w:start w:val="1"/>
      <w:numFmt w:val="lowerRoman"/>
      <w:lvlText w:val="%6."/>
      <w:lvlJc w:val="right"/>
      <w:pPr>
        <w:ind w:left="4824" w:hanging="180"/>
      </w:pPr>
    </w:lvl>
    <w:lvl w:ilvl="6" w:tplc="0C0A000F" w:tentative="1">
      <w:start w:val="1"/>
      <w:numFmt w:val="decimal"/>
      <w:lvlText w:val="%7."/>
      <w:lvlJc w:val="left"/>
      <w:pPr>
        <w:ind w:left="5544" w:hanging="360"/>
      </w:pPr>
    </w:lvl>
    <w:lvl w:ilvl="7" w:tplc="0C0A0019" w:tentative="1">
      <w:start w:val="1"/>
      <w:numFmt w:val="lowerLetter"/>
      <w:lvlText w:val="%8."/>
      <w:lvlJc w:val="left"/>
      <w:pPr>
        <w:ind w:left="6264" w:hanging="360"/>
      </w:pPr>
    </w:lvl>
    <w:lvl w:ilvl="8" w:tplc="0C0A001B" w:tentative="1">
      <w:start w:val="1"/>
      <w:numFmt w:val="lowerRoman"/>
      <w:lvlText w:val="%9."/>
      <w:lvlJc w:val="right"/>
      <w:pPr>
        <w:ind w:left="6984" w:hanging="180"/>
      </w:pPr>
    </w:lvl>
  </w:abstractNum>
  <w:num w:numId="1" w16cid:durableId="1754621678">
    <w:abstractNumId w:val="1"/>
  </w:num>
  <w:num w:numId="2" w16cid:durableId="1716586631">
    <w:abstractNumId w:val="0"/>
  </w:num>
  <w:num w:numId="3" w16cid:durableId="1604800586">
    <w:abstractNumId w:val="3"/>
  </w:num>
  <w:num w:numId="4" w16cid:durableId="366026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03AAD"/>
    <w:rsid w:val="00003AAD"/>
    <w:rsid w:val="00461E03"/>
    <w:rsid w:val="005305AC"/>
    <w:rsid w:val="00715439"/>
    <w:rsid w:val="0074465C"/>
    <w:rsid w:val="00815147"/>
    <w:rsid w:val="00DE1397"/>
    <w:rsid w:val="00E05004"/>
    <w:rsid w:val="00E47057"/>
    <w:rsid w:val="00E632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F6662"/>
  <w15:docId w15:val="{2A3B1801-F88D-4EC5-A9B6-661D2CA1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532</Words>
  <Characters>2926</Characters>
  <Application>Microsoft Office Word</Application>
  <DocSecurity>0</DocSecurity>
  <Lines>24</Lines>
  <Paragraphs>6</Paragraphs>
  <ScaleCrop>false</ScaleCrop>
  <Company>HP Inc.</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23MOC-57</dc:title>
  <dc:creator>informatica</dc:creator>
  <cp:keywords>CreatedByIRIS_Readiris_17.0</cp:keywords>
  <cp:lastModifiedBy>Mauleón, Fernando</cp:lastModifiedBy>
  <cp:revision>10</cp:revision>
  <dcterms:created xsi:type="dcterms:W3CDTF">2023-10-25T12:48:00Z</dcterms:created>
  <dcterms:modified xsi:type="dcterms:W3CDTF">2023-10-27T07:10:00Z</dcterms:modified>
</cp:coreProperties>
</file>