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25F4" w14:textId="77777777" w:rsidR="00D86B93" w:rsidRPr="00B67798" w:rsidRDefault="003E038B" w:rsidP="00C07663">
      <w:pPr>
        <w:pStyle w:val="Style"/>
        <w:spacing w:before="100" w:beforeAutospacing="1" w:after="200" w:line="276" w:lineRule="auto"/>
        <w:ind w:left="247" w:right="1190" w:firstLine="708"/>
        <w:textAlignment w:val="baseline"/>
        <w:rPr>
          <w:bCs/>
          <w:sz w:val="22"/>
          <w:szCs w:val="22"/>
          <w:rFonts w:ascii="Calibri" w:hAnsi="Calibri" w:cs="Calibri"/>
        </w:rPr>
      </w:pPr>
      <w:r>
        <w:rPr>
          <w:sz w:val="22"/>
          <w:rFonts w:ascii="Calibri" w:hAnsi="Calibri"/>
        </w:rPr>
        <w:t xml:space="preserve">23MOC-66</w:t>
      </w:r>
    </w:p>
    <w:p w14:paraId="0EABA3BC" w14:textId="015F94C8" w:rsidR="00D86B93" w:rsidRPr="00D86B93" w:rsidRDefault="00533F88" w:rsidP="00C07663">
      <w:pPr>
        <w:pStyle w:val="Style"/>
        <w:spacing w:before="100" w:beforeAutospacing="1" w:after="200" w:line="276" w:lineRule="auto"/>
        <w:ind w:left="955" w:right="1181"/>
        <w:jc w:val="both"/>
        <w:textAlignment w:val="baseline"/>
        <w:rPr>
          <w:sz w:val="22"/>
          <w:szCs w:val="22"/>
          <w:rFonts w:ascii="Calibri" w:hAnsi="Calibri" w:cs="Calibri"/>
        </w:rPr>
      </w:pPr>
      <w:r>
        <w:rPr>
          <w:sz w:val="22"/>
          <w:rFonts w:ascii="Calibri" w:hAnsi="Calibri"/>
        </w:rPr>
        <w:t xml:space="preserve">Nafarroako Gorteetako kide eta Vox Nafarroa foru parlamentarien elkartearen eledun María Teresa Nosti Izquierdo andreak, Legebiltzarreko Erregelamenduaren 219. artikuluan eta hurrengoetan xedatzen denaren babesean, honako mozio hau aurkezten du, Osoko Bilkuran eztabaidatu eta bozkatzeko:</w:t>
      </w:r>
      <w:r>
        <w:rPr>
          <w:sz w:val="22"/>
          <w:rFonts w:ascii="Calibri" w:hAnsi="Calibri"/>
        </w:rPr>
        <w:t xml:space="preserve"> </w:t>
      </w:r>
    </w:p>
    <w:p w14:paraId="660EBAE1" w14:textId="7E036C5F" w:rsidR="00D86B93" w:rsidRPr="00B67798" w:rsidRDefault="00B67798" w:rsidP="00C07663">
      <w:pPr>
        <w:pStyle w:val="Style"/>
        <w:spacing w:before="100" w:beforeAutospacing="1" w:after="200" w:line="276" w:lineRule="auto"/>
        <w:ind w:left="242" w:right="1190"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301EA0C5" w14:textId="77777777" w:rsidR="00D86B93" w:rsidRPr="00D86B93" w:rsidRDefault="00533F88" w:rsidP="00C07663">
      <w:pPr>
        <w:pStyle w:val="Style"/>
        <w:spacing w:before="100" w:beforeAutospacing="1" w:after="200" w:line="276" w:lineRule="auto"/>
        <w:ind w:left="950" w:right="1181"/>
        <w:jc w:val="both"/>
        <w:textAlignment w:val="baseline"/>
        <w:rPr>
          <w:sz w:val="22"/>
          <w:szCs w:val="22"/>
          <w:rFonts w:ascii="Calibri" w:hAnsi="Calibri" w:cs="Calibri"/>
        </w:rPr>
      </w:pPr>
      <w:r>
        <w:rPr>
          <w:sz w:val="22"/>
          <w:rFonts w:ascii="Calibri" w:hAnsi="Calibri"/>
        </w:rPr>
        <w:t xml:space="preserve">Espainia, gainerako Europa bezala, immigrazio-inbasio bat pairatzen ari da, eta horrek gaur egungo Europaren etorkizuna arrisku larrian jarri eta ondorio zuzenak ditu europar guztien elkarbizitzan, segurtasunean eta oparotasunean.</w:t>
      </w:r>
      <w:r>
        <w:rPr>
          <w:sz w:val="22"/>
          <w:rFonts w:ascii="Calibri" w:hAnsi="Calibri"/>
        </w:rPr>
        <w:t xml:space="preserve"> </w:t>
      </w:r>
      <w:r>
        <w:rPr>
          <w:sz w:val="22"/>
          <w:rFonts w:ascii="Calibri" w:hAnsi="Calibri"/>
        </w:rPr>
        <w:t xml:space="preserve">Bruselako eliteek bultzatzen dute immigrazio-inbasio hori;izan ere, jaiotza-tasa sustatzearen eta familia nahiz langileei laguntzearen aldeko apustua egin beharrean, erabaki dute kontrolik gabeko immigrazio eredu bat ezartzea, zeinak bultzatzen baitu milioika etorkin ilegalen etorrera.</w:t>
      </w:r>
      <w:r>
        <w:rPr>
          <w:sz w:val="22"/>
          <w:rFonts w:ascii="Calibri" w:hAnsi="Calibri"/>
        </w:rPr>
        <w:t xml:space="preserve"> </w:t>
      </w:r>
    </w:p>
    <w:p w14:paraId="045F91A5" w14:textId="77777777" w:rsidR="00D86B93" w:rsidRPr="00D86B93" w:rsidRDefault="00533F88" w:rsidP="00C07663">
      <w:pPr>
        <w:pStyle w:val="Style"/>
        <w:spacing w:before="100" w:beforeAutospacing="1" w:after="200" w:line="276" w:lineRule="auto"/>
        <w:ind w:left="955" w:right="1186"/>
        <w:jc w:val="both"/>
        <w:textAlignment w:val="baseline"/>
        <w:rPr>
          <w:sz w:val="22"/>
          <w:szCs w:val="22"/>
          <w:rFonts w:ascii="Calibri" w:hAnsi="Calibri" w:cs="Calibri"/>
        </w:rPr>
      </w:pPr>
      <w:r>
        <w:rPr>
          <w:sz w:val="22"/>
          <w:rFonts w:ascii="Calibri" w:hAnsi="Calibri"/>
        </w:rPr>
        <w:t xml:space="preserve">Pedro Sánchez eta bere gobernua espainiarrek beren auzo eta hirietan zuzenean pairatzen dituzten politika globalista eta multikultural horien guztien aliatu eta sustatzaile izan dira, ondorioa izanik segurtasunik eza areagotzea, enpleguak prekarizatzea eta gurearekin bateraezinak diren kulturak sartzea.</w:t>
      </w:r>
      <w:r>
        <w:rPr>
          <w:sz w:val="22"/>
          <w:rFonts w:ascii="Calibri" w:hAnsi="Calibri"/>
        </w:rPr>
        <w:t xml:space="preserve"> </w:t>
      </w:r>
      <w:r>
        <w:rPr>
          <w:sz w:val="22"/>
          <w:rFonts w:ascii="Calibri" w:hAnsi="Calibri"/>
        </w:rPr>
        <w:t xml:space="preserve">Beste hainbat konturekin gertatzen den bezala, politika negargarri horien ondorioak ez dituzte pairatzen ongi babestuta dauden bulegoetatik edo segurtasun pribatua duten urbanizazioetatik politika horiek sustatzen dituzten horiek.</w:t>
      </w:r>
      <w:r>
        <w:rPr>
          <w:sz w:val="22"/>
          <w:rFonts w:ascii="Calibri" w:hAnsi="Calibri"/>
        </w:rPr>
        <w:t xml:space="preserve"> </w:t>
      </w:r>
    </w:p>
    <w:p w14:paraId="2F500B32" w14:textId="77777777" w:rsidR="00D86B93" w:rsidRPr="00D86B93" w:rsidRDefault="00533F88" w:rsidP="00C07663">
      <w:pPr>
        <w:pStyle w:val="Style"/>
        <w:spacing w:before="100" w:beforeAutospacing="1" w:after="200" w:line="276" w:lineRule="auto"/>
        <w:ind w:left="955" w:right="1186"/>
        <w:jc w:val="both"/>
        <w:textAlignment w:val="baseline"/>
        <w:rPr>
          <w:sz w:val="22"/>
          <w:szCs w:val="22"/>
          <w:rFonts w:ascii="Calibri" w:hAnsi="Calibri" w:cs="Calibri"/>
        </w:rPr>
      </w:pPr>
      <w:r>
        <w:rPr>
          <w:sz w:val="22"/>
          <w:rFonts w:ascii="Calibri" w:hAnsi="Calibri"/>
        </w:rPr>
        <w:t xml:space="preserve">Gainera, elite horiek, beren hipokresia izugarriarekin, ezkutatu egiten digute pertsona horiek guztiek haien jatorrizko herrialdeei egiten dieten kalte larria, etorkizun hobearen eta oparotasunaren itxaropena kentzen baitiete, eta ezinezkoa egiten dute etorkizun hori garatzea, Europara eskulan merke gisa ekarri nahi duten gazte prestaturik ez dagoelako.</w:t>
      </w:r>
      <w:r>
        <w:rPr>
          <w:sz w:val="22"/>
          <w:rFonts w:ascii="Calibri" w:hAnsi="Calibri"/>
        </w:rPr>
        <w:t xml:space="preserve"> </w:t>
      </w:r>
    </w:p>
    <w:p w14:paraId="345F1DEF" w14:textId="77777777" w:rsidR="00EF46FB" w:rsidRDefault="00533F88" w:rsidP="00EF46FB">
      <w:pPr>
        <w:pStyle w:val="Style"/>
        <w:spacing w:before="100" w:beforeAutospacing="1" w:after="200" w:line="276" w:lineRule="auto"/>
        <w:ind w:left="950" w:right="1186"/>
        <w:jc w:val="both"/>
        <w:textAlignment w:val="baseline"/>
        <w:rPr>
          <w:sz w:val="22"/>
          <w:szCs w:val="22"/>
          <w:rFonts w:ascii="Calibri" w:hAnsi="Calibri" w:cs="Calibri"/>
        </w:rPr>
      </w:pPr>
      <w:r>
        <w:rPr>
          <w:sz w:val="22"/>
          <w:rFonts w:ascii="Calibri" w:hAnsi="Calibri"/>
        </w:rPr>
        <w:t xml:space="preserve">Espainian, egoerak edozein muga posible gainditu du.</w:t>
      </w:r>
      <w:r>
        <w:rPr>
          <w:sz w:val="22"/>
          <w:rFonts w:ascii="Calibri" w:hAnsi="Calibri"/>
        </w:rPr>
        <w:t xml:space="preserve"> </w:t>
      </w:r>
      <w:r>
        <w:rPr>
          <w:sz w:val="22"/>
          <w:rFonts w:ascii="Calibri" w:hAnsi="Calibri"/>
        </w:rPr>
        <w:t xml:space="preserve">Soilik Kanariar Uharteetan, aurten 28.000 mila etorkin ilegal baino gehiago heldu dira. Bidaia oso arriskutsua egin dute, haien bizitza arriskatuta, eta politikari, elkarte eta nazioarteko erakunde horien biktima dira, zeinek gizakien salerosketaren mafiekin aktiboki elkarlanean aritu eta negozioa egiten baitute zorigaiztoa eta eliteen onkeria suntsitzailea baliatuta.</w:t>
      </w:r>
      <w:r>
        <w:rPr>
          <w:sz w:val="22"/>
          <w:rFonts w:ascii="Calibri" w:hAnsi="Calibri"/>
        </w:rPr>
        <w:t xml:space="preserve"> </w:t>
      </w:r>
    </w:p>
    <w:p w14:paraId="47354668" w14:textId="25687BB9" w:rsidR="00D86B93" w:rsidRPr="00D86B93" w:rsidRDefault="00533F88" w:rsidP="00EF46FB">
      <w:pPr>
        <w:pStyle w:val="Style"/>
        <w:spacing w:before="100" w:beforeAutospacing="1" w:after="200" w:line="276" w:lineRule="auto"/>
        <w:ind w:left="950" w:right="1186"/>
        <w:jc w:val="both"/>
        <w:textAlignment w:val="baseline"/>
        <w:rPr>
          <w:sz w:val="22"/>
          <w:szCs w:val="22"/>
          <w:rFonts w:ascii="Calibri" w:hAnsi="Calibri" w:cs="Calibri"/>
        </w:rPr>
      </w:pPr>
      <w:r>
        <w:rPr>
          <w:sz w:val="22"/>
          <w:rFonts w:ascii="Calibri" w:hAnsi="Calibri"/>
        </w:rPr>
        <w:t xml:space="preserve">Voxek denbora luzea darama egoera jasanezin horretaz ohartarazten, alderdi politikoen, komunikabideen eta elkarteen irainen eta demagogiaren kontra; izan ere, batzuetan drama horren konplize ziren, eta hala ez zenean, beste alde batera begiratzen zuten eta uko egiten zioten beren politika multikulturalen errealitateari eta ondorioei aurre egiteari.</w:t>
      </w:r>
      <w:r>
        <w:rPr>
          <w:sz w:val="22"/>
          <w:rFonts w:ascii="Calibri" w:hAnsi="Calibri"/>
        </w:rPr>
        <w:t xml:space="preserve"> </w:t>
      </w:r>
    </w:p>
    <w:p w14:paraId="268E7640" w14:textId="77777777" w:rsidR="00D86B93" w:rsidRPr="00D86B93" w:rsidRDefault="00533F88" w:rsidP="00EF46FB">
      <w:pPr>
        <w:pStyle w:val="Style"/>
        <w:spacing w:before="100" w:beforeAutospacing="1" w:after="200" w:line="276" w:lineRule="auto"/>
        <w:ind w:left="950" w:right="1186"/>
        <w:jc w:val="both"/>
        <w:textAlignment w:val="baseline"/>
        <w:rPr>
          <w:sz w:val="22"/>
          <w:szCs w:val="22"/>
          <w:rFonts w:ascii="Calibri" w:hAnsi="Calibri" w:cs="Calibri"/>
        </w:rPr>
      </w:pPr>
      <w:r>
        <w:rPr>
          <w:sz w:val="22"/>
          <w:rFonts w:ascii="Calibri" w:hAnsi="Calibri"/>
        </w:rPr>
        <w:t xml:space="preserve">Espainiak berehala behar diren neurriak hartu behar ditu gure hiriek ez dezaten jarraitu hainbat herrialdetan, hala nola Belgikan, Frantzian edo Erresuma Batuan sortu den gizarte multikulturalen eredua, dagoeneko Espainiako hiri eta herri gehiegi pairatzen ari diren hori.</w:t>
      </w:r>
      <w:r>
        <w:rPr>
          <w:sz w:val="22"/>
          <w:rFonts w:ascii="Calibri" w:hAnsi="Calibri"/>
        </w:rPr>
        <w:t xml:space="preserve"> </w:t>
      </w:r>
      <w:r>
        <w:rPr>
          <w:sz w:val="22"/>
          <w:rFonts w:ascii="Calibri" w:hAnsi="Calibri"/>
        </w:rPr>
        <w:t xml:space="preserve">Immigrazioa kontrolatu behar da, eta Espainiaren beharretara egokitu behar da, egokitzapen-gaitasun eta -borondatearekin.</w:t>
      </w:r>
      <w:r>
        <w:rPr>
          <w:sz w:val="22"/>
          <w:rFonts w:ascii="Calibri" w:hAnsi="Calibri"/>
        </w:rPr>
        <w:t xml:space="preserve"> </w:t>
      </w:r>
    </w:p>
    <w:p w14:paraId="43635D9F" w14:textId="77777777" w:rsidR="00D86B93" w:rsidRPr="00D86B93" w:rsidRDefault="00533F88" w:rsidP="00EF46FB">
      <w:pPr>
        <w:pStyle w:val="Style"/>
        <w:spacing w:before="100" w:beforeAutospacing="1" w:after="200" w:line="276" w:lineRule="auto"/>
        <w:ind w:left="950" w:right="1190"/>
        <w:jc w:val="both"/>
        <w:textAlignment w:val="baseline"/>
        <w:rPr>
          <w:sz w:val="22"/>
          <w:szCs w:val="22"/>
          <w:rFonts w:ascii="Calibri" w:hAnsi="Calibri" w:cs="Calibri"/>
        </w:rPr>
      </w:pPr>
      <w:r>
        <w:rPr>
          <w:sz w:val="22"/>
          <w:rFonts w:ascii="Calibri" w:hAnsi="Calibri"/>
        </w:rPr>
        <w:t xml:space="preserve">Espainiarrez gain, Espainiara modu legalean eta lan egin, gizarteratu eta harrera egin dien nazioaren garapenari laguntzeko asmoz etorri diren etorkinak ere eliteek sustatzen duten etorkin ilegalen etorrera masiboaren biktima dira.</w:t>
      </w:r>
      <w:r>
        <w:rPr>
          <w:sz w:val="22"/>
          <w:rFonts w:ascii="Calibri" w:hAnsi="Calibri"/>
        </w:rPr>
        <w:t xml:space="preserve"> </w:t>
      </w:r>
    </w:p>
    <w:p w14:paraId="1380C4B6" w14:textId="77777777"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Une honetan, egoera bereziki larria da; soilik azken astean Kanariar Uhartedian 5 mila etorkin ilegal baino gehiagoren etorrera erregistratu da, jakin ahal izan denaren arabera, gehienak Senegaletik etorriak.</w:t>
      </w:r>
      <w:r>
        <w:rPr>
          <w:sz w:val="22"/>
          <w:rFonts w:ascii="Calibri" w:hAnsi="Calibri"/>
        </w:rPr>
        <w:t xml:space="preserve"> </w:t>
      </w:r>
      <w:r>
        <w:rPr>
          <w:sz w:val="22"/>
          <w:rFonts w:ascii="Calibri" w:hAnsi="Calibri"/>
        </w:rPr>
        <w:t xml:space="preserve">Espainiar guztiak ikusten ari diren irudietan agertzen da nola birkokatzen dituzten lurralde nazional osoan, inolako kontrolik gabe.</w:t>
      </w:r>
      <w:r>
        <w:rPr>
          <w:sz w:val="22"/>
          <w:rFonts w:ascii="Calibri" w:hAnsi="Calibri"/>
        </w:rPr>
        <w:t xml:space="preserve"> </w:t>
      </w:r>
      <w:r>
        <w:rPr>
          <w:sz w:val="22"/>
          <w:rFonts w:ascii="Calibri" w:hAnsi="Calibri"/>
        </w:rPr>
        <w:t xml:space="preserve">Hori –espainiar askori beldurra eragiteaz gain– bereziki eskandalagarria da; izan ere, La Palmako sumendiaren erupzioak kaltetutako espainiarrak oraindik edukiontzitan bizi dira, eta, etorkin ilegalei, aldiz, hoteletan –kasu askotan luxuzkoak– ostatu eman zaie.</w:t>
      </w:r>
      <w:r>
        <w:rPr>
          <w:sz w:val="22"/>
          <w:rFonts w:ascii="Calibri" w:hAnsi="Calibri"/>
        </w:rPr>
        <w:t xml:space="preserve"> </w:t>
      </w:r>
    </w:p>
    <w:p w14:paraId="518DE7C0" w14:textId="77777777" w:rsidR="003A2766" w:rsidRDefault="00533F88" w:rsidP="00EF46FB">
      <w:pPr>
        <w:pStyle w:val="Style"/>
        <w:spacing w:before="100" w:beforeAutospacing="1" w:after="200" w:line="276" w:lineRule="auto"/>
        <w:ind w:left="708" w:right="1186" w:firstLine="7"/>
        <w:jc w:val="both"/>
        <w:textAlignment w:val="baseline"/>
        <w:rPr>
          <w:sz w:val="22"/>
          <w:szCs w:val="22"/>
          <w:rFonts w:ascii="Calibri" w:eastAsia="Arial" w:hAnsi="Calibri" w:cs="Calibri"/>
        </w:rPr>
      </w:pPr>
      <w:r>
        <w:rPr>
          <w:sz w:val="22"/>
          <w:rFonts w:ascii="Calibri" w:hAnsi="Calibri"/>
        </w:rPr>
        <w:t xml:space="preserve">Immigrazio-bolada berri honen aurrean Pedro Sanchezen Gobernuak hartu dituen neurriak edozein gobernatzailek izan behar duen betebeharraren eta arduraren aurkakoak dira; izan ere, gure auzo eta hirietara milaka pertsona eramatea erabaki du, inolako zaintza edo kontrolik gabe, eta ez ditugu ezagutzen haien jatorria, aurrekari penalak eta integratzeko borondatea ote duten.</w:t>
      </w:r>
    </w:p>
    <w:p w14:paraId="3F365037" w14:textId="13AF9258"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Egoera latz batean gaude, espainiarren etorkizuna, ongizatea eta oparotasuna arriskuan jartzen duena.</w:t>
      </w:r>
      <w:r>
        <w:rPr>
          <w:sz w:val="22"/>
          <w:rFonts w:ascii="Calibri" w:hAnsi="Calibri"/>
        </w:rPr>
        <w:t xml:space="preserve"> </w:t>
      </w:r>
      <w:r>
        <w:rPr>
          <w:sz w:val="22"/>
          <w:rFonts w:ascii="Calibri" w:hAnsi="Calibri"/>
        </w:rPr>
        <w:t xml:space="preserve">Legez kontrako immigrazio mota guztiekin amaitu nahi badugu, amaiera eman behar zaie milaka pertsona, Europan etorkizun hobea izateko promes faltsuen ondorioz, bizitza arriskuan jartzera –eta gehiegitan, tragikoki bizitza galtzera– eraman dituzten dei-efektuko politika guztiei, gobernuz kanpoko erakundeen eta pertsonen salerosketen mafien konplizitatearekin. Era berean, mezu argi bat helarazi behar dugu: legez kanpo iristen den edozein etorkinek ezin izango du inoiz bere egoera erregularizatu Espainian.</w:t>
      </w:r>
      <w:r>
        <w:rPr>
          <w:sz w:val="22"/>
          <w:rFonts w:ascii="Calibri" w:hAnsi="Calibri"/>
        </w:rPr>
        <w:t xml:space="preserve"> </w:t>
      </w:r>
    </w:p>
    <w:p w14:paraId="7D1CDEA8" w14:textId="77777777" w:rsidR="00D86B93" w:rsidRPr="00D86B93" w:rsidRDefault="00533F88" w:rsidP="00EF46FB">
      <w:pPr>
        <w:pStyle w:val="Style"/>
        <w:spacing w:before="100" w:beforeAutospacing="1" w:after="200" w:line="276" w:lineRule="auto"/>
        <w:ind w:left="708" w:right="1181" w:firstLine="7"/>
        <w:jc w:val="both"/>
        <w:textAlignment w:val="baseline"/>
        <w:rPr>
          <w:sz w:val="22"/>
          <w:szCs w:val="22"/>
          <w:rFonts w:ascii="Calibri" w:hAnsi="Calibri" w:cs="Calibri"/>
        </w:rPr>
      </w:pPr>
      <w:r>
        <w:rPr>
          <w:sz w:val="22"/>
          <w:rFonts w:ascii="Calibri" w:hAnsi="Calibri"/>
        </w:rPr>
        <w:t xml:space="preserve">Nazioko Gobernuak ezin du bere erantzukizunak saihesten jarraitu, eta berehala kanporatu behar ditu gure herrira ilegalki sartu diren etorkin guztiak.</w:t>
      </w:r>
      <w:r>
        <w:rPr>
          <w:sz w:val="22"/>
          <w:rFonts w:ascii="Calibri" w:hAnsi="Calibri"/>
        </w:rPr>
        <w:t xml:space="preserve"> </w:t>
      </w:r>
      <w:r>
        <w:rPr>
          <w:sz w:val="22"/>
          <w:rFonts w:ascii="Calibri" w:hAnsi="Calibri"/>
        </w:rPr>
        <w:t xml:space="preserve">Dei-efektua gelditzeko, funtsezkoa da bidaia arriskutsu hori egitea buruan duen edozeinek jakin dezala Espainiara modu legal eta ordenatuan sartzen dela soilik, eta integratzeko eta gure nazioaren garapenari laguntzeko asmoz.</w:t>
      </w:r>
      <w:r>
        <w:rPr>
          <w:sz w:val="22"/>
          <w:rFonts w:ascii="Calibri" w:hAnsi="Calibri"/>
        </w:rPr>
        <w:t xml:space="preserve"> </w:t>
      </w:r>
    </w:p>
    <w:p w14:paraId="507493A5" w14:textId="77777777"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Egoera ilegalean dauden etorkinendako eta haien funtsak legez kontrako immigrazioa laguntzera bideratzen dituzten gobernuz kanpoko erakunde, elkarte edo edozein entitaterendako laguntza publiko guztiak ezabatu behar ditugu, eta legez kontrako immigrazioaren mafien aurkako zigorrak gogortu, baita haiekin elkarlanean aritzen den ororekin ere, izan gobernuz kanpoko erakundeak, enpresak edo norbanakoak.</w:t>
      </w:r>
      <w:r>
        <w:rPr>
          <w:sz w:val="22"/>
          <w:rFonts w:ascii="Calibri" w:hAnsi="Calibri"/>
        </w:rPr>
        <w:t xml:space="preserve"> </w:t>
      </w:r>
    </w:p>
    <w:p w14:paraId="74024437" w14:textId="77777777" w:rsidR="00D86B93" w:rsidRPr="00D86B93" w:rsidRDefault="00533F88" w:rsidP="00EF46FB">
      <w:pPr>
        <w:pStyle w:val="Style"/>
        <w:spacing w:before="100" w:beforeAutospacing="1" w:after="200" w:line="276" w:lineRule="auto"/>
        <w:ind w:left="708" w:right="1186" w:firstLine="12"/>
        <w:jc w:val="both"/>
        <w:textAlignment w:val="baseline"/>
        <w:rPr>
          <w:sz w:val="22"/>
          <w:szCs w:val="22"/>
          <w:rFonts w:ascii="Calibri" w:hAnsi="Calibri" w:cs="Calibri"/>
        </w:rPr>
      </w:pPr>
      <w:r>
        <w:rPr>
          <w:sz w:val="22"/>
          <w:rFonts w:ascii="Calibri" w:hAnsi="Calibri"/>
        </w:rPr>
        <w:t xml:space="preserve">Espainiak, bere aliatuekin batera, itsas blokeo bat bultzatu behar du, gure kostaldeak etorkin ilegalen etorrera masibotik babesteko, muga irekien politikek itsasora jaurtitako ontzien hondoratze tragikoak saihestuz eta jatorrizko eta igarotze herrialdeetako gertuko portu seguruenetara berehala itzuliko direla ziurtatuz.</w:t>
      </w:r>
      <w:r>
        <w:rPr>
          <w:sz w:val="22"/>
          <w:rFonts w:ascii="Calibri" w:hAnsi="Calibri"/>
        </w:rPr>
        <w:t xml:space="preserve"> </w:t>
      </w:r>
    </w:p>
    <w:p w14:paraId="14574524" w14:textId="77777777"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Ezin dugu onartu ezein Estatuk etorkinen bolada masiboak sustatzea, ezta horiek arma politiko gisa erabiltzea ere.</w:t>
      </w:r>
      <w:r>
        <w:rPr>
          <w:sz w:val="22"/>
          <w:rFonts w:ascii="Calibri" w:hAnsi="Calibri"/>
        </w:rPr>
        <w:t xml:space="preserve"> </w:t>
      </w:r>
      <w:r>
        <w:rPr>
          <w:sz w:val="22"/>
          <w:rFonts w:ascii="Calibri" w:hAnsi="Calibri"/>
        </w:rPr>
        <w:t xml:space="preserve">Espainiak eta Europak fluxuak kontrolatzeko eta pertsonen salerosketaren mafien aurka borrokatzeko lankidetzaren mende jarri behar dute nazioarteko edozein motatako lankidetza; hori egiten ez dutenak zigortu eta haiendako nazioarteko laguntza oro eten behar dute.</w:t>
      </w:r>
      <w:r>
        <w:rPr>
          <w:sz w:val="22"/>
          <w:rFonts w:ascii="Calibri" w:hAnsi="Calibri"/>
        </w:rPr>
        <w:t xml:space="preserve"> </w:t>
      </w:r>
    </w:p>
    <w:p w14:paraId="463F2360" w14:textId="6F3C16B9" w:rsidR="00D86B93" w:rsidRPr="00D86B93" w:rsidRDefault="00533F88" w:rsidP="00EF46FB">
      <w:pPr>
        <w:pStyle w:val="Style"/>
        <w:spacing w:before="100" w:beforeAutospacing="1" w:after="200" w:line="276" w:lineRule="auto"/>
        <w:ind w:left="708" w:right="1186" w:firstLine="12"/>
        <w:jc w:val="both"/>
        <w:textAlignment w:val="baseline"/>
        <w:rPr>
          <w:sz w:val="22"/>
          <w:szCs w:val="22"/>
          <w:rFonts w:ascii="Calibri" w:hAnsi="Calibri" w:cs="Calibri"/>
        </w:rPr>
      </w:pPr>
      <w:r>
        <w:rPr>
          <w:sz w:val="22"/>
          <w:rFonts w:ascii="Calibri" w:hAnsi="Calibri"/>
        </w:rPr>
        <w:t xml:space="preserve">Ildo horretan, garrantzitsua da Espainiak eta Europar Batasuneko kide diren gainerako estatuek dituzten nazioarteko lankidetzako programa guztiak ikuskatzea, bai eta alde batera uztea ere legez kontrako immigrazioaren aurkako borrokan laguntzen ez duten herrialdeetan egiten direnak.</w:t>
      </w:r>
      <w:r>
        <w:rPr>
          <w:sz w:val="22"/>
          <w:rFonts w:ascii="Calibri" w:hAnsi="Calibri"/>
        </w:rPr>
        <w:t xml:space="preserve"> </w:t>
      </w:r>
      <w:r>
        <w:rPr>
          <w:sz w:val="22"/>
          <w:rFonts w:ascii="Calibri" w:hAnsi="Calibri"/>
        </w:rPr>
        <w:t xml:space="preserve">Europar Batasunari exijitu behar diogu, halaber, berak kudeatu baina europarrak ez diren lurraldeetan lehorreratzeko plataforma seguruak sor ditzala, asilo-eskaerak ebaluatzeko eta banaketa ekitatiboa egiteko, eskubidea duten horiena, 27 herrialde kideetan, eta etorkin ilegalen itzulera modu eraginkorrean kudeatzeko ere.</w:t>
      </w:r>
      <w:r>
        <w:rPr>
          <w:sz w:val="22"/>
          <w:rFonts w:ascii="Calibri" w:hAnsi="Calibri"/>
        </w:rPr>
        <w:t xml:space="preserve"> </w:t>
      </w:r>
    </w:p>
    <w:p w14:paraId="618697D4" w14:textId="77777777"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Argi dago immigrazio-arloko araudi osoa aldatu behar dela, gure mugak babesteko eta Espainian sartzen den pertsona orok modu legalean eta ordenatuan egiten duela ziurtatzeko benetako tresna izan dadin; baina, hori gertatu arte, agintariek amaitu egin behar dute indarrean dauden arauez egiten den iruzurrezko erabilera, pertsonen salerosketaren mafiek dei-efektua elikatzeko erabiltzen dutena.</w:t>
      </w:r>
      <w:r>
        <w:rPr>
          <w:sz w:val="22"/>
          <w:rFonts w:ascii="Calibri" w:hAnsi="Calibri"/>
        </w:rPr>
        <w:t xml:space="preserve"> </w:t>
      </w:r>
    </w:p>
    <w:p w14:paraId="38511AEE" w14:textId="77777777" w:rsidR="00D86B93" w:rsidRPr="00D86B93" w:rsidRDefault="00533F88" w:rsidP="00EF46FB">
      <w:pPr>
        <w:pStyle w:val="Style"/>
        <w:spacing w:before="100" w:beforeAutospacing="1" w:after="200" w:line="276" w:lineRule="auto"/>
        <w:ind w:left="708" w:right="1190" w:firstLine="7"/>
        <w:jc w:val="both"/>
        <w:textAlignment w:val="baseline"/>
        <w:rPr>
          <w:sz w:val="22"/>
          <w:szCs w:val="22"/>
          <w:rFonts w:ascii="Calibri" w:hAnsi="Calibri" w:cs="Calibri"/>
        </w:rPr>
      </w:pPr>
      <w:r>
        <w:rPr>
          <w:sz w:val="22"/>
          <w:rFonts w:ascii="Calibri" w:hAnsi="Calibri"/>
        </w:rPr>
        <w:t xml:space="preserve">Gaur egun, errotze eta asiloaren figura juridikoak modu iruzurtian erabiltzen dira.</w:t>
      </w:r>
      <w:r>
        <w:rPr>
          <w:sz w:val="22"/>
          <w:rFonts w:ascii="Calibri" w:hAnsi="Calibri"/>
        </w:rPr>
        <w:t xml:space="preserve"> </w:t>
      </w:r>
      <w:r>
        <w:rPr>
          <w:sz w:val="22"/>
          <w:rFonts w:ascii="Calibri" w:hAnsi="Calibri"/>
        </w:rPr>
        <w:t xml:space="preserve">Asiloaren figura funtsezkoa da gerra baten ondorio lazgarriak edo edozein jazarpen-mota –izan politikoa edo erlijiosoa– benetan pairatzen ari den pertsona ororentzat.</w:t>
      </w:r>
      <w:r>
        <w:rPr>
          <w:sz w:val="22"/>
          <w:rFonts w:ascii="Calibri" w:hAnsi="Calibri"/>
        </w:rPr>
        <w:t xml:space="preserve"> </w:t>
      </w:r>
      <w:r>
        <w:rPr>
          <w:sz w:val="22"/>
          <w:rFonts w:ascii="Calibri" w:hAnsi="Calibri"/>
        </w:rPr>
        <w:t xml:space="preserve">Gainera, juridikoki, errefuxiatuak ez du inoiz errotzeko asmorik izan, definizioz, aterpe-aldia aldi baterako baita.</w:t>
      </w:r>
      <w:r>
        <w:rPr>
          <w:sz w:val="22"/>
          <w:rFonts w:ascii="Calibri" w:hAnsi="Calibri"/>
        </w:rPr>
        <w:t xml:space="preserve"> </w:t>
      </w:r>
    </w:p>
    <w:p w14:paraId="2D9734FD" w14:textId="77777777" w:rsidR="00D86B93" w:rsidRPr="00D86B93" w:rsidRDefault="00533F88" w:rsidP="00EF46FB">
      <w:pPr>
        <w:pStyle w:val="Style"/>
        <w:spacing w:before="100" w:beforeAutospacing="1" w:after="200" w:line="276" w:lineRule="auto"/>
        <w:ind w:left="708" w:right="1186" w:firstLine="7"/>
        <w:jc w:val="both"/>
        <w:textAlignment w:val="baseline"/>
        <w:rPr>
          <w:sz w:val="22"/>
          <w:szCs w:val="22"/>
          <w:rFonts w:ascii="Calibri" w:hAnsi="Calibri" w:cs="Calibri"/>
        </w:rPr>
      </w:pPr>
      <w:r>
        <w:rPr>
          <w:sz w:val="22"/>
          <w:rFonts w:ascii="Calibri" w:hAnsi="Calibri"/>
        </w:rPr>
        <w:t xml:space="preserve">Beraz, benetan egoera kritikoan dauden pertsona horiei kalte egiten zaie pertsonen salerosketaren mafiek eta gobernuz kanpoko hainbat erakundek –lege-iruzur baten bidez– legeak erabiltzen dituztelako egoera horretan ez dauden eta helburu bakar gisa gure herrialdera ezein gatazkatik ihes egin gabe eta asilo-kasuak bete gabe emigratzea duten pertsonek figura horri hel diezaioten, kanporatzea ekarri beharko luketen administrazio-izapideak geldiarazteko xede bakarrarekin.</w:t>
      </w:r>
      <w:r>
        <w:rPr>
          <w:sz w:val="22"/>
          <w:rFonts w:ascii="Calibri" w:hAnsi="Calibri"/>
        </w:rPr>
        <w:t xml:space="preserve"> </w:t>
      </w:r>
    </w:p>
    <w:p w14:paraId="3931EEEC" w14:textId="09393F6C" w:rsidR="00D86B93" w:rsidRPr="00B67798" w:rsidRDefault="00533F88" w:rsidP="00EF46FB">
      <w:pPr>
        <w:pStyle w:val="Style"/>
        <w:spacing w:before="100" w:beforeAutospacing="1" w:after="200" w:line="276" w:lineRule="auto"/>
        <w:ind w:left="708" w:right="1186" w:firstLine="7"/>
        <w:jc w:val="both"/>
        <w:textAlignment w:val="baseline"/>
        <w:rPr>
          <w:b/>
          <w:w w:val="108"/>
          <w:sz w:val="22"/>
          <w:szCs w:val="22"/>
          <w:rFonts w:ascii="Calibri" w:eastAsia="Arial" w:hAnsi="Calibri" w:cs="Calibri"/>
        </w:rPr>
      </w:pPr>
      <w:r>
        <w:rPr>
          <w:sz w:val="22"/>
          <w:rFonts w:ascii="Calibri" w:hAnsi="Calibri"/>
        </w:rPr>
        <w:t xml:space="preserve">Lege-iruzurra –asiloa eskatzen duten pertsonen kaltetan– kanporatzear dagoen etorkin ilegal batek asiloa eskatzen duenean gertatzen da, asilo-eskubidea eta babes subsidiarioa arautzen dituen 12/2009 Legearen 19. artikulua baliatzeko asmoz; izan ere, artikulu horrek kanporatzea eragozten du eskaera ebaluatzen den bitartean; egiten dena da kanporatze-ebazpenaren aurkako errekurtsoa aurkeztea, berraztertzeko errekurtsoaren bidez, Administrazio Prozedura Erkidearen 39/2015 Legeak ezarritakoa baliatuta, ezartzen baitu ebazpen baten eraginkortasuna eten daitekeela oinarrizko eskubideen babesa argudiatzen bada edo lege horren 47. artikuluaren arabera erabateko deuseztasun-kausak badaude.</w:t>
      </w:r>
      <w:r>
        <w:rPr>
          <w:sz w:val="22"/>
          <w:rFonts w:ascii="Calibri" w:hAnsi="Calibri"/>
        </w:rPr>
        <w:t xml:space="preserve"> </w:t>
      </w:r>
      <w:r>
        <w:rPr>
          <w:sz w:val="22"/>
          <w:rFonts w:ascii="Calibri" w:hAnsi="Calibri"/>
        </w:rPr>
        <w:t xml:space="preserve">Administrazioaren gainezkatze-egoera aprobetxatuz –gaitasun eta borondate politiko faltak eragindakoa–, eteteko eskaera horiek ebatzi gabe geratzen dira askotan, eta berraztertzeko errekurtsoa hilabete batean ebazten ez denez, automatikoki eteten da ez onartzea, eta horrek esan nahi du ezin dutela eskatzailea kanporatu.</w:t>
      </w:r>
      <w:r>
        <w:rPr>
          <w:sz w:val="22"/>
          <w:rFonts w:ascii="Calibri" w:hAnsi="Calibri"/>
        </w:rPr>
        <w:t xml:space="preserve"> </w:t>
      </w:r>
      <w:r>
        <w:rPr>
          <w:sz w:val="22"/>
          <w:rFonts w:ascii="Calibri" w:hAnsi="Calibri"/>
        </w:rPr>
        <w:t xml:space="preserve">Epe horretan, asilo-eskatzaile iruzurgileek errotze-prozedura baliatzen dute, eta, asilo-eskaera ukatzen zaienean, legezko bizilekua lortu ahal izan dute, nahiz eta, teorian, asilo-eskatzaileak ez lukeen inoiz errotzeko asmorik izan behar, gatazkatik ihes egin eta hura amaitzean jatorrizko herrialdera itzultzekoa baizik.</w:t>
      </w:r>
      <w:r>
        <w:rPr>
          <w:sz w:val="22"/>
          <w:rFonts w:ascii="Calibri" w:hAnsi="Calibri"/>
        </w:rPr>
        <w:t xml:space="preserve"> </w:t>
      </w:r>
    </w:p>
    <w:p w14:paraId="7A6475F3" w14:textId="3E0DF0DC" w:rsidR="00D86B93" w:rsidRPr="00D86B93" w:rsidRDefault="00533F88" w:rsidP="00EF46FB">
      <w:pPr>
        <w:pStyle w:val="Style"/>
        <w:spacing w:before="100" w:beforeAutospacing="1" w:after="200" w:line="276" w:lineRule="auto"/>
        <w:ind w:left="708" w:right="1195" w:firstLine="12"/>
        <w:jc w:val="both"/>
        <w:textAlignment w:val="baseline"/>
        <w:rPr>
          <w:sz w:val="22"/>
          <w:szCs w:val="22"/>
          <w:rFonts w:ascii="Calibri" w:hAnsi="Calibri" w:cs="Calibri"/>
        </w:rPr>
      </w:pPr>
      <w:r>
        <w:rPr>
          <w:sz w:val="22"/>
          <w:rFonts w:ascii="Calibri" w:hAnsi="Calibri"/>
        </w:rPr>
        <w:t xml:space="preserve">Pertsonen salerosketaren mafiek erabiltzen duten benetako lege-iruzurra da, eta, askotan, gobernuz kanpoko erakundeetako kideen fede txarrarengatik, zeinek legeria bihurritzen baitute administrazio guztien pasibotasunarekin.</w:t>
      </w:r>
      <w:r>
        <w:rPr>
          <w:sz w:val="22"/>
          <w:rFonts w:ascii="Calibri" w:hAnsi="Calibri"/>
        </w:rPr>
        <w:t xml:space="preserve"> </w:t>
      </w:r>
    </w:p>
    <w:p w14:paraId="61461176" w14:textId="77777777" w:rsidR="00D86B93" w:rsidRPr="00D86B93" w:rsidRDefault="00533F88" w:rsidP="00EF46FB">
      <w:pPr>
        <w:pStyle w:val="Style"/>
        <w:spacing w:before="100" w:beforeAutospacing="1" w:after="200" w:line="276" w:lineRule="auto"/>
        <w:ind w:left="708" w:right="1200" w:firstLine="12"/>
        <w:jc w:val="both"/>
        <w:textAlignment w:val="baseline"/>
        <w:rPr>
          <w:sz w:val="22"/>
          <w:szCs w:val="22"/>
          <w:rFonts w:ascii="Calibri" w:hAnsi="Calibri" w:cs="Calibri"/>
        </w:rPr>
      </w:pPr>
      <w:r>
        <w:rPr>
          <w:sz w:val="22"/>
          <w:rFonts w:ascii="Calibri" w:hAnsi="Calibri"/>
        </w:rPr>
        <w:t xml:space="preserve">Beraz, hil edo bizikoa da ordezkari publiko guztiek zintzotasunez eta irmo aurre egitea Europako leku askotan konponbide zaila duen eta Espainian oraindik iraultzeko garaiz gauden arazo biziki larri honi.</w:t>
      </w:r>
      <w:r>
        <w:rPr>
          <w:sz w:val="22"/>
          <w:rFonts w:ascii="Calibri" w:hAnsi="Calibri"/>
        </w:rPr>
        <w:t xml:space="preserve"> </w:t>
      </w:r>
    </w:p>
    <w:p w14:paraId="4A470CAA" w14:textId="77777777" w:rsidR="00D86B93" w:rsidRPr="00D86B93" w:rsidRDefault="00533F88" w:rsidP="00C07663">
      <w:pPr>
        <w:pStyle w:val="Style"/>
        <w:spacing w:before="100" w:beforeAutospacing="1" w:after="200" w:line="276" w:lineRule="auto"/>
        <w:ind w:left="5" w:right="1186" w:firstLine="710"/>
        <w:textAlignment w:val="baseline"/>
        <w:rPr>
          <w:sz w:val="22"/>
          <w:szCs w:val="22"/>
          <w:rFonts w:ascii="Calibri" w:hAnsi="Calibri" w:cs="Calibri"/>
        </w:rPr>
      </w:pPr>
      <w:r>
        <w:rPr>
          <w:sz w:val="22"/>
          <w:rFonts w:ascii="Calibri" w:hAnsi="Calibri"/>
        </w:rPr>
        <w:t xml:space="preserve">Azaldutakoaren babesean, Nafarroako Parlamentuak Nafarroako Gobernua premiatzen du:</w:t>
      </w:r>
      <w:r>
        <w:rPr>
          <w:sz w:val="22"/>
          <w:rFonts w:ascii="Calibri" w:hAnsi="Calibri"/>
        </w:rPr>
        <w:t xml:space="preserve"> </w:t>
      </w:r>
    </w:p>
    <w:p w14:paraId="5FD8AB57" w14:textId="77777777" w:rsidR="00D86B93" w:rsidRPr="00D86B93" w:rsidRDefault="00533F88" w:rsidP="00EF46FB">
      <w:pPr>
        <w:pStyle w:val="Style"/>
        <w:numPr>
          <w:ilvl w:val="0"/>
          <w:numId w:val="1"/>
        </w:numPr>
        <w:spacing w:before="100" w:beforeAutospacing="1" w:after="200" w:line="276" w:lineRule="auto"/>
        <w:ind w:left="787" w:right="1195" w:hanging="350"/>
        <w:jc w:val="both"/>
        <w:textAlignment w:val="baseline"/>
        <w:rPr>
          <w:sz w:val="22"/>
          <w:szCs w:val="22"/>
          <w:rFonts w:ascii="Calibri" w:hAnsi="Calibri" w:cs="Calibri"/>
        </w:rPr>
      </w:pPr>
      <w:r>
        <w:rPr>
          <w:sz w:val="22"/>
          <w:rFonts w:ascii="Calibri" w:hAnsi="Calibri"/>
        </w:rPr>
        <w:t xml:space="preserve">Lehentasunez eta berehala izapidetu dezan gure herrialdera ilegalki sartzen diren etorkin guztien berehalako kanporatzea.</w:t>
      </w:r>
      <w:r>
        <w:rPr>
          <w:sz w:val="22"/>
          <w:rFonts w:ascii="Calibri" w:hAnsi="Calibri"/>
        </w:rPr>
        <w:t xml:space="preserve"> </w:t>
      </w:r>
    </w:p>
    <w:p w14:paraId="1C576A41" w14:textId="77777777" w:rsidR="00D86B93" w:rsidRPr="00D86B93" w:rsidRDefault="00533F88" w:rsidP="00C07663">
      <w:pPr>
        <w:pStyle w:val="Style"/>
        <w:numPr>
          <w:ilvl w:val="0"/>
          <w:numId w:val="2"/>
        </w:numPr>
        <w:spacing w:before="100" w:beforeAutospacing="1" w:after="200" w:line="276" w:lineRule="auto"/>
        <w:ind w:left="797" w:right="1195" w:hanging="355"/>
        <w:jc w:val="both"/>
        <w:textAlignment w:val="baseline"/>
        <w:rPr>
          <w:sz w:val="22"/>
          <w:szCs w:val="22"/>
          <w:rFonts w:ascii="Calibri" w:hAnsi="Calibri" w:cs="Calibri"/>
        </w:rPr>
      </w:pPr>
      <w:r>
        <w:rPr>
          <w:sz w:val="22"/>
          <w:rFonts w:ascii="Calibri" w:hAnsi="Calibri"/>
        </w:rPr>
        <w:t xml:space="preserve">Amai dezan milaka pertsona, Europan etorkizun hobe baten promesa faltsuen ondorioz, bizitza arriskuan jartzera –eta tragikoki galtzera kasu gehiegitan– eraman dituzten dei-efektuko politikekin.</w:t>
      </w:r>
      <w:r>
        <w:rPr>
          <w:sz w:val="22"/>
          <w:rFonts w:ascii="Calibri" w:hAnsi="Calibri"/>
        </w:rPr>
        <w:t xml:space="preserve"> </w:t>
      </w:r>
    </w:p>
    <w:p w14:paraId="48F3A34A" w14:textId="5AAE8ABE"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Administrazio publiko guztiek mezu argia helaraz dezaten: Espainian legez kanpo sartzen den edozein etorkinek ezingo du inoiz gure herrialdean duen egoera erregularizatu, ezta inolako laguntza publikorik jaso ere.</w:t>
      </w:r>
      <w:r>
        <w:rPr>
          <w:sz w:val="22"/>
          <w:rFonts w:ascii="Calibri" w:hAnsi="Calibri"/>
        </w:rPr>
        <w:t xml:space="preserve"> </w:t>
      </w:r>
    </w:p>
    <w:p w14:paraId="5C3897A8"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Legez kontrako immigrazio mota oro sustatzen duten elkarte, erakunde, fundazio eta gobernuz kanpoko erakundeendako dirulaguntzak kendu ditzan, eta legez kontrako immigrazioaren mafien eta haien laguntzaileen aurkako zigorrak gogortu ditzan.</w:t>
      </w:r>
    </w:p>
    <w:p w14:paraId="38DD784B"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2013/32/EB Zuzentarauarekin bat etorriz, premiaz onar dezan herrialde seguruen zerrenda; hau da, oro har eta sistematikoki, pertsekuziorik, torturarik edo tratu anker edo apalesgarririk ez duten herrialde guztiak, ez eta gatazka armatuko egoeretan bereizketarik gabeko indarkeria-mehatxurik ez dutenak ere, hala nola, Maroko, Aljeria edo Senegal, jatorrizko herrialdeak eta pertsonen legez kontrako salerosketen mafien operazioetatik Espainiara igarotzeko edo irteteko herrialdeak.</w:t>
      </w:r>
      <w:r>
        <w:rPr>
          <w:sz w:val="22"/>
          <w:rFonts w:ascii="Calibri" w:hAnsi="Calibri"/>
        </w:rPr>
        <w:t xml:space="preserve"> </w:t>
      </w:r>
    </w:p>
    <w:p w14:paraId="7EB13B10"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Eten dezan garapenerako lankidetza Senegalekin edo immigrazio-fluxuen kudeaketan laguntzen ez duen edozein herrialderekin, harik eta garatu eta bete arte nazioarteko emigrazioaren kudeaketaren arloan lankidetzan aritzeko etorkin ilegalen etorrera eragozteko helburuarekin sinatutako aldebiko akordioak.</w:t>
      </w:r>
      <w:r>
        <w:rPr>
          <w:sz w:val="22"/>
          <w:rFonts w:ascii="Calibri" w:hAnsi="Calibri"/>
        </w:rPr>
        <w:t xml:space="preserve"> </w:t>
      </w:r>
    </w:p>
    <w:p w14:paraId="21196BF3"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Eten dezan garapenerako lankidetza EBrekin legez kontrako etorkinak berriz hartzeko akordioak sinatzeko negoziazioak geldirik daramatzaten herrialde guztiekin, hala nola Aljeriarekin edo Marokorekin.</w:t>
      </w:r>
      <w:r>
        <w:rPr>
          <w:sz w:val="22"/>
          <w:rFonts w:ascii="Calibri" w:hAnsi="Calibri"/>
        </w:rPr>
        <w:t xml:space="preserve"> </w:t>
      </w:r>
    </w:p>
    <w:p w14:paraId="038631D5" w14:textId="77777777" w:rsidR="00EF46FB" w:rsidRP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Beharrezko lege-erreformak egin ditzan atzerritartasun-espedientea edo asilo-eskaera izapidetzean legez kontrako ezein etorkinek lege-iruzurra egin ez dezan.</w:t>
      </w:r>
    </w:p>
    <w:p w14:paraId="42D7840E"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Espainiara itzultzeko Zuzentarauaren transposizio zuzena egin dezan, eta, zehazki, atzerritarren zentroetan sartzea eta haren luzapenak arautzea, kanporatzeko eta itzultzeko agindu bat betearazteke duten atzerritar guztientzat.</w:t>
      </w:r>
      <w:r>
        <w:rPr>
          <w:sz w:val="22"/>
          <w:rFonts w:ascii="Calibri" w:hAnsi="Calibri"/>
        </w:rPr>
        <w:t xml:space="preserve"> </w:t>
      </w:r>
    </w:p>
    <w:p w14:paraId="6F3BC4EC"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Sistematikoki eta zorrotz aplika dezan, ahalik eta azkarren eta zorrotzen, nazioarteko babesa eskatzen duten pertsonak hartzeko arauak onartzen dituen 2013ko ekainaren 26ko Europako Parlamentuaren eta Kontseiluaren 2013/33/EB Zuzentarauaren 8. artikuluan ezarritakoa, lurralde nazionalera iristean nazioarteko edozein babes-mota eskatzen duten pertsonen barneratzea erabakitzeko, babesa baztertzeko edo ukatzeko arrazoirik dagoen egiaztatzeko eta, hala badagokio, berehala adosteko, betiere herrialde seguruaren irizpidea kontuan hartuta, nazioarteko babesik ez aitortzeko, adibidez, Marokotik, Aljeriatik eta beste herrialde seguru batzuetatik datozenei.</w:t>
      </w:r>
      <w:r>
        <w:rPr>
          <w:sz w:val="22"/>
          <w:rFonts w:ascii="Calibri" w:hAnsi="Calibri"/>
        </w:rPr>
        <w:t xml:space="preserve"> </w:t>
      </w:r>
      <w:r>
        <w:rPr>
          <w:sz w:val="22"/>
          <w:rFonts w:ascii="Calibri" w:hAnsi="Calibri"/>
        </w:rPr>
        <w:t xml:space="preserve">Herrialde seguruen zerrenda onartzen ez den bitartean, herrialde segurutzat hartu beharko da Europar Batasuneko edozein estatu kidek herrialde segurutzat jotzen duen ezein hirugarren herrialde.</w:t>
      </w:r>
      <w:r>
        <w:rPr>
          <w:sz w:val="22"/>
          <w:rFonts w:ascii="Calibri" w:hAnsi="Calibri"/>
        </w:rPr>
        <w:t xml:space="preserve"> </w:t>
      </w:r>
    </w:p>
    <w:p w14:paraId="54AC3A2F" w14:textId="642DF513"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Langileria-errefortzuak berehala ezar ditzan asilo-eskaerak eta atzerritartasun-espedienteak izapidetzeko eskumena duen administrazioan, izapide guztiak arintzeko asmoz eta ezein etorkin ilegalek ez ditzan beren mesederako baliatu administrazioaren atzerapenak.</w:t>
      </w:r>
      <w:r>
        <w:rPr>
          <w:sz w:val="22"/>
          <w:rFonts w:ascii="Calibri" w:hAnsi="Calibri"/>
        </w:rPr>
        <w:t xml:space="preserve"> </w:t>
      </w:r>
    </w:p>
    <w:p w14:paraId="30724A6B"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Espainiako udalerri guztietan behar diren azterlanak eta izapideak abia daitezen herritarrek Udal Erroldarekiko dituzten betebeharrei dagokienez egiten dituzten ez-betetzeak zigortzeko prozedura arautzen duen Ordenantza bat egiteko eta onartzeko, etorkin ilegalek erroldatzerik izan ez dezaten.</w:t>
      </w:r>
      <w:r>
        <w:rPr>
          <w:sz w:val="22"/>
          <w:rFonts w:ascii="Calibri" w:hAnsi="Calibri"/>
        </w:rPr>
        <w:t xml:space="preserve"> </w:t>
      </w:r>
    </w:p>
    <w:p w14:paraId="03E32A68" w14:textId="5B8F349F"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Udal- edo eskualde-administrazioek aurka egin diezaioten lurralde nazionalean legez kanpo edo modu irregularrean sartu den edozein etorkin udal-lurraldean edo eskualde-lurraldean birkokatzeari, baldin eta ez badu ezein motatako nazioarteko babesik eskatu.</w:t>
      </w:r>
      <w:r>
        <w:rPr>
          <w:sz w:val="22"/>
          <w:rFonts w:ascii="Calibri" w:hAnsi="Calibri"/>
        </w:rPr>
        <w:t xml:space="preserve"> </w:t>
      </w:r>
    </w:p>
    <w:p w14:paraId="427E5734" w14:textId="559EC896"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Udal- edo eskualde-administrazioek aurka egin diezaioten lurralde nazionalean legez kanpo edo modu irregularrean sartu den eta nazioarteko babesa eskatu duen edozein etorkin udal-lurraldean edo eskualde-lurraldean birkokatzeari, baldin eta eskumena duen Ministerioak –ministroaren beraren ardurapean– ez badu ziurtagiria eman, egiaztatze aldera nazioarteko babes-eskaerak ez onartzeko, baztertzeko eta ukatzeko arrazoi guztien azterketa xehatua egin dela eta pertsona hori herrialde seguru batetik ez datorrela.</w:t>
      </w:r>
      <w:r>
        <w:rPr>
          <w:sz w:val="22"/>
          <w:rFonts w:ascii="Calibri" w:hAnsi="Calibri"/>
        </w:rPr>
        <w:t xml:space="preserve"> </w:t>
      </w:r>
    </w:p>
    <w:p w14:paraId="75FB9F0F"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Barne Ministerioaren aginduz legez kanpoko etorkinak gure Foru Komunitatean/herrian birkokatuz gero, poliziaren presentzia areagotzea eta indartzea, bizilagunen segurtasuna bermatzeko eta etorkin ilegalak kontrolpean edukitzeko, haien kanporatze-espedienteak izapidetzen diren bitartean.</w:t>
      </w:r>
      <w:r>
        <w:rPr>
          <w:sz w:val="22"/>
          <w:rFonts w:ascii="Calibri" w:hAnsi="Calibri"/>
        </w:rPr>
        <w:t xml:space="preserve"> </w:t>
      </w:r>
    </w:p>
    <w:p w14:paraId="46EAC28F"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Pedro Sánchez, Gobernuko presidentea den aldetik, eta Fernando Grande-Marlaska, Barne ministroa den aldetik, erantzule izango dira etorkin ilegalak birkokatzearen ondorioz gure herriko/Foru Komunitateko herritarren askatasunaren edo segurtasunaren aurka egiten den eraso oroz bezainbatean.</w:t>
      </w:r>
      <w:r>
        <w:rPr>
          <w:sz w:val="22"/>
          <w:rFonts w:ascii="Calibri" w:hAnsi="Calibri"/>
        </w:rPr>
        <w:t xml:space="preserve"> </w:t>
      </w:r>
    </w:p>
    <w:p w14:paraId="4292F89D"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Behar diren bitarteko guztiak jar ditzan gure herrian/Foru Komunitatean etorkin ilegalak birkokatzea xede duen ezein aurrekontu-partidarik ez gaitzeko.</w:t>
      </w:r>
      <w:r>
        <w:rPr>
          <w:sz w:val="22"/>
          <w:rFonts w:ascii="Calibri" w:hAnsi="Calibri"/>
        </w:rPr>
        <w:t xml:space="preserve"> </w:t>
      </w:r>
    </w:p>
    <w:p w14:paraId="5D01D078"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Atzerri-politikarekin eta nazioarteko harremanekin gertatzen den bezala, nazioarteko lankidetzaren arloko politika eta horrekin lotutako laguntza guztiak Nazioko Gobernuaren eskumen esklusiboa izan daitezen.</w:t>
      </w:r>
      <w:r>
        <w:rPr>
          <w:sz w:val="22"/>
          <w:rFonts w:ascii="Calibri" w:hAnsi="Calibri"/>
        </w:rPr>
        <w:t xml:space="preserve"> </w:t>
      </w:r>
    </w:p>
    <w:p w14:paraId="24C42DFA" w14:textId="2D66D4E3" w:rsidR="00D86B93" w:rsidRPr="00A54C6A" w:rsidRDefault="00533F88" w:rsidP="00A54C6A">
      <w:pPr>
        <w:pStyle w:val="Style"/>
        <w:numPr>
          <w:ilvl w:val="0"/>
          <w:numId w:val="3"/>
        </w:numPr>
        <w:spacing w:before="100" w:beforeAutospacing="1" w:after="200" w:line="276" w:lineRule="auto"/>
        <w:ind w:left="797" w:right="1195" w:hanging="360"/>
        <w:jc w:val="both"/>
        <w:textAlignment w:val="baseline"/>
        <w:rPr>
          <w:sz w:val="22"/>
          <w:szCs w:val="22"/>
          <w:rFonts w:ascii="Calibri" w:hAnsi="Calibri" w:cs="Calibri"/>
        </w:rPr>
      </w:pPr>
      <w:r>
        <w:rPr>
          <w:sz w:val="22"/>
          <w:rFonts w:ascii="Calibri" w:hAnsi="Calibri"/>
        </w:rPr>
        <w:t xml:space="preserve">Palestinari edo, hala badagokio, Palestinan jarduten duen edozein GKEri ordainketa oro berehala eten dezan, ordainketa horien premiazko auditoretza bat egiteko, laguntza humanitariora bideratu diren ala ez zehazteko, espainiarren euro bakar bat ere Hamas bezalako erakunde terroristetara bideratu ez dadin.</w:t>
      </w:r>
      <w:r>
        <w:rPr>
          <w:sz w:val="22"/>
          <w:rFonts w:ascii="Calibri" w:hAnsi="Calibri"/>
        </w:rPr>
        <w:t xml:space="preserve"> </w:t>
      </w:r>
    </w:p>
    <w:p w14:paraId="3FD8131F" w14:textId="577B1EDF" w:rsidR="00C302B5" w:rsidRDefault="00533F88" w:rsidP="00A54C6A">
      <w:pPr>
        <w:pStyle w:val="Style"/>
        <w:spacing w:before="100" w:beforeAutospacing="1" w:after="200" w:line="276" w:lineRule="auto"/>
        <w:ind w:right="1195" w:firstLine="437"/>
        <w:textAlignment w:val="baseline"/>
        <w:rPr>
          <w:sz w:val="22"/>
          <w:szCs w:val="22"/>
          <w:rFonts w:ascii="Calibri" w:eastAsia="Arial" w:hAnsi="Calibri" w:cs="Calibri"/>
        </w:rPr>
      </w:pPr>
      <w:r>
        <w:rPr>
          <w:sz w:val="22"/>
          <w:rFonts w:ascii="Calibri" w:hAnsi="Calibri"/>
        </w:rPr>
        <w:t xml:space="preserve">Iruñean, 2023ko azaroaren 2an</w:t>
      </w:r>
    </w:p>
    <w:p w14:paraId="1960F40C" w14:textId="29A77ACA" w:rsidR="003A2CFF" w:rsidRPr="00D86B93" w:rsidRDefault="00C302B5" w:rsidP="00A54C6A">
      <w:pPr>
        <w:pStyle w:val="Style"/>
        <w:spacing w:before="100" w:beforeAutospacing="1" w:after="200" w:line="276" w:lineRule="auto"/>
        <w:ind w:right="1195" w:firstLine="43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r>
        <w:rPr>
          <w:sz w:val="22"/>
          <w:rFonts w:ascii="Calibri" w:hAnsi="Calibri"/>
        </w:rPr>
        <w:t xml:space="preserve"> </w:t>
      </w:r>
    </w:p>
    <w:sectPr w:rsidR="003A2CFF" w:rsidRPr="00D86B93" w:rsidSect="00C07663">
      <w:type w:val="continuous"/>
      <w:pgSz w:w="11900" w:h="16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90B"/>
    <w:multiLevelType w:val="singleLevel"/>
    <w:tmpl w:val="E676BCA0"/>
    <w:lvl w:ilvl="0">
      <w:start w:val="8"/>
      <w:numFmt w:val="decimal"/>
      <w:lvlText w:val="%1."/>
      <w:legacy w:legacy="1" w:legacySpace="0" w:legacyIndent="0"/>
      <w:lvlJc w:val="left"/>
      <w:rPr>
        <w:rFonts w:ascii="Arial" w:hAnsi="Arial" w:cs="Arial" w:hint="default"/>
        <w:sz w:val="21"/>
        <w:szCs w:val="21"/>
      </w:rPr>
    </w:lvl>
  </w:abstractNum>
  <w:abstractNum w:abstractNumId="1" w15:restartNumberingAfterBreak="0">
    <w:nsid w:val="195F7E9B"/>
    <w:multiLevelType w:val="singleLevel"/>
    <w:tmpl w:val="B04E4054"/>
    <w:lvl w:ilvl="0">
      <w:start w:val="7"/>
      <w:numFmt w:val="decimal"/>
      <w:lvlText w:val="%1."/>
      <w:legacy w:legacy="1" w:legacySpace="0" w:legacyIndent="0"/>
      <w:lvlJc w:val="left"/>
      <w:rPr>
        <w:rFonts w:ascii="Arial" w:hAnsi="Arial" w:cs="Arial" w:hint="default"/>
        <w:sz w:val="21"/>
        <w:szCs w:val="21"/>
      </w:rPr>
    </w:lvl>
  </w:abstractNum>
  <w:abstractNum w:abstractNumId="2" w15:restartNumberingAfterBreak="0">
    <w:nsid w:val="237031A6"/>
    <w:multiLevelType w:val="singleLevel"/>
    <w:tmpl w:val="C588A242"/>
    <w:lvl w:ilvl="0">
      <w:start w:val="2"/>
      <w:numFmt w:val="decimal"/>
      <w:lvlText w:val="%1."/>
      <w:legacy w:legacy="1" w:legacySpace="0" w:legacyIndent="0"/>
      <w:lvlJc w:val="left"/>
      <w:rPr>
        <w:rFonts w:ascii="Arial" w:hAnsi="Arial" w:cs="Arial" w:hint="default"/>
        <w:sz w:val="21"/>
        <w:szCs w:val="21"/>
      </w:rPr>
    </w:lvl>
  </w:abstractNum>
  <w:abstractNum w:abstractNumId="3" w15:restartNumberingAfterBreak="0">
    <w:nsid w:val="280E5ECD"/>
    <w:multiLevelType w:val="singleLevel"/>
    <w:tmpl w:val="3D601516"/>
    <w:lvl w:ilvl="0">
      <w:start w:val="9"/>
      <w:numFmt w:val="decimal"/>
      <w:lvlText w:val="%1."/>
      <w:legacy w:legacy="1" w:legacySpace="0" w:legacyIndent="0"/>
      <w:lvlJc w:val="left"/>
      <w:rPr>
        <w:rFonts w:ascii="Arial" w:hAnsi="Arial" w:cs="Arial" w:hint="default"/>
        <w:sz w:val="21"/>
        <w:szCs w:val="21"/>
      </w:rPr>
    </w:lvl>
  </w:abstractNum>
  <w:abstractNum w:abstractNumId="4" w15:restartNumberingAfterBreak="0">
    <w:nsid w:val="2F0D33B5"/>
    <w:multiLevelType w:val="singleLevel"/>
    <w:tmpl w:val="CD8CFA86"/>
    <w:lvl w:ilvl="0">
      <w:start w:val="13"/>
      <w:numFmt w:val="decimal"/>
      <w:lvlText w:val="%1."/>
      <w:legacy w:legacy="1" w:legacySpace="0" w:legacyIndent="0"/>
      <w:lvlJc w:val="left"/>
      <w:rPr>
        <w:rFonts w:ascii="Arial" w:hAnsi="Arial" w:cs="Arial" w:hint="default"/>
        <w:sz w:val="21"/>
        <w:szCs w:val="21"/>
      </w:rPr>
    </w:lvl>
  </w:abstractNum>
  <w:abstractNum w:abstractNumId="5" w15:restartNumberingAfterBreak="0">
    <w:nsid w:val="3F07363F"/>
    <w:multiLevelType w:val="singleLevel"/>
    <w:tmpl w:val="AC34F9E4"/>
    <w:lvl w:ilvl="0">
      <w:start w:val="16"/>
      <w:numFmt w:val="decimal"/>
      <w:lvlText w:val="%1."/>
      <w:legacy w:legacy="1" w:legacySpace="0" w:legacyIndent="0"/>
      <w:lvlJc w:val="left"/>
      <w:rPr>
        <w:rFonts w:ascii="Arial" w:hAnsi="Arial" w:cs="Arial" w:hint="default"/>
        <w:sz w:val="21"/>
        <w:szCs w:val="21"/>
      </w:rPr>
    </w:lvl>
  </w:abstractNum>
  <w:abstractNum w:abstractNumId="6" w15:restartNumberingAfterBreak="0">
    <w:nsid w:val="4B4E35B1"/>
    <w:multiLevelType w:val="singleLevel"/>
    <w:tmpl w:val="02B63CA6"/>
    <w:lvl w:ilvl="0">
      <w:start w:val="17"/>
      <w:numFmt w:val="decimal"/>
      <w:lvlText w:val="%1."/>
      <w:legacy w:legacy="1" w:legacySpace="0" w:legacyIndent="0"/>
      <w:lvlJc w:val="left"/>
      <w:rPr>
        <w:rFonts w:ascii="Arial" w:hAnsi="Arial" w:cs="Arial" w:hint="default"/>
        <w:sz w:val="21"/>
        <w:szCs w:val="21"/>
      </w:rPr>
    </w:lvl>
  </w:abstractNum>
  <w:abstractNum w:abstractNumId="7" w15:restartNumberingAfterBreak="0">
    <w:nsid w:val="4FA37242"/>
    <w:multiLevelType w:val="singleLevel"/>
    <w:tmpl w:val="4ECC5756"/>
    <w:lvl w:ilvl="0">
      <w:start w:val="6"/>
      <w:numFmt w:val="decimal"/>
      <w:lvlText w:val="%1."/>
      <w:legacy w:legacy="1" w:legacySpace="0" w:legacyIndent="0"/>
      <w:lvlJc w:val="left"/>
      <w:rPr>
        <w:rFonts w:ascii="Arial" w:hAnsi="Arial" w:cs="Arial" w:hint="default"/>
        <w:sz w:val="21"/>
        <w:szCs w:val="21"/>
      </w:rPr>
    </w:lvl>
  </w:abstractNum>
  <w:abstractNum w:abstractNumId="8" w15:restartNumberingAfterBreak="0">
    <w:nsid w:val="50952C61"/>
    <w:multiLevelType w:val="singleLevel"/>
    <w:tmpl w:val="8FBC8C46"/>
    <w:lvl w:ilvl="0">
      <w:start w:val="5"/>
      <w:numFmt w:val="decimal"/>
      <w:lvlText w:val="%1."/>
      <w:legacy w:legacy="1" w:legacySpace="0" w:legacyIndent="0"/>
      <w:lvlJc w:val="left"/>
      <w:rPr>
        <w:rFonts w:ascii="Arial" w:hAnsi="Arial" w:cs="Arial" w:hint="default"/>
        <w:sz w:val="21"/>
        <w:szCs w:val="21"/>
      </w:rPr>
    </w:lvl>
  </w:abstractNum>
  <w:abstractNum w:abstractNumId="9" w15:restartNumberingAfterBreak="0">
    <w:nsid w:val="51480313"/>
    <w:multiLevelType w:val="singleLevel"/>
    <w:tmpl w:val="462EB9C2"/>
    <w:lvl w:ilvl="0">
      <w:start w:val="18"/>
      <w:numFmt w:val="decimal"/>
      <w:lvlText w:val="%1."/>
      <w:legacy w:legacy="1" w:legacySpace="0" w:legacyIndent="0"/>
      <w:lvlJc w:val="left"/>
      <w:rPr>
        <w:rFonts w:ascii="Arial" w:hAnsi="Arial" w:cs="Arial" w:hint="default"/>
        <w:sz w:val="21"/>
        <w:szCs w:val="21"/>
      </w:rPr>
    </w:lvl>
  </w:abstractNum>
  <w:abstractNum w:abstractNumId="10" w15:restartNumberingAfterBreak="0">
    <w:nsid w:val="67807586"/>
    <w:multiLevelType w:val="singleLevel"/>
    <w:tmpl w:val="D4DC94BC"/>
    <w:lvl w:ilvl="0">
      <w:start w:val="15"/>
      <w:numFmt w:val="decimal"/>
      <w:lvlText w:val="%1."/>
      <w:legacy w:legacy="1" w:legacySpace="0" w:legacyIndent="0"/>
      <w:lvlJc w:val="left"/>
      <w:rPr>
        <w:rFonts w:ascii="Arial" w:hAnsi="Arial" w:cs="Arial" w:hint="default"/>
        <w:sz w:val="21"/>
        <w:szCs w:val="21"/>
      </w:rPr>
    </w:lvl>
  </w:abstractNum>
  <w:abstractNum w:abstractNumId="11" w15:restartNumberingAfterBreak="0">
    <w:nsid w:val="68426F05"/>
    <w:multiLevelType w:val="singleLevel"/>
    <w:tmpl w:val="9BB058A2"/>
    <w:lvl w:ilvl="0">
      <w:start w:val="11"/>
      <w:numFmt w:val="decimal"/>
      <w:lvlText w:val="%1."/>
      <w:legacy w:legacy="1" w:legacySpace="0" w:legacyIndent="0"/>
      <w:lvlJc w:val="left"/>
      <w:rPr>
        <w:rFonts w:ascii="Arial" w:hAnsi="Arial" w:cs="Arial" w:hint="default"/>
        <w:sz w:val="21"/>
        <w:szCs w:val="21"/>
      </w:rPr>
    </w:lvl>
  </w:abstractNum>
  <w:abstractNum w:abstractNumId="12" w15:restartNumberingAfterBreak="0">
    <w:nsid w:val="70663942"/>
    <w:multiLevelType w:val="singleLevel"/>
    <w:tmpl w:val="BA92FADE"/>
    <w:lvl w:ilvl="0">
      <w:start w:val="3"/>
      <w:numFmt w:val="decimal"/>
      <w:lvlText w:val="%1."/>
      <w:legacy w:legacy="1" w:legacySpace="0" w:legacyIndent="0"/>
      <w:lvlJc w:val="left"/>
      <w:rPr>
        <w:rFonts w:ascii="Arial" w:hAnsi="Arial" w:cs="Arial" w:hint="default"/>
        <w:sz w:val="21"/>
        <w:szCs w:val="21"/>
      </w:rPr>
    </w:lvl>
  </w:abstractNum>
  <w:abstractNum w:abstractNumId="13" w15:restartNumberingAfterBreak="0">
    <w:nsid w:val="731966E7"/>
    <w:multiLevelType w:val="singleLevel"/>
    <w:tmpl w:val="E884AB8E"/>
    <w:lvl w:ilvl="0">
      <w:start w:val="19"/>
      <w:numFmt w:val="decimal"/>
      <w:lvlText w:val="%1."/>
      <w:legacy w:legacy="1" w:legacySpace="0" w:legacyIndent="0"/>
      <w:lvlJc w:val="left"/>
      <w:rPr>
        <w:rFonts w:ascii="Arial" w:hAnsi="Arial" w:cs="Arial" w:hint="default"/>
        <w:sz w:val="21"/>
        <w:szCs w:val="21"/>
      </w:rPr>
    </w:lvl>
  </w:abstractNum>
  <w:abstractNum w:abstractNumId="14" w15:restartNumberingAfterBreak="0">
    <w:nsid w:val="76526AE8"/>
    <w:multiLevelType w:val="singleLevel"/>
    <w:tmpl w:val="06D0CCBC"/>
    <w:lvl w:ilvl="0">
      <w:start w:val="14"/>
      <w:numFmt w:val="decimal"/>
      <w:lvlText w:val="%1."/>
      <w:legacy w:legacy="1" w:legacySpace="0" w:legacyIndent="0"/>
      <w:lvlJc w:val="left"/>
      <w:rPr>
        <w:rFonts w:ascii="Arial" w:hAnsi="Arial" w:cs="Arial" w:hint="default"/>
        <w:sz w:val="21"/>
        <w:szCs w:val="21"/>
      </w:rPr>
    </w:lvl>
  </w:abstractNum>
  <w:abstractNum w:abstractNumId="15" w15:restartNumberingAfterBreak="0">
    <w:nsid w:val="7A9D2BCB"/>
    <w:multiLevelType w:val="singleLevel"/>
    <w:tmpl w:val="7E249F12"/>
    <w:lvl w:ilvl="0">
      <w:start w:val="4"/>
      <w:numFmt w:val="decimal"/>
      <w:lvlText w:val="%1."/>
      <w:legacy w:legacy="1" w:legacySpace="0" w:legacyIndent="0"/>
      <w:lvlJc w:val="left"/>
      <w:rPr>
        <w:rFonts w:ascii="Arial" w:hAnsi="Arial" w:cs="Arial" w:hint="default"/>
        <w:sz w:val="21"/>
        <w:szCs w:val="21"/>
      </w:rPr>
    </w:lvl>
  </w:abstractNum>
  <w:abstractNum w:abstractNumId="16" w15:restartNumberingAfterBreak="0">
    <w:nsid w:val="7BCA5270"/>
    <w:multiLevelType w:val="singleLevel"/>
    <w:tmpl w:val="D11EFF84"/>
    <w:lvl w:ilvl="0">
      <w:start w:val="1"/>
      <w:numFmt w:val="decimal"/>
      <w:lvlText w:val="%1."/>
      <w:legacy w:legacy="1" w:legacySpace="0" w:legacyIndent="0"/>
      <w:lvlJc w:val="left"/>
      <w:rPr>
        <w:rFonts w:ascii="Arial" w:hAnsi="Arial" w:cs="Arial" w:hint="default"/>
        <w:sz w:val="21"/>
        <w:szCs w:val="21"/>
      </w:rPr>
    </w:lvl>
  </w:abstractNum>
  <w:abstractNum w:abstractNumId="17" w15:restartNumberingAfterBreak="0">
    <w:nsid w:val="7EAD14DF"/>
    <w:multiLevelType w:val="singleLevel"/>
    <w:tmpl w:val="B3043162"/>
    <w:lvl w:ilvl="0">
      <w:start w:val="11"/>
      <w:numFmt w:val="decimal"/>
      <w:lvlText w:val="%1."/>
      <w:legacy w:legacy="1" w:legacySpace="0" w:legacyIndent="0"/>
      <w:lvlJc w:val="left"/>
      <w:rPr>
        <w:rFonts w:ascii="Arial" w:hAnsi="Arial" w:cs="Arial" w:hint="default"/>
        <w:sz w:val="21"/>
        <w:szCs w:val="21"/>
      </w:rPr>
    </w:lvl>
  </w:abstractNum>
  <w:num w:numId="1" w16cid:durableId="938103129">
    <w:abstractNumId w:val="16"/>
  </w:num>
  <w:num w:numId="2" w16cid:durableId="2020767245">
    <w:abstractNumId w:val="2"/>
  </w:num>
  <w:num w:numId="3" w16cid:durableId="1242913445">
    <w:abstractNumId w:val="12"/>
  </w:num>
  <w:num w:numId="4" w16cid:durableId="1733192256">
    <w:abstractNumId w:val="15"/>
  </w:num>
  <w:num w:numId="5" w16cid:durableId="1722702775">
    <w:abstractNumId w:val="8"/>
  </w:num>
  <w:num w:numId="6" w16cid:durableId="294142202">
    <w:abstractNumId w:val="7"/>
  </w:num>
  <w:num w:numId="7" w16cid:durableId="851647454">
    <w:abstractNumId w:val="1"/>
  </w:num>
  <w:num w:numId="8" w16cid:durableId="217976054">
    <w:abstractNumId w:val="0"/>
  </w:num>
  <w:num w:numId="9" w16cid:durableId="714626170">
    <w:abstractNumId w:val="3"/>
  </w:num>
  <w:num w:numId="10" w16cid:durableId="2136636539">
    <w:abstractNumId w:val="17"/>
  </w:num>
  <w:num w:numId="11" w16cid:durableId="512502106">
    <w:abstractNumId w:val="11"/>
  </w:num>
  <w:num w:numId="12" w16cid:durableId="1654482562">
    <w:abstractNumId w:val="4"/>
  </w:num>
  <w:num w:numId="13" w16cid:durableId="4602302">
    <w:abstractNumId w:val="14"/>
  </w:num>
  <w:num w:numId="14" w16cid:durableId="2067602805">
    <w:abstractNumId w:val="10"/>
  </w:num>
  <w:num w:numId="15" w16cid:durableId="2103141172">
    <w:abstractNumId w:val="5"/>
  </w:num>
  <w:num w:numId="16" w16cid:durableId="646009441">
    <w:abstractNumId w:val="6"/>
  </w:num>
  <w:num w:numId="17" w16cid:durableId="1672100072">
    <w:abstractNumId w:val="9"/>
  </w:num>
  <w:num w:numId="18" w16cid:durableId="297995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A2CFF"/>
    <w:rsid w:val="00066A7A"/>
    <w:rsid w:val="001C6C5A"/>
    <w:rsid w:val="00222A3D"/>
    <w:rsid w:val="00274DCB"/>
    <w:rsid w:val="003A2766"/>
    <w:rsid w:val="003A2CFF"/>
    <w:rsid w:val="003E038B"/>
    <w:rsid w:val="00533F88"/>
    <w:rsid w:val="00595167"/>
    <w:rsid w:val="00A54C6A"/>
    <w:rsid w:val="00B67798"/>
    <w:rsid w:val="00C07663"/>
    <w:rsid w:val="00C302B5"/>
    <w:rsid w:val="00D86B93"/>
    <w:rsid w:val="00EF46FB"/>
    <w:rsid w:val="00F07E1A"/>
    <w:rsid w:val="00F16E19"/>
    <w:rsid w:val="00FF4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38BB"/>
  <w15:docId w15:val="{A0274FB9-29DB-4682-9E60-5572018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2534</Words>
  <Characters>13938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23MOC-66</vt:lpstr>
    </vt:vector>
  </TitlesOfParts>
  <Company>HP Inc.</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23MOC-66</dc:title>
  <dc:creator>informatica</dc:creator>
  <cp:keywords>CreatedByIRIS_Readiris_17.0</cp:keywords>
  <cp:lastModifiedBy>Mauleón, Fernando</cp:lastModifiedBy>
  <cp:revision>17</cp:revision>
  <dcterms:created xsi:type="dcterms:W3CDTF">2023-11-03T07:28:00Z</dcterms:created>
  <dcterms:modified xsi:type="dcterms:W3CDTF">2023-11-03T07:47:00Z</dcterms:modified>
</cp:coreProperties>
</file>