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845BB" w14:textId="5C302D40" w:rsidR="00F500F3" w:rsidRPr="00F500F3" w:rsidRDefault="00F500F3" w:rsidP="0073543B">
      <w:pPr>
        <w:pStyle w:val="Style"/>
        <w:spacing w:before="100" w:beforeAutospacing="1" w:after="200" w:line="276" w:lineRule="auto"/>
        <w:ind w:left="5"/>
        <w:jc w:val="both"/>
        <w:textAlignment w:val="baseline"/>
        <w:rPr>
          <w:rFonts w:ascii="Calibri" w:hAnsi="Calibri" w:cs="Calibri"/>
          <w:sz w:val="22"/>
          <w:szCs w:val="22"/>
        </w:rPr>
      </w:pPr>
      <w:r>
        <w:rPr>
          <w:rFonts w:ascii="Calibri" w:hAnsi="Calibri"/>
          <w:sz w:val="22"/>
        </w:rPr>
        <w:t>23PES-96</w:t>
      </w:r>
    </w:p>
    <w:p w14:paraId="40B74B22" w14:textId="41CA90EB" w:rsidR="00F500F3" w:rsidRPr="00F500F3" w:rsidRDefault="00142ABF" w:rsidP="0073543B">
      <w:pPr>
        <w:pStyle w:val="Style"/>
        <w:spacing w:before="100" w:beforeAutospacing="1" w:after="200" w:line="276" w:lineRule="auto"/>
        <w:ind w:left="5"/>
        <w:jc w:val="both"/>
        <w:textAlignment w:val="baseline"/>
        <w:rPr>
          <w:rFonts w:ascii="Calibri" w:hAnsi="Calibri" w:cs="Calibri"/>
          <w:sz w:val="22"/>
          <w:szCs w:val="22"/>
        </w:rPr>
      </w:pPr>
      <w:r>
        <w:rPr>
          <w:rFonts w:ascii="Calibri" w:hAnsi="Calibri"/>
          <w:sz w:val="22"/>
        </w:rPr>
        <w:t xml:space="preserve">Unión del Pueblo Navarro (UPN) talde parlamentarioari atxikitako foru parlamentari Leticia San Martín Rodríguez andreak idatziz erantzuteko galdera egin du pazienteak anbulantziaz eramateari buruz (11-23/PES-00096), jakin nahi baitu “Osasunbidea-Nafarroako Osasun Zerbitzuaren 9/2023 jarraibidean oinarrituta, zer dela-eta baimentzen den nafar bat beste erkidego batera eramatea laguntza-anbulantzia batean baina ez den baimentzen Nafarroatik kanpo ospitaleratu behar izan den nafar bat gure erkidegora itzultzea laguntza-anbulantzia batean”. Hona hemen Nafarroako Gobernuko Osasuneko kontseilariak ematen dion informazioa: </w:t>
      </w:r>
    </w:p>
    <w:p w14:paraId="2FA8EF2D" w14:textId="77777777" w:rsidR="00F500F3" w:rsidRPr="00F500F3" w:rsidRDefault="00142ABF" w:rsidP="0073543B">
      <w:pPr>
        <w:pStyle w:val="Style"/>
        <w:spacing w:before="100" w:beforeAutospacing="1" w:after="200" w:line="276" w:lineRule="auto"/>
        <w:ind w:firstLine="566"/>
        <w:jc w:val="both"/>
        <w:textAlignment w:val="baseline"/>
        <w:rPr>
          <w:rFonts w:ascii="Calibri" w:hAnsi="Calibri" w:cs="Calibri"/>
          <w:sz w:val="22"/>
          <w:szCs w:val="22"/>
        </w:rPr>
      </w:pPr>
      <w:r>
        <w:rPr>
          <w:rFonts w:ascii="Calibri" w:hAnsi="Calibri"/>
          <w:sz w:val="22"/>
        </w:rPr>
        <w:t>1.- Irailaren 15eko 1030/2006 Errege Dekretuak</w:t>
      </w:r>
      <w:r>
        <w:rPr>
          <w:rFonts w:ascii="Calibri" w:hAnsi="Calibri"/>
          <w:b/>
          <w:sz w:val="22"/>
        </w:rPr>
        <w:t xml:space="preserve"> </w:t>
      </w:r>
      <w:r>
        <w:rPr>
          <w:rFonts w:ascii="Calibri" w:hAnsi="Calibri"/>
          <w:sz w:val="22"/>
        </w:rPr>
        <w:t xml:space="preserve">Osasun Sistema Nazionaleko zerbitzu komunen zorroa eta hura eguneratzeko prozedura ezartzen ditu, eta VIII. eranskinean jasotzen du osasun garraioko zerbitzuen oinarrizko zorroa, desgaitasuna duten pertsonentzat irisgarria. Eriak lekualdatzean datza, soil-soilik arrazoi klinikoengatik, beren egoerak ohiko garraiobideak erabiltzea galarazten dienean. Gainera, dekretuan hau azaltzen da: </w:t>
      </w:r>
    </w:p>
    <w:p w14:paraId="4C01A2D4" w14:textId="77777777" w:rsidR="00F500F3" w:rsidRPr="00F500F3" w:rsidRDefault="00142ABF" w:rsidP="0073543B">
      <w:pPr>
        <w:pStyle w:val="Style"/>
        <w:spacing w:before="100" w:beforeAutospacing="1" w:after="200" w:line="276" w:lineRule="auto"/>
        <w:ind w:firstLine="566"/>
        <w:jc w:val="both"/>
        <w:textAlignment w:val="baseline"/>
        <w:rPr>
          <w:rFonts w:ascii="Calibri" w:hAnsi="Calibri" w:cs="Calibri"/>
          <w:sz w:val="22"/>
          <w:szCs w:val="22"/>
        </w:rPr>
      </w:pPr>
      <w:r>
        <w:rPr>
          <w:rFonts w:ascii="Calibri" w:hAnsi="Calibri"/>
          <w:sz w:val="22"/>
        </w:rPr>
        <w:t>a) Osasun garraioko prestazioa eskuratzea:</w:t>
      </w:r>
      <w:r>
        <w:rPr>
          <w:rFonts w:ascii="Calibri" w:hAnsi="Calibri"/>
          <w:i/>
          <w:sz w:val="22"/>
        </w:rPr>
        <w:t xml:space="preserve"> </w:t>
      </w:r>
      <w:r>
        <w:rPr>
          <w:rFonts w:ascii="Calibri" w:hAnsi="Calibri"/>
          <w:sz w:val="22"/>
        </w:rPr>
        <w:t xml:space="preserve">Prestazio honen finantzaketarako eskubidea dute eriek edo istripua izan duten pertsonek, Osasun Sistema Nazionalean osasun laguntza jasotzen dutenean, zentro propioetan edo itunduetan, baldin eta, ezintasun fisikoagatik edo beste arrazoi batzuengatik –soil-soilik arrazoi klinikoak– ezin badute ohiko garraiobide bat erabili osasun zentrora joateko, edo osasun laguntza jaso ondoren etxera itzultzeko, beharra justifikatzen duten arrazoiek irauten dutenean. </w:t>
      </w:r>
    </w:p>
    <w:p w14:paraId="799F9B8B" w14:textId="77777777" w:rsidR="00010987" w:rsidRDefault="00142ABF" w:rsidP="0073543B">
      <w:pPr>
        <w:pStyle w:val="Style"/>
        <w:spacing w:before="100" w:beforeAutospacing="1" w:after="200" w:line="276" w:lineRule="auto"/>
        <w:ind w:left="5" w:firstLine="566"/>
        <w:jc w:val="both"/>
        <w:textAlignment w:val="baseline"/>
        <w:rPr>
          <w:rFonts w:ascii="Calibri" w:hAnsi="Calibri" w:cs="Calibri"/>
          <w:sz w:val="22"/>
          <w:szCs w:val="22"/>
        </w:rPr>
      </w:pPr>
      <w:r>
        <w:rPr>
          <w:rFonts w:ascii="Calibri" w:hAnsi="Calibri"/>
          <w:sz w:val="22"/>
        </w:rPr>
        <w:t>b) Edukia:</w:t>
      </w:r>
      <w:r>
        <w:rPr>
          <w:rFonts w:ascii="Calibri" w:hAnsi="Calibri"/>
          <w:i/>
          <w:sz w:val="22"/>
        </w:rPr>
        <w:t xml:space="preserve"> </w:t>
      </w:r>
      <w:r>
        <w:rPr>
          <w:rFonts w:ascii="Calibri" w:hAnsi="Calibri"/>
          <w:sz w:val="22"/>
        </w:rPr>
        <w:t>Barnean hartzen ditu lagundu gabeko osasun garraioa, eriak edo istripua izan duenak ez badu laguntza tekniko-sanitarioaren beharrik bidean, eta osasun garraio lagundua, bidean laguntza tekniko-sanitarioaren beharra duten eri edo istripudunentzat.</w:t>
      </w:r>
    </w:p>
    <w:p w14:paraId="40386E88" w14:textId="3E7238C3" w:rsidR="008B7B82" w:rsidRPr="00010987" w:rsidRDefault="00010987" w:rsidP="0073543B">
      <w:pPr>
        <w:pStyle w:val="Style"/>
        <w:spacing w:before="100" w:beforeAutospacing="1" w:after="200" w:line="276" w:lineRule="auto"/>
        <w:ind w:left="5" w:firstLine="566"/>
        <w:jc w:val="both"/>
        <w:textAlignment w:val="baseline"/>
        <w:rPr>
          <w:rFonts w:ascii="Calibri" w:hAnsi="Calibri" w:cs="Calibri"/>
          <w:sz w:val="22"/>
          <w:szCs w:val="22"/>
        </w:rPr>
      </w:pPr>
      <w:r>
        <w:rPr>
          <w:rFonts w:ascii="Calibri" w:hAnsi="Calibri"/>
          <w:sz w:val="22"/>
        </w:rPr>
        <w:t>c) Betekizun orokorrak:</w:t>
      </w:r>
    </w:p>
    <w:p w14:paraId="4FF537D7" w14:textId="77777777" w:rsidR="008B7B82" w:rsidRPr="00F500F3" w:rsidRDefault="00142ABF" w:rsidP="0073543B">
      <w:pPr>
        <w:pStyle w:val="Style"/>
        <w:spacing w:before="100" w:beforeAutospacing="1" w:after="200" w:line="276" w:lineRule="auto"/>
        <w:ind w:left="562" w:firstLine="283"/>
        <w:jc w:val="both"/>
        <w:textAlignment w:val="baseline"/>
        <w:rPr>
          <w:rFonts w:ascii="Calibri" w:hAnsi="Calibri" w:cs="Calibri"/>
          <w:sz w:val="22"/>
          <w:szCs w:val="22"/>
        </w:rPr>
      </w:pPr>
      <w:r>
        <w:rPr>
          <w:rFonts w:ascii="Calibri" w:hAnsi="Calibri"/>
          <w:sz w:val="22"/>
        </w:rPr>
        <w:t>c).1.-</w:t>
      </w:r>
      <w:r>
        <w:rPr>
          <w:rFonts w:ascii="Calibri" w:hAnsi="Calibri"/>
          <w:b/>
          <w:i/>
          <w:sz w:val="22"/>
        </w:rPr>
        <w:t xml:space="preserve"> </w:t>
      </w:r>
      <w:r>
        <w:rPr>
          <w:rFonts w:ascii="Calibri" w:hAnsi="Calibri"/>
          <w:sz w:val="22"/>
        </w:rPr>
        <w:t xml:space="preserve">Osasun garraioa lehorrekoa, airekoa edo itsasokoa izan daiteke. Garraiobide aproposenean gauzatuko da, beharraren eta egokitasunaren arabera, ahalik eta denbora laburrenean eta lekualdaketa ongi egiteko ibilbide egokiena aukeratuta. </w:t>
      </w:r>
    </w:p>
    <w:p w14:paraId="0D6C042E" w14:textId="77777777" w:rsidR="008B7B82" w:rsidRPr="00F500F3" w:rsidRDefault="00142ABF" w:rsidP="0073543B">
      <w:pPr>
        <w:pStyle w:val="Style"/>
        <w:spacing w:before="100" w:beforeAutospacing="1" w:after="200" w:line="276" w:lineRule="auto"/>
        <w:ind w:left="562" w:firstLine="283"/>
        <w:jc w:val="both"/>
        <w:textAlignment w:val="baseline"/>
        <w:rPr>
          <w:rFonts w:ascii="Calibri" w:hAnsi="Calibri" w:cs="Calibri"/>
          <w:sz w:val="22"/>
          <w:szCs w:val="22"/>
        </w:rPr>
      </w:pPr>
      <w:r>
        <w:rPr>
          <w:rFonts w:ascii="Calibri" w:hAnsi="Calibri"/>
          <w:sz w:val="22"/>
        </w:rPr>
        <w:t>c).2.-</w:t>
      </w:r>
      <w:r>
        <w:rPr>
          <w:rFonts w:ascii="Calibri" w:hAnsi="Calibri"/>
          <w:b/>
          <w:i/>
          <w:sz w:val="22"/>
        </w:rPr>
        <w:t xml:space="preserve"> </w:t>
      </w:r>
      <w:r>
        <w:rPr>
          <w:rFonts w:ascii="Calibri" w:hAnsi="Calibri"/>
          <w:sz w:val="22"/>
        </w:rPr>
        <w:t xml:space="preserve">Errepideko osasun garraioko ibilgailuek apirilaren 17ko 619/1998 Errege Dekretuan ezarritako baldintzak bete behar dituzte (dekretu horrek haien ezaugarri teknikoak, osasun ekipamendua eta langile hornidura ezartzen ditu), bai eta ibilgailu bakoitzaren jarduketa-basea dagoen autonomia erkidegoko araudia ere. </w:t>
      </w:r>
    </w:p>
    <w:p w14:paraId="1A5125C8" w14:textId="77777777" w:rsidR="00F500F3" w:rsidRPr="00F500F3" w:rsidRDefault="00142ABF" w:rsidP="0073543B">
      <w:pPr>
        <w:pStyle w:val="Style"/>
        <w:spacing w:before="100" w:beforeAutospacing="1" w:after="200" w:line="276" w:lineRule="auto"/>
        <w:ind w:left="562" w:firstLine="283"/>
        <w:jc w:val="both"/>
        <w:textAlignment w:val="baseline"/>
        <w:rPr>
          <w:rFonts w:ascii="Calibri" w:hAnsi="Calibri" w:cs="Calibri"/>
          <w:sz w:val="22"/>
          <w:szCs w:val="22"/>
        </w:rPr>
      </w:pPr>
      <w:r>
        <w:rPr>
          <w:rFonts w:ascii="Calibri" w:hAnsi="Calibri"/>
          <w:sz w:val="22"/>
        </w:rPr>
        <w:t>c).3.-</w:t>
      </w:r>
      <w:r>
        <w:rPr>
          <w:rFonts w:ascii="Calibri" w:hAnsi="Calibri"/>
          <w:b/>
          <w:i/>
          <w:sz w:val="22"/>
        </w:rPr>
        <w:t xml:space="preserve"> </w:t>
      </w:r>
      <w:r>
        <w:rPr>
          <w:rFonts w:ascii="Calibri" w:hAnsi="Calibri"/>
          <w:sz w:val="22"/>
        </w:rPr>
        <w:t xml:space="preserve">Pazientearen lekualdaketa eragiten duen asistentziaren ardura duen fakultatiboak eskatuko du laguntzarik gabeko edo lagundutako osasun garraioa, autonomia erkidegoko araudia betez, arrazoi kliniko hutsak kontuan hartuz eta, betiere, garraio horrek eriaren osasunaren kontrako arrisku erantsirik ez dakarrenean. </w:t>
      </w:r>
    </w:p>
    <w:p w14:paraId="04FBE49B" w14:textId="7B0F7039" w:rsidR="008B7B82" w:rsidRPr="00F500F3" w:rsidRDefault="00142ABF" w:rsidP="0073543B">
      <w:pPr>
        <w:pStyle w:val="Style"/>
        <w:spacing w:before="100" w:beforeAutospacing="1" w:after="200" w:line="276" w:lineRule="auto"/>
        <w:ind w:left="854"/>
        <w:textAlignment w:val="baseline"/>
        <w:rPr>
          <w:rFonts w:ascii="Calibri" w:hAnsi="Calibri" w:cs="Calibri"/>
          <w:sz w:val="22"/>
          <w:szCs w:val="22"/>
        </w:rPr>
      </w:pPr>
      <w:r>
        <w:rPr>
          <w:rFonts w:ascii="Calibri" w:hAnsi="Calibri"/>
          <w:sz w:val="22"/>
        </w:rPr>
        <w:t>d)</w:t>
      </w:r>
      <w:r>
        <w:rPr>
          <w:rFonts w:ascii="Calibri" w:hAnsi="Calibri"/>
          <w:b/>
          <w:sz w:val="22"/>
        </w:rPr>
        <w:t xml:space="preserve"> </w:t>
      </w:r>
      <w:r>
        <w:rPr>
          <w:rFonts w:ascii="Calibri" w:hAnsi="Calibri"/>
          <w:sz w:val="22"/>
        </w:rPr>
        <w:t>Pazienteak autonomia erkidego batetik bestera eramatea:</w:t>
      </w:r>
      <w:r>
        <w:rPr>
          <w:rFonts w:ascii="Calibri" w:hAnsi="Calibri"/>
          <w:i/>
          <w:sz w:val="22"/>
        </w:rPr>
        <w:t xml:space="preserve"> </w:t>
      </w:r>
    </w:p>
    <w:p w14:paraId="2601E338" w14:textId="35FDEBFD" w:rsidR="008B7B82" w:rsidRPr="00F500F3" w:rsidRDefault="00142ABF" w:rsidP="0073543B">
      <w:pPr>
        <w:pStyle w:val="Style"/>
        <w:spacing w:before="100" w:beforeAutospacing="1" w:after="200" w:line="276" w:lineRule="auto"/>
        <w:ind w:left="566" w:firstLine="283"/>
        <w:jc w:val="both"/>
        <w:textAlignment w:val="baseline"/>
        <w:rPr>
          <w:rFonts w:ascii="Calibri" w:hAnsi="Calibri" w:cs="Calibri"/>
          <w:sz w:val="22"/>
          <w:szCs w:val="22"/>
        </w:rPr>
      </w:pPr>
      <w:r>
        <w:rPr>
          <w:rFonts w:ascii="Calibri" w:hAnsi="Calibri"/>
          <w:sz w:val="22"/>
        </w:rPr>
        <w:t>d).1.-</w:t>
      </w:r>
      <w:r>
        <w:rPr>
          <w:rFonts w:ascii="Calibri" w:hAnsi="Calibri"/>
          <w:b/>
          <w:i/>
          <w:sz w:val="22"/>
        </w:rPr>
        <w:t xml:space="preserve"> </w:t>
      </w:r>
      <w:r>
        <w:rPr>
          <w:rFonts w:ascii="Calibri" w:hAnsi="Calibri"/>
          <w:sz w:val="22"/>
        </w:rPr>
        <w:t xml:space="preserve">Autonomia erkidego batek erabakitzen duenean paziente bat beste erkidego batera eramatea osasun laguntza emateko, berak ezin diolako eman bere bitartekoekin, osasun garraioa eskainiko die horren beharra duten pazienteei, bai osasun zentrora joateko, baita etxera itzultzeko ere, prestazio horren beharra justifikatzen duten arrazoiek irauten badute. Aireko edo itsasoko garraioa erabiliz gero, erkidego hartzailea arduratuko da pazientea aireportu, heliportu edo portutik osasun zentrora eramateaz, bai eta </w:t>
      </w:r>
      <w:r>
        <w:rPr>
          <w:rFonts w:ascii="Calibri" w:hAnsi="Calibri"/>
          <w:sz w:val="22"/>
        </w:rPr>
        <w:lastRenderedPageBreak/>
        <w:t xml:space="preserve">aireportu, heliportu edo portura itzultzeaz ere, osasun garraioaren beharraren arrazoiek irauten dutenean. </w:t>
      </w:r>
    </w:p>
    <w:p w14:paraId="3176A261" w14:textId="77777777" w:rsidR="008B7B82" w:rsidRPr="00F500F3" w:rsidRDefault="00142ABF" w:rsidP="00142ABF">
      <w:pPr>
        <w:pStyle w:val="Style"/>
        <w:spacing w:before="100" w:beforeAutospacing="1" w:after="200" w:line="276" w:lineRule="auto"/>
        <w:ind w:left="566" w:firstLine="142"/>
        <w:jc w:val="both"/>
        <w:textAlignment w:val="baseline"/>
        <w:rPr>
          <w:rFonts w:ascii="Calibri" w:hAnsi="Calibri" w:cs="Calibri"/>
          <w:sz w:val="22"/>
          <w:szCs w:val="22"/>
        </w:rPr>
      </w:pPr>
      <w:r>
        <w:rPr>
          <w:rFonts w:ascii="Calibri" w:hAnsi="Calibri"/>
          <w:sz w:val="22"/>
        </w:rPr>
        <w:t>d).2.-</w:t>
      </w:r>
      <w:r>
        <w:rPr>
          <w:rFonts w:ascii="Calibri" w:hAnsi="Calibri"/>
          <w:b/>
          <w:i/>
          <w:sz w:val="22"/>
        </w:rPr>
        <w:t xml:space="preserve"> </w:t>
      </w:r>
      <w:r>
        <w:rPr>
          <w:rFonts w:ascii="Calibri" w:hAnsi="Calibri"/>
          <w:sz w:val="22"/>
        </w:rPr>
        <w:t xml:space="preserve">Aldiroko tratamendua, esaterako dialisia edo errehabilitazioa, jasotzen ari den paziente bat beste autonomia erkidego batera lekualdatzen bada aldi baterako, erkidego horrek emango dio garraio prestazioa tratamendua jasotzen jarraitu ahal dezan, betiere arrazoi mediko hutsengatik. Bere eremuan osasun garraioa baimentzeko erabiltzen dituen irizpideak aplikatuko ditu. </w:t>
      </w:r>
    </w:p>
    <w:p w14:paraId="2B183825" w14:textId="77777777" w:rsidR="00F500F3" w:rsidRPr="00F500F3" w:rsidRDefault="00142ABF" w:rsidP="00142ABF">
      <w:pPr>
        <w:pStyle w:val="Style"/>
        <w:spacing w:before="100" w:beforeAutospacing="1" w:after="200" w:line="276" w:lineRule="auto"/>
        <w:ind w:left="566" w:firstLine="142"/>
        <w:jc w:val="both"/>
        <w:textAlignment w:val="baseline"/>
        <w:rPr>
          <w:rFonts w:ascii="Calibri" w:hAnsi="Calibri" w:cs="Calibri"/>
          <w:sz w:val="22"/>
          <w:szCs w:val="22"/>
        </w:rPr>
      </w:pPr>
      <w:r>
        <w:rPr>
          <w:rFonts w:ascii="Calibri" w:hAnsi="Calibri"/>
          <w:sz w:val="22"/>
        </w:rPr>
        <w:t>d).3.-</w:t>
      </w:r>
      <w:r>
        <w:rPr>
          <w:rFonts w:ascii="Calibri" w:hAnsi="Calibri"/>
          <w:b/>
          <w:i/>
          <w:sz w:val="22"/>
        </w:rPr>
        <w:t xml:space="preserve"> </w:t>
      </w:r>
      <w:r>
        <w:rPr>
          <w:rFonts w:ascii="Calibri" w:hAnsi="Calibri"/>
          <w:sz w:val="22"/>
        </w:rPr>
        <w:t xml:space="preserve">Beste autonomia erkidego batera aldi baterako lekualdatu den paziente batek bertan larrialdiko osasun laguntza jasoz gero, pazientearen jatorrizko erkidegoaren kargura izango da osasun garraioa hura jatorrizko erkidegora ekartzeko, dela bere etxera dela beste osasun zentro batera, betiere arrazoi mediko hutsengatik. </w:t>
      </w:r>
    </w:p>
    <w:p w14:paraId="267D1A3E" w14:textId="77777777" w:rsidR="00F500F3" w:rsidRPr="00F500F3" w:rsidRDefault="00142ABF" w:rsidP="0073543B">
      <w:pPr>
        <w:pStyle w:val="Style"/>
        <w:spacing w:before="100" w:beforeAutospacing="1" w:after="200" w:line="276" w:lineRule="auto"/>
        <w:ind w:left="566"/>
        <w:jc w:val="both"/>
        <w:textAlignment w:val="baseline"/>
        <w:rPr>
          <w:rFonts w:ascii="Calibri" w:hAnsi="Calibri" w:cs="Calibri"/>
          <w:sz w:val="22"/>
          <w:szCs w:val="22"/>
        </w:rPr>
      </w:pPr>
      <w:r>
        <w:rPr>
          <w:rFonts w:ascii="Calibri" w:hAnsi="Calibri"/>
          <w:sz w:val="22"/>
        </w:rPr>
        <w:t xml:space="preserve">2.- Osasunbidea-Nafarroako Osasun Zerbitzuko zuzendari kudeatzailearen 9/2023 Jarraibidea, anbulantziazko osasun garraioa probintzia arteko lekualdatzeetarako erabiltzeari buruzkoa. Jarraibide hori eman da, zioen azalpenaren arabera, asko ugaritu direlako probintzia arteko lekualdatzeetarako osasun garraioaren eskaerak beste garraiobide batzuk erabiltzen ahal dituzten pazienteen aldetik, nahiz eta zerbitzu hori eskatzeko erabakia arrazoi kliniko hutsetan oinarritu behar den, eta ez arrazoi sozial, familiar edo ekonomikoetan. Zerbitzu horren erabilera bidegabeak gainkarga ezartzen dio garraio programatuaren sareari. </w:t>
      </w:r>
    </w:p>
    <w:p w14:paraId="3C98204D" w14:textId="695314A9" w:rsidR="00F500F3" w:rsidRPr="00F500F3" w:rsidRDefault="00142ABF" w:rsidP="0073543B">
      <w:pPr>
        <w:pStyle w:val="Style"/>
        <w:spacing w:before="100" w:beforeAutospacing="1" w:after="200" w:line="276" w:lineRule="auto"/>
        <w:ind w:left="566"/>
        <w:jc w:val="both"/>
        <w:textAlignment w:val="baseline"/>
        <w:rPr>
          <w:rFonts w:ascii="Calibri" w:hAnsi="Calibri" w:cs="Calibri"/>
          <w:sz w:val="22"/>
          <w:szCs w:val="22"/>
        </w:rPr>
      </w:pPr>
      <w:r>
        <w:rPr>
          <w:rFonts w:ascii="Calibri" w:hAnsi="Calibri"/>
          <w:sz w:val="22"/>
        </w:rPr>
        <w:t xml:space="preserve">Jarraibide horretan azaltzen da, besteak beste, zer arrazoik justifikatu behar duten probintzia arteko lekualdaketa, paziente mota edozein dela ere (lekualdatua edo O-NOZek beste erkidego bateko osasun zentro batera deribatua) eta zer desberdintasun dauden lekualdatze moten artean paziente motaren arabera. </w:t>
      </w:r>
    </w:p>
    <w:p w14:paraId="54E4F312" w14:textId="77777777" w:rsidR="00F500F3" w:rsidRPr="00F500F3" w:rsidRDefault="00142ABF" w:rsidP="0073543B">
      <w:pPr>
        <w:pStyle w:val="Style"/>
        <w:spacing w:before="100" w:beforeAutospacing="1" w:after="200" w:line="276" w:lineRule="auto"/>
        <w:ind w:left="566"/>
        <w:jc w:val="both"/>
        <w:textAlignment w:val="baseline"/>
        <w:rPr>
          <w:rFonts w:ascii="Calibri" w:hAnsi="Calibri" w:cs="Calibri"/>
          <w:sz w:val="22"/>
          <w:szCs w:val="22"/>
        </w:rPr>
      </w:pPr>
      <w:r>
        <w:rPr>
          <w:rFonts w:ascii="Calibri" w:hAnsi="Calibri"/>
          <w:sz w:val="22"/>
        </w:rPr>
        <w:t>Lekualdatutako pazienteak:</w:t>
      </w:r>
      <w:r>
        <w:rPr>
          <w:rFonts w:ascii="Calibri" w:hAnsi="Calibri"/>
          <w:i/>
          <w:sz w:val="22"/>
        </w:rPr>
        <w:t xml:space="preserve"> </w:t>
      </w:r>
      <w:r>
        <w:rPr>
          <w:rFonts w:ascii="Calibri" w:hAnsi="Calibri"/>
          <w:sz w:val="22"/>
        </w:rPr>
        <w:t xml:space="preserve">Osasunbidea-Nafarroako Osasun Zerbitzuaren onuradun izanda Nafarroatik kanpo ospitaleratuta dauden pazienteak, Osasunbidea-Nafarroako Osasun Zerbitzuak berak bertara bideratu gabe. </w:t>
      </w:r>
    </w:p>
    <w:p w14:paraId="3AD2A07D" w14:textId="77777777" w:rsidR="00F500F3" w:rsidRPr="00F500F3" w:rsidRDefault="00142ABF" w:rsidP="0073543B">
      <w:pPr>
        <w:pStyle w:val="Style"/>
        <w:spacing w:before="100" w:beforeAutospacing="1" w:after="200" w:line="276" w:lineRule="auto"/>
        <w:ind w:left="566"/>
        <w:jc w:val="both"/>
        <w:textAlignment w:val="baseline"/>
        <w:rPr>
          <w:rFonts w:ascii="Calibri" w:hAnsi="Calibri" w:cs="Calibri"/>
          <w:sz w:val="22"/>
          <w:szCs w:val="22"/>
        </w:rPr>
      </w:pPr>
      <w:r>
        <w:rPr>
          <w:rFonts w:ascii="Calibri" w:hAnsi="Calibri"/>
          <w:sz w:val="22"/>
        </w:rPr>
        <w:t xml:space="preserve">Nafarroatik kanpoko ospitaleratze bat, Osasunbidea-Nafarroako Osasun Zerbitzuko fakultatibo batek berariaz agindu ez badu, larrialdiko osasun laguntzatzat jo behar da. Beraz, larrialdia amaitutakoan pazientea Nafarroako ospitale batera lekualdatu liteke laguntzarik gabeko anbulantzian, betiere inplikatutako ospitaleen arteko adostasunez; anbulantzia mota hori erabiltzeak berretsi egiten du pazientea klinikoki egonkor dagoela eta lekualdatzeak ez duela arriskuan jarriko haren osasuna. </w:t>
      </w:r>
    </w:p>
    <w:p w14:paraId="34137699" w14:textId="77777777" w:rsidR="00F500F3" w:rsidRPr="00F500F3" w:rsidRDefault="00142ABF" w:rsidP="0073543B">
      <w:pPr>
        <w:pStyle w:val="Style"/>
        <w:spacing w:before="100" w:beforeAutospacing="1" w:after="200" w:line="276" w:lineRule="auto"/>
        <w:ind w:left="566"/>
        <w:jc w:val="both"/>
        <w:textAlignment w:val="baseline"/>
        <w:rPr>
          <w:rFonts w:ascii="Calibri" w:hAnsi="Calibri" w:cs="Calibri"/>
          <w:sz w:val="22"/>
          <w:szCs w:val="22"/>
        </w:rPr>
      </w:pPr>
      <w:r>
        <w:rPr>
          <w:rFonts w:ascii="Calibri" w:hAnsi="Calibri"/>
          <w:sz w:val="22"/>
        </w:rPr>
        <w:t xml:space="preserve">O-NOZek beste autonomia erkidego bateko zentro batera bideratutako pazienteak: probintzia arteko lekualdaketa ospitale batetik beste batera izan daiteke, edo ospitale batetik pazientearen etxera. Horrelako kasuetan Osasunbidea-Nafarroako Osasun Zerbitzuko fakultatiboak medikoki erabakitzen du egokiagoa dela pazientearen patologia Nafarroatik kanpo tratatzea (ez du zertan larrialdia izan). Horrelakoetan, baldin eta, pazientearen uneko egoera dela-eta, hura anbulantziaz lekualdatu beharra badago, medikuak erabakiko du anbulantzia mota, lagundua (bizi-euskarri oinarrizkoa edo aurreratua) edo laguntzarik gabekoa, asistentzia mediko egokiena bermatzeko. </w:t>
      </w:r>
    </w:p>
    <w:p w14:paraId="2620246D" w14:textId="334C89BC" w:rsidR="00F500F3" w:rsidRPr="00F500F3" w:rsidRDefault="00142ABF" w:rsidP="0073543B">
      <w:pPr>
        <w:pStyle w:val="Style"/>
        <w:spacing w:before="100" w:beforeAutospacing="1" w:after="200" w:line="276" w:lineRule="auto"/>
        <w:ind w:left="566"/>
        <w:jc w:val="both"/>
        <w:textAlignment w:val="baseline"/>
        <w:rPr>
          <w:rFonts w:ascii="Calibri" w:hAnsi="Calibri" w:cs="Calibri"/>
          <w:sz w:val="22"/>
          <w:szCs w:val="22"/>
        </w:rPr>
      </w:pPr>
      <w:r>
        <w:rPr>
          <w:rFonts w:ascii="Calibri" w:hAnsi="Calibri"/>
          <w:sz w:val="22"/>
        </w:rPr>
        <w:t xml:space="preserve">Aurreko guztia dela-eta, ondorio gisa, Osasun Sistema Nazionalaren helburu nagusietako bat kalitatezko osasun laguntza ematea izanik, pazienteari laguntza emanen zaio bere erkidegoan edo handik kanpo (duen patologiagatik edo, lekualdatuen kasuan, </w:t>
      </w:r>
      <w:r>
        <w:rPr>
          <w:rFonts w:ascii="Calibri" w:hAnsi="Calibri"/>
          <w:sz w:val="22"/>
        </w:rPr>
        <w:lastRenderedPageBreak/>
        <w:t xml:space="preserve">larrialdiagatik), eta pazientea eramateko anbulantzia erabili beharra badago, egoera bakoitzerako baliabide egokiena jarriko da.  </w:t>
      </w:r>
    </w:p>
    <w:p w14:paraId="4C0C9931" w14:textId="77777777" w:rsidR="00F500F3" w:rsidRPr="00F500F3" w:rsidRDefault="00142ABF" w:rsidP="0073543B">
      <w:pPr>
        <w:pStyle w:val="Style"/>
        <w:spacing w:before="100" w:beforeAutospacing="1" w:after="200" w:line="276" w:lineRule="auto"/>
        <w:ind w:left="566"/>
        <w:textAlignment w:val="baseline"/>
        <w:rPr>
          <w:rFonts w:ascii="Calibri" w:hAnsi="Calibri" w:cs="Calibri"/>
          <w:sz w:val="22"/>
          <w:szCs w:val="22"/>
        </w:rPr>
      </w:pPr>
      <w:r>
        <w:rPr>
          <w:rFonts w:ascii="Calibri" w:hAnsi="Calibri"/>
          <w:sz w:val="22"/>
        </w:rPr>
        <w:t xml:space="preserve">Hori guztia jakinarazten dizut, Nafarroako Parlamentuko Erregelamenduaren 215. artikulua betez. </w:t>
      </w:r>
    </w:p>
    <w:p w14:paraId="1B078E57" w14:textId="77777777" w:rsidR="00F500F3" w:rsidRPr="00F500F3" w:rsidRDefault="00142ABF" w:rsidP="0073543B">
      <w:pPr>
        <w:pStyle w:val="Style"/>
        <w:spacing w:before="100" w:beforeAutospacing="1" w:after="200" w:line="276" w:lineRule="auto"/>
        <w:ind w:right="1579" w:firstLine="566"/>
        <w:textAlignment w:val="baseline"/>
        <w:rPr>
          <w:rFonts w:ascii="Calibri" w:hAnsi="Calibri" w:cs="Calibri"/>
          <w:sz w:val="22"/>
          <w:szCs w:val="22"/>
        </w:rPr>
      </w:pPr>
      <w:r>
        <w:rPr>
          <w:rFonts w:ascii="Calibri" w:hAnsi="Calibri"/>
          <w:sz w:val="22"/>
        </w:rPr>
        <w:t xml:space="preserve">Iruñean, 2023ko urriaren 11n </w:t>
      </w:r>
    </w:p>
    <w:p w14:paraId="3A925DEB" w14:textId="0009C5B1" w:rsidR="008B7B82" w:rsidRPr="00F500F3" w:rsidRDefault="005A2C97" w:rsidP="0073543B">
      <w:pPr>
        <w:pStyle w:val="Style"/>
        <w:spacing w:before="100" w:beforeAutospacing="1" w:after="200" w:line="276" w:lineRule="auto"/>
        <w:ind w:right="1574" w:firstLine="566"/>
        <w:textAlignment w:val="baseline"/>
        <w:rPr>
          <w:rFonts w:ascii="Calibri" w:hAnsi="Calibri" w:cs="Calibri"/>
          <w:sz w:val="22"/>
          <w:szCs w:val="22"/>
        </w:rPr>
      </w:pPr>
      <w:r>
        <w:rPr>
          <w:rFonts w:ascii="Calibri" w:hAnsi="Calibri"/>
          <w:sz w:val="22"/>
        </w:rPr>
        <w:t xml:space="preserve">Osasuneko kontseilaria: Fernando Domínguez Cunchillos </w:t>
      </w:r>
    </w:p>
    <w:sectPr w:rsidR="008B7B82" w:rsidRPr="00F500F3">
      <w:type w:val="continuous"/>
      <w:pgSz w:w="11900" w:h="16840"/>
      <w:pgMar w:top="871" w:right="1548" w:bottom="360" w:left="1712"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96F4A"/>
    <w:multiLevelType w:val="hybridMultilevel"/>
    <w:tmpl w:val="6A26B830"/>
    <w:lvl w:ilvl="0" w:tplc="6496305A">
      <w:start w:val="3"/>
      <w:numFmt w:val="lowerLetter"/>
      <w:lvlText w:val="%1)"/>
      <w:lvlJc w:val="left"/>
      <w:pPr>
        <w:ind w:left="931" w:hanging="360"/>
      </w:pPr>
      <w:rPr>
        <w:rFonts w:eastAsia="Arial" w:hint="default"/>
        <w:w w:val="120"/>
      </w:rPr>
    </w:lvl>
    <w:lvl w:ilvl="1" w:tplc="0C0A0019" w:tentative="1">
      <w:start w:val="1"/>
      <w:numFmt w:val="lowerLetter"/>
      <w:lvlText w:val="%2."/>
      <w:lvlJc w:val="left"/>
      <w:pPr>
        <w:ind w:left="1651" w:hanging="360"/>
      </w:pPr>
    </w:lvl>
    <w:lvl w:ilvl="2" w:tplc="0C0A001B" w:tentative="1">
      <w:start w:val="1"/>
      <w:numFmt w:val="lowerRoman"/>
      <w:lvlText w:val="%3."/>
      <w:lvlJc w:val="right"/>
      <w:pPr>
        <w:ind w:left="2371" w:hanging="180"/>
      </w:pPr>
    </w:lvl>
    <w:lvl w:ilvl="3" w:tplc="0C0A000F" w:tentative="1">
      <w:start w:val="1"/>
      <w:numFmt w:val="decimal"/>
      <w:lvlText w:val="%4."/>
      <w:lvlJc w:val="left"/>
      <w:pPr>
        <w:ind w:left="3091" w:hanging="360"/>
      </w:pPr>
    </w:lvl>
    <w:lvl w:ilvl="4" w:tplc="0C0A0019" w:tentative="1">
      <w:start w:val="1"/>
      <w:numFmt w:val="lowerLetter"/>
      <w:lvlText w:val="%5."/>
      <w:lvlJc w:val="left"/>
      <w:pPr>
        <w:ind w:left="3811" w:hanging="360"/>
      </w:pPr>
    </w:lvl>
    <w:lvl w:ilvl="5" w:tplc="0C0A001B" w:tentative="1">
      <w:start w:val="1"/>
      <w:numFmt w:val="lowerRoman"/>
      <w:lvlText w:val="%6."/>
      <w:lvlJc w:val="right"/>
      <w:pPr>
        <w:ind w:left="4531" w:hanging="180"/>
      </w:pPr>
    </w:lvl>
    <w:lvl w:ilvl="6" w:tplc="0C0A000F" w:tentative="1">
      <w:start w:val="1"/>
      <w:numFmt w:val="decimal"/>
      <w:lvlText w:val="%7."/>
      <w:lvlJc w:val="left"/>
      <w:pPr>
        <w:ind w:left="5251" w:hanging="360"/>
      </w:pPr>
    </w:lvl>
    <w:lvl w:ilvl="7" w:tplc="0C0A0019" w:tentative="1">
      <w:start w:val="1"/>
      <w:numFmt w:val="lowerLetter"/>
      <w:lvlText w:val="%8."/>
      <w:lvlJc w:val="left"/>
      <w:pPr>
        <w:ind w:left="5971" w:hanging="360"/>
      </w:pPr>
    </w:lvl>
    <w:lvl w:ilvl="8" w:tplc="0C0A001B" w:tentative="1">
      <w:start w:val="1"/>
      <w:numFmt w:val="lowerRoman"/>
      <w:lvlText w:val="%9."/>
      <w:lvlJc w:val="right"/>
      <w:pPr>
        <w:ind w:left="6691" w:hanging="180"/>
      </w:pPr>
    </w:lvl>
  </w:abstractNum>
  <w:abstractNum w:abstractNumId="1" w15:restartNumberingAfterBreak="0">
    <w:nsid w:val="3D662B1C"/>
    <w:multiLevelType w:val="singleLevel"/>
    <w:tmpl w:val="2EFA8CD2"/>
    <w:lvl w:ilvl="0">
      <w:start w:val="5"/>
      <w:numFmt w:val="lowerLetter"/>
      <w:lvlText w:val="%1)"/>
      <w:legacy w:legacy="1" w:legacySpace="0" w:legacyIndent="0"/>
      <w:lvlJc w:val="left"/>
      <w:rPr>
        <w:rFonts w:ascii="Times New Roman" w:hAnsi="Times New Roman" w:cs="Times New Roman" w:hint="default"/>
        <w:b/>
        <w:sz w:val="24"/>
        <w:szCs w:val="24"/>
      </w:rPr>
    </w:lvl>
  </w:abstractNum>
  <w:abstractNum w:abstractNumId="2" w15:restartNumberingAfterBreak="0">
    <w:nsid w:val="6DE06D51"/>
    <w:multiLevelType w:val="hybridMultilevel"/>
    <w:tmpl w:val="9BCA3A40"/>
    <w:lvl w:ilvl="0" w:tplc="67080EE4">
      <w:start w:val="3"/>
      <w:numFmt w:val="lowerLetter"/>
      <w:lvlText w:val="%1)"/>
      <w:lvlJc w:val="left"/>
      <w:pPr>
        <w:ind w:left="720" w:hanging="360"/>
      </w:pPr>
      <w:rPr>
        <w:rFonts w:eastAsia="Arial"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7D382DD1"/>
    <w:multiLevelType w:val="hybridMultilevel"/>
    <w:tmpl w:val="9B94E554"/>
    <w:lvl w:ilvl="0" w:tplc="15F017C0">
      <w:start w:val="3"/>
      <w:numFmt w:val="lowerLetter"/>
      <w:lvlText w:val="%1)"/>
      <w:lvlJc w:val="left"/>
      <w:pPr>
        <w:ind w:left="720" w:hanging="360"/>
      </w:pPr>
      <w:rPr>
        <w:rFonts w:eastAsia="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662545222">
    <w:abstractNumId w:val="1"/>
  </w:num>
  <w:num w:numId="2" w16cid:durableId="986320907">
    <w:abstractNumId w:val="2"/>
  </w:num>
  <w:num w:numId="3" w16cid:durableId="11536622">
    <w:abstractNumId w:val="0"/>
  </w:num>
  <w:num w:numId="4" w16cid:durableId="9287306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B7B82"/>
    <w:rsid w:val="00010987"/>
    <w:rsid w:val="00142ABF"/>
    <w:rsid w:val="00434BF6"/>
    <w:rsid w:val="005A2C97"/>
    <w:rsid w:val="006F37A1"/>
    <w:rsid w:val="0073543B"/>
    <w:rsid w:val="00886A53"/>
    <w:rsid w:val="008B7B82"/>
    <w:rsid w:val="008C2B52"/>
    <w:rsid w:val="008F3E4F"/>
    <w:rsid w:val="00955DAF"/>
    <w:rsid w:val="00F500F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D8F65"/>
  <w15:docId w15:val="{8BD288E4-65FF-4B57-B038-3FD04D405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1071</Words>
  <Characters>5896</Characters>
  <Application>Microsoft Office Word</Application>
  <DocSecurity>0</DocSecurity>
  <Lines>49</Lines>
  <Paragraphs>13</Paragraphs>
  <ScaleCrop>false</ScaleCrop>
  <Company>HP Inc.</Company>
  <LinksUpToDate>false</LinksUpToDate>
  <CharactersWithSpaces>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1078 PES 96</dc:title>
  <dc:creator>informatica</dc:creator>
  <cp:keywords>CreatedByIRIS_Readiris_17.0</cp:keywords>
  <cp:lastModifiedBy>Martin Cestao, Nerea</cp:lastModifiedBy>
  <cp:revision>12</cp:revision>
  <dcterms:created xsi:type="dcterms:W3CDTF">2023-10-17T12:23:00Z</dcterms:created>
  <dcterms:modified xsi:type="dcterms:W3CDTF">2023-11-14T10:10:00Z</dcterms:modified>
</cp:coreProperties>
</file>