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41BD" w14:textId="72CE521D" w:rsidR="001914FA" w:rsidRPr="0005761E" w:rsidRDefault="001914FA" w:rsidP="0005761E">
      <w:pPr>
        <w:ind w:left="-5" w:right="0"/>
        <w:rPr>
          <w:rFonts w:asciiTheme="majorHAnsi" w:hAnsiTheme="majorHAnsi" w:cstheme="majorHAnsi"/>
          <w:sz w:val="22"/>
        </w:rPr>
      </w:pPr>
      <w:r w:rsidRPr="0005761E">
        <w:rPr>
          <w:rFonts w:asciiTheme="majorHAnsi" w:hAnsiTheme="majorHAnsi" w:cstheme="majorHAnsi"/>
          <w:sz w:val="22"/>
        </w:rPr>
        <w:t>23PES-98</w:t>
      </w:r>
    </w:p>
    <w:p w14:paraId="3D7E774D" w14:textId="33C5A653" w:rsidR="00047B51" w:rsidRPr="0005761E" w:rsidRDefault="00D64CA9" w:rsidP="0005761E">
      <w:pPr>
        <w:ind w:left="-5" w:right="0"/>
        <w:rPr>
          <w:rFonts w:asciiTheme="majorHAnsi" w:hAnsiTheme="majorHAnsi" w:cstheme="majorHAnsi"/>
          <w:sz w:val="22"/>
        </w:rPr>
      </w:pPr>
      <w:proofErr w:type="spellStart"/>
      <w:r w:rsidRPr="0005761E">
        <w:rPr>
          <w:rFonts w:asciiTheme="majorHAnsi" w:hAnsiTheme="majorHAnsi" w:cstheme="majorHAnsi"/>
          <w:sz w:val="22"/>
        </w:rPr>
        <w:t>Contigo</w:t>
      </w:r>
      <w:proofErr w:type="spellEnd"/>
      <w:r w:rsidRPr="0005761E">
        <w:rPr>
          <w:rFonts w:asciiTheme="majorHAnsi" w:hAnsiTheme="majorHAnsi" w:cstheme="majorHAnsi"/>
          <w:sz w:val="22"/>
        </w:rPr>
        <w:t xml:space="preserve"> Navarra-Zurekin </w:t>
      </w:r>
      <w:r w:rsidR="0005761E">
        <w:rPr>
          <w:rFonts w:asciiTheme="majorHAnsi" w:hAnsiTheme="majorHAnsi" w:cstheme="majorHAnsi"/>
          <w:sz w:val="22"/>
        </w:rPr>
        <w:t xml:space="preserve">Nafarroa </w:t>
      </w:r>
      <w:r w:rsidRPr="0005761E">
        <w:rPr>
          <w:rFonts w:asciiTheme="majorHAnsi" w:hAnsiTheme="majorHAnsi" w:cstheme="majorHAnsi"/>
          <w:sz w:val="22"/>
        </w:rPr>
        <w:t xml:space="preserve">talde parlamentarioari atxikitako foru parlamentari Miguel </w:t>
      </w:r>
      <w:proofErr w:type="spellStart"/>
      <w:r w:rsidRPr="0005761E">
        <w:rPr>
          <w:rFonts w:asciiTheme="majorHAnsi" w:hAnsiTheme="majorHAnsi" w:cstheme="majorHAnsi"/>
          <w:sz w:val="22"/>
        </w:rPr>
        <w:t>Garrido</w:t>
      </w:r>
      <w:proofErr w:type="spellEnd"/>
      <w:r w:rsidRPr="0005761E">
        <w:rPr>
          <w:rFonts w:asciiTheme="majorHAnsi" w:hAnsiTheme="majorHAnsi" w:cstheme="majorHAnsi"/>
          <w:sz w:val="22"/>
        </w:rPr>
        <w:t xml:space="preserve"> Sola jaunak galdera egin du, idatziz erantzun dakion, biomasak Nafarroaren eraldaketa energetikoan izanen duen eginkizunari buruz (11-23/PES0098). Hona Nafarroako Gobernuko Industriako eta Enpresen Trantsizio Ekologiko eta Digitalerako Departamentuko kontseilariak ematen duen informazioa: </w:t>
      </w:r>
    </w:p>
    <w:p w14:paraId="0DB6EAC1" w14:textId="10A8F9A9" w:rsidR="00303B80" w:rsidRPr="0005761E" w:rsidRDefault="00D64CA9" w:rsidP="0005761E">
      <w:pPr>
        <w:spacing w:after="1" w:line="365" w:lineRule="auto"/>
        <w:ind w:left="-5" w:right="-11"/>
        <w:rPr>
          <w:rFonts w:asciiTheme="majorHAnsi" w:hAnsiTheme="majorHAnsi" w:cstheme="majorHAnsi"/>
          <w:sz w:val="22"/>
        </w:rPr>
      </w:pPr>
      <w:r w:rsidRPr="0005761E">
        <w:rPr>
          <w:rFonts w:asciiTheme="majorHAnsi" w:hAnsiTheme="majorHAnsi" w:cstheme="majorHAnsi"/>
          <w:sz w:val="22"/>
        </w:rPr>
        <w:t xml:space="preserve">1.- Zuen ustez, biomasak zer eginkizun izanen du Nafarroaren eraldaketa energetikoan?  </w:t>
      </w:r>
    </w:p>
    <w:p w14:paraId="3D589E84" w14:textId="77777777" w:rsidR="00303B80" w:rsidRPr="0005761E" w:rsidRDefault="00D64CA9" w:rsidP="0005761E">
      <w:pPr>
        <w:spacing w:after="1" w:line="365" w:lineRule="auto"/>
        <w:ind w:left="-5" w:right="-11"/>
        <w:rPr>
          <w:rFonts w:asciiTheme="majorHAnsi" w:hAnsiTheme="majorHAnsi" w:cstheme="majorHAnsi"/>
          <w:sz w:val="22"/>
        </w:rPr>
      </w:pPr>
      <w:r w:rsidRPr="0005761E">
        <w:rPr>
          <w:rFonts w:asciiTheme="majorHAnsi" w:hAnsiTheme="majorHAnsi" w:cstheme="majorHAnsi"/>
          <w:sz w:val="22"/>
        </w:rPr>
        <w:t xml:space="preserve">2.- Departamentuaren ustez, etorkizunean zeintzuk izanen dira Nafarroan biomasa-iturri nagusiak?  </w:t>
      </w:r>
    </w:p>
    <w:p w14:paraId="7F3136A1" w14:textId="77777777" w:rsidR="00047B51" w:rsidRPr="0005761E" w:rsidRDefault="00D64CA9" w:rsidP="0005761E">
      <w:pPr>
        <w:spacing w:after="1" w:line="365" w:lineRule="auto"/>
        <w:ind w:left="-5" w:right="-11"/>
        <w:rPr>
          <w:rFonts w:asciiTheme="majorHAnsi" w:hAnsiTheme="majorHAnsi" w:cstheme="majorHAnsi"/>
          <w:sz w:val="22"/>
        </w:rPr>
      </w:pPr>
      <w:r w:rsidRPr="0005761E">
        <w:rPr>
          <w:rFonts w:asciiTheme="majorHAnsi" w:hAnsiTheme="majorHAnsi" w:cstheme="majorHAnsi"/>
          <w:sz w:val="22"/>
        </w:rPr>
        <w:t xml:space="preserve">3.- Departamentuak zer neurri ezarri du eta ezarri nahi ditu Nafarroan biomasaren produkzioa bultzatzeko? </w:t>
      </w:r>
    </w:p>
    <w:p w14:paraId="777AD752" w14:textId="77777777" w:rsidR="00047B51"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Galdera horiei erantzunez, Trantsizio Energetikoaren Zerbitzuak honako hau adierazi du: </w:t>
      </w:r>
    </w:p>
    <w:p w14:paraId="1B01F1A5" w14:textId="77777777" w:rsidR="00047B51"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Nafarroako Energia Planaren eguneraketan biomasa da ardatz estrategiko nagusietako bat, eta helburu espezifiko hauek ezarri dira ardatz horretan: </w:t>
      </w:r>
    </w:p>
    <w:p w14:paraId="311335D1" w14:textId="3EA35508"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Nafarroako baso-biomasaren aprobetxamendu energetikoa handitu eta hobetzea, karbono aztarna murrizteko. Azken kontsumoa % 25 handitu behar da 2030erako. </w:t>
      </w:r>
    </w:p>
    <w:p w14:paraId="49046892" w14:textId="77777777"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Erabilitako biomasa trazabilitatea duten iturri berriztagarrietatik datorrela bermatzea, adibidez egurretarako landaketetatik edo jatorrizko basoetatik, modu seguru eta jasangarrian kudeatuta (zaintza katea). </w:t>
      </w:r>
    </w:p>
    <w:p w14:paraId="492C741E" w14:textId="77777777"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Hobetutako teknologien berri zabaltzea, biomasaren bulego bat sortuta. </w:t>
      </w:r>
    </w:p>
    <w:p w14:paraId="496F7CE3" w14:textId="023B832C"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Babestu eta sustatzea teknologia modernoak, askotariko biomasa iturriak erabiltzen dituztenak –hala nola nekazaritza-industriako, landako eta hiriko hondakinak– kalitate handiko erregaiak, gasak eta argindarra ekoizteko. </w:t>
      </w:r>
    </w:p>
    <w:p w14:paraId="5516F013" w14:textId="77777777"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Nafarroako Foru Administrazioaren eraikinetan biomasa instalazioak aplikatu eta txertatzea. </w:t>
      </w:r>
    </w:p>
    <w:p w14:paraId="6C04DA0C" w14:textId="77777777"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Biomasazko bero sorkuntzako instalazio zentralizatuak sustatzea, hainbat energia komunitate elkartzen dituztenak. </w:t>
      </w:r>
    </w:p>
    <w:p w14:paraId="112DF3B3" w14:textId="77777777"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Nafarroako 2017-2027 aldirako Hondakinen Planeko Prebentzio Programari eta Kudeaketa Planari jarraituz lan egitea. </w:t>
      </w:r>
    </w:p>
    <w:p w14:paraId="2AEADEE3" w14:textId="77777777"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Nafarroako biomasa iturri nagusiei dagokienez, iturri hauek aurreikusten dira: </w:t>
      </w:r>
    </w:p>
    <w:p w14:paraId="0F758189" w14:textId="77777777" w:rsidR="00303B80" w:rsidRPr="0005761E" w:rsidRDefault="00D64CA9" w:rsidP="0005761E">
      <w:pPr>
        <w:spacing w:after="120" w:line="259" w:lineRule="auto"/>
        <w:ind w:left="-5" w:right="0"/>
        <w:rPr>
          <w:rFonts w:asciiTheme="majorHAnsi" w:hAnsiTheme="majorHAnsi" w:cstheme="majorHAnsi"/>
          <w:sz w:val="22"/>
        </w:rPr>
      </w:pPr>
      <w:r w:rsidRPr="0005761E">
        <w:rPr>
          <w:rFonts w:asciiTheme="majorHAnsi" w:hAnsiTheme="majorHAnsi" w:cstheme="majorHAnsi"/>
          <w:sz w:val="22"/>
        </w:rPr>
        <w:t xml:space="preserve">Nafarroako baso baliabidea. </w:t>
      </w:r>
    </w:p>
    <w:p w14:paraId="29F71ACB" w14:textId="77777777"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Foru Komunitatearen eremu osoaren % 65 inguru baso lurrak dira, eta horietatik 450.000 hektarea inguru zuhaiztiak dira. Zuhaizti horien % 80 baso autoktonoak dira. </w:t>
      </w:r>
    </w:p>
    <w:p w14:paraId="07CBB62A" w14:textId="77777777" w:rsidR="00303B80" w:rsidRPr="0005761E" w:rsidRDefault="00D64CA9" w:rsidP="0005761E">
      <w:pPr>
        <w:spacing w:after="120" w:line="259" w:lineRule="auto"/>
        <w:ind w:left="-5" w:right="0"/>
        <w:rPr>
          <w:rFonts w:asciiTheme="majorHAnsi" w:hAnsiTheme="majorHAnsi" w:cstheme="majorHAnsi"/>
          <w:sz w:val="22"/>
        </w:rPr>
      </w:pPr>
      <w:r w:rsidRPr="0005761E">
        <w:rPr>
          <w:rFonts w:asciiTheme="majorHAnsi" w:hAnsiTheme="majorHAnsi" w:cstheme="majorHAnsi"/>
          <w:sz w:val="22"/>
        </w:rPr>
        <w:t xml:space="preserve">Hondar-biomasa </w:t>
      </w:r>
    </w:p>
    <w:p w14:paraId="2D18299F" w14:textId="77777777" w:rsidR="00303B80" w:rsidRPr="0005761E" w:rsidRDefault="00D64CA9" w:rsidP="0005761E">
      <w:pPr>
        <w:spacing w:after="117" w:line="259" w:lineRule="auto"/>
        <w:ind w:left="-5" w:right="0"/>
        <w:rPr>
          <w:rFonts w:asciiTheme="majorHAnsi" w:hAnsiTheme="majorHAnsi" w:cstheme="majorHAnsi"/>
          <w:sz w:val="22"/>
        </w:rPr>
      </w:pPr>
      <w:r w:rsidRPr="0005761E">
        <w:rPr>
          <w:rFonts w:asciiTheme="majorHAnsi" w:hAnsiTheme="majorHAnsi" w:cstheme="majorHAnsi"/>
          <w:sz w:val="22"/>
        </w:rPr>
        <w:lastRenderedPageBreak/>
        <w:t xml:space="preserve">Basogintza eta nekazaritzako hondakinak. </w:t>
      </w:r>
    </w:p>
    <w:p w14:paraId="130193BA" w14:textId="77777777" w:rsidR="00303B80" w:rsidRPr="0005761E" w:rsidRDefault="00D64CA9" w:rsidP="0005761E">
      <w:pPr>
        <w:spacing w:after="120" w:line="259" w:lineRule="auto"/>
        <w:ind w:left="-5" w:right="0"/>
        <w:rPr>
          <w:rFonts w:asciiTheme="majorHAnsi" w:hAnsiTheme="majorHAnsi" w:cstheme="majorHAnsi"/>
          <w:sz w:val="22"/>
        </w:rPr>
      </w:pPr>
      <w:r w:rsidRPr="0005761E">
        <w:rPr>
          <w:rFonts w:asciiTheme="majorHAnsi" w:hAnsiTheme="majorHAnsi" w:cstheme="majorHAnsi"/>
          <w:sz w:val="22"/>
        </w:rPr>
        <w:t xml:space="preserve">Hondakinak eta biogasa </w:t>
      </w:r>
    </w:p>
    <w:p w14:paraId="3E8D0DAD" w14:textId="77777777" w:rsidR="00303B80" w:rsidRPr="0005761E" w:rsidRDefault="00D64CA9" w:rsidP="0005761E">
      <w:pPr>
        <w:spacing w:after="117" w:line="259" w:lineRule="auto"/>
        <w:ind w:left="-5" w:right="0"/>
        <w:rPr>
          <w:rFonts w:asciiTheme="majorHAnsi" w:hAnsiTheme="majorHAnsi" w:cstheme="majorHAnsi"/>
          <w:sz w:val="22"/>
        </w:rPr>
      </w:pPr>
      <w:r w:rsidRPr="0005761E">
        <w:rPr>
          <w:rFonts w:asciiTheme="majorHAnsi" w:hAnsiTheme="majorHAnsi" w:cstheme="majorHAnsi"/>
          <w:sz w:val="22"/>
        </w:rPr>
        <w:t xml:space="preserve">Labore energetikoen biomasa – Bioerregaiak </w:t>
      </w:r>
    </w:p>
    <w:p w14:paraId="44528E26" w14:textId="77777777" w:rsidR="00303B80" w:rsidRPr="0005761E" w:rsidRDefault="00D64CA9" w:rsidP="0005761E">
      <w:pPr>
        <w:spacing w:after="120" w:line="259" w:lineRule="auto"/>
        <w:ind w:left="-5" w:right="0"/>
        <w:rPr>
          <w:rFonts w:asciiTheme="majorHAnsi" w:hAnsiTheme="majorHAnsi" w:cstheme="majorHAnsi"/>
          <w:sz w:val="22"/>
        </w:rPr>
      </w:pPr>
      <w:r w:rsidRPr="0005761E">
        <w:rPr>
          <w:rFonts w:asciiTheme="majorHAnsi" w:hAnsiTheme="majorHAnsi" w:cstheme="majorHAnsi"/>
          <w:sz w:val="22"/>
        </w:rPr>
        <w:t xml:space="preserve">Caparrosoko biodiesela (OLEOFAT)  </w:t>
      </w:r>
    </w:p>
    <w:p w14:paraId="2E241BA7" w14:textId="77777777" w:rsidR="00303B80" w:rsidRPr="0005761E" w:rsidRDefault="00D64CA9" w:rsidP="0005761E">
      <w:pPr>
        <w:spacing w:after="120" w:line="259" w:lineRule="auto"/>
        <w:ind w:left="-5" w:right="0"/>
        <w:rPr>
          <w:rFonts w:asciiTheme="majorHAnsi" w:hAnsiTheme="majorHAnsi" w:cstheme="majorHAnsi"/>
          <w:sz w:val="22"/>
        </w:rPr>
      </w:pPr>
      <w:r w:rsidRPr="0005761E">
        <w:rPr>
          <w:rFonts w:asciiTheme="majorHAnsi" w:hAnsiTheme="majorHAnsi" w:cstheme="majorHAnsi"/>
          <w:sz w:val="22"/>
        </w:rPr>
        <w:t>Los Arcosko instalazioa (</w:t>
      </w:r>
      <w:proofErr w:type="spellStart"/>
      <w:r w:rsidRPr="0005761E">
        <w:rPr>
          <w:rFonts w:asciiTheme="majorHAnsi" w:hAnsiTheme="majorHAnsi" w:cstheme="majorHAnsi"/>
          <w:sz w:val="22"/>
        </w:rPr>
        <w:t>Solartia</w:t>
      </w:r>
      <w:proofErr w:type="spellEnd"/>
      <w:r w:rsidRPr="0005761E">
        <w:rPr>
          <w:rFonts w:asciiTheme="majorHAnsi" w:hAnsiTheme="majorHAnsi" w:cstheme="majorHAnsi"/>
          <w:sz w:val="22"/>
        </w:rPr>
        <w:t xml:space="preserve">)  </w:t>
      </w:r>
    </w:p>
    <w:p w14:paraId="79ACBD26" w14:textId="77777777" w:rsidR="00047B51" w:rsidRPr="0005761E" w:rsidRDefault="00D64CA9" w:rsidP="0005761E">
      <w:pPr>
        <w:spacing w:after="117" w:line="259" w:lineRule="auto"/>
        <w:ind w:left="-5" w:right="0"/>
        <w:rPr>
          <w:rFonts w:asciiTheme="majorHAnsi" w:hAnsiTheme="majorHAnsi" w:cstheme="majorHAnsi"/>
          <w:sz w:val="22"/>
        </w:rPr>
      </w:pPr>
      <w:r w:rsidRPr="0005761E">
        <w:rPr>
          <w:rFonts w:asciiTheme="majorHAnsi" w:hAnsiTheme="majorHAnsi" w:cstheme="majorHAnsi"/>
          <w:sz w:val="22"/>
        </w:rPr>
        <w:t xml:space="preserve">Zangozako biomasa instalazioa </w:t>
      </w:r>
    </w:p>
    <w:p w14:paraId="4B9AFFD2" w14:textId="77777777" w:rsidR="00047B51" w:rsidRPr="0005761E" w:rsidRDefault="00D64CA9" w:rsidP="0005761E">
      <w:pPr>
        <w:spacing w:after="120" w:line="259" w:lineRule="auto"/>
        <w:ind w:left="-5" w:right="0"/>
        <w:rPr>
          <w:rFonts w:asciiTheme="majorHAnsi" w:hAnsiTheme="majorHAnsi" w:cstheme="majorHAnsi"/>
          <w:sz w:val="22"/>
        </w:rPr>
      </w:pPr>
      <w:r w:rsidRPr="0005761E">
        <w:rPr>
          <w:rFonts w:asciiTheme="majorHAnsi" w:hAnsiTheme="majorHAnsi" w:cstheme="majorHAnsi"/>
          <w:sz w:val="22"/>
        </w:rPr>
        <w:t xml:space="preserve">Neurriak: </w:t>
      </w:r>
    </w:p>
    <w:p w14:paraId="40B55E3E" w14:textId="72E162DF"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Industria eta enpresa mailan, inbertsioak egin dira basoko lehengaiak landu eta galdaretan erabiltzeko, adibidez ezpala, </w:t>
      </w:r>
      <w:proofErr w:type="spellStart"/>
      <w:r w:rsidRPr="0005761E">
        <w:rPr>
          <w:rFonts w:asciiTheme="majorHAnsi" w:hAnsiTheme="majorHAnsi" w:cstheme="majorHAnsi"/>
          <w:sz w:val="22"/>
        </w:rPr>
        <w:t>pelleta</w:t>
      </w:r>
      <w:proofErr w:type="spellEnd"/>
      <w:r w:rsidRPr="0005761E">
        <w:rPr>
          <w:rFonts w:asciiTheme="majorHAnsi" w:hAnsiTheme="majorHAnsi" w:cstheme="majorHAnsi"/>
          <w:sz w:val="22"/>
        </w:rPr>
        <w:t xml:space="preserve"> edo egurra lortzeko. </w:t>
      </w:r>
    </w:p>
    <w:p w14:paraId="18A357CE" w14:textId="77777777" w:rsidR="00047B51"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Biomasaren Balorizazio Energetikorako Espainiako Elkartea (AVEBIOM) bioenergiaren garapenean dihardu, biomasaren balio-kate osoa barnean hartuta. Elkarte horrek 2022an eguneratu egin du bioerregaien mapa, eta bioerregaien artean ageri dira ezpela, </w:t>
      </w:r>
      <w:proofErr w:type="spellStart"/>
      <w:r w:rsidRPr="0005761E">
        <w:rPr>
          <w:rFonts w:asciiTheme="majorHAnsi" w:hAnsiTheme="majorHAnsi" w:cstheme="majorHAnsi"/>
          <w:sz w:val="22"/>
        </w:rPr>
        <w:t>pelleta</w:t>
      </w:r>
      <w:proofErr w:type="spellEnd"/>
      <w:r w:rsidRPr="0005761E">
        <w:rPr>
          <w:rFonts w:asciiTheme="majorHAnsi" w:hAnsiTheme="majorHAnsi" w:cstheme="majorHAnsi"/>
          <w:sz w:val="22"/>
        </w:rPr>
        <w:t xml:space="preserve">, egurra eta Nafarroan hutsaren hurrengoak diren beste hondakin batzuk, guztiak ere biomasa ziurtatu gisa. </w:t>
      </w:r>
    </w:p>
    <w:p w14:paraId="7F7C555D" w14:textId="1454EA0B" w:rsidR="00303B80" w:rsidRDefault="00D64CA9" w:rsidP="0005761E">
      <w:pPr>
        <w:spacing w:line="259" w:lineRule="auto"/>
        <w:ind w:left="-5" w:right="0"/>
        <w:rPr>
          <w:rFonts w:asciiTheme="majorHAnsi" w:hAnsiTheme="majorHAnsi" w:cstheme="majorHAnsi"/>
          <w:sz w:val="22"/>
        </w:rPr>
      </w:pPr>
      <w:r w:rsidRPr="0005761E">
        <w:rPr>
          <w:rFonts w:asciiTheme="majorHAnsi" w:hAnsiTheme="majorHAnsi" w:cstheme="majorHAnsi"/>
          <w:sz w:val="22"/>
        </w:rPr>
        <w:t xml:space="preserve">Nafarroan enpresa hauek daude: </w:t>
      </w:r>
    </w:p>
    <w:p w14:paraId="14B67362" w14:textId="77777777" w:rsidR="0005761E" w:rsidRPr="0005761E" w:rsidRDefault="0005761E" w:rsidP="0005761E">
      <w:pPr>
        <w:spacing w:line="259" w:lineRule="auto"/>
        <w:ind w:left="-5" w:right="0"/>
        <w:rPr>
          <w:rFonts w:asciiTheme="majorHAnsi" w:hAnsiTheme="majorHAnsi" w:cstheme="majorHAnsi"/>
          <w:sz w:val="22"/>
        </w:rPr>
      </w:pPr>
    </w:p>
    <w:tbl>
      <w:tblPr>
        <w:tblStyle w:val="TableGrid"/>
        <w:tblW w:w="0" w:type="auto"/>
        <w:tblInd w:w="841" w:type="dxa"/>
        <w:tblCellMar>
          <w:top w:w="48" w:type="dxa"/>
          <w:left w:w="24" w:type="dxa"/>
          <w:right w:w="20" w:type="dxa"/>
        </w:tblCellMar>
        <w:tblLook w:val="04A0" w:firstRow="1" w:lastRow="0" w:firstColumn="1" w:lastColumn="0" w:noHBand="0" w:noVBand="1"/>
      </w:tblPr>
      <w:tblGrid>
        <w:gridCol w:w="2305"/>
        <w:gridCol w:w="1788"/>
        <w:gridCol w:w="2029"/>
      </w:tblGrid>
      <w:tr w:rsidR="00AB397A" w:rsidRPr="00B626E0" w14:paraId="37CB450B" w14:textId="77777777" w:rsidTr="0005761E">
        <w:trPr>
          <w:trHeight w:val="20"/>
        </w:trPr>
        <w:tc>
          <w:tcPr>
            <w:tcW w:w="2305" w:type="dxa"/>
            <w:tcBorders>
              <w:top w:val="single" w:sz="8" w:space="0" w:color="000000"/>
              <w:left w:val="single" w:sz="8" w:space="0" w:color="000000"/>
              <w:bottom w:val="single" w:sz="8" w:space="0" w:color="000000"/>
              <w:right w:val="single" w:sz="8" w:space="0" w:color="000000"/>
            </w:tcBorders>
            <w:shd w:val="clear" w:color="auto" w:fill="D8D8D8"/>
          </w:tcPr>
          <w:p w14:paraId="5FE3D435" w14:textId="77777777" w:rsidR="00AB397A" w:rsidRPr="00B626E0" w:rsidRDefault="00AB397A" w:rsidP="0005761E">
            <w:pPr>
              <w:spacing w:after="0" w:line="240" w:lineRule="exact"/>
              <w:ind w:left="0" w:right="0" w:firstLine="249"/>
              <w:rPr>
                <w:rFonts w:asciiTheme="minorHAnsi" w:hAnsiTheme="minorHAnsi" w:cstheme="minorHAnsi"/>
                <w:sz w:val="22"/>
              </w:rPr>
            </w:pPr>
            <w:r w:rsidRPr="00B626E0">
              <w:rPr>
                <w:rFonts w:asciiTheme="minorHAnsi" w:hAnsiTheme="minorHAnsi" w:cstheme="minorHAnsi"/>
                <w:sz w:val="22"/>
              </w:rPr>
              <w:t xml:space="preserve">ENPRESA </w:t>
            </w:r>
          </w:p>
        </w:tc>
        <w:tc>
          <w:tcPr>
            <w:tcW w:w="1788" w:type="dxa"/>
            <w:tcBorders>
              <w:top w:val="single" w:sz="8" w:space="0" w:color="000000"/>
              <w:left w:val="single" w:sz="8" w:space="0" w:color="000000"/>
              <w:bottom w:val="single" w:sz="8" w:space="0" w:color="000000"/>
              <w:right w:val="single" w:sz="8" w:space="0" w:color="000000"/>
            </w:tcBorders>
            <w:shd w:val="clear" w:color="auto" w:fill="D8D8D8"/>
          </w:tcPr>
          <w:p w14:paraId="4250E62C" w14:textId="566D8539" w:rsidR="00AB397A" w:rsidRPr="00B626E0" w:rsidRDefault="00AB397A" w:rsidP="0005761E">
            <w:pPr>
              <w:spacing w:after="0" w:line="240" w:lineRule="exact"/>
              <w:ind w:left="7" w:right="0" w:firstLine="180"/>
              <w:rPr>
                <w:rFonts w:asciiTheme="minorHAnsi" w:hAnsiTheme="minorHAnsi" w:cstheme="minorHAnsi"/>
                <w:sz w:val="22"/>
              </w:rPr>
            </w:pPr>
            <w:r w:rsidRPr="00B626E0">
              <w:rPr>
                <w:rFonts w:asciiTheme="minorHAnsi" w:hAnsiTheme="minorHAnsi" w:cstheme="minorHAnsi"/>
                <w:sz w:val="22"/>
              </w:rPr>
              <w:t xml:space="preserve">PRODUKTUA </w:t>
            </w:r>
          </w:p>
        </w:tc>
        <w:tc>
          <w:tcPr>
            <w:tcW w:w="2029" w:type="dxa"/>
            <w:tcBorders>
              <w:top w:val="single" w:sz="8" w:space="0" w:color="000000"/>
              <w:left w:val="single" w:sz="8" w:space="0" w:color="000000"/>
              <w:bottom w:val="single" w:sz="8" w:space="0" w:color="000000"/>
              <w:right w:val="single" w:sz="8" w:space="0" w:color="000000"/>
            </w:tcBorders>
            <w:shd w:val="clear" w:color="auto" w:fill="D8D8D8"/>
          </w:tcPr>
          <w:p w14:paraId="349AF58F" w14:textId="77777777" w:rsidR="00AB397A" w:rsidRPr="00B626E0" w:rsidRDefault="00AB397A" w:rsidP="0005761E">
            <w:pPr>
              <w:spacing w:after="0" w:line="240" w:lineRule="exact"/>
              <w:ind w:left="7" w:right="0" w:firstLine="196"/>
              <w:rPr>
                <w:rFonts w:asciiTheme="minorHAnsi" w:hAnsiTheme="minorHAnsi" w:cstheme="minorHAnsi"/>
                <w:sz w:val="22"/>
              </w:rPr>
            </w:pPr>
            <w:r w:rsidRPr="00B626E0">
              <w:rPr>
                <w:rFonts w:asciiTheme="minorHAnsi" w:hAnsiTheme="minorHAnsi" w:cstheme="minorHAnsi"/>
                <w:sz w:val="22"/>
              </w:rPr>
              <w:t xml:space="preserve">KOKALEKUA </w:t>
            </w:r>
          </w:p>
        </w:tc>
      </w:tr>
      <w:tr w:rsidR="00AB397A" w:rsidRPr="00B626E0" w14:paraId="1A69F151" w14:textId="77777777" w:rsidTr="0005761E">
        <w:trPr>
          <w:trHeight w:val="20"/>
        </w:trPr>
        <w:tc>
          <w:tcPr>
            <w:tcW w:w="2305" w:type="dxa"/>
            <w:tcBorders>
              <w:top w:val="single" w:sz="8" w:space="0" w:color="000000"/>
              <w:left w:val="single" w:sz="8" w:space="0" w:color="000000"/>
              <w:bottom w:val="nil"/>
              <w:right w:val="single" w:sz="8" w:space="0" w:color="000000"/>
            </w:tcBorders>
          </w:tcPr>
          <w:p w14:paraId="0C248586" w14:textId="77777777" w:rsidR="00AB397A" w:rsidRPr="00B626E0" w:rsidRDefault="00AB397A" w:rsidP="0005761E">
            <w:pPr>
              <w:spacing w:after="0" w:line="240" w:lineRule="exact"/>
              <w:ind w:left="0" w:right="0" w:firstLine="249"/>
              <w:rPr>
                <w:rFonts w:asciiTheme="minorHAnsi" w:hAnsiTheme="minorHAnsi" w:cstheme="minorHAnsi"/>
                <w:sz w:val="22"/>
              </w:rPr>
            </w:pPr>
            <w:proofErr w:type="spellStart"/>
            <w:r w:rsidRPr="00B626E0">
              <w:rPr>
                <w:rFonts w:asciiTheme="minorHAnsi" w:hAnsiTheme="minorHAnsi" w:cstheme="minorHAnsi"/>
                <w:sz w:val="22"/>
              </w:rPr>
              <w:t>Echeveste</w:t>
            </w:r>
            <w:proofErr w:type="spellEnd"/>
            <w:r w:rsidRPr="00B626E0">
              <w:rPr>
                <w:rFonts w:asciiTheme="minorHAnsi" w:hAnsiTheme="minorHAnsi" w:cstheme="minorHAnsi"/>
                <w:sz w:val="22"/>
              </w:rPr>
              <w:t xml:space="preserve"> </w:t>
            </w:r>
            <w:proofErr w:type="spellStart"/>
            <w:r w:rsidRPr="00B626E0">
              <w:rPr>
                <w:rFonts w:asciiTheme="minorHAnsi" w:hAnsiTheme="minorHAnsi" w:cstheme="minorHAnsi"/>
                <w:sz w:val="22"/>
              </w:rPr>
              <w:t>Hermanos</w:t>
            </w:r>
            <w:proofErr w:type="spellEnd"/>
            <w:r w:rsidRPr="00B626E0">
              <w:rPr>
                <w:rFonts w:asciiTheme="minorHAnsi" w:hAnsiTheme="minorHAnsi" w:cstheme="minorHAnsi"/>
                <w:sz w:val="22"/>
              </w:rPr>
              <w:t xml:space="preserve"> </w:t>
            </w:r>
          </w:p>
        </w:tc>
        <w:tc>
          <w:tcPr>
            <w:tcW w:w="1788" w:type="dxa"/>
            <w:tcBorders>
              <w:top w:val="single" w:sz="8" w:space="0" w:color="000000"/>
              <w:left w:val="single" w:sz="8" w:space="0" w:color="000000"/>
              <w:bottom w:val="nil"/>
              <w:right w:val="single" w:sz="8" w:space="0" w:color="000000"/>
            </w:tcBorders>
          </w:tcPr>
          <w:p w14:paraId="702326F1" w14:textId="1296FA65" w:rsidR="00AB397A" w:rsidRPr="00B626E0" w:rsidRDefault="00AB397A" w:rsidP="0005761E">
            <w:pPr>
              <w:spacing w:after="0" w:line="240" w:lineRule="exact"/>
              <w:ind w:left="7" w:right="0" w:firstLine="180"/>
              <w:rPr>
                <w:rFonts w:asciiTheme="minorHAnsi" w:hAnsiTheme="minorHAnsi" w:cstheme="minorHAnsi"/>
                <w:sz w:val="22"/>
              </w:rPr>
            </w:pPr>
            <w:proofErr w:type="spellStart"/>
            <w:r w:rsidRPr="00B626E0">
              <w:rPr>
                <w:rFonts w:asciiTheme="minorHAnsi" w:hAnsiTheme="minorHAnsi" w:cstheme="minorHAnsi"/>
                <w:sz w:val="22"/>
              </w:rPr>
              <w:t>Pelleta</w:t>
            </w:r>
            <w:proofErr w:type="spellEnd"/>
            <w:r w:rsidRPr="00B626E0">
              <w:rPr>
                <w:rFonts w:asciiTheme="minorHAnsi" w:hAnsiTheme="minorHAnsi" w:cstheme="minorHAnsi"/>
                <w:sz w:val="22"/>
              </w:rPr>
              <w:t xml:space="preserve"> </w:t>
            </w:r>
          </w:p>
        </w:tc>
        <w:tc>
          <w:tcPr>
            <w:tcW w:w="2029" w:type="dxa"/>
            <w:tcBorders>
              <w:top w:val="single" w:sz="8" w:space="0" w:color="000000"/>
              <w:left w:val="single" w:sz="8" w:space="0" w:color="000000"/>
              <w:bottom w:val="nil"/>
              <w:right w:val="single" w:sz="8" w:space="0" w:color="000000"/>
            </w:tcBorders>
          </w:tcPr>
          <w:p w14:paraId="0F99CD69" w14:textId="77777777" w:rsidR="00AB397A" w:rsidRPr="00B626E0" w:rsidRDefault="00AB397A" w:rsidP="0005761E">
            <w:pPr>
              <w:spacing w:after="0" w:line="240" w:lineRule="exact"/>
              <w:ind w:left="6" w:right="0" w:firstLine="196"/>
              <w:rPr>
                <w:rFonts w:asciiTheme="minorHAnsi" w:hAnsiTheme="minorHAnsi" w:cstheme="minorHAnsi"/>
                <w:sz w:val="22"/>
              </w:rPr>
            </w:pPr>
            <w:r w:rsidRPr="00B626E0">
              <w:rPr>
                <w:rFonts w:asciiTheme="minorHAnsi" w:hAnsiTheme="minorHAnsi" w:cstheme="minorHAnsi"/>
                <w:sz w:val="22"/>
              </w:rPr>
              <w:t xml:space="preserve">Lesaka </w:t>
            </w:r>
          </w:p>
        </w:tc>
      </w:tr>
      <w:tr w:rsidR="00AB397A" w:rsidRPr="00B626E0" w14:paraId="19A7A82F" w14:textId="77777777" w:rsidTr="0005761E">
        <w:trPr>
          <w:trHeight w:val="20"/>
        </w:trPr>
        <w:tc>
          <w:tcPr>
            <w:tcW w:w="2305" w:type="dxa"/>
            <w:tcBorders>
              <w:top w:val="nil"/>
              <w:left w:val="single" w:sz="8" w:space="0" w:color="000000"/>
              <w:bottom w:val="nil"/>
              <w:right w:val="single" w:sz="8" w:space="0" w:color="000000"/>
            </w:tcBorders>
          </w:tcPr>
          <w:p w14:paraId="6D5B5E6E" w14:textId="77777777" w:rsidR="00AB397A" w:rsidRPr="00B626E0" w:rsidRDefault="00AB397A" w:rsidP="0005761E">
            <w:pPr>
              <w:spacing w:after="0" w:line="240" w:lineRule="exact"/>
              <w:ind w:left="0" w:right="0" w:firstLine="249"/>
              <w:rPr>
                <w:rFonts w:asciiTheme="minorHAnsi" w:hAnsiTheme="minorHAnsi" w:cstheme="minorHAnsi"/>
                <w:sz w:val="22"/>
              </w:rPr>
            </w:pPr>
            <w:proofErr w:type="spellStart"/>
            <w:r w:rsidRPr="00B626E0">
              <w:rPr>
                <w:rFonts w:asciiTheme="minorHAnsi" w:hAnsiTheme="minorHAnsi" w:cstheme="minorHAnsi"/>
                <w:sz w:val="22"/>
              </w:rPr>
              <w:t>Ecofuego</w:t>
            </w:r>
            <w:proofErr w:type="spellEnd"/>
            <w:r w:rsidRPr="00B626E0">
              <w:rPr>
                <w:rFonts w:asciiTheme="minorHAnsi" w:hAnsiTheme="minorHAnsi" w:cstheme="minorHAnsi"/>
                <w:sz w:val="22"/>
              </w:rPr>
              <w:t xml:space="preserve"> </w:t>
            </w:r>
          </w:p>
        </w:tc>
        <w:tc>
          <w:tcPr>
            <w:tcW w:w="1788" w:type="dxa"/>
            <w:tcBorders>
              <w:top w:val="nil"/>
              <w:left w:val="single" w:sz="8" w:space="0" w:color="000000"/>
              <w:bottom w:val="nil"/>
              <w:right w:val="single" w:sz="8" w:space="0" w:color="000000"/>
            </w:tcBorders>
          </w:tcPr>
          <w:p w14:paraId="65429007" w14:textId="2B948558" w:rsidR="00AB397A" w:rsidRPr="00B626E0" w:rsidRDefault="00AB397A" w:rsidP="0005761E">
            <w:pPr>
              <w:spacing w:after="0" w:line="240" w:lineRule="exact"/>
              <w:ind w:left="8" w:right="0" w:firstLine="180"/>
              <w:rPr>
                <w:rFonts w:asciiTheme="minorHAnsi" w:hAnsiTheme="minorHAnsi" w:cstheme="minorHAnsi"/>
                <w:sz w:val="22"/>
              </w:rPr>
            </w:pPr>
            <w:proofErr w:type="spellStart"/>
            <w:r w:rsidRPr="00B626E0">
              <w:rPr>
                <w:rFonts w:asciiTheme="minorHAnsi" w:hAnsiTheme="minorHAnsi" w:cstheme="minorHAnsi"/>
                <w:sz w:val="22"/>
              </w:rPr>
              <w:t>Pelleta</w:t>
            </w:r>
            <w:proofErr w:type="spellEnd"/>
            <w:r w:rsidRPr="00B626E0">
              <w:rPr>
                <w:rFonts w:asciiTheme="minorHAnsi" w:hAnsiTheme="minorHAnsi" w:cstheme="minorHAnsi"/>
                <w:sz w:val="22"/>
              </w:rPr>
              <w:t xml:space="preserve"> </w:t>
            </w:r>
          </w:p>
        </w:tc>
        <w:tc>
          <w:tcPr>
            <w:tcW w:w="2029" w:type="dxa"/>
            <w:tcBorders>
              <w:top w:val="nil"/>
              <w:left w:val="single" w:sz="8" w:space="0" w:color="000000"/>
              <w:bottom w:val="nil"/>
              <w:right w:val="single" w:sz="8" w:space="0" w:color="000000"/>
            </w:tcBorders>
          </w:tcPr>
          <w:p w14:paraId="459C564D" w14:textId="77777777" w:rsidR="00AB397A" w:rsidRPr="00B626E0" w:rsidRDefault="00AB397A" w:rsidP="0005761E">
            <w:pPr>
              <w:spacing w:after="0" w:line="240" w:lineRule="exact"/>
              <w:ind w:left="8" w:right="0" w:firstLine="196"/>
              <w:rPr>
                <w:rFonts w:asciiTheme="minorHAnsi" w:hAnsiTheme="minorHAnsi" w:cstheme="minorHAnsi"/>
                <w:sz w:val="22"/>
              </w:rPr>
            </w:pPr>
            <w:r w:rsidRPr="00B626E0">
              <w:rPr>
                <w:rFonts w:asciiTheme="minorHAnsi" w:hAnsiTheme="minorHAnsi" w:cstheme="minorHAnsi"/>
                <w:sz w:val="22"/>
              </w:rPr>
              <w:t xml:space="preserve">Muru Artederreta </w:t>
            </w:r>
          </w:p>
        </w:tc>
      </w:tr>
      <w:tr w:rsidR="00AB397A" w:rsidRPr="00B626E0" w14:paraId="59B19BE0" w14:textId="77777777" w:rsidTr="0005761E">
        <w:trPr>
          <w:trHeight w:val="20"/>
        </w:trPr>
        <w:tc>
          <w:tcPr>
            <w:tcW w:w="2305" w:type="dxa"/>
            <w:tcBorders>
              <w:top w:val="nil"/>
              <w:left w:val="single" w:sz="8" w:space="0" w:color="000000"/>
              <w:bottom w:val="nil"/>
              <w:right w:val="single" w:sz="8" w:space="0" w:color="000000"/>
            </w:tcBorders>
          </w:tcPr>
          <w:p w14:paraId="4FEBCF3E" w14:textId="77777777" w:rsidR="00AB397A" w:rsidRPr="00B626E0" w:rsidRDefault="00AB397A" w:rsidP="0005761E">
            <w:pPr>
              <w:spacing w:after="0" w:line="240" w:lineRule="exact"/>
              <w:ind w:left="0" w:right="0" w:firstLine="249"/>
              <w:rPr>
                <w:rFonts w:asciiTheme="minorHAnsi" w:hAnsiTheme="minorHAnsi" w:cstheme="minorHAnsi"/>
                <w:sz w:val="22"/>
              </w:rPr>
            </w:pPr>
            <w:proofErr w:type="spellStart"/>
            <w:r w:rsidRPr="00B626E0">
              <w:rPr>
                <w:rFonts w:asciiTheme="minorHAnsi" w:hAnsiTheme="minorHAnsi" w:cstheme="minorHAnsi"/>
                <w:sz w:val="22"/>
              </w:rPr>
              <w:t>NaparPellet</w:t>
            </w:r>
            <w:proofErr w:type="spellEnd"/>
            <w:r w:rsidRPr="00B626E0">
              <w:rPr>
                <w:rFonts w:asciiTheme="minorHAnsi" w:hAnsiTheme="minorHAnsi" w:cstheme="minorHAnsi"/>
                <w:sz w:val="22"/>
              </w:rPr>
              <w:t xml:space="preserve"> </w:t>
            </w:r>
          </w:p>
        </w:tc>
        <w:tc>
          <w:tcPr>
            <w:tcW w:w="1788" w:type="dxa"/>
            <w:tcBorders>
              <w:top w:val="nil"/>
              <w:left w:val="single" w:sz="8" w:space="0" w:color="000000"/>
              <w:bottom w:val="nil"/>
              <w:right w:val="single" w:sz="8" w:space="0" w:color="000000"/>
            </w:tcBorders>
          </w:tcPr>
          <w:p w14:paraId="247A51E5" w14:textId="6A0985C4" w:rsidR="00AB397A" w:rsidRPr="00B626E0" w:rsidRDefault="00AB397A" w:rsidP="0005761E">
            <w:pPr>
              <w:spacing w:after="0" w:line="240" w:lineRule="exact"/>
              <w:ind w:left="8" w:right="0" w:firstLine="180"/>
              <w:rPr>
                <w:rFonts w:asciiTheme="minorHAnsi" w:hAnsiTheme="minorHAnsi" w:cstheme="minorHAnsi"/>
                <w:sz w:val="22"/>
              </w:rPr>
            </w:pPr>
            <w:proofErr w:type="spellStart"/>
            <w:r w:rsidRPr="00B626E0">
              <w:rPr>
                <w:rFonts w:asciiTheme="minorHAnsi" w:hAnsiTheme="minorHAnsi" w:cstheme="minorHAnsi"/>
                <w:sz w:val="22"/>
              </w:rPr>
              <w:t>Pelleta</w:t>
            </w:r>
            <w:proofErr w:type="spellEnd"/>
            <w:r w:rsidRPr="00B626E0">
              <w:rPr>
                <w:rFonts w:asciiTheme="minorHAnsi" w:hAnsiTheme="minorHAnsi" w:cstheme="minorHAnsi"/>
                <w:sz w:val="22"/>
              </w:rPr>
              <w:t xml:space="preserve">-Ezpala </w:t>
            </w:r>
          </w:p>
        </w:tc>
        <w:tc>
          <w:tcPr>
            <w:tcW w:w="2029" w:type="dxa"/>
            <w:tcBorders>
              <w:top w:val="nil"/>
              <w:left w:val="single" w:sz="8" w:space="0" w:color="000000"/>
              <w:bottom w:val="nil"/>
              <w:right w:val="single" w:sz="8" w:space="0" w:color="000000"/>
            </w:tcBorders>
          </w:tcPr>
          <w:p w14:paraId="03A485E7" w14:textId="77777777" w:rsidR="00AB397A" w:rsidRPr="00B626E0" w:rsidRDefault="00AB397A" w:rsidP="0005761E">
            <w:pPr>
              <w:spacing w:after="0" w:line="240" w:lineRule="exact"/>
              <w:ind w:left="7" w:right="0" w:firstLine="196"/>
              <w:rPr>
                <w:rFonts w:asciiTheme="minorHAnsi" w:hAnsiTheme="minorHAnsi" w:cstheme="minorHAnsi"/>
                <w:sz w:val="22"/>
              </w:rPr>
            </w:pPr>
            <w:r w:rsidRPr="00B626E0">
              <w:rPr>
                <w:rFonts w:asciiTheme="minorHAnsi" w:hAnsiTheme="minorHAnsi" w:cstheme="minorHAnsi"/>
                <w:sz w:val="22"/>
              </w:rPr>
              <w:t xml:space="preserve">Etxarri Aranatz </w:t>
            </w:r>
          </w:p>
        </w:tc>
      </w:tr>
      <w:tr w:rsidR="00AB397A" w:rsidRPr="00B626E0" w14:paraId="0927550E" w14:textId="77777777" w:rsidTr="0005761E">
        <w:trPr>
          <w:trHeight w:val="20"/>
        </w:trPr>
        <w:tc>
          <w:tcPr>
            <w:tcW w:w="2305" w:type="dxa"/>
            <w:tcBorders>
              <w:top w:val="nil"/>
              <w:left w:val="single" w:sz="8" w:space="0" w:color="000000"/>
              <w:bottom w:val="nil"/>
              <w:right w:val="single" w:sz="8" w:space="0" w:color="000000"/>
            </w:tcBorders>
          </w:tcPr>
          <w:p w14:paraId="0DB5B99E" w14:textId="77777777" w:rsidR="00AB397A" w:rsidRPr="00B626E0" w:rsidRDefault="00AB397A" w:rsidP="0005761E">
            <w:pPr>
              <w:spacing w:after="0" w:line="240" w:lineRule="exact"/>
              <w:ind w:left="0" w:right="0" w:firstLine="249"/>
              <w:rPr>
                <w:rFonts w:asciiTheme="minorHAnsi" w:hAnsiTheme="minorHAnsi" w:cstheme="minorHAnsi"/>
                <w:sz w:val="22"/>
              </w:rPr>
            </w:pPr>
            <w:proofErr w:type="spellStart"/>
            <w:r w:rsidRPr="00B626E0">
              <w:rPr>
                <w:rFonts w:asciiTheme="minorHAnsi" w:hAnsiTheme="minorHAnsi" w:cstheme="minorHAnsi"/>
                <w:sz w:val="22"/>
              </w:rPr>
              <w:t>Gesbrick</w:t>
            </w:r>
            <w:proofErr w:type="spellEnd"/>
            <w:r w:rsidRPr="00B626E0">
              <w:rPr>
                <w:rFonts w:asciiTheme="minorHAnsi" w:hAnsiTheme="minorHAnsi" w:cstheme="minorHAnsi"/>
                <w:sz w:val="22"/>
              </w:rPr>
              <w:t xml:space="preserve"> </w:t>
            </w:r>
          </w:p>
        </w:tc>
        <w:tc>
          <w:tcPr>
            <w:tcW w:w="1788" w:type="dxa"/>
            <w:tcBorders>
              <w:top w:val="nil"/>
              <w:left w:val="single" w:sz="8" w:space="0" w:color="000000"/>
              <w:bottom w:val="nil"/>
              <w:right w:val="single" w:sz="8" w:space="0" w:color="000000"/>
            </w:tcBorders>
          </w:tcPr>
          <w:p w14:paraId="0F9EA2B1" w14:textId="43E6FE40" w:rsidR="00AB397A" w:rsidRPr="00B626E0" w:rsidRDefault="00AB397A" w:rsidP="0005761E">
            <w:pPr>
              <w:spacing w:after="0" w:line="240" w:lineRule="exact"/>
              <w:ind w:left="7" w:right="0" w:firstLine="180"/>
              <w:rPr>
                <w:rFonts w:asciiTheme="minorHAnsi" w:hAnsiTheme="minorHAnsi" w:cstheme="minorHAnsi"/>
                <w:sz w:val="22"/>
              </w:rPr>
            </w:pPr>
            <w:proofErr w:type="spellStart"/>
            <w:r w:rsidRPr="00B626E0">
              <w:rPr>
                <w:rFonts w:asciiTheme="minorHAnsi" w:hAnsiTheme="minorHAnsi" w:cstheme="minorHAnsi"/>
                <w:sz w:val="22"/>
              </w:rPr>
              <w:t>Pelleta</w:t>
            </w:r>
            <w:proofErr w:type="spellEnd"/>
            <w:r w:rsidRPr="00B626E0">
              <w:rPr>
                <w:rFonts w:asciiTheme="minorHAnsi" w:hAnsiTheme="minorHAnsi" w:cstheme="minorHAnsi"/>
                <w:sz w:val="22"/>
              </w:rPr>
              <w:t xml:space="preserve"> </w:t>
            </w:r>
          </w:p>
        </w:tc>
        <w:tc>
          <w:tcPr>
            <w:tcW w:w="2029" w:type="dxa"/>
            <w:tcBorders>
              <w:top w:val="nil"/>
              <w:left w:val="single" w:sz="8" w:space="0" w:color="000000"/>
              <w:bottom w:val="nil"/>
              <w:right w:val="single" w:sz="8" w:space="0" w:color="000000"/>
            </w:tcBorders>
          </w:tcPr>
          <w:p w14:paraId="53D40DEE" w14:textId="77777777" w:rsidR="00AB397A" w:rsidRPr="00B626E0" w:rsidRDefault="00AB397A" w:rsidP="0005761E">
            <w:pPr>
              <w:spacing w:after="0" w:line="240" w:lineRule="exact"/>
              <w:ind w:left="6" w:right="0" w:firstLine="196"/>
              <w:rPr>
                <w:rFonts w:asciiTheme="minorHAnsi" w:hAnsiTheme="minorHAnsi" w:cstheme="minorHAnsi"/>
                <w:sz w:val="22"/>
              </w:rPr>
            </w:pPr>
            <w:r w:rsidRPr="00B626E0">
              <w:rPr>
                <w:rFonts w:asciiTheme="minorHAnsi" w:hAnsiTheme="minorHAnsi" w:cstheme="minorHAnsi"/>
                <w:sz w:val="22"/>
              </w:rPr>
              <w:t xml:space="preserve">Etxarri Aranatz </w:t>
            </w:r>
          </w:p>
        </w:tc>
      </w:tr>
      <w:tr w:rsidR="00AB397A" w:rsidRPr="00B626E0" w14:paraId="20520589" w14:textId="77777777" w:rsidTr="0005761E">
        <w:trPr>
          <w:trHeight w:val="20"/>
        </w:trPr>
        <w:tc>
          <w:tcPr>
            <w:tcW w:w="2305" w:type="dxa"/>
            <w:tcBorders>
              <w:top w:val="nil"/>
              <w:left w:val="single" w:sz="8" w:space="0" w:color="000000"/>
              <w:bottom w:val="single" w:sz="8" w:space="0" w:color="000000"/>
              <w:right w:val="single" w:sz="8" w:space="0" w:color="000000"/>
            </w:tcBorders>
          </w:tcPr>
          <w:p w14:paraId="44F6BBA6" w14:textId="77777777" w:rsidR="00AB397A" w:rsidRPr="00B626E0" w:rsidRDefault="00AB397A" w:rsidP="0005761E">
            <w:pPr>
              <w:spacing w:after="0" w:line="240" w:lineRule="exact"/>
              <w:ind w:left="0" w:right="0" w:firstLine="249"/>
              <w:rPr>
                <w:rFonts w:asciiTheme="minorHAnsi" w:hAnsiTheme="minorHAnsi" w:cstheme="minorHAnsi"/>
                <w:sz w:val="22"/>
              </w:rPr>
            </w:pPr>
            <w:proofErr w:type="spellStart"/>
            <w:r w:rsidRPr="00B626E0">
              <w:rPr>
                <w:rFonts w:asciiTheme="minorHAnsi" w:hAnsiTheme="minorHAnsi" w:cstheme="minorHAnsi"/>
                <w:sz w:val="22"/>
              </w:rPr>
              <w:t>Harimasa</w:t>
            </w:r>
            <w:proofErr w:type="spellEnd"/>
            <w:r w:rsidRPr="00B626E0">
              <w:rPr>
                <w:rFonts w:asciiTheme="minorHAnsi" w:hAnsiTheme="minorHAnsi" w:cstheme="minorHAnsi"/>
                <w:sz w:val="22"/>
              </w:rPr>
              <w:t xml:space="preserve"> </w:t>
            </w:r>
          </w:p>
        </w:tc>
        <w:tc>
          <w:tcPr>
            <w:tcW w:w="1788" w:type="dxa"/>
            <w:tcBorders>
              <w:top w:val="nil"/>
              <w:left w:val="single" w:sz="8" w:space="0" w:color="000000"/>
              <w:bottom w:val="single" w:sz="8" w:space="0" w:color="000000"/>
              <w:right w:val="single" w:sz="8" w:space="0" w:color="000000"/>
            </w:tcBorders>
          </w:tcPr>
          <w:p w14:paraId="4889A6AC" w14:textId="241CF0CE" w:rsidR="00AB397A" w:rsidRPr="00B626E0" w:rsidRDefault="00AB397A" w:rsidP="0005761E">
            <w:pPr>
              <w:spacing w:after="0" w:line="240" w:lineRule="exact"/>
              <w:ind w:left="6" w:right="0" w:firstLine="180"/>
              <w:rPr>
                <w:rFonts w:asciiTheme="minorHAnsi" w:hAnsiTheme="minorHAnsi" w:cstheme="minorHAnsi"/>
                <w:sz w:val="22"/>
              </w:rPr>
            </w:pPr>
            <w:proofErr w:type="spellStart"/>
            <w:r w:rsidRPr="00B626E0">
              <w:rPr>
                <w:rFonts w:asciiTheme="minorHAnsi" w:hAnsiTheme="minorHAnsi" w:cstheme="minorHAnsi"/>
                <w:sz w:val="22"/>
              </w:rPr>
              <w:t>Briketa</w:t>
            </w:r>
            <w:proofErr w:type="spellEnd"/>
            <w:r w:rsidRPr="00B626E0">
              <w:rPr>
                <w:rFonts w:asciiTheme="minorHAnsi" w:hAnsiTheme="minorHAnsi" w:cstheme="minorHAnsi"/>
                <w:sz w:val="22"/>
              </w:rPr>
              <w:t xml:space="preserve"> </w:t>
            </w:r>
          </w:p>
        </w:tc>
        <w:tc>
          <w:tcPr>
            <w:tcW w:w="2029" w:type="dxa"/>
            <w:tcBorders>
              <w:top w:val="nil"/>
              <w:left w:val="single" w:sz="8" w:space="0" w:color="000000"/>
              <w:bottom w:val="single" w:sz="8" w:space="0" w:color="000000"/>
              <w:right w:val="single" w:sz="8" w:space="0" w:color="000000"/>
            </w:tcBorders>
          </w:tcPr>
          <w:p w14:paraId="63CBE661" w14:textId="77777777" w:rsidR="00AB397A" w:rsidRPr="00B626E0" w:rsidRDefault="00AB397A" w:rsidP="0005761E">
            <w:pPr>
              <w:spacing w:after="0" w:line="240" w:lineRule="exact"/>
              <w:ind w:left="8" w:right="0" w:firstLine="196"/>
              <w:rPr>
                <w:rFonts w:asciiTheme="minorHAnsi" w:hAnsiTheme="minorHAnsi" w:cstheme="minorHAnsi"/>
                <w:sz w:val="22"/>
              </w:rPr>
            </w:pPr>
            <w:proofErr w:type="spellStart"/>
            <w:r w:rsidRPr="00B626E0">
              <w:rPr>
                <w:rFonts w:asciiTheme="minorHAnsi" w:hAnsiTheme="minorHAnsi" w:cstheme="minorHAnsi"/>
                <w:sz w:val="22"/>
              </w:rPr>
              <w:t>Ihabar</w:t>
            </w:r>
            <w:proofErr w:type="spellEnd"/>
            <w:r w:rsidRPr="00B626E0">
              <w:rPr>
                <w:rFonts w:asciiTheme="minorHAnsi" w:hAnsiTheme="minorHAnsi" w:cstheme="minorHAnsi"/>
                <w:sz w:val="22"/>
              </w:rPr>
              <w:t xml:space="preserve"> Arakil </w:t>
            </w:r>
          </w:p>
        </w:tc>
      </w:tr>
    </w:tbl>
    <w:p w14:paraId="05AB1AA3" w14:textId="77777777" w:rsidR="00303B80" w:rsidRPr="0005761E" w:rsidRDefault="00D64CA9" w:rsidP="0005761E">
      <w:pPr>
        <w:spacing w:after="117" w:line="259" w:lineRule="auto"/>
        <w:ind w:left="0" w:right="0" w:firstLine="0"/>
        <w:rPr>
          <w:rFonts w:asciiTheme="majorHAnsi" w:hAnsiTheme="majorHAnsi" w:cstheme="majorHAnsi"/>
          <w:sz w:val="22"/>
        </w:rPr>
      </w:pPr>
      <w:r w:rsidRPr="0005761E">
        <w:rPr>
          <w:rFonts w:asciiTheme="majorHAnsi" w:hAnsiTheme="majorHAnsi" w:cstheme="majorHAnsi"/>
          <w:sz w:val="22"/>
        </w:rPr>
        <w:t xml:space="preserve"> </w:t>
      </w:r>
    </w:p>
    <w:p w14:paraId="496C6F3C" w14:textId="77777777" w:rsidR="00047B51"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Nafarroako Gobernua Biomasa Bildu, Eraldatu eta Hornitzeko Agoizko Zentroa sustatzen ari da, eta aurreikusten da hornidura hasten denean urtean 900 tona banatzea alokairu sozialeko etxebizitza babestuen eraikinetara eta eraikin publikoetara.  </w:t>
      </w:r>
    </w:p>
    <w:p w14:paraId="193ED7C4" w14:textId="4D6C28F7"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Halaber, biomasa bulego berri bat sortu da Agoitzen, eta departamentuak enpresen eskura jarri du, haien deskarbonizazio prozesuetan laguntzeko. Bulego horren bitartez, enpresetara bisitak egingo dira energia iturri berriztagarri horren onuren berri emateko. </w:t>
      </w:r>
    </w:p>
    <w:p w14:paraId="1AE82DFB" w14:textId="77777777"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Gainera, webgune bat sortu da enpresek bertan kalkulatu ahal izan dezaten zenbat energia aurreztuko duten biomasa instalatzen badute. </w:t>
      </w:r>
    </w:p>
    <w:p w14:paraId="5838BD5D" w14:textId="77777777" w:rsidR="00303B80"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Etorkizunerako planifikatutako jarduketetako batzuk dagoeneko garatzen ari dira. Honako hauek nabarmentzen dira: </w:t>
      </w:r>
    </w:p>
    <w:p w14:paraId="13C5880F" w14:textId="77777777" w:rsidR="00303B80" w:rsidRDefault="00D64CA9" w:rsidP="0005761E">
      <w:pPr>
        <w:spacing w:after="0" w:line="259" w:lineRule="auto"/>
        <w:ind w:left="0" w:right="0" w:firstLine="0"/>
        <w:rPr>
          <w:rFonts w:asciiTheme="majorHAnsi" w:hAnsiTheme="majorHAnsi" w:cstheme="majorHAnsi"/>
          <w:sz w:val="22"/>
        </w:rPr>
      </w:pPr>
      <w:r w:rsidRPr="0005761E">
        <w:rPr>
          <w:rFonts w:asciiTheme="majorHAnsi" w:hAnsiTheme="majorHAnsi" w:cstheme="majorHAnsi"/>
          <w:sz w:val="22"/>
        </w:rPr>
        <w:t xml:space="preserve"> </w:t>
      </w:r>
    </w:p>
    <w:p w14:paraId="18049411" w14:textId="77777777" w:rsidR="0005761E" w:rsidRDefault="0005761E" w:rsidP="0005761E">
      <w:pPr>
        <w:spacing w:after="0" w:line="259" w:lineRule="auto"/>
        <w:ind w:left="0" w:right="0" w:firstLine="0"/>
        <w:rPr>
          <w:rFonts w:asciiTheme="majorHAnsi" w:hAnsiTheme="majorHAnsi" w:cstheme="majorHAnsi"/>
          <w:sz w:val="22"/>
        </w:rPr>
      </w:pPr>
    </w:p>
    <w:p w14:paraId="5F192A7B" w14:textId="77777777" w:rsidR="0005761E" w:rsidRDefault="0005761E" w:rsidP="0005761E">
      <w:pPr>
        <w:spacing w:after="0" w:line="259" w:lineRule="auto"/>
        <w:ind w:left="0" w:right="0" w:firstLine="0"/>
        <w:rPr>
          <w:rFonts w:asciiTheme="majorHAnsi" w:hAnsiTheme="majorHAnsi" w:cstheme="majorHAnsi"/>
          <w:sz w:val="22"/>
        </w:rPr>
      </w:pPr>
    </w:p>
    <w:p w14:paraId="311726A8" w14:textId="77777777" w:rsidR="0005761E" w:rsidRPr="0005761E" w:rsidRDefault="0005761E" w:rsidP="0005761E">
      <w:pPr>
        <w:spacing w:after="0" w:line="259" w:lineRule="auto"/>
        <w:ind w:left="0" w:right="0" w:firstLine="0"/>
        <w:rPr>
          <w:rFonts w:asciiTheme="majorHAnsi" w:hAnsiTheme="majorHAnsi" w:cstheme="majorHAnsi"/>
          <w:sz w:val="22"/>
        </w:rPr>
      </w:pPr>
    </w:p>
    <w:tbl>
      <w:tblPr>
        <w:tblStyle w:val="TableGrid"/>
        <w:tblW w:w="9093" w:type="dxa"/>
        <w:tblInd w:w="-572" w:type="dxa"/>
        <w:tblCellMar>
          <w:top w:w="34" w:type="dxa"/>
          <w:left w:w="16" w:type="dxa"/>
        </w:tblCellMar>
        <w:tblLook w:val="04A0" w:firstRow="1" w:lastRow="0" w:firstColumn="1" w:lastColumn="0" w:noHBand="0" w:noVBand="1"/>
      </w:tblPr>
      <w:tblGrid>
        <w:gridCol w:w="9093"/>
      </w:tblGrid>
      <w:tr w:rsidR="00303B80" w:rsidRPr="0005761E" w14:paraId="23B712B8"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1C0150D0" w14:textId="77777777" w:rsidR="00303B80" w:rsidRPr="0005761E" w:rsidRDefault="00D64CA9" w:rsidP="0005761E">
            <w:pPr>
              <w:spacing w:afterLines="60" w:after="144" w:line="240" w:lineRule="exact"/>
              <w:ind w:left="131" w:right="297"/>
              <w:rPr>
                <w:rFonts w:asciiTheme="majorHAnsi" w:hAnsiTheme="majorHAnsi" w:cstheme="majorHAnsi"/>
                <w:sz w:val="22"/>
              </w:rPr>
            </w:pPr>
            <w:bookmarkStart w:id="0" w:name="_Hlk150853838"/>
            <w:r w:rsidRPr="0005761E">
              <w:rPr>
                <w:rFonts w:asciiTheme="majorHAnsi" w:hAnsiTheme="majorHAnsi" w:cstheme="majorHAnsi"/>
                <w:sz w:val="22"/>
              </w:rPr>
              <w:lastRenderedPageBreak/>
              <w:t xml:space="preserve">Planifikatutako jarduketa / </w:t>
            </w:r>
          </w:p>
          <w:p w14:paraId="7985F93A" w14:textId="77777777"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Inplikatutako eragileak </w:t>
            </w:r>
          </w:p>
        </w:tc>
      </w:tr>
      <w:tr w:rsidR="00303B80" w:rsidRPr="0005761E" w14:paraId="1659121E"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4155DF01" w14:textId="77777777"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Kenkari fiskal berriak energia berriztagarrien instalazioetan inbertsioak egiteagatik / Industria Z.N. </w:t>
            </w:r>
          </w:p>
        </w:tc>
      </w:tr>
      <w:tr w:rsidR="00303B80" w:rsidRPr="0005761E" w14:paraId="399DC4F2"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7218B9D3" w14:textId="2F188FB5"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Toki entitate eta irabazi-asmorik gabeko entitateentzako dirulaguntzak, biomasa erregai gisa erabiltzen duten instalazio termikoetan inbertsioak egiteko / Industria Z.N. </w:t>
            </w:r>
          </w:p>
        </w:tc>
      </w:tr>
      <w:tr w:rsidR="00303B80" w:rsidRPr="0005761E" w14:paraId="14F41EAE"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36D14295" w14:textId="41412577"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Hirietako bero sareak energia-efizientziaren irizpideei jarraituz berritzeko laguntzak / Industria Z.N. </w:t>
            </w:r>
          </w:p>
        </w:tc>
      </w:tr>
      <w:tr w:rsidR="00303B80" w:rsidRPr="0005761E" w14:paraId="4AF6BC26"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7449B6CD" w14:textId="77777777"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Hezkuntza Departamentuaren eraikinetan biomasa galdarak instalatzea / Hezkuntza Dptu. </w:t>
            </w:r>
          </w:p>
        </w:tc>
      </w:tr>
      <w:tr w:rsidR="00303B80" w:rsidRPr="0005761E" w14:paraId="7CD84647"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769CEA5F" w14:textId="77777777"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Osasun Departamentuaren eraikinetan biomasa galdarak instalatzea / Osasun Dptu. </w:t>
            </w:r>
          </w:p>
        </w:tc>
      </w:tr>
      <w:tr w:rsidR="00303B80" w:rsidRPr="0005761E" w14:paraId="4958F186"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613BAC96" w14:textId="7B472D41"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Kultura, Kirol eta Gazteria Departamentuaren eraikinetan biomasa galdarak instalatzea / Kultura, Kirol eta Gazteria Dptu. </w:t>
            </w:r>
          </w:p>
        </w:tc>
      </w:tr>
      <w:tr w:rsidR="00303B80" w:rsidRPr="0005761E" w14:paraId="6AA31E2C"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74368542" w14:textId="77777777"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Ondarearen egoitzetan biomasa galdarak instalatzea / Ondare Dptu. </w:t>
            </w:r>
          </w:p>
        </w:tc>
      </w:tr>
      <w:tr w:rsidR="00303B80" w:rsidRPr="0005761E" w14:paraId="631D478E"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0EC97F17" w14:textId="77777777"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Biomasaz elikatutako </w:t>
            </w:r>
            <w:proofErr w:type="spellStart"/>
            <w:r w:rsidRPr="0005761E">
              <w:rPr>
                <w:rFonts w:asciiTheme="majorHAnsi" w:hAnsiTheme="majorHAnsi" w:cstheme="majorHAnsi"/>
                <w:sz w:val="22"/>
              </w:rPr>
              <w:t>mikrosareen</w:t>
            </w:r>
            <w:proofErr w:type="spellEnd"/>
            <w:r w:rsidRPr="0005761E">
              <w:rPr>
                <w:rFonts w:asciiTheme="majorHAnsi" w:hAnsiTheme="majorHAnsi" w:cstheme="majorHAnsi"/>
                <w:sz w:val="22"/>
              </w:rPr>
              <w:t xml:space="preserve"> proiektua proposatzea / Energia banatzeko udal sarea duten udalerriak + Industria Z.N. </w:t>
            </w:r>
          </w:p>
        </w:tc>
      </w:tr>
      <w:tr w:rsidR="00303B80" w:rsidRPr="0005761E" w14:paraId="73D5F4F8"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754F073F" w14:textId="77777777"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Baso-biomasari buruzko zabalkunde kanpaina / Industria Z.N. </w:t>
            </w:r>
          </w:p>
        </w:tc>
      </w:tr>
      <w:tr w:rsidR="00303B80" w:rsidRPr="0005761E" w14:paraId="67F33CBB"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5FFC2A65" w14:textId="32A6BA2D"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Nafarroako Oihan Ondarea Babestu eta Garatzeari buruzko 13/1990 Foru Legea eta Biomasa Sustatzeari buruzko Nafarroako Gobernuaren Erabakia betetzeko konpromisoa / Nafarroako Gobernua  </w:t>
            </w:r>
          </w:p>
        </w:tc>
      </w:tr>
      <w:tr w:rsidR="00303B80" w:rsidRPr="0005761E" w14:paraId="01D92049"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796DBC2E" w14:textId="77777777"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Sustapen publikoetarako araudia sortzea. Barrutiko berokuntza instalazioak  / Nafarroako Gobernua </w:t>
            </w:r>
          </w:p>
        </w:tc>
      </w:tr>
      <w:tr w:rsidR="00303B80" w:rsidRPr="0005761E" w14:paraId="1201C2C0"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01B82F78" w14:textId="77777777"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Baso plangintza sustatzea / Nafarroako Gobernua </w:t>
            </w:r>
          </w:p>
        </w:tc>
      </w:tr>
      <w:tr w:rsidR="00303B80" w:rsidRPr="0005761E" w14:paraId="4ED73A55"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6898F40B" w14:textId="77777777"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Baso ziurtapenerako </w:t>
            </w:r>
            <w:proofErr w:type="spellStart"/>
            <w:r w:rsidRPr="0005761E">
              <w:rPr>
                <w:rFonts w:asciiTheme="majorHAnsi" w:hAnsiTheme="majorHAnsi" w:cstheme="majorHAnsi"/>
                <w:sz w:val="22"/>
              </w:rPr>
              <w:t>auditoriak</w:t>
            </w:r>
            <w:proofErr w:type="spellEnd"/>
            <w:r w:rsidRPr="0005761E">
              <w:rPr>
                <w:rFonts w:asciiTheme="majorHAnsi" w:hAnsiTheme="majorHAnsi" w:cstheme="majorHAnsi"/>
                <w:sz w:val="22"/>
              </w:rPr>
              <w:t xml:space="preserve"> / Nafarroako Gobernua </w:t>
            </w:r>
          </w:p>
        </w:tc>
      </w:tr>
      <w:tr w:rsidR="00303B80" w:rsidRPr="0005761E" w14:paraId="52F3A79A"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31E5AB91" w14:textId="77777777"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Nafarroan ezpala ekoizteko baso baliabideen inbentarioa. </w:t>
            </w:r>
          </w:p>
        </w:tc>
      </w:tr>
      <w:tr w:rsidR="00303B80" w:rsidRPr="0005761E" w14:paraId="72950CF0"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tcPr>
          <w:p w14:paraId="68752EE6" w14:textId="74A00D72"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Lehen eraldaketako industriei eta basogintzako enpresei laguntzak ematea / Nafarroako Gobernua + Interes taldeak </w:t>
            </w:r>
          </w:p>
        </w:tc>
      </w:tr>
      <w:tr w:rsidR="00303B80" w:rsidRPr="0005761E" w14:paraId="492B7794" w14:textId="77777777" w:rsidTr="00D64CA9">
        <w:trPr>
          <w:trHeight w:val="20"/>
        </w:trPr>
        <w:tc>
          <w:tcPr>
            <w:tcW w:w="9093" w:type="dxa"/>
            <w:tcBorders>
              <w:top w:val="single" w:sz="4" w:space="0" w:color="000000"/>
              <w:left w:val="single" w:sz="4" w:space="0" w:color="000000"/>
              <w:bottom w:val="single" w:sz="4" w:space="0" w:color="000000"/>
              <w:right w:val="single" w:sz="4" w:space="0" w:color="000000"/>
            </w:tcBorders>
            <w:vAlign w:val="center"/>
          </w:tcPr>
          <w:p w14:paraId="31028816" w14:textId="3B30D1EA" w:rsidR="00303B80" w:rsidRPr="0005761E" w:rsidRDefault="00D64CA9" w:rsidP="0005761E">
            <w:pPr>
              <w:spacing w:afterLines="60" w:after="144" w:line="240" w:lineRule="exact"/>
              <w:ind w:left="131" w:right="297"/>
              <w:rPr>
                <w:rFonts w:asciiTheme="majorHAnsi" w:hAnsiTheme="majorHAnsi" w:cstheme="majorHAnsi"/>
                <w:sz w:val="22"/>
              </w:rPr>
            </w:pPr>
            <w:r w:rsidRPr="0005761E">
              <w:rPr>
                <w:rFonts w:asciiTheme="majorHAnsi" w:hAnsiTheme="majorHAnsi" w:cstheme="majorHAnsi"/>
                <w:sz w:val="22"/>
              </w:rPr>
              <w:t xml:space="preserve">Lehen eraldaketako industriei eta basogintzako enpresei laguntzak ematea / Nafarroako Gobernua + Interes taldeak </w:t>
            </w:r>
          </w:p>
        </w:tc>
      </w:tr>
    </w:tbl>
    <w:bookmarkEnd w:id="0"/>
    <w:p w14:paraId="23973C76" w14:textId="77777777" w:rsidR="00303B80" w:rsidRPr="0005761E" w:rsidRDefault="00D64CA9" w:rsidP="0005761E">
      <w:pPr>
        <w:spacing w:after="0" w:line="259" w:lineRule="auto"/>
        <w:ind w:left="0" w:right="0" w:firstLine="0"/>
        <w:rPr>
          <w:rFonts w:asciiTheme="majorHAnsi" w:hAnsiTheme="majorHAnsi" w:cstheme="majorHAnsi"/>
          <w:sz w:val="22"/>
        </w:rPr>
      </w:pPr>
      <w:r w:rsidRPr="0005761E">
        <w:rPr>
          <w:rFonts w:asciiTheme="majorHAnsi" w:hAnsiTheme="majorHAnsi" w:cstheme="majorHAnsi"/>
          <w:sz w:val="22"/>
        </w:rPr>
        <w:t xml:space="preserve"> </w:t>
      </w:r>
    </w:p>
    <w:p w14:paraId="36567267" w14:textId="77777777" w:rsidR="00047B51" w:rsidRPr="0005761E" w:rsidRDefault="00D64CA9" w:rsidP="0005761E">
      <w:pPr>
        <w:ind w:left="-5" w:right="0"/>
        <w:rPr>
          <w:rFonts w:asciiTheme="majorHAnsi" w:hAnsiTheme="majorHAnsi" w:cstheme="majorHAnsi"/>
          <w:sz w:val="22"/>
        </w:rPr>
      </w:pPr>
      <w:r w:rsidRPr="0005761E">
        <w:rPr>
          <w:rFonts w:asciiTheme="majorHAnsi" w:hAnsiTheme="majorHAnsi" w:cstheme="majorHAnsi"/>
          <w:sz w:val="22"/>
        </w:rPr>
        <w:t xml:space="preserve">Hori guztia jakinarazten dizut, Nafarroako Parlamentuko Erregelamenduaren 215. artikulua betez. </w:t>
      </w:r>
    </w:p>
    <w:p w14:paraId="2221B578" w14:textId="77777777" w:rsidR="00047B51" w:rsidRPr="0005761E" w:rsidRDefault="00D64CA9" w:rsidP="0005761E">
      <w:pPr>
        <w:spacing w:after="0"/>
        <w:ind w:right="0"/>
        <w:rPr>
          <w:rFonts w:asciiTheme="majorHAnsi" w:hAnsiTheme="majorHAnsi" w:cstheme="majorHAnsi"/>
          <w:sz w:val="22"/>
        </w:rPr>
      </w:pPr>
      <w:r w:rsidRPr="0005761E">
        <w:rPr>
          <w:rFonts w:asciiTheme="majorHAnsi" w:hAnsiTheme="majorHAnsi" w:cstheme="majorHAnsi"/>
          <w:sz w:val="22"/>
        </w:rPr>
        <w:t>Iruñean, 2023ko urriaren 6an</w:t>
      </w:r>
    </w:p>
    <w:p w14:paraId="7BEFF7B3" w14:textId="0485F557" w:rsidR="00047B51" w:rsidRPr="0005761E" w:rsidRDefault="00047B51" w:rsidP="0005761E">
      <w:pPr>
        <w:spacing w:after="0"/>
        <w:ind w:right="0"/>
        <w:rPr>
          <w:rFonts w:asciiTheme="majorHAnsi" w:hAnsiTheme="majorHAnsi" w:cstheme="majorHAnsi"/>
          <w:sz w:val="22"/>
        </w:rPr>
      </w:pPr>
      <w:r w:rsidRPr="0005761E">
        <w:rPr>
          <w:rFonts w:asciiTheme="majorHAnsi" w:hAnsiTheme="majorHAnsi" w:cstheme="majorHAnsi"/>
          <w:sz w:val="22"/>
        </w:rPr>
        <w:t xml:space="preserve">Industriako eta Enpresen Trantsizio Ekologiko eta Digitalerako kontseilaria: Mikel Irujo </w:t>
      </w:r>
      <w:proofErr w:type="spellStart"/>
      <w:r w:rsidRPr="0005761E">
        <w:rPr>
          <w:rFonts w:asciiTheme="majorHAnsi" w:hAnsiTheme="majorHAnsi" w:cstheme="majorHAnsi"/>
          <w:sz w:val="22"/>
        </w:rPr>
        <w:t>Amezaga</w:t>
      </w:r>
      <w:proofErr w:type="spellEnd"/>
      <w:r w:rsidRPr="0005761E">
        <w:rPr>
          <w:rFonts w:asciiTheme="majorHAnsi" w:hAnsiTheme="majorHAnsi" w:cstheme="majorHAnsi"/>
          <w:sz w:val="22"/>
        </w:rPr>
        <w:t xml:space="preserve"> </w:t>
      </w:r>
    </w:p>
    <w:p w14:paraId="4F79F013" w14:textId="2FF135EF" w:rsidR="00303B80" w:rsidRPr="0005761E" w:rsidRDefault="00227B08" w:rsidP="0005761E">
      <w:pPr>
        <w:spacing w:after="118" w:line="259" w:lineRule="auto"/>
        <w:ind w:right="6"/>
        <w:rPr>
          <w:rFonts w:asciiTheme="majorHAnsi" w:hAnsiTheme="majorHAnsi" w:cstheme="majorHAnsi"/>
          <w:sz w:val="22"/>
        </w:rPr>
      </w:pPr>
      <w:r>
        <w:rPr>
          <w:rFonts w:asciiTheme="majorHAnsi" w:hAnsiTheme="majorHAnsi" w:cstheme="majorHAnsi"/>
          <w:sz w:val="22"/>
        </w:rPr>
        <w:tab/>
      </w:r>
    </w:p>
    <w:sectPr w:rsidR="00303B80" w:rsidRPr="0005761E">
      <w:headerReference w:type="even" r:id="rId6"/>
      <w:headerReference w:type="default" r:id="rId7"/>
      <w:headerReference w:type="first" r:id="rId8"/>
      <w:pgSz w:w="11906" w:h="16838"/>
      <w:pgMar w:top="2309" w:right="1128" w:bottom="1239" w:left="2268" w:header="19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8C3A" w14:textId="77777777" w:rsidR="00D64CA9" w:rsidRDefault="00D64CA9">
      <w:pPr>
        <w:spacing w:after="0" w:line="240" w:lineRule="auto"/>
      </w:pPr>
      <w:r>
        <w:separator/>
      </w:r>
    </w:p>
  </w:endnote>
  <w:endnote w:type="continuationSeparator" w:id="0">
    <w:p w14:paraId="31358B18" w14:textId="77777777" w:rsidR="00D64CA9" w:rsidRDefault="00D6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9944" w14:textId="77777777" w:rsidR="00D64CA9" w:rsidRDefault="00D64CA9">
      <w:pPr>
        <w:spacing w:after="0" w:line="240" w:lineRule="auto"/>
      </w:pPr>
      <w:r>
        <w:separator/>
      </w:r>
    </w:p>
  </w:footnote>
  <w:footnote w:type="continuationSeparator" w:id="0">
    <w:p w14:paraId="53E5FF5B" w14:textId="77777777" w:rsidR="00D64CA9" w:rsidRDefault="00D64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1FB4" w14:textId="77777777" w:rsidR="00303B80" w:rsidRDefault="00D64CA9">
    <w:pPr>
      <w:spacing w:after="0" w:line="259" w:lineRule="auto"/>
      <w:ind w:left="-1735" w:right="0" w:firstLine="0"/>
      <w:jc w:val="left"/>
    </w:pPr>
    <w:r>
      <w:rPr>
        <w:noProof/>
      </w:rPr>
      <w:drawing>
        <wp:anchor distT="0" distB="0" distL="114300" distR="114300" simplePos="0" relativeHeight="251658240" behindDoc="0" locked="0" layoutInCell="1" allowOverlap="0" wp14:anchorId="251D8B5C" wp14:editId="7977FC6B">
          <wp:simplePos x="0" y="0"/>
          <wp:positionH relativeFrom="page">
            <wp:posOffset>5344668</wp:posOffset>
          </wp:positionH>
          <wp:positionV relativeFrom="page">
            <wp:posOffset>126493</wp:posOffset>
          </wp:positionV>
          <wp:extent cx="2162556" cy="656844"/>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2162556" cy="656844"/>
                  </a:xfrm>
                  <a:prstGeom prst="rect">
                    <a:avLst/>
                  </a:prstGeom>
                </pic:spPr>
              </pic:pic>
            </a:graphicData>
          </a:graphic>
        </wp:anchor>
      </w:drawing>
    </w:r>
    <w:r>
      <w:rPr>
        <w:sz w:val="16"/>
      </w:rPr>
      <w:t xml:space="preserve">Mikel Irujo </w:t>
    </w:r>
    <w:proofErr w:type="spellStart"/>
    <w:r>
      <w:rPr>
        <w:sz w:val="16"/>
      </w:rPr>
      <w:t>Amezaga</w:t>
    </w:r>
    <w:proofErr w:type="spellEnd"/>
    <w:r>
      <w:rPr>
        <w:sz w:val="16"/>
      </w:rPr>
      <w:t xml:space="preserve"> </w:t>
    </w:r>
  </w:p>
  <w:p w14:paraId="53D1121C" w14:textId="77777777" w:rsidR="00303B80" w:rsidRDefault="00D64CA9">
    <w:pPr>
      <w:spacing w:after="18" w:line="259" w:lineRule="auto"/>
      <w:ind w:left="-1735" w:right="0" w:firstLine="0"/>
      <w:jc w:val="left"/>
    </w:pPr>
    <w:r>
      <w:rPr>
        <w:sz w:val="16"/>
      </w:rPr>
      <w:t xml:space="preserve">Industriako eta Enpresen Trantsizio Ekologiko eta Digitalerako Departamentuko kontseilaria </w:t>
    </w:r>
  </w:p>
  <w:p w14:paraId="4C126383" w14:textId="77777777" w:rsidR="00047B51" w:rsidRDefault="00D64CA9">
    <w:pPr>
      <w:tabs>
        <w:tab w:val="center" w:pos="0"/>
      </w:tabs>
      <w:spacing w:after="0" w:line="259" w:lineRule="auto"/>
      <w:ind w:left="-1735" w:right="0" w:firstLine="0"/>
      <w:jc w:val="left"/>
    </w:pPr>
    <w:r>
      <w:rPr>
        <w:sz w:val="16"/>
      </w:rPr>
      <w:t xml:space="preserve"> </w:t>
    </w:r>
    <w:r>
      <w:rPr>
        <w:sz w:val="16"/>
      </w:rPr>
      <w:tab/>
    </w:r>
    <w:r>
      <w:rPr>
        <w:sz w:val="31"/>
        <w:vertAlign w:val="subscript"/>
      </w:rPr>
      <w:t xml:space="preserve"> </w:t>
    </w:r>
  </w:p>
  <w:p w14:paraId="33DC879A" w14:textId="02E2A64C" w:rsidR="00303B80" w:rsidRDefault="00D64CA9">
    <w:pPr>
      <w:spacing w:after="0" w:line="259" w:lineRule="auto"/>
      <w:ind w:left="0" w:right="0" w:firstLine="0"/>
      <w:jc w:val="left"/>
    </w:pPr>
    <w:r>
      <w:rPr>
        <w:sz w:val="20"/>
      </w:rPr>
      <w:t xml:space="preserve"> </w:t>
    </w:r>
  </w:p>
  <w:p w14:paraId="2E4AEC93" w14:textId="77777777" w:rsidR="00303B80" w:rsidRDefault="00D64CA9">
    <w:pPr>
      <w:spacing w:after="6" w:line="259" w:lineRule="auto"/>
      <w:ind w:left="-1735" w:right="0" w:firstLine="0"/>
      <w:jc w:val="left"/>
    </w:pPr>
    <w:r>
      <w:rPr>
        <w:sz w:val="16"/>
      </w:rPr>
      <w:t xml:space="preserve"> TOMAS CABALLERO PARKEA 1, "FUERTE DEL PRINCIPE II" ERAIKINA, 6. SOLAIRUA, 31005 IRUÑA </w:t>
    </w:r>
  </w:p>
  <w:p w14:paraId="728A9072" w14:textId="77777777" w:rsidR="00047B51" w:rsidRDefault="00D64CA9">
    <w:pPr>
      <w:spacing w:after="0" w:line="259" w:lineRule="auto"/>
      <w:ind w:left="-1735" w:right="0" w:firstLine="0"/>
      <w:jc w:val="left"/>
    </w:pPr>
    <w:r>
      <w:rPr>
        <w:sz w:val="16"/>
      </w:rPr>
      <w:t xml:space="preserve"> </w:t>
    </w:r>
    <w:r>
      <w:rPr>
        <w:sz w:val="16"/>
      </w:rPr>
      <w:tab/>
    </w:r>
    <w:r>
      <w:rPr>
        <w:sz w:val="20"/>
      </w:rPr>
      <w:t xml:space="preserve"> </w:t>
    </w:r>
  </w:p>
  <w:p w14:paraId="5C7FDB83" w14:textId="78807161" w:rsidR="00303B80" w:rsidRDefault="00303B80">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0236" w14:textId="77777777" w:rsidR="00047B51" w:rsidRDefault="00047B51">
    <w:pPr>
      <w:spacing w:after="0" w:line="259" w:lineRule="auto"/>
      <w:ind w:left="-1735" w:right="0" w:firstLine="0"/>
      <w:jc w:val="left"/>
      <w:rPr>
        <w:noProof/>
      </w:rPr>
    </w:pPr>
  </w:p>
  <w:p w14:paraId="1E908395" w14:textId="77777777" w:rsidR="00047B51" w:rsidRDefault="00047B51">
    <w:pPr>
      <w:spacing w:after="0" w:line="259" w:lineRule="auto"/>
      <w:ind w:left="-1735" w:right="0" w:firstLine="0"/>
      <w:jc w:val="left"/>
      <w:rPr>
        <w:sz w:val="16"/>
      </w:rPr>
    </w:pPr>
  </w:p>
  <w:p w14:paraId="1306E14B" w14:textId="77777777" w:rsidR="00047B51" w:rsidRDefault="00D64CA9">
    <w:pPr>
      <w:spacing w:after="0" w:line="259" w:lineRule="auto"/>
      <w:ind w:left="-1735" w:right="0" w:firstLine="0"/>
      <w:jc w:val="left"/>
    </w:pPr>
    <w:r>
      <w:rPr>
        <w:sz w:val="16"/>
      </w:rPr>
      <w:t xml:space="preserve"> </w:t>
    </w:r>
    <w:r>
      <w:rPr>
        <w:sz w:val="16"/>
      </w:rPr>
      <w:tab/>
    </w:r>
    <w:r>
      <w:rPr>
        <w:sz w:val="20"/>
      </w:rPr>
      <w:t xml:space="preserve"> </w:t>
    </w:r>
  </w:p>
  <w:p w14:paraId="01E99CD7" w14:textId="48D44925" w:rsidR="00303B80" w:rsidRDefault="00303B80">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75F2" w14:textId="77777777" w:rsidR="00303B80" w:rsidRDefault="00D64CA9">
    <w:pPr>
      <w:spacing w:after="0" w:line="259" w:lineRule="auto"/>
      <w:ind w:left="-1735" w:right="0" w:firstLine="0"/>
      <w:jc w:val="left"/>
    </w:pPr>
    <w:r>
      <w:rPr>
        <w:noProof/>
      </w:rPr>
      <w:drawing>
        <wp:anchor distT="0" distB="0" distL="114300" distR="114300" simplePos="0" relativeHeight="251660288" behindDoc="0" locked="0" layoutInCell="1" allowOverlap="0" wp14:anchorId="6FFBE861" wp14:editId="2E0ECCF2">
          <wp:simplePos x="0" y="0"/>
          <wp:positionH relativeFrom="page">
            <wp:posOffset>5344668</wp:posOffset>
          </wp:positionH>
          <wp:positionV relativeFrom="page">
            <wp:posOffset>126493</wp:posOffset>
          </wp:positionV>
          <wp:extent cx="2162556" cy="656844"/>
          <wp:effectExtent l="0" t="0" r="0" b="0"/>
          <wp:wrapSquare wrapText="bothSides"/>
          <wp:docPr id="1453887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2162556" cy="656844"/>
                  </a:xfrm>
                  <a:prstGeom prst="rect">
                    <a:avLst/>
                  </a:prstGeom>
                </pic:spPr>
              </pic:pic>
            </a:graphicData>
          </a:graphic>
        </wp:anchor>
      </w:drawing>
    </w:r>
    <w:r>
      <w:rPr>
        <w:sz w:val="16"/>
      </w:rPr>
      <w:t xml:space="preserve">Mikel Irujo </w:t>
    </w:r>
    <w:proofErr w:type="spellStart"/>
    <w:r>
      <w:rPr>
        <w:sz w:val="16"/>
      </w:rPr>
      <w:t>Amezaga</w:t>
    </w:r>
    <w:proofErr w:type="spellEnd"/>
    <w:r>
      <w:rPr>
        <w:sz w:val="16"/>
      </w:rPr>
      <w:t xml:space="preserve"> </w:t>
    </w:r>
  </w:p>
  <w:p w14:paraId="51BC67C1" w14:textId="77777777" w:rsidR="00303B80" w:rsidRDefault="00D64CA9">
    <w:pPr>
      <w:spacing w:after="18" w:line="259" w:lineRule="auto"/>
      <w:ind w:left="-1735" w:right="0" w:firstLine="0"/>
      <w:jc w:val="left"/>
    </w:pPr>
    <w:r>
      <w:rPr>
        <w:sz w:val="16"/>
      </w:rPr>
      <w:t xml:space="preserve">Industriako eta Enpresen Trantsizio Ekologiko eta Digitalerako Departamentuko kontseilaria </w:t>
    </w:r>
  </w:p>
  <w:p w14:paraId="63F00486" w14:textId="77777777" w:rsidR="00047B51" w:rsidRDefault="00D64CA9">
    <w:pPr>
      <w:tabs>
        <w:tab w:val="center" w:pos="0"/>
      </w:tabs>
      <w:spacing w:after="0" w:line="259" w:lineRule="auto"/>
      <w:ind w:left="-1735" w:right="0" w:firstLine="0"/>
      <w:jc w:val="left"/>
    </w:pPr>
    <w:r>
      <w:rPr>
        <w:sz w:val="16"/>
      </w:rPr>
      <w:t xml:space="preserve"> </w:t>
    </w:r>
    <w:r>
      <w:rPr>
        <w:sz w:val="16"/>
      </w:rPr>
      <w:tab/>
    </w:r>
    <w:r>
      <w:rPr>
        <w:sz w:val="31"/>
        <w:vertAlign w:val="subscript"/>
      </w:rPr>
      <w:t xml:space="preserve"> </w:t>
    </w:r>
  </w:p>
  <w:p w14:paraId="3E9AA0D6" w14:textId="09FDAD5A" w:rsidR="00303B80" w:rsidRDefault="00D64CA9">
    <w:pPr>
      <w:spacing w:after="0" w:line="259" w:lineRule="auto"/>
      <w:ind w:left="0" w:right="0" w:firstLine="0"/>
      <w:jc w:val="left"/>
    </w:pPr>
    <w:r>
      <w:rPr>
        <w:sz w:val="20"/>
      </w:rPr>
      <w:t xml:space="preserve"> </w:t>
    </w:r>
  </w:p>
  <w:p w14:paraId="4D190CDB" w14:textId="77777777" w:rsidR="00303B80" w:rsidRDefault="00D64CA9">
    <w:pPr>
      <w:spacing w:after="6" w:line="259" w:lineRule="auto"/>
      <w:ind w:left="-1735" w:right="0" w:firstLine="0"/>
      <w:jc w:val="left"/>
    </w:pPr>
    <w:r>
      <w:rPr>
        <w:sz w:val="16"/>
      </w:rPr>
      <w:t xml:space="preserve"> TOMAS CABALLERO PARKEA 1, "FUERTE DEL PRINCIPE II" ERAIKINA, 6. SOLAIRUA, 31005 IRUÑA </w:t>
    </w:r>
  </w:p>
  <w:p w14:paraId="02D79734" w14:textId="77777777" w:rsidR="00047B51" w:rsidRDefault="00D64CA9">
    <w:pPr>
      <w:spacing w:after="0" w:line="259" w:lineRule="auto"/>
      <w:ind w:left="-1735" w:right="0" w:firstLine="0"/>
      <w:jc w:val="left"/>
    </w:pPr>
    <w:r>
      <w:rPr>
        <w:sz w:val="16"/>
      </w:rPr>
      <w:t xml:space="preserve"> </w:t>
    </w:r>
    <w:r>
      <w:rPr>
        <w:sz w:val="16"/>
      </w:rPr>
      <w:tab/>
    </w:r>
    <w:r>
      <w:rPr>
        <w:sz w:val="20"/>
      </w:rPr>
      <w:t xml:space="preserve"> </w:t>
    </w:r>
  </w:p>
  <w:p w14:paraId="3BE3AE01" w14:textId="09EA76AE" w:rsidR="00303B80" w:rsidRDefault="00303B80">
    <w:pPr>
      <w:spacing w:after="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80"/>
    <w:rsid w:val="00047B51"/>
    <w:rsid w:val="0005761E"/>
    <w:rsid w:val="001914FA"/>
    <w:rsid w:val="00227B08"/>
    <w:rsid w:val="00303B80"/>
    <w:rsid w:val="00AB397A"/>
    <w:rsid w:val="00B626E0"/>
    <w:rsid w:val="00CC42A9"/>
    <w:rsid w:val="00D64C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7397"/>
  <w15:docId w15:val="{6F412966-425D-4921-B31C-2ECDE73F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10" w:right="3"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047B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7B5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672</Words>
  <Characters>5179</Characters>
  <Application>Microsoft Office Word</Application>
  <DocSecurity>0</DocSecurity>
  <Lines>90</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8</cp:revision>
  <dcterms:created xsi:type="dcterms:W3CDTF">2023-10-16T12:41:00Z</dcterms:created>
  <dcterms:modified xsi:type="dcterms:W3CDTF">2023-11-14T10:37:00Z</dcterms:modified>
</cp:coreProperties>
</file>