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6B39" w14:textId="77777777" w:rsidR="007C558B" w:rsidRDefault="004A384D" w:rsidP="00FC196A">
      <w:pPr>
        <w:spacing w:line="360" w:lineRule="auto"/>
        <w:jc w:val="both"/>
        <w:rPr>
          <w:sz w:val="26"/>
          <w:szCs w:val="26"/>
          <w:rFonts w:ascii="DejaVu Serif" w:hAnsi="DejaVu Serif"/>
        </w:rPr>
      </w:pPr>
      <w:r>
        <w:rPr>
          <w:sz w:val="26"/>
          <w:rFonts w:ascii="DejaVu Serif" w:hAnsi="DejaVu Serif"/>
        </w:rPr>
        <w:t xml:space="preserve">Unión del Pueblo Navarro (UPN) talde parlamentarioari atxikitako foru parlamentari Cristina López Mañero andreak </w:t>
      </w:r>
      <w:r>
        <w:rPr>
          <w:sz w:val="26"/>
          <w:b/>
          <w:bCs/>
          <w:rFonts w:ascii="DejaVu Serif" w:hAnsi="DejaVu Serif"/>
        </w:rPr>
        <w:t xml:space="preserve">idatziz erantzuteko galdera</w:t>
      </w:r>
      <w:r>
        <w:rPr>
          <w:sz w:val="26"/>
          <w:rFonts w:ascii="DejaVu Serif" w:hAnsi="DejaVu Serif"/>
        </w:rPr>
        <w:t xml:space="preserve"> egin du. Hona Nafarroako Gobernuko Unibertsitateko, Berrikuntzako eta Eraldaketa Digitaleko kontseilariaren erantzuna:</w:t>
      </w:r>
    </w:p>
    <w:p w14:paraId="45B1EE49" w14:textId="77777777" w:rsidR="00847DF9" w:rsidRDefault="00807673" w:rsidP="00807673">
      <w:pPr>
        <w:jc w:val="both"/>
        <w:rPr>
          <w:b/>
          <w:sz w:val="26"/>
          <w:szCs w:val="26"/>
          <w:rFonts w:ascii="DejaVu Serif" w:hAnsi="DejaVu Serif"/>
        </w:rPr>
      </w:pPr>
      <w:r>
        <w:rPr>
          <w:b/>
          <w:sz w:val="26"/>
          <w:rFonts w:ascii="DejaVu Serif" w:hAnsi="DejaVu Serif"/>
        </w:rPr>
        <w:t xml:space="preserve">Nafarroan unibertsitatean 2020-2021 ikasturtean sartu berri ziren ikasle bekadunen % 38,5ek galdu zuen beka hurrengo ikasturtean. Nafarroako Gobernuaren ustez, zeri zor zaio hori?</w:t>
      </w:r>
    </w:p>
    <w:p w14:paraId="2019B2A2" w14:textId="77777777" w:rsidR="00847DF9" w:rsidRDefault="00807673" w:rsidP="00807673">
      <w:pPr>
        <w:jc w:val="both"/>
        <w:rPr>
          <w:sz w:val="26"/>
          <w:szCs w:val="26"/>
          <w:rFonts w:ascii="DejaVu Serif" w:hAnsi="DejaVu Serif"/>
        </w:rPr>
      </w:pPr>
      <w:r>
        <w:rPr>
          <w:sz w:val="26"/>
          <w:rFonts w:ascii="DejaVu Serif" w:hAnsi="DejaVu Serif"/>
        </w:rPr>
        <w:t xml:space="preserve">Kontuan izan behar da galderetan erabili diren datuek iturburuko erreferentzia dituztela Espainiako Gobernuko Unibertsitateetako Ministerioak kudeatzen dituen unibertsitate bekak. Beraz, gure analisiak ezin du eskaini ministerio horrek argitaratu duen txostenak baino sakontasun handiagorik.</w:t>
      </w:r>
    </w:p>
    <w:p w14:paraId="7254587E" w14:textId="77777777" w:rsidR="00847DF9" w:rsidRDefault="00807673" w:rsidP="00807673">
      <w:pPr>
        <w:jc w:val="both"/>
        <w:rPr>
          <w:sz w:val="26"/>
          <w:szCs w:val="26"/>
          <w:rFonts w:ascii="DejaVu Serif" w:hAnsi="DejaVu Serif"/>
        </w:rPr>
      </w:pPr>
      <w:r>
        <w:rPr>
          <w:sz w:val="26"/>
          <w:rFonts w:ascii="DejaVu Serif" w:hAnsi="DejaVu Serif"/>
        </w:rPr>
        <w:t xml:space="preserve">Gure iritziz, sartu berri diren ikasleek hurrengo urteetan bekarik ez izatearen arrazoiak hainbat izan daitezke.</w:t>
      </w:r>
    </w:p>
    <w:p w14:paraId="5E928947" w14:textId="77777777" w:rsidR="00847DF9" w:rsidRDefault="00807673" w:rsidP="00807673">
      <w:pPr>
        <w:jc w:val="both"/>
        <w:rPr>
          <w:sz w:val="26"/>
          <w:szCs w:val="26"/>
          <w:rFonts w:ascii="DejaVu Serif" w:hAnsi="DejaVu Serif"/>
        </w:rPr>
      </w:pPr>
      <w:r>
        <w:rPr>
          <w:sz w:val="26"/>
          <w:rFonts w:ascii="DejaVu Serif" w:hAnsi="DejaVu Serif"/>
        </w:rPr>
        <w:t xml:space="preserve">Arrazoietako bat izan liteke derrigorrezko irakaskuntzaren ondoko ikasketetarako beken deialdi orokorraren 24. artikuluan ezarritako baldintza ez betetzea:</w:t>
      </w:r>
      <w:r>
        <w:rPr>
          <w:sz w:val="26"/>
          <w:rFonts w:ascii="DejaVu Serif" w:hAnsi="DejaVu Serif"/>
        </w:rPr>
        <w:t xml:space="preserve">  </w:t>
      </w:r>
    </w:p>
    <w:p w14:paraId="635B18A6" w14:textId="28D3C0A7" w:rsidR="00807673" w:rsidRPr="00807673" w:rsidRDefault="00807673" w:rsidP="00807673">
      <w:pPr>
        <w:jc w:val="both"/>
        <w:rPr>
          <w:sz w:val="26"/>
          <w:szCs w:val="26"/>
          <w:rFonts w:ascii="DejaVu Serif" w:hAnsi="DejaVu Serif"/>
        </w:rPr>
      </w:pPr>
      <w:r>
        <w:rPr>
          <w:sz w:val="26"/>
          <w:rFonts w:ascii="DejaVu Serif" w:hAnsi="DejaVu Serif"/>
        </w:rPr>
        <w:t xml:space="preserve">“Atal honetan aipatzen diren ikasketetako bigarren kurtsoan eta hurrengo kurtsoetan beka lortu ahal izateko, eskatzaileek, egindako azken ikasketetan, matrikulatutako kredituen ehuneko hauek izan behar dituzte gaindituak:</w:t>
      </w:r>
      <w:r>
        <w:rPr>
          <w:sz w:val="26"/>
          <w:rFonts w:ascii="DejaVu Serif" w:hAnsi="DejaVu Serif"/>
        </w:rPr>
        <w:t xml:space="preserve"> </w:t>
      </w:r>
      <w:r>
        <w:rPr>
          <w:sz w:val="26"/>
          <w:rFonts w:ascii="DejaVu Serif" w:hAnsi="DejaVu Serif"/>
        </w:rPr>
        <w:t xml:space="preserve">Jakintza-adarra edo -arloa Gainditu beharreko kreditu-ehunekoa</w:t>
      </w:r>
    </w:p>
    <w:p w14:paraId="38CD7691" w14:textId="209D2462" w:rsidR="00807673" w:rsidRPr="00807673" w:rsidRDefault="00807673" w:rsidP="00807673">
      <w:pPr>
        <w:jc w:val="both"/>
        <w:rPr>
          <w:sz w:val="26"/>
          <w:szCs w:val="26"/>
          <w:rFonts w:ascii="DejaVu Serif" w:hAnsi="DejaVu Serif"/>
        </w:rPr>
      </w:pPr>
      <w:r>
        <w:rPr>
          <w:sz w:val="26"/>
          <w:rFonts w:ascii="DejaVu Serif" w:hAnsi="DejaVu Serif"/>
        </w:rPr>
        <w:t xml:space="preserve">Arteak eta Giza Zientziak:</w:t>
      </w:r>
      <w:r>
        <w:rPr>
          <w:sz w:val="26"/>
          <w:rFonts w:ascii="DejaVu Serif" w:hAnsi="DejaVu Serif"/>
        </w:rPr>
        <w:t xml:space="preserve"> </w:t>
      </w:r>
      <w:r>
        <w:rPr>
          <w:sz w:val="26"/>
          <w:rFonts w:ascii="DejaVu Serif" w:hAnsi="DejaVu Serif"/>
        </w:rPr>
        <w:t xml:space="preserve">% 90</w:t>
      </w:r>
    </w:p>
    <w:p w14:paraId="3D4A5F7C" w14:textId="1A9E3E10" w:rsidR="00807673" w:rsidRPr="00807673" w:rsidRDefault="00807673" w:rsidP="00807673">
      <w:pPr>
        <w:jc w:val="both"/>
        <w:rPr>
          <w:sz w:val="26"/>
          <w:szCs w:val="26"/>
          <w:rFonts w:ascii="DejaVu Serif" w:hAnsi="DejaVu Serif"/>
        </w:rPr>
      </w:pPr>
      <w:r>
        <w:rPr>
          <w:sz w:val="26"/>
          <w:rFonts w:ascii="DejaVu Serif" w:hAnsi="DejaVu Serif"/>
        </w:rPr>
        <w:t xml:space="preserve">Zientziak:</w:t>
      </w:r>
      <w:r>
        <w:rPr>
          <w:sz w:val="26"/>
          <w:rFonts w:ascii="DejaVu Serif" w:hAnsi="DejaVu Serif"/>
        </w:rPr>
        <w:t xml:space="preserve"> </w:t>
      </w:r>
      <w:r>
        <w:rPr>
          <w:sz w:val="26"/>
          <w:rFonts w:ascii="DejaVu Serif" w:hAnsi="DejaVu Serif"/>
        </w:rPr>
        <w:t xml:space="preserve">% 65</w:t>
      </w:r>
      <w:r>
        <w:rPr>
          <w:sz w:val="26"/>
          <w:rFonts w:ascii="DejaVu Serif" w:hAnsi="DejaVu Serif"/>
        </w:rPr>
        <w:t xml:space="preserve"> </w:t>
      </w:r>
    </w:p>
    <w:p w14:paraId="693DE479" w14:textId="64AA2C05" w:rsidR="00807673" w:rsidRPr="00807673" w:rsidRDefault="00807673" w:rsidP="00807673">
      <w:pPr>
        <w:jc w:val="both"/>
        <w:rPr>
          <w:sz w:val="26"/>
          <w:szCs w:val="26"/>
          <w:rFonts w:ascii="DejaVu Serif" w:hAnsi="DejaVu Serif"/>
        </w:rPr>
      </w:pPr>
      <w:r>
        <w:rPr>
          <w:sz w:val="26"/>
          <w:rFonts w:ascii="DejaVu Serif" w:hAnsi="DejaVu Serif"/>
        </w:rPr>
        <w:t xml:space="preserve">Gizarte Zientziak eta Zientzia Juridikoak:</w:t>
      </w:r>
      <w:r>
        <w:rPr>
          <w:sz w:val="26"/>
          <w:rFonts w:ascii="DejaVu Serif" w:hAnsi="DejaVu Serif"/>
        </w:rPr>
        <w:t xml:space="preserve"> </w:t>
      </w:r>
      <w:r>
        <w:rPr>
          <w:sz w:val="26"/>
          <w:rFonts w:ascii="DejaVu Serif" w:hAnsi="DejaVu Serif"/>
        </w:rPr>
        <w:t xml:space="preserve">% 90</w:t>
      </w:r>
      <w:r>
        <w:rPr>
          <w:sz w:val="26"/>
          <w:rFonts w:ascii="DejaVu Serif" w:hAnsi="DejaVu Serif"/>
        </w:rPr>
        <w:t xml:space="preserve"> </w:t>
      </w:r>
    </w:p>
    <w:p w14:paraId="0672DA4A" w14:textId="5E0468F0" w:rsidR="00807673" w:rsidRPr="00807673" w:rsidRDefault="00807673" w:rsidP="00807673">
      <w:pPr>
        <w:jc w:val="both"/>
        <w:rPr>
          <w:sz w:val="26"/>
          <w:szCs w:val="26"/>
          <w:rFonts w:ascii="DejaVu Serif" w:hAnsi="DejaVu Serif"/>
        </w:rPr>
      </w:pPr>
      <w:r>
        <w:rPr>
          <w:sz w:val="26"/>
          <w:rFonts w:ascii="DejaVu Serif" w:hAnsi="DejaVu Serif"/>
        </w:rPr>
        <w:t xml:space="preserve">Osasun Zientziak:</w:t>
      </w:r>
      <w:r>
        <w:rPr>
          <w:sz w:val="26"/>
          <w:rFonts w:ascii="DejaVu Serif" w:hAnsi="DejaVu Serif"/>
        </w:rPr>
        <w:t xml:space="preserve"> </w:t>
      </w:r>
      <w:r>
        <w:rPr>
          <w:sz w:val="26"/>
          <w:rFonts w:ascii="DejaVu Serif" w:hAnsi="DejaVu Serif"/>
        </w:rPr>
        <w:t xml:space="preserve">% 80</w:t>
      </w:r>
    </w:p>
    <w:p w14:paraId="7F2D04AC" w14:textId="66B777B0" w:rsidR="00807673" w:rsidRDefault="00807673" w:rsidP="00807673">
      <w:pPr>
        <w:jc w:val="both"/>
        <w:rPr>
          <w:sz w:val="26"/>
          <w:szCs w:val="26"/>
          <w:rFonts w:ascii="DejaVu Serif" w:hAnsi="DejaVu Serif"/>
        </w:rPr>
      </w:pPr>
      <w:r>
        <w:rPr>
          <w:sz w:val="26"/>
          <w:rFonts w:ascii="DejaVu Serif" w:hAnsi="DejaVu Serif"/>
        </w:rPr>
        <w:t xml:space="preserve">Ingeniaritza edo Arkitektura/ikasketa teknikoak:</w:t>
      </w:r>
      <w:r>
        <w:rPr>
          <w:sz w:val="26"/>
          <w:rFonts w:ascii="DejaVu Serif" w:hAnsi="DejaVu Serif"/>
        </w:rPr>
        <w:t xml:space="preserve"> </w:t>
      </w:r>
      <w:r>
        <w:rPr>
          <w:sz w:val="26"/>
          <w:rFonts w:ascii="DejaVu Serif" w:hAnsi="DejaVu Serif"/>
        </w:rPr>
        <w:t xml:space="preserve">% 65</w:t>
      </w:r>
    </w:p>
    <w:p w14:paraId="192E52D7" w14:textId="77777777" w:rsidR="00847DF9" w:rsidRDefault="00807673" w:rsidP="00807673">
      <w:pPr>
        <w:jc w:val="both"/>
        <w:rPr>
          <w:sz w:val="26"/>
          <w:szCs w:val="26"/>
          <w:rFonts w:ascii="DejaVu Serif" w:hAnsi="DejaVu Serif"/>
        </w:rPr>
      </w:pPr>
      <w:r>
        <w:rPr>
          <w:sz w:val="26"/>
          <w:rFonts w:ascii="DejaVu Serif" w:hAnsi="DejaVu Serif"/>
        </w:rPr>
        <w:t xml:space="preserve">Egindako azken kurtsoan matrikula partzialaren araubidean matrikulatu diren eta goiko taulan ezarritako kreditu-ehunekoa gainditzen duten ikasleek matrikularako beka eskuratu ahalko dute osagai bakar gisa.</w:t>
      </w:r>
    </w:p>
    <w:p w14:paraId="4F18DA71" w14:textId="77777777" w:rsidR="00847DF9" w:rsidRDefault="00807673" w:rsidP="00807673">
      <w:pPr>
        <w:jc w:val="both"/>
        <w:rPr>
          <w:sz w:val="26"/>
          <w:szCs w:val="26"/>
          <w:rFonts w:ascii="DejaVu Serif" w:hAnsi="DejaVu Serif"/>
        </w:rPr>
      </w:pPr>
      <w:r>
        <w:rPr>
          <w:sz w:val="26"/>
          <w:rFonts w:ascii="DejaVu Serif" w:hAnsi="DejaVu Serif"/>
        </w:rPr>
        <w:t xml:space="preserve">Beste arrazoi bat izan liteke ikaslea hurrengo urteetan ez matrikulatzea beken deialdian eskatutako gutxieneko kreditu kopuruan, eta, beraz, bekak eskatzeari uztea.</w:t>
      </w:r>
    </w:p>
    <w:p w14:paraId="3919816A" w14:textId="77777777" w:rsidR="00847DF9" w:rsidRDefault="00807673" w:rsidP="00807673">
      <w:pPr>
        <w:jc w:val="both"/>
        <w:rPr>
          <w:sz w:val="26"/>
          <w:szCs w:val="26"/>
          <w:rFonts w:ascii="DejaVu Serif" w:hAnsi="DejaVu Serif"/>
        </w:rPr>
      </w:pPr>
      <w:r>
        <w:rPr>
          <w:sz w:val="26"/>
          <w:rFonts w:ascii="DejaVu Serif" w:hAnsi="DejaVu Serif"/>
        </w:rPr>
        <w:t xml:space="preserve">Azkenik, aipatzekoa da Nafarroako unibertsitateetan ari diren ikasleei buruzko datuak erabili direla, ikaslea nondik etorri den kontuan hartu gabe.</w:t>
      </w:r>
    </w:p>
    <w:p w14:paraId="2A632102" w14:textId="461F47FD" w:rsidR="00847DF9" w:rsidRDefault="00807673" w:rsidP="00807673">
      <w:pPr>
        <w:jc w:val="both"/>
        <w:rPr>
          <w:b/>
          <w:sz w:val="26"/>
          <w:szCs w:val="26"/>
          <w:rFonts w:ascii="DejaVu Serif" w:hAnsi="DejaVu Serif"/>
        </w:rPr>
      </w:pPr>
      <w:r>
        <w:rPr>
          <w:b/>
          <w:sz w:val="26"/>
          <w:rFonts w:ascii="DejaVu Serif" w:hAnsi="DejaVu Serif"/>
        </w:rPr>
        <w:t xml:space="preserve">Bekadunentzako bigarren edo hurrengo matrikuletan matrikulatutako kredituen ehunekoa guztizkoaren % 2,9 baino ez zen izan Nafarroan 2021-2022 ikasturtean; bekadunak ez diren biztanleen kasuan, berriz, % 15,8koa izan zen. Nafarroako Gobernuaren ustez, zeri zor zaio hori?</w:t>
      </w:r>
    </w:p>
    <w:p w14:paraId="74B19208" w14:textId="77777777" w:rsidR="00847DF9" w:rsidRDefault="00807673" w:rsidP="00807673">
      <w:pPr>
        <w:jc w:val="both"/>
        <w:rPr>
          <w:sz w:val="26"/>
          <w:szCs w:val="26"/>
          <w:rFonts w:ascii="DejaVu Serif" w:hAnsi="DejaVu Serif"/>
        </w:rPr>
      </w:pPr>
      <w:r>
        <w:rPr>
          <w:sz w:val="26"/>
          <w:rFonts w:ascii="DejaVu Serif" w:hAnsi="DejaVu Serif"/>
        </w:rPr>
        <w:t xml:space="preserve">Ministerioaren txostenarekin bat, analisi orokorrak adierazten digu ikasketetan aurrera jarraitzea erabakitzen duten bekadunak jardun akademikoan engaiatuago daudela bekarik gabekoak baino.</w:t>
      </w:r>
      <w:r>
        <w:rPr>
          <w:sz w:val="26"/>
          <w:rFonts w:ascii="DejaVu Serif" w:hAnsi="DejaVu Serif"/>
        </w:rPr>
        <w:t xml:space="preserve"> </w:t>
      </w:r>
      <w:r>
        <w:rPr>
          <w:sz w:val="26"/>
          <w:rFonts w:ascii="DejaVu Serif" w:hAnsi="DejaVu Serif"/>
        </w:rPr>
        <w:t xml:space="preserve">Datu hauek eusten diote iritzi horri:</w:t>
      </w:r>
    </w:p>
    <w:p w14:paraId="2FAB1C3C" w14:textId="77777777" w:rsidR="00847DF9" w:rsidRDefault="00807673" w:rsidP="00807673">
      <w:pPr>
        <w:numPr>
          <w:ilvl w:val="0"/>
          <w:numId w:val="2"/>
        </w:numPr>
        <w:jc w:val="both"/>
        <w:rPr>
          <w:sz w:val="26"/>
          <w:szCs w:val="26"/>
          <w:rFonts w:ascii="DejaVu Serif" w:hAnsi="DejaVu Serif"/>
        </w:rPr>
      </w:pPr>
      <w:r>
        <w:rPr>
          <w:sz w:val="26"/>
          <w:rFonts w:ascii="DejaVu Serif" w:hAnsi="DejaVu Serif"/>
        </w:rPr>
        <w:t xml:space="preserve">Estatuko Administrazio Orokorreko edo Euskal Autonomia Erkidegoko beka orokor bat jaso zuten ikasle hasi berriek batez beste 10,15eko onarpen notarekin ekin zieten graduko ikasketei (unibertsitate publiko presentzialetan) 2021-2022 ikasturtean. Nota hori aurreko ikasturtekoa baino 3,4 hamarren handiagoa da.</w:t>
      </w:r>
      <w:r>
        <w:rPr>
          <w:sz w:val="26"/>
          <w:rFonts w:ascii="DejaVu Serif" w:hAnsi="DejaVu Serif"/>
        </w:rPr>
        <w:t xml:space="preserve"> </w:t>
      </w:r>
    </w:p>
    <w:p w14:paraId="1D93C117" w14:textId="77777777" w:rsidR="00847DF9" w:rsidRDefault="00807673" w:rsidP="00807673">
      <w:pPr>
        <w:numPr>
          <w:ilvl w:val="0"/>
          <w:numId w:val="2"/>
        </w:numPr>
        <w:jc w:val="both"/>
        <w:rPr>
          <w:sz w:val="26"/>
          <w:szCs w:val="26"/>
          <w:rFonts w:ascii="DejaVu Serif" w:hAnsi="DejaVu Serif"/>
        </w:rPr>
      </w:pPr>
      <w:r>
        <w:rPr>
          <w:sz w:val="26"/>
          <w:rFonts w:ascii="DejaVu Serif" w:hAnsi="DejaVu Serif"/>
        </w:rPr>
        <w:t xml:space="preserve"> </w:t>
      </w:r>
      <w:r>
        <w:rPr>
          <w:sz w:val="26"/>
          <w:rFonts w:ascii="DejaVu Serif" w:hAnsi="DejaVu Serif"/>
        </w:rPr>
        <w:t xml:space="preserve">Bigarren matrikulaldian edo hurrengoetan matrikulatutako kredituen ehunekoa, graduko ikasle bekadunen kasuan, kreditu guztien % 2,9 baino ez zen izan 2021-2022 ikasturtean. Bekarik gabekoen kasuan, berriz, matrikulatutako kreditu guztien % 15,8 izan zen.</w:t>
      </w:r>
    </w:p>
    <w:p w14:paraId="5F426D99" w14:textId="22868472" w:rsidR="00847DF9" w:rsidRDefault="00807673" w:rsidP="00807673">
      <w:pPr>
        <w:numPr>
          <w:ilvl w:val="0"/>
          <w:numId w:val="2"/>
        </w:numPr>
        <w:jc w:val="both"/>
        <w:rPr>
          <w:sz w:val="26"/>
          <w:szCs w:val="26"/>
          <w:rFonts w:ascii="DejaVu Serif" w:hAnsi="DejaVu Serif"/>
        </w:rPr>
      </w:pPr>
      <w:r>
        <w:rPr>
          <w:sz w:val="26"/>
          <w:rFonts w:ascii="DejaVu Serif" w:hAnsi="DejaVu Serif"/>
        </w:rPr>
        <w:t xml:space="preserve"> </w:t>
      </w:r>
      <w:r>
        <w:rPr>
          <w:sz w:val="26"/>
          <w:rFonts w:ascii="DejaVu Serif" w:hAnsi="DejaVu Serif"/>
        </w:rPr>
        <w:t xml:space="preserve">2019-2020 ikasturteko ikasle berrien multzoan, graduko ikasketetako ikasle bekadunen % 13,1ek utzi zuten bertan behera titulazioa lehenbiziko urtean, eta bekarik gabekoen uzte ehunekoa, berriz, % 20,9koa izan zen, 7,8 puntu handiagoa.</w:t>
      </w:r>
      <w:r>
        <w:rPr>
          <w:sz w:val="26"/>
          <w:rFonts w:ascii="DejaVu Serif" w:hAnsi="DejaVu Serif"/>
        </w:rPr>
        <w:t xml:space="preserve"> </w:t>
      </w:r>
    </w:p>
    <w:p w14:paraId="22CB59C5" w14:textId="77777777" w:rsidR="00847DF9" w:rsidRDefault="00807673" w:rsidP="00807673">
      <w:pPr>
        <w:numPr>
          <w:ilvl w:val="0"/>
          <w:numId w:val="2"/>
        </w:numPr>
        <w:jc w:val="both"/>
        <w:rPr>
          <w:sz w:val="26"/>
          <w:szCs w:val="26"/>
          <w:rFonts w:ascii="DejaVu Serif" w:hAnsi="DejaVu Serif"/>
        </w:rPr>
      </w:pPr>
      <w:r>
        <w:rPr>
          <w:sz w:val="26"/>
          <w:rFonts w:ascii="DejaVu Serif" w:hAnsi="DejaVu Serif"/>
        </w:rPr>
        <w:t xml:space="preserve">2021-2022 ikasturtean graduko ikasketak amaitu zituzten bekadunen eta bekarik gabekoen batez besteko noten arteko aldeari erreparatuta, urteren batean beka izan zuten ikasleek batez besteko nota altuxeagoa izan zuten:</w:t>
      </w:r>
      <w:r>
        <w:rPr>
          <w:sz w:val="26"/>
          <w:rFonts w:ascii="DejaVu Serif" w:hAnsi="DejaVu Serif"/>
        </w:rPr>
        <w:t xml:space="preserve"> </w:t>
      </w:r>
      <w:r>
        <w:rPr>
          <w:sz w:val="26"/>
          <w:rFonts w:ascii="DejaVu Serif" w:hAnsi="DejaVu Serif"/>
        </w:rPr>
        <w:t xml:space="preserve">beka izandakoek 7,45 eta besteek 7,38.</w:t>
      </w:r>
    </w:p>
    <w:p w14:paraId="18A05D81" w14:textId="77777777" w:rsidR="00847DF9" w:rsidRDefault="00807673" w:rsidP="00807673">
      <w:pPr>
        <w:jc w:val="both"/>
        <w:rPr>
          <w:sz w:val="26"/>
          <w:szCs w:val="26"/>
          <w:rFonts w:ascii="DejaVu Serif" w:hAnsi="DejaVu Serif"/>
        </w:rPr>
      </w:pPr>
      <w:r>
        <w:rPr>
          <w:sz w:val="26"/>
          <w:rFonts w:ascii="DejaVu Serif" w:hAnsi="DejaVu Serif"/>
        </w:rPr>
        <w:t xml:space="preserve">Ondorio gisa, Unibertsitateetako Ministerioak emandako datuak aztertuta ikusi dugu ikasketak bertan behera uzten dituzten ikasleen proportzioa % 13,7 dela bekarik gabeko ikasleen kasuan eta horren erdia ikasle bekadunen kasuan, % 6,5ek baino ez baitituzte bertan behera uzten ikasketak.</w:t>
      </w:r>
    </w:p>
    <w:p w14:paraId="57BAA308" w14:textId="77777777" w:rsidR="00847DF9" w:rsidRDefault="005C57FC" w:rsidP="005C57FC">
      <w:pPr>
        <w:jc w:val="both"/>
        <w:rPr>
          <w:sz w:val="26"/>
          <w:szCs w:val="26"/>
          <w:rFonts w:ascii="DejaVu Serif" w:hAnsi="DejaVu Serif"/>
        </w:rPr>
      </w:pPr>
      <w:r>
        <w:rPr>
          <w:sz w:val="26"/>
          <w:rFonts w:ascii="DejaVu Serif" w:hAnsi="DejaVu Serif"/>
        </w:rPr>
        <w:t xml:space="preserve">Hori guztia jakinarazten dizut, Nafarroako Parlamentuko Erregelamenduaren </w:t>
      </w:r>
      <w:r>
        <w:rPr>
          <w:sz w:val="26"/>
          <w:b/>
          <w:bCs/>
          <w:rFonts w:ascii="DejaVu Serif" w:hAnsi="DejaVu Serif"/>
        </w:rPr>
        <w:t xml:space="preserve">215. artikulua</w:t>
      </w:r>
      <w:r>
        <w:rPr>
          <w:sz w:val="26"/>
          <w:rFonts w:ascii="DejaVu Serif" w:hAnsi="DejaVu Serif"/>
        </w:rPr>
        <w:t xml:space="preserve"> betez.</w:t>
      </w:r>
    </w:p>
    <w:p w14:paraId="1132C450" w14:textId="5B2FE6EB" w:rsidR="005C57FC" w:rsidRPr="00E2075A" w:rsidRDefault="005C57FC" w:rsidP="005C57FC">
      <w:pPr>
        <w:jc w:val="center"/>
        <w:rPr>
          <w:sz w:val="26"/>
          <w:szCs w:val="26"/>
          <w:rFonts w:ascii="DejaVu Serif" w:hAnsi="DejaVu Serif"/>
        </w:rPr>
      </w:pPr>
      <w:r>
        <w:rPr>
          <w:sz w:val="26"/>
          <w:rFonts w:ascii="DejaVu Serif" w:hAnsi="DejaVu Serif"/>
        </w:rPr>
        <w:t xml:space="preserve">Iruñean, 2023ko urriaren 26an</w:t>
      </w:r>
    </w:p>
    <w:p w14:paraId="7B205639" w14:textId="1CDACA2E" w:rsidR="00847DF9" w:rsidRDefault="00847DF9" w:rsidP="00DD502B">
      <w:pPr>
        <w:jc w:val="center"/>
        <w:rPr>
          <w:sz w:val="26"/>
          <w:szCs w:val="26"/>
          <w:rFonts w:ascii="DejaVu Serif" w:hAnsi="DejaVu Serif"/>
        </w:rPr>
      </w:pPr>
      <w:r>
        <w:rPr>
          <w:sz w:val="26"/>
          <w:rFonts w:ascii="DejaVu Serif" w:hAnsi="DejaVu Serif"/>
        </w:rPr>
        <w:t xml:space="preserve">Unibertsitateko, Berrikuntzako eta Eraldaketa Digitaleko kontseilaria:</w:t>
      </w:r>
      <w:r>
        <w:rPr>
          <w:sz w:val="26"/>
          <w:rFonts w:ascii="DejaVu Serif" w:hAnsi="DejaVu Serif"/>
        </w:rPr>
        <w:t xml:space="preserve"> </w:t>
      </w:r>
      <w:r>
        <w:rPr>
          <w:sz w:val="26"/>
          <w:rFonts w:ascii="DejaVu Serif" w:hAnsi="DejaVu Serif"/>
        </w:rPr>
        <w:t xml:space="preserve">Juan Cruz Cigudosa García</w:t>
      </w:r>
    </w:p>
    <w:sectPr w:rsidR="00847DF9" w:rsidSect="00847DF9">
      <w:footerReference w:type="default" r:id="rId7"/>
      <w:pgSz w:w="11907" w:h="16840" w:code="9"/>
      <w:pgMar w:top="1560"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478A" w14:textId="77777777" w:rsidR="009A0F14" w:rsidRDefault="009A0F14" w:rsidP="00D40A88">
      <w:r>
        <w:separator/>
      </w:r>
    </w:p>
  </w:endnote>
  <w:endnote w:type="continuationSeparator" w:id="0">
    <w:p w14:paraId="77277B2F" w14:textId="77777777" w:rsidR="009A0F14" w:rsidRDefault="009A0F14" w:rsidP="00D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6D06" w14:textId="77777777" w:rsidR="00D40A88" w:rsidRDefault="00D40A88">
    <w:pPr>
      <w:pStyle w:val="Piedepgina"/>
    </w:pPr>
  </w:p>
  <w:p w14:paraId="38E77052" w14:textId="77777777" w:rsidR="00D40A88" w:rsidRPr="001709C7" w:rsidRDefault="00D40A88" w:rsidP="00D40A88">
    <w:pPr>
      <w:jc w:val="both"/>
      <w:rPr>
        <w:rFonts w:ascii="DejaVu Serif" w:hAnsi="DejaVu Serif"/>
        <w:sz w:val="26"/>
        <w:szCs w:val="26"/>
      </w:rPr>
    </w:pPr>
  </w:p>
  <w:p w14:paraId="21CCDE45" w14:textId="77777777" w:rsidR="00D40A88" w:rsidRDefault="00D40A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05EA" w14:textId="77777777" w:rsidR="009A0F14" w:rsidRDefault="009A0F14" w:rsidP="00D40A88">
      <w:r>
        <w:separator/>
      </w:r>
    </w:p>
  </w:footnote>
  <w:footnote w:type="continuationSeparator" w:id="0">
    <w:p w14:paraId="7E140B82" w14:textId="77777777" w:rsidR="009A0F14" w:rsidRDefault="009A0F14" w:rsidP="00D4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332A3"/>
    <w:multiLevelType w:val="hybridMultilevel"/>
    <w:tmpl w:val="D4E63824"/>
    <w:lvl w:ilvl="0" w:tplc="2A5426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9A815CC"/>
    <w:multiLevelType w:val="hybridMultilevel"/>
    <w:tmpl w:val="C3481F28"/>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1640619">
    <w:abstractNumId w:val="1"/>
    <w:lvlOverride w:ilvl="0">
      <w:startOverride w:val="1"/>
    </w:lvlOverride>
    <w:lvlOverride w:ilvl="1"/>
    <w:lvlOverride w:ilvl="2"/>
    <w:lvlOverride w:ilvl="3"/>
    <w:lvlOverride w:ilvl="4"/>
    <w:lvlOverride w:ilvl="5"/>
    <w:lvlOverride w:ilvl="6"/>
    <w:lvlOverride w:ilvl="7"/>
    <w:lvlOverride w:ilvl="8"/>
  </w:num>
  <w:num w:numId="2" w16cid:durableId="133006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2531E"/>
    <w:rsid w:val="00047109"/>
    <w:rsid w:val="00061227"/>
    <w:rsid w:val="00061978"/>
    <w:rsid w:val="000C24EC"/>
    <w:rsid w:val="000C2BAE"/>
    <w:rsid w:val="000C4458"/>
    <w:rsid w:val="0015364A"/>
    <w:rsid w:val="00176AE6"/>
    <w:rsid w:val="00187E82"/>
    <w:rsid w:val="001A1915"/>
    <w:rsid w:val="001C10F8"/>
    <w:rsid w:val="001E7D6B"/>
    <w:rsid w:val="00207D6A"/>
    <w:rsid w:val="0022246E"/>
    <w:rsid w:val="00235E3A"/>
    <w:rsid w:val="00251DE0"/>
    <w:rsid w:val="00264D61"/>
    <w:rsid w:val="003217FB"/>
    <w:rsid w:val="00377151"/>
    <w:rsid w:val="003A0CE7"/>
    <w:rsid w:val="003A506A"/>
    <w:rsid w:val="003A7D52"/>
    <w:rsid w:val="0043310A"/>
    <w:rsid w:val="00462CA9"/>
    <w:rsid w:val="00491B64"/>
    <w:rsid w:val="004A384D"/>
    <w:rsid w:val="004A4DC5"/>
    <w:rsid w:val="004B5238"/>
    <w:rsid w:val="004B5C04"/>
    <w:rsid w:val="004C3705"/>
    <w:rsid w:val="004E76C4"/>
    <w:rsid w:val="00564CC7"/>
    <w:rsid w:val="00580ECC"/>
    <w:rsid w:val="005C36E7"/>
    <w:rsid w:val="005C57FC"/>
    <w:rsid w:val="005E442E"/>
    <w:rsid w:val="00632DDC"/>
    <w:rsid w:val="006360EF"/>
    <w:rsid w:val="0064279F"/>
    <w:rsid w:val="00654E5C"/>
    <w:rsid w:val="00657A97"/>
    <w:rsid w:val="006749A1"/>
    <w:rsid w:val="006B4DCF"/>
    <w:rsid w:val="00705DD5"/>
    <w:rsid w:val="00730366"/>
    <w:rsid w:val="007336DB"/>
    <w:rsid w:val="007A3C0D"/>
    <w:rsid w:val="007B5B6D"/>
    <w:rsid w:val="007C558B"/>
    <w:rsid w:val="007E468F"/>
    <w:rsid w:val="00800A18"/>
    <w:rsid w:val="00807673"/>
    <w:rsid w:val="008303D7"/>
    <w:rsid w:val="00840F68"/>
    <w:rsid w:val="00847DF9"/>
    <w:rsid w:val="008554F5"/>
    <w:rsid w:val="00857FEB"/>
    <w:rsid w:val="00872BB8"/>
    <w:rsid w:val="008C2777"/>
    <w:rsid w:val="00901F02"/>
    <w:rsid w:val="00915D78"/>
    <w:rsid w:val="00932262"/>
    <w:rsid w:val="009329E8"/>
    <w:rsid w:val="009620D6"/>
    <w:rsid w:val="009831B4"/>
    <w:rsid w:val="009A0F11"/>
    <w:rsid w:val="009A0F14"/>
    <w:rsid w:val="009C585B"/>
    <w:rsid w:val="009F2469"/>
    <w:rsid w:val="009F27A5"/>
    <w:rsid w:val="00A23304"/>
    <w:rsid w:val="00A248E9"/>
    <w:rsid w:val="00A701BE"/>
    <w:rsid w:val="00AA5F02"/>
    <w:rsid w:val="00B102BA"/>
    <w:rsid w:val="00B250AE"/>
    <w:rsid w:val="00B4068E"/>
    <w:rsid w:val="00B4162F"/>
    <w:rsid w:val="00B72F7B"/>
    <w:rsid w:val="00B7603A"/>
    <w:rsid w:val="00B95259"/>
    <w:rsid w:val="00BA0FC9"/>
    <w:rsid w:val="00BC5CC0"/>
    <w:rsid w:val="00BD62C4"/>
    <w:rsid w:val="00BE6F6B"/>
    <w:rsid w:val="00C01890"/>
    <w:rsid w:val="00C5646B"/>
    <w:rsid w:val="00C8162A"/>
    <w:rsid w:val="00CA6BED"/>
    <w:rsid w:val="00CC6771"/>
    <w:rsid w:val="00CF554E"/>
    <w:rsid w:val="00D02262"/>
    <w:rsid w:val="00D24316"/>
    <w:rsid w:val="00D40A88"/>
    <w:rsid w:val="00D66D2D"/>
    <w:rsid w:val="00DD4A22"/>
    <w:rsid w:val="00DD502B"/>
    <w:rsid w:val="00DE5C78"/>
    <w:rsid w:val="00E2075A"/>
    <w:rsid w:val="00E42BD9"/>
    <w:rsid w:val="00E42E78"/>
    <w:rsid w:val="00E92CDE"/>
    <w:rsid w:val="00EA380B"/>
    <w:rsid w:val="00ED4385"/>
    <w:rsid w:val="00EE1509"/>
    <w:rsid w:val="00F127CD"/>
    <w:rsid w:val="00F307AE"/>
    <w:rsid w:val="00F347DF"/>
    <w:rsid w:val="00F84CD6"/>
    <w:rsid w:val="00F93F89"/>
    <w:rsid w:val="00FA4D11"/>
    <w:rsid w:val="00FB32F0"/>
    <w:rsid w:val="00FC196A"/>
    <w:rsid w:val="00FC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B8A528A"/>
  <w15:chartTrackingRefBased/>
  <w15:docId w15:val="{9FB3B59D-A5B2-4228-A14D-DD06A7FB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D40A88"/>
    <w:pPr>
      <w:tabs>
        <w:tab w:val="center" w:pos="4252"/>
        <w:tab w:val="right" w:pos="8504"/>
      </w:tabs>
    </w:pPr>
  </w:style>
  <w:style w:type="character" w:customStyle="1" w:styleId="EncabezadoCar">
    <w:name w:val="Encabezado Car"/>
    <w:link w:val="Encabezado"/>
    <w:rsid w:val="00D40A88"/>
    <w:rPr>
      <w:lang w:val="eu-ES"/>
    </w:rPr>
  </w:style>
  <w:style w:type="paragraph" w:styleId="Piedepgina">
    <w:name w:val="footer"/>
    <w:basedOn w:val="Normal"/>
    <w:link w:val="PiedepginaCar"/>
    <w:uiPriority w:val="99"/>
    <w:rsid w:val="00D40A88"/>
    <w:pPr>
      <w:tabs>
        <w:tab w:val="center" w:pos="4252"/>
        <w:tab w:val="right" w:pos="8504"/>
      </w:tabs>
    </w:pPr>
  </w:style>
  <w:style w:type="character" w:customStyle="1" w:styleId="PiedepginaCar">
    <w:name w:val="Pie de página Car"/>
    <w:link w:val="Piedepgina"/>
    <w:uiPriority w:val="99"/>
    <w:rsid w:val="00D40A88"/>
    <w:rPr>
      <w:lang w:val="eu-ES"/>
    </w:rPr>
  </w:style>
  <w:style w:type="character" w:styleId="nfasis">
    <w:name w:val="Emphasis"/>
    <w:uiPriority w:val="20"/>
    <w:qFormat/>
    <w:rsid w:val="000C4458"/>
    <w:rPr>
      <w:i/>
      <w:iCs/>
    </w:rPr>
  </w:style>
  <w:style w:type="character" w:styleId="Textoennegrita">
    <w:name w:val="Strong"/>
    <w:uiPriority w:val="22"/>
    <w:qFormat/>
    <w:rsid w:val="000C4458"/>
    <w:rPr>
      <w:b/>
      <w:bCs/>
    </w:rPr>
  </w:style>
  <w:style w:type="paragraph" w:customStyle="1" w:styleId="Default">
    <w:name w:val="Default"/>
    <w:rsid w:val="003A7D52"/>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A7D52"/>
    <w:pPr>
      <w:ind w:left="720"/>
    </w:pPr>
    <w:rPr>
      <w:rFonts w:ascii="Calibri" w:eastAsia="Calibri" w:hAnsi="Calibri" w:cs="Calibri"/>
      <w:sz w:val="22"/>
      <w:szCs w:val="22"/>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2332">
      <w:bodyDiv w:val="1"/>
      <w:marLeft w:val="0"/>
      <w:marRight w:val="0"/>
      <w:marTop w:val="0"/>
      <w:marBottom w:val="0"/>
      <w:divBdr>
        <w:top w:val="none" w:sz="0" w:space="0" w:color="auto"/>
        <w:left w:val="none" w:sz="0" w:space="0" w:color="auto"/>
        <w:bottom w:val="none" w:sz="0" w:space="0" w:color="auto"/>
        <w:right w:val="none" w:sz="0" w:space="0" w:color="auto"/>
      </w:divBdr>
    </w:div>
    <w:div w:id="445738438">
      <w:bodyDiv w:val="1"/>
      <w:marLeft w:val="0"/>
      <w:marRight w:val="0"/>
      <w:marTop w:val="0"/>
      <w:marBottom w:val="0"/>
      <w:divBdr>
        <w:top w:val="none" w:sz="0" w:space="0" w:color="auto"/>
        <w:left w:val="none" w:sz="0" w:space="0" w:color="auto"/>
        <w:bottom w:val="none" w:sz="0" w:space="0" w:color="auto"/>
        <w:right w:val="none" w:sz="0" w:space="0" w:color="auto"/>
      </w:divBdr>
    </w:div>
    <w:div w:id="590312154">
      <w:bodyDiv w:val="1"/>
      <w:marLeft w:val="0"/>
      <w:marRight w:val="0"/>
      <w:marTop w:val="0"/>
      <w:marBottom w:val="0"/>
      <w:divBdr>
        <w:top w:val="none" w:sz="0" w:space="0" w:color="auto"/>
        <w:left w:val="none" w:sz="0" w:space="0" w:color="auto"/>
        <w:bottom w:val="none" w:sz="0" w:space="0" w:color="auto"/>
        <w:right w:val="none" w:sz="0" w:space="0" w:color="auto"/>
      </w:divBdr>
    </w:div>
    <w:div w:id="921259912">
      <w:bodyDiv w:val="1"/>
      <w:marLeft w:val="0"/>
      <w:marRight w:val="0"/>
      <w:marTop w:val="0"/>
      <w:marBottom w:val="0"/>
      <w:divBdr>
        <w:top w:val="none" w:sz="0" w:space="0" w:color="auto"/>
        <w:left w:val="none" w:sz="0" w:space="0" w:color="auto"/>
        <w:bottom w:val="none" w:sz="0" w:space="0" w:color="auto"/>
        <w:right w:val="none" w:sz="0" w:space="0" w:color="auto"/>
      </w:divBdr>
    </w:div>
    <w:div w:id="13121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2022-01-11T10:11:00Z</cp:lastPrinted>
  <dcterms:created xsi:type="dcterms:W3CDTF">2023-10-30T08:48:00Z</dcterms:created>
  <dcterms:modified xsi:type="dcterms:W3CDTF">2023-10-30T08:50:00Z</dcterms:modified>
</cp:coreProperties>
</file>