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F711" w14:textId="7BF88D9B" w:rsidR="00CC49E4" w:rsidRPr="00263E07" w:rsidRDefault="001E129A" w:rsidP="00616A2A">
      <w:pPr>
        <w:pStyle w:val="Style"/>
        <w:spacing w:before="100" w:beforeAutospacing="1" w:after="200" w:line="276" w:lineRule="auto"/>
        <w:ind w:left="247" w:right="374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263E07">
        <w:rPr>
          <w:rFonts w:ascii="Calibri" w:eastAsia="Arial" w:hAnsi="Calibri" w:cs="Calibri"/>
          <w:bCs/>
          <w:sz w:val="22"/>
          <w:szCs w:val="22"/>
        </w:rPr>
        <w:t>24MOC-5</w:t>
      </w:r>
    </w:p>
    <w:p w14:paraId="7DBD6DA7" w14:textId="21316961" w:rsidR="001E129A" w:rsidRDefault="00263E07" w:rsidP="00616A2A">
      <w:pPr>
        <w:pStyle w:val="Style"/>
        <w:spacing w:before="100" w:beforeAutospacing="1" w:after="200" w:line="276" w:lineRule="auto"/>
        <w:ind w:left="955"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Javier Arza Porras, </w:t>
      </w:r>
      <w:r w:rsidR="00940602" w:rsidRPr="001E129A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1E129A">
        <w:rPr>
          <w:rFonts w:ascii="Calibri" w:eastAsia="Arial" w:hAnsi="Calibri" w:cs="Calibri"/>
          <w:sz w:val="22"/>
          <w:szCs w:val="22"/>
        </w:rPr>
        <w:t xml:space="preserve">Bildu Nafarroa, </w:t>
      </w:r>
      <w:r w:rsidR="00940602" w:rsidRPr="001E129A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para su debate en Pleno la siguiente </w:t>
      </w:r>
      <w:r w:rsidRPr="001E129A">
        <w:rPr>
          <w:rFonts w:ascii="Calibri" w:eastAsia="Arial" w:hAnsi="Calibri" w:cs="Calibri"/>
          <w:sz w:val="22"/>
          <w:szCs w:val="22"/>
        </w:rPr>
        <w:t xml:space="preserve">moción. </w:t>
      </w:r>
    </w:p>
    <w:p w14:paraId="24B2F54B" w14:textId="12FFF6C2" w:rsidR="00CC49E4" w:rsidRPr="00263E07" w:rsidRDefault="00263E07" w:rsidP="00616A2A">
      <w:pPr>
        <w:pStyle w:val="Style"/>
        <w:spacing w:before="100" w:beforeAutospacing="1" w:after="200" w:line="276" w:lineRule="auto"/>
        <w:ind w:left="247" w:right="374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63E07">
        <w:rPr>
          <w:rFonts w:ascii="Calibri" w:eastAsia="Arial" w:hAnsi="Calibri" w:cs="Calibri"/>
          <w:sz w:val="22"/>
          <w:szCs w:val="22"/>
        </w:rPr>
        <w:t>Exposición de motivos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0079049C" w14:textId="77777777" w:rsidR="00CC49E4" w:rsidRPr="001E129A" w:rsidRDefault="00940602" w:rsidP="00616A2A">
      <w:pPr>
        <w:pStyle w:val="Style"/>
        <w:spacing w:before="100" w:beforeAutospacing="1" w:after="200" w:line="276" w:lineRule="auto"/>
        <w:ind w:left="955"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Aunque el II Plan Integral de Apoyo a la Familia, la Infancia y la Adolescencia </w:t>
      </w:r>
      <w:r w:rsidRPr="001E129A">
        <w:rPr>
          <w:rFonts w:ascii="Calibri" w:hAnsi="Calibri" w:cs="Calibri"/>
          <w:w w:val="106"/>
          <w:sz w:val="22"/>
          <w:szCs w:val="22"/>
        </w:rPr>
        <w:t xml:space="preserve">(2017-2023) </w:t>
      </w:r>
      <w:r w:rsidRPr="001E129A">
        <w:rPr>
          <w:rFonts w:ascii="Calibri" w:eastAsia="Arial" w:hAnsi="Calibri" w:cs="Calibri"/>
          <w:sz w:val="22"/>
          <w:szCs w:val="22"/>
        </w:rPr>
        <w:t xml:space="preserve">planteaba el desarrollo de estrategias comunitarias de carácter preventivo-promocional, lo cierto es que el sistema navarro de apoyo a la infancia y la adolescencia sigue teniendo un carácter excesivamente reactivo, centrado en la reparación del daño e insuficientemente ubicado en la comunidad. </w:t>
      </w:r>
    </w:p>
    <w:p w14:paraId="00C8BA59" w14:textId="179D9F2A" w:rsidR="001E129A" w:rsidRDefault="00940602" w:rsidP="00616A2A">
      <w:pPr>
        <w:pStyle w:val="Style"/>
        <w:spacing w:before="100" w:beforeAutospacing="1" w:after="200" w:line="276" w:lineRule="auto"/>
        <w:ind w:left="955" w:right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Como respuesta a ello, la Ley Foral </w:t>
      </w:r>
      <w:r w:rsidRPr="001E129A">
        <w:rPr>
          <w:rFonts w:ascii="Calibri" w:hAnsi="Calibri" w:cs="Calibri"/>
          <w:w w:val="106"/>
          <w:sz w:val="22"/>
          <w:szCs w:val="22"/>
        </w:rPr>
        <w:t xml:space="preserve">12/2022, </w:t>
      </w:r>
      <w:r w:rsidRPr="001E129A">
        <w:rPr>
          <w:rFonts w:ascii="Calibri" w:eastAsia="Arial" w:hAnsi="Calibri" w:cs="Calibri"/>
          <w:sz w:val="22"/>
          <w:szCs w:val="22"/>
        </w:rPr>
        <w:t xml:space="preserve">de </w:t>
      </w:r>
      <w:r w:rsidRPr="001E129A">
        <w:rPr>
          <w:rFonts w:ascii="Calibri" w:hAnsi="Calibri" w:cs="Calibri"/>
          <w:w w:val="106"/>
          <w:sz w:val="22"/>
          <w:szCs w:val="22"/>
        </w:rPr>
        <w:t xml:space="preserve">11 </w:t>
      </w:r>
      <w:r w:rsidRPr="001E129A">
        <w:rPr>
          <w:rFonts w:ascii="Calibri" w:eastAsia="Arial" w:hAnsi="Calibri" w:cs="Calibri"/>
          <w:sz w:val="22"/>
          <w:szCs w:val="22"/>
        </w:rPr>
        <w:t xml:space="preserve">de mayo, de atención y protección a niños, niñas y adolescentes, incluye en sus capítulos </w:t>
      </w:r>
      <w:r w:rsidR="00263E07">
        <w:rPr>
          <w:rFonts w:ascii="Calibri" w:eastAsia="Arial" w:hAnsi="Calibri" w:cs="Calibri"/>
          <w:sz w:val="22"/>
          <w:szCs w:val="22"/>
        </w:rPr>
        <w:t>III</w:t>
      </w:r>
      <w:r w:rsidRPr="001E129A">
        <w:rPr>
          <w:rFonts w:ascii="Calibri" w:eastAsia="Arial" w:hAnsi="Calibri" w:cs="Calibri"/>
          <w:sz w:val="22"/>
          <w:szCs w:val="22"/>
        </w:rPr>
        <w:t xml:space="preserve"> y IV diferentes artículos fundamentales para el desarrollo de un trabajo comunitario de protección de la infancia y adolescencia. Sin embargo, hasta el momento no están siendo suficientemente aplicados. </w:t>
      </w:r>
    </w:p>
    <w:p w14:paraId="1054D60D" w14:textId="0F297457" w:rsidR="00CC49E4" w:rsidRPr="001E129A" w:rsidRDefault="00940602" w:rsidP="00616A2A">
      <w:pPr>
        <w:pStyle w:val="Style"/>
        <w:spacing w:before="100" w:beforeAutospacing="1" w:after="200" w:line="276" w:lineRule="auto"/>
        <w:ind w:left="965" w:right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Para el cumplimiento de los capítulos </w:t>
      </w:r>
      <w:r w:rsidR="00263E07">
        <w:rPr>
          <w:rFonts w:ascii="Calibri" w:eastAsia="Arial" w:hAnsi="Calibri" w:cs="Calibri"/>
          <w:sz w:val="22"/>
          <w:szCs w:val="22"/>
        </w:rPr>
        <w:t>III</w:t>
      </w:r>
      <w:r w:rsidRPr="001E129A">
        <w:rPr>
          <w:rFonts w:ascii="Calibri" w:eastAsia="Arial" w:hAnsi="Calibri" w:cs="Calibri"/>
          <w:sz w:val="22"/>
          <w:szCs w:val="22"/>
        </w:rPr>
        <w:t xml:space="preserve"> y IV de la Ley Foral </w:t>
      </w:r>
      <w:r w:rsidRPr="001E129A">
        <w:rPr>
          <w:rFonts w:ascii="Calibri" w:hAnsi="Calibri" w:cs="Calibri"/>
          <w:w w:val="106"/>
          <w:sz w:val="22"/>
          <w:szCs w:val="22"/>
        </w:rPr>
        <w:t xml:space="preserve">12/2022, </w:t>
      </w: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acuerda las siguientes propuestas de resolución: </w:t>
      </w:r>
    </w:p>
    <w:p w14:paraId="21A4616E" w14:textId="52434456" w:rsidR="00CC49E4" w:rsidRPr="001E129A" w:rsidRDefault="00940602" w:rsidP="00616A2A">
      <w:pPr>
        <w:pStyle w:val="Style"/>
        <w:numPr>
          <w:ilvl w:val="0"/>
          <w:numId w:val="1"/>
        </w:numPr>
        <w:spacing w:before="100" w:beforeAutospacing="1" w:after="200" w:line="276" w:lineRule="auto"/>
        <w:ind w:left="2040" w:right="374" w:hanging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insta al Gobierno de Navarra a poner en marcha durante el año </w:t>
      </w:r>
      <w:r w:rsidRPr="001E129A">
        <w:rPr>
          <w:rFonts w:ascii="Calibri" w:hAnsi="Calibri" w:cs="Calibri"/>
          <w:w w:val="106"/>
          <w:sz w:val="22"/>
          <w:szCs w:val="22"/>
        </w:rPr>
        <w:t xml:space="preserve">2024 </w:t>
      </w:r>
      <w:r w:rsidRPr="001E129A">
        <w:rPr>
          <w:rFonts w:ascii="Calibri" w:eastAsia="Arial" w:hAnsi="Calibri" w:cs="Calibri"/>
          <w:sz w:val="22"/>
          <w:szCs w:val="22"/>
        </w:rPr>
        <w:t xml:space="preserve">el proceso para la acreditación de las organizaciones comunitarias de infancia y adolescencia, recogido en la </w:t>
      </w:r>
      <w:r w:rsidR="00263E07">
        <w:rPr>
          <w:rFonts w:ascii="Calibri" w:eastAsia="Arial" w:hAnsi="Calibri" w:cs="Calibri"/>
          <w:sz w:val="22"/>
          <w:szCs w:val="22"/>
        </w:rPr>
        <w:t>l</w:t>
      </w:r>
      <w:r w:rsidRPr="001E129A">
        <w:rPr>
          <w:rFonts w:ascii="Calibri" w:eastAsia="Arial" w:hAnsi="Calibri" w:cs="Calibri"/>
          <w:sz w:val="22"/>
          <w:szCs w:val="22"/>
        </w:rPr>
        <w:t xml:space="preserve">ey. </w:t>
      </w:r>
    </w:p>
    <w:p w14:paraId="3A3A6EFC" w14:textId="43422FDE" w:rsidR="00CC49E4" w:rsidRPr="001E129A" w:rsidRDefault="00940602" w:rsidP="00616A2A">
      <w:pPr>
        <w:pStyle w:val="Style"/>
        <w:numPr>
          <w:ilvl w:val="0"/>
          <w:numId w:val="1"/>
        </w:numPr>
        <w:spacing w:before="100" w:beforeAutospacing="1" w:after="200" w:line="276" w:lineRule="auto"/>
        <w:ind w:left="2045" w:right="370" w:hanging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insta al Gobierno de Navarra a promover la formación de los y las profesionales en metodología comunitaria de protección de la infancia y adolescencia, recogida en la </w:t>
      </w:r>
      <w:r w:rsidR="00263E07">
        <w:rPr>
          <w:rFonts w:ascii="Calibri" w:eastAsia="Arial" w:hAnsi="Calibri" w:cs="Calibri"/>
          <w:sz w:val="22"/>
          <w:szCs w:val="22"/>
        </w:rPr>
        <w:t>l</w:t>
      </w:r>
      <w:r w:rsidRPr="001E129A">
        <w:rPr>
          <w:rFonts w:ascii="Calibri" w:eastAsia="Arial" w:hAnsi="Calibri" w:cs="Calibri"/>
          <w:sz w:val="22"/>
          <w:szCs w:val="22"/>
        </w:rPr>
        <w:t xml:space="preserve">ey. </w:t>
      </w:r>
    </w:p>
    <w:p w14:paraId="6EC091F6" w14:textId="1015590D" w:rsidR="00CC49E4" w:rsidRPr="001E129A" w:rsidRDefault="00940602" w:rsidP="00616A2A">
      <w:pPr>
        <w:pStyle w:val="Style"/>
        <w:numPr>
          <w:ilvl w:val="0"/>
          <w:numId w:val="1"/>
        </w:numPr>
        <w:spacing w:before="100" w:beforeAutospacing="1" w:after="200" w:line="276" w:lineRule="auto"/>
        <w:ind w:left="2045" w:right="370" w:hanging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insta al Gobierno de Navarra a crear durante el año </w:t>
      </w:r>
      <w:r w:rsidRPr="001E129A">
        <w:rPr>
          <w:rFonts w:ascii="Calibri" w:hAnsi="Calibri" w:cs="Calibri"/>
          <w:w w:val="106"/>
          <w:sz w:val="22"/>
          <w:szCs w:val="22"/>
        </w:rPr>
        <w:t xml:space="preserve">2024 </w:t>
      </w:r>
      <w:r w:rsidRPr="001E129A">
        <w:rPr>
          <w:rFonts w:ascii="Calibri" w:eastAsia="Arial" w:hAnsi="Calibri" w:cs="Calibri"/>
          <w:sz w:val="22"/>
          <w:szCs w:val="22"/>
        </w:rPr>
        <w:t xml:space="preserve">la Comisión de Promoción del Bienestar Infantil, Atención comunitaria y Trabajo en Red, recogida en la </w:t>
      </w:r>
      <w:r w:rsidR="00263E07">
        <w:rPr>
          <w:rFonts w:ascii="Calibri" w:eastAsia="Arial" w:hAnsi="Calibri" w:cs="Calibri"/>
          <w:sz w:val="22"/>
          <w:szCs w:val="22"/>
        </w:rPr>
        <w:t>l</w:t>
      </w:r>
      <w:r w:rsidRPr="001E129A">
        <w:rPr>
          <w:rFonts w:ascii="Calibri" w:eastAsia="Arial" w:hAnsi="Calibri" w:cs="Calibri"/>
          <w:sz w:val="22"/>
          <w:szCs w:val="22"/>
        </w:rPr>
        <w:t xml:space="preserve">ey. </w:t>
      </w:r>
    </w:p>
    <w:p w14:paraId="6CAC7117" w14:textId="67405CA9" w:rsidR="00CC49E4" w:rsidRPr="001E129A" w:rsidRDefault="00940602" w:rsidP="00616A2A">
      <w:pPr>
        <w:pStyle w:val="Style"/>
        <w:numPr>
          <w:ilvl w:val="0"/>
          <w:numId w:val="1"/>
        </w:numPr>
        <w:spacing w:before="100" w:beforeAutospacing="1" w:after="200" w:line="276" w:lineRule="auto"/>
        <w:ind w:left="2035" w:right="379" w:hanging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insta al Gobierno de Navarra a promover la constitución de mesas de protección en el ámbito comunitario, recogida en la </w:t>
      </w:r>
      <w:r w:rsidR="00263E07">
        <w:rPr>
          <w:rFonts w:ascii="Calibri" w:eastAsia="Arial" w:hAnsi="Calibri" w:cs="Calibri"/>
          <w:sz w:val="22"/>
          <w:szCs w:val="22"/>
        </w:rPr>
        <w:t>l</w:t>
      </w:r>
      <w:r w:rsidRPr="001E129A">
        <w:rPr>
          <w:rFonts w:ascii="Calibri" w:eastAsia="Arial" w:hAnsi="Calibri" w:cs="Calibri"/>
          <w:sz w:val="22"/>
          <w:szCs w:val="22"/>
        </w:rPr>
        <w:t xml:space="preserve">ey. </w:t>
      </w:r>
    </w:p>
    <w:p w14:paraId="2E7B80C2" w14:textId="77777777" w:rsidR="00CC49E4" w:rsidRPr="001E129A" w:rsidRDefault="00940602" w:rsidP="00616A2A">
      <w:pPr>
        <w:pStyle w:val="Style"/>
        <w:numPr>
          <w:ilvl w:val="0"/>
          <w:numId w:val="1"/>
        </w:numPr>
        <w:spacing w:before="100" w:beforeAutospacing="1" w:after="200" w:line="276" w:lineRule="auto"/>
        <w:ind w:left="2047" w:right="369" w:hanging="3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insta al Gobierno de Navarra a consolidar en los presupuestos una partida destinada al desarrollo de la metodología comunitaria de protección de la infancia y adolescencia. </w:t>
      </w:r>
    </w:p>
    <w:p w14:paraId="5D12C545" w14:textId="77777777" w:rsidR="00CC49E4" w:rsidRPr="001E129A" w:rsidRDefault="00940602" w:rsidP="00616A2A">
      <w:pPr>
        <w:pStyle w:val="Style"/>
        <w:numPr>
          <w:ilvl w:val="0"/>
          <w:numId w:val="2"/>
        </w:numPr>
        <w:spacing w:before="100" w:beforeAutospacing="1" w:after="200" w:line="276" w:lineRule="auto"/>
        <w:ind w:left="2047" w:right="369" w:hanging="3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E129A">
        <w:rPr>
          <w:rFonts w:ascii="Calibri" w:eastAsia="Arial" w:hAnsi="Calibri" w:cs="Calibri"/>
          <w:sz w:val="22"/>
          <w:szCs w:val="22"/>
        </w:rPr>
        <w:t xml:space="preserve">El Parlamento de Navarra insta al Gobierno de Navarra a definir qué órgano administrativo del Gobierno de Navarra va a ser el competente para impulsar y apoyar el desarrollo de la metodología comunitaria de protección de la infancia y adolescencia, dotándole además de los recursos necesarios para realizar esta labor. </w:t>
      </w:r>
    </w:p>
    <w:p w14:paraId="3426DE87" w14:textId="2F153566" w:rsidR="00CC49E4" w:rsidRDefault="00940602" w:rsidP="00616A2A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proofErr w:type="spellStart"/>
      <w:r w:rsidRPr="001E129A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1E129A">
        <w:rPr>
          <w:rFonts w:ascii="Calibri" w:eastAsia="Arial" w:hAnsi="Calibri" w:cs="Calibri"/>
          <w:sz w:val="22"/>
          <w:szCs w:val="22"/>
        </w:rPr>
        <w:t>/Pamplona</w:t>
      </w:r>
      <w:r>
        <w:rPr>
          <w:rFonts w:ascii="Calibri" w:eastAsia="Arial" w:hAnsi="Calibri" w:cs="Calibri"/>
          <w:sz w:val="22"/>
          <w:szCs w:val="22"/>
        </w:rPr>
        <w:t>,</w:t>
      </w:r>
      <w:r w:rsidRPr="001E129A">
        <w:rPr>
          <w:rFonts w:ascii="Calibri" w:eastAsia="Arial" w:hAnsi="Calibri" w:cs="Calibri"/>
          <w:sz w:val="22"/>
          <w:szCs w:val="22"/>
        </w:rPr>
        <w:t xml:space="preserve"> 10 de enero de 2024</w:t>
      </w:r>
    </w:p>
    <w:p w14:paraId="3E83820E" w14:textId="6F398F97" w:rsidR="00263E07" w:rsidRPr="001E129A" w:rsidRDefault="00263E07" w:rsidP="00616A2A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</w:t>
      </w:r>
      <w:r w:rsidR="00282B12">
        <w:rPr>
          <w:rFonts w:ascii="Calibri" w:eastAsia="Arial" w:hAnsi="Calibri" w:cs="Calibri"/>
          <w:sz w:val="22"/>
          <w:szCs w:val="22"/>
        </w:rPr>
        <w:t>o</w:t>
      </w:r>
      <w:r>
        <w:rPr>
          <w:rFonts w:ascii="Calibri" w:eastAsia="Arial" w:hAnsi="Calibri" w:cs="Calibri"/>
          <w:sz w:val="22"/>
          <w:szCs w:val="22"/>
        </w:rPr>
        <w:t xml:space="preserve"> Foral: Javier Arza Porras</w:t>
      </w:r>
    </w:p>
    <w:sectPr w:rsidR="00263E07" w:rsidRPr="001E129A" w:rsidSect="00165C9D">
      <w:type w:val="continuous"/>
      <w:pgSz w:w="11900" w:h="16840"/>
      <w:pgMar w:top="1134" w:right="1134" w:bottom="1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765E2"/>
    <w:multiLevelType w:val="singleLevel"/>
    <w:tmpl w:val="9468FE22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1" w15:restartNumberingAfterBreak="0">
    <w:nsid w:val="5B353F97"/>
    <w:multiLevelType w:val="singleLevel"/>
    <w:tmpl w:val="86805270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num w:numId="1" w16cid:durableId="1141113867">
    <w:abstractNumId w:val="0"/>
  </w:num>
  <w:num w:numId="2" w16cid:durableId="80578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9E4"/>
    <w:rsid w:val="00165C9D"/>
    <w:rsid w:val="001E129A"/>
    <w:rsid w:val="00263E07"/>
    <w:rsid w:val="00282B12"/>
    <w:rsid w:val="00616A2A"/>
    <w:rsid w:val="00940602"/>
    <w:rsid w:val="00C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B58"/>
  <w15:docId w15:val="{51A48B68-F616-46D9-A7B4-200B6B66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24MOC-5</vt:lpstr>
    </vt:vector>
  </TitlesOfParts>
  <Company>HP Inc.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24MOC-5</dc:title>
  <dc:creator>informatica</dc:creator>
  <cp:keywords>CreatedByIRIS_Readiris_17.0</cp:keywords>
  <cp:lastModifiedBy>Aranaz, Carlota</cp:lastModifiedBy>
  <cp:revision>6</cp:revision>
  <dcterms:created xsi:type="dcterms:W3CDTF">2024-01-11T07:46:00Z</dcterms:created>
  <dcterms:modified xsi:type="dcterms:W3CDTF">2024-01-11T14:07:00Z</dcterms:modified>
</cp:coreProperties>
</file>