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F61A5" w14:textId="12750414" w:rsidR="00751546" w:rsidRDefault="00B07455" w:rsidP="00751546">
      <w:pPr>
        <w:rPr>
          <w:color w:val="000000"/>
          <w:sz w:val="22"/>
          <w:szCs w:val="22"/>
          <w:rFonts w:cs="Arial"/>
        </w:rPr>
      </w:pPr>
      <w:r>
        <w:rPr>
          <w:sz w:val="22"/>
          <w:color w:val="000000"/>
        </w:rPr>
        <w:t xml:space="preserve">EH Bildu talde parlamentarioari atxikitako foru parlamentari</w:t>
      </w:r>
      <w:r>
        <w:rPr>
          <w:sz w:val="22"/>
          <w:color w:val="000000"/>
        </w:rPr>
        <w:t xml:space="preserve"> Adolfo Araiz Flamarique </w:t>
      </w:r>
      <w:r>
        <w:rPr>
          <w:sz w:val="22"/>
        </w:rPr>
        <w:t xml:space="preserve">jaunak 11-23/PES-00216 galdera egin du, esnearen ekoizpen-kostua kalkulatzen aplikazio informatiko bat ezartzeari buruz. Hona hemen Landa Garapeneko eta Ingurumeneko kontseilariak horri buruz ematen dion informazioa:</w:t>
      </w:r>
    </w:p>
    <w:p w14:paraId="587B5834" w14:textId="77777777" w:rsidR="00751546" w:rsidRDefault="00BE72E0" w:rsidP="00CF5222">
      <w:pPr>
        <w:pStyle w:val="Default"/>
        <w:spacing w:line="360" w:lineRule="auto"/>
        <w:jc w:val="both"/>
        <w:rPr>
          <w:sz w:val="22"/>
          <w:szCs w:val="22"/>
          <w:u w:val="single"/>
        </w:rPr>
      </w:pPr>
      <w:r>
        <w:rPr>
          <w:sz w:val="22"/>
          <w:u w:val="single"/>
        </w:rPr>
        <w:t xml:space="preserve">1.- Ezagutzen al du Landa Garapeneko eta Ingurumeneko Departamentuak Kataluniako Generalitateko Ekintza Klimatiko, Elikadura eta Landa-agendako Departamentuak esnearen ekoizpen-kostua kalkulatzeko ezarritako tresna?</w:t>
      </w:r>
    </w:p>
    <w:p w14:paraId="31B1108A" w14:textId="77777777" w:rsidR="00751546" w:rsidRDefault="00BE72E0" w:rsidP="00CF5222">
      <w:pPr>
        <w:pStyle w:val="Default"/>
        <w:spacing w:line="360" w:lineRule="auto"/>
        <w:jc w:val="both"/>
        <w:rPr>
          <w:sz w:val="22"/>
          <w:szCs w:val="22"/>
        </w:rPr>
      </w:pPr>
      <w:r>
        <w:rPr>
          <w:sz w:val="22"/>
        </w:rPr>
        <w:t xml:space="preserve">Landa Garapeneko eta Ingurumeneko Departamentua Nafarroako Elikadura Katearen Behatokia garatzen ari da, eta horretarako, enkargu bat formalizatu da INTIA enpresa publikoarekin.</w:t>
      </w:r>
      <w:r>
        <w:rPr>
          <w:sz w:val="22"/>
        </w:rPr>
        <w:t xml:space="preserve"> </w:t>
      </w:r>
    </w:p>
    <w:p w14:paraId="1BB30EFA" w14:textId="77777777" w:rsidR="00751546" w:rsidRDefault="00BE72E0" w:rsidP="00CF5222">
      <w:pPr>
        <w:pStyle w:val="Default"/>
        <w:spacing w:line="360" w:lineRule="auto"/>
        <w:jc w:val="both"/>
        <w:rPr>
          <w:sz w:val="22"/>
          <w:szCs w:val="22"/>
        </w:rPr>
      </w:pPr>
      <w:r>
        <w:rPr>
          <w:sz w:val="22"/>
        </w:rPr>
        <w:t xml:space="preserve">Esparru horretan gauzatu diren jardueretako bat izan da beste autonomia-erkidego batzuetan Katearen Legearen ezarpen eta kontrolarekin lotuta egin diren jarduketak aztertzea.</w:t>
      </w:r>
      <w:r>
        <w:rPr>
          <w:sz w:val="22"/>
        </w:rPr>
        <w:t xml:space="preserve"> </w:t>
      </w:r>
      <w:r>
        <w:rPr>
          <w:sz w:val="22"/>
        </w:rPr>
        <w:t xml:space="preserve">Ekoizpen-kostuak kalkulatzeko tresnen identifikazioa lan honetan sartuta dago, eta horien artean Kataluniako Generalitatak garatutako aplikazioa dago; hortaz, baieztatzen dizut Departamentuak ezagutzen duela galderak xede duen aplikazioa.</w:t>
      </w:r>
      <w:r>
        <w:rPr>
          <w:sz w:val="22"/>
        </w:rPr>
        <w:t xml:space="preserve"> </w:t>
      </w:r>
    </w:p>
    <w:p w14:paraId="56253F7B" w14:textId="77777777" w:rsidR="00751546" w:rsidRDefault="00BE72E0" w:rsidP="00CF5222">
      <w:pPr>
        <w:pStyle w:val="Default"/>
        <w:spacing w:line="360" w:lineRule="auto"/>
        <w:jc w:val="both"/>
        <w:rPr>
          <w:sz w:val="22"/>
          <w:szCs w:val="22"/>
          <w:u w:val="single"/>
        </w:rPr>
      </w:pPr>
      <w:r>
        <w:rPr>
          <w:sz w:val="22"/>
          <w:u w:val="single"/>
        </w:rPr>
        <w:t xml:space="preserve">2.- Aurreikusi al du Landa Garapeneko eta Ingurumeneko Departamentuak tresna informatikoren bat ezartzea Nafarroako abeltzaintza-sektorean esnearen ekoizpen-kostua kalkulatzeko?</w:t>
      </w:r>
    </w:p>
    <w:p w14:paraId="3FAA3170" w14:textId="77777777" w:rsidR="00751546" w:rsidRDefault="00BE72E0" w:rsidP="00CF5222">
      <w:pPr>
        <w:pStyle w:val="Default"/>
        <w:spacing w:line="360" w:lineRule="auto"/>
        <w:jc w:val="both"/>
        <w:rPr>
          <w:sz w:val="22"/>
          <w:szCs w:val="22"/>
        </w:rPr>
      </w:pPr>
      <w:r>
        <w:rPr>
          <w:sz w:val="22"/>
        </w:rPr>
        <w:t xml:space="preserve">Katearen Behatokian sartzea aurreikusten den elementuetako bat hainbat sektore eta produkturen produkzio-kostuak kalkulatzeko tresna bat da, eta, besteak beste, haragitarako zein esnetarako ardi- eta behi-ekoizpenaren kostuak kalkulatzeko.</w:t>
      </w:r>
      <w:r>
        <w:rPr>
          <w:sz w:val="22"/>
        </w:rPr>
        <w:t xml:space="preserve"> </w:t>
      </w:r>
      <w:r>
        <w:rPr>
          <w:sz w:val="22"/>
        </w:rPr>
        <w:t xml:space="preserve">Lehen fasean, nekazaritzako produktuen ekoizpen-kostuak kalkulatzeko tresnak garatu dira, eta 2024an, aipatutako abeltzaintzako ekoizpenetarako tresna garatuko da.</w:t>
      </w:r>
      <w:r>
        <w:rPr>
          <w:sz w:val="22"/>
        </w:rPr>
        <w:t xml:space="preserve"> </w:t>
      </w:r>
    </w:p>
    <w:p w14:paraId="098E0472" w14:textId="77777777" w:rsidR="00751546" w:rsidRDefault="00BE72E0" w:rsidP="00CF5222">
      <w:pPr>
        <w:pStyle w:val="Default"/>
        <w:spacing w:line="360" w:lineRule="auto"/>
        <w:jc w:val="both"/>
        <w:rPr>
          <w:sz w:val="22"/>
          <w:szCs w:val="22"/>
          <w:u w:val="single"/>
        </w:rPr>
      </w:pPr>
      <w:r>
        <w:rPr>
          <w:sz w:val="22"/>
          <w:u w:val="single"/>
        </w:rPr>
        <w:t xml:space="preserve">3.- Gaur egun, zer mekanismo erabiltzen ditu Nafarroako Gobernuak Elikadura Kateari buruzko 16/2021 Legea betetzen dela kontrolatzeko eta, bereziki, Nafarroako abeltzaintzako instalazioetan ekoiztutako esnea ekoizpen-kostuaren azpitik saltzeko?</w:t>
      </w:r>
    </w:p>
    <w:p w14:paraId="3905A765" w14:textId="77777777" w:rsidR="00751546" w:rsidRDefault="00BE72E0" w:rsidP="00CF5222">
      <w:pPr>
        <w:pStyle w:val="Default"/>
        <w:spacing w:line="360" w:lineRule="auto"/>
        <w:jc w:val="both"/>
        <w:rPr>
          <w:sz w:val="22"/>
          <w:szCs w:val="22"/>
        </w:rPr>
      </w:pPr>
      <w:r>
        <w:rPr>
          <w:sz w:val="22"/>
        </w:rPr>
        <w:t xml:space="preserve">Elikadura-katearen funtzionamendua hobetzeko neurriei buruzko 12/2013 Legean (16/2021 Legeak aldatua) ezarritako kontratuei buruzko betebeharrez gain, esnegintzaren sektorerako araudi espezifiko bat ezarri behar da: 95/2019 Errege Dekretua, martxoaren 1ekoa, esnegintzaren sektoreko kontratazio-baldintzak ezartzen dituena eta ekoizleen antolakundeen eta sektoreko lanbide arteko antolakundeen onarpena arautzen duena, bai eta sektore horretan aplikatzen diren zenbait errege-dekretu aldatzen dituena ere.</w:t>
      </w:r>
      <w:r>
        <w:rPr>
          <w:sz w:val="22"/>
        </w:rPr>
        <w:t xml:space="preserve"> </w:t>
      </w:r>
    </w:p>
    <w:p w14:paraId="237DBFF7" w14:textId="77777777" w:rsidR="00751546" w:rsidRDefault="00BE72E0" w:rsidP="00CF5222">
      <w:pPr>
        <w:pStyle w:val="Default"/>
        <w:spacing w:line="360" w:lineRule="auto"/>
        <w:jc w:val="both"/>
        <w:rPr>
          <w:sz w:val="22"/>
          <w:szCs w:val="22"/>
        </w:rPr>
      </w:pPr>
      <w:r>
        <w:rPr>
          <w:sz w:val="22"/>
        </w:rPr>
        <w:t xml:space="preserve">Berariazko araudi horrek kontratu bidezko harremanak ezartzen ditu esne gordinaren horniketako merkataritza transakzioak egiten dituzten operadore guztientzat, transformadoreen arteko esne gordinaren hornidura puntualetarako izan ezik, eta betebehar berezi batzuk ezartzen dizkie esnegintzaren sektoreko operadoreei: Esne gordina erosteko kontratuak, 12/2013 Legearen arabera elikadura kontratuen erregistroan erregistratzeaz gain, esnearen sektoreko informazio sistema bateratuaren (INFOLAC) datu basean ere erregistratu behar dira, apirilaren 24ko 319/2015 Errege Dekretuan ezarritakoaren arabera.</w:t>
      </w:r>
      <w:r>
        <w:rPr>
          <w:sz w:val="22"/>
        </w:rPr>
        <w:t xml:space="preserve"> </w:t>
      </w:r>
    </w:p>
    <w:p w14:paraId="57E0E816" w14:textId="270E1273" w:rsidR="00BE72E0" w:rsidRPr="008E3406" w:rsidRDefault="00BE72E0" w:rsidP="00CF5222">
      <w:pPr>
        <w:pStyle w:val="Default"/>
        <w:spacing w:line="360" w:lineRule="auto"/>
        <w:jc w:val="both"/>
        <w:rPr>
          <w:sz w:val="22"/>
          <w:szCs w:val="22"/>
        </w:rPr>
      </w:pPr>
      <w:r>
        <w:rPr>
          <w:sz w:val="22"/>
        </w:rPr>
        <w:t xml:space="preserve">Besteak beste, produktua ekoizle batekin kontratatu duen esne gordinaren lehenengo erosleak ahalik lasterren jakinaraziko ditu kontratuaren datuak, eta inoiz ez zazpi egun baliodun baino gehiago kontratua indarrean jartzeaz geroztik.</w:t>
      </w:r>
      <w:r>
        <w:rPr>
          <w:sz w:val="22"/>
        </w:rPr>
        <w:t xml:space="preserve"> </w:t>
      </w:r>
      <w:r>
        <w:rPr>
          <w:sz w:val="22"/>
        </w:rPr>
        <w:t xml:space="preserve">Jakinarazpen horiek euskarri informatikoan eginen dira, INFOLAC datu basean.</w:t>
      </w:r>
    </w:p>
    <w:p w14:paraId="12CFAC22" w14:textId="77777777" w:rsidR="00751546" w:rsidRDefault="00BE72E0" w:rsidP="00CF5222">
      <w:pPr>
        <w:pStyle w:val="Default"/>
        <w:spacing w:line="360" w:lineRule="auto"/>
        <w:jc w:val="both"/>
        <w:rPr>
          <w:sz w:val="22"/>
          <w:szCs w:val="22"/>
        </w:rPr>
      </w:pPr>
      <w:r>
        <w:rPr>
          <w:sz w:val="22"/>
        </w:rPr>
        <w:t xml:space="preserve">Lehenengo erosleek honako datu hauek eman behar dituzte, besteak beste:</w:t>
      </w:r>
      <w:r>
        <w:rPr>
          <w:sz w:val="22"/>
        </w:rPr>
        <w:t xml:space="preserve"> </w:t>
      </w:r>
    </w:p>
    <w:p w14:paraId="3DEE923A" w14:textId="2A3A1F4E" w:rsidR="00BE72E0" w:rsidRPr="008E3406" w:rsidRDefault="00BE72E0" w:rsidP="00CF5222">
      <w:pPr>
        <w:pStyle w:val="Default"/>
        <w:numPr>
          <w:ilvl w:val="0"/>
          <w:numId w:val="18"/>
        </w:numPr>
        <w:spacing w:line="360" w:lineRule="auto"/>
        <w:jc w:val="both"/>
        <w:rPr>
          <w:sz w:val="22"/>
          <w:szCs w:val="22"/>
        </w:rPr>
      </w:pPr>
      <w:r>
        <w:rPr>
          <w:sz w:val="22"/>
        </w:rPr>
        <w:t xml:space="preserve">Aldeen identifikazioa, ekoizlearen ustiapen kodea barne.</w:t>
      </w:r>
    </w:p>
    <w:p w14:paraId="046C9284" w14:textId="77777777" w:rsidR="00BE72E0" w:rsidRPr="008E3406" w:rsidRDefault="00BE72E0" w:rsidP="00CF5222">
      <w:pPr>
        <w:pStyle w:val="Default"/>
        <w:numPr>
          <w:ilvl w:val="0"/>
          <w:numId w:val="18"/>
        </w:numPr>
        <w:spacing w:line="360" w:lineRule="auto"/>
        <w:jc w:val="both"/>
        <w:rPr>
          <w:sz w:val="22"/>
          <w:szCs w:val="22"/>
        </w:rPr>
      </w:pPr>
      <w:r>
        <w:rPr>
          <w:sz w:val="22"/>
        </w:rPr>
        <w:t xml:space="preserve">Kontratuaren xedea.</w:t>
      </w:r>
    </w:p>
    <w:p w14:paraId="543D8474" w14:textId="77777777" w:rsidR="00BE72E0" w:rsidRPr="008E3406" w:rsidRDefault="00BE72E0" w:rsidP="00CF5222">
      <w:pPr>
        <w:pStyle w:val="Default"/>
        <w:numPr>
          <w:ilvl w:val="0"/>
          <w:numId w:val="18"/>
        </w:numPr>
        <w:spacing w:line="360" w:lineRule="auto"/>
        <w:jc w:val="both"/>
        <w:rPr>
          <w:sz w:val="22"/>
          <w:szCs w:val="22"/>
        </w:rPr>
      </w:pPr>
      <w:r>
        <w:rPr>
          <w:sz w:val="22"/>
        </w:rPr>
        <w:t xml:space="preserve">Horniduragatik ordainduko den prezioa; finkoa, aldakorra edo mistoa izan daiteke.</w:t>
      </w:r>
      <w:r>
        <w:rPr>
          <w:sz w:val="22"/>
        </w:rPr>
        <w:t xml:space="preserve"> </w:t>
      </w:r>
    </w:p>
    <w:p w14:paraId="03BD746D" w14:textId="77777777" w:rsidR="00751546" w:rsidRDefault="00BE72E0" w:rsidP="00CF5222">
      <w:pPr>
        <w:pStyle w:val="Default"/>
        <w:numPr>
          <w:ilvl w:val="0"/>
          <w:numId w:val="18"/>
        </w:numPr>
        <w:spacing w:line="360" w:lineRule="auto"/>
        <w:jc w:val="both"/>
        <w:rPr>
          <w:sz w:val="22"/>
          <w:szCs w:val="22"/>
        </w:rPr>
      </w:pPr>
      <w:r>
        <w:rPr>
          <w:sz w:val="22"/>
        </w:rPr>
        <w:t xml:space="preserve">Hornituko den bolumena, litrotan.</w:t>
      </w:r>
    </w:p>
    <w:p w14:paraId="2094E9B6" w14:textId="77777777" w:rsidR="00751546" w:rsidRDefault="00BE72E0" w:rsidP="00CF5222">
      <w:pPr>
        <w:pStyle w:val="Default"/>
        <w:spacing w:line="360" w:lineRule="auto"/>
        <w:jc w:val="both"/>
        <w:rPr>
          <w:sz w:val="22"/>
          <w:szCs w:val="22"/>
        </w:rPr>
      </w:pPr>
      <w:r>
        <w:rPr>
          <w:sz w:val="22"/>
        </w:rPr>
        <w:t xml:space="preserve">Gainera, lehenengo erosleak behartuta daude bereizita adieraztera prezio desberdinetan ordaindutako esne bolumenak, bai eta kalitate bereiziko (ekoizpen ekologikoa, ekoizpen integratua, DOP, IGP edo ETG) eta ekoizpen horietarako ez diren esnekiak ekoiztera bideratutakoak ere, bakoitza dagokion prezioekin lotuta, eta, aldi berean, finkoak, aldakorrak edo mistoak diren adierazita.</w:t>
      </w:r>
    </w:p>
    <w:p w14:paraId="46749D86" w14:textId="77777777" w:rsidR="00751546" w:rsidRDefault="00BE72E0" w:rsidP="00CF5222">
      <w:pPr>
        <w:pStyle w:val="Default"/>
        <w:spacing w:line="360" w:lineRule="auto"/>
        <w:jc w:val="both"/>
        <w:rPr>
          <w:sz w:val="22"/>
          <w:szCs w:val="22"/>
        </w:rPr>
      </w:pPr>
      <w:r>
        <w:rPr>
          <w:sz w:val="22"/>
        </w:rPr>
        <w:t xml:space="preserve">INFOLACen existentziak eta erosketa-bolumenak eta ordaindutako prezioak hilero aitortzeko betebeharrak aukera ematen dute ordaindutako prezioen aldizkako azterketak egiteko eta INTIA enpresa publikoak egiten dituen batez besteko ekoizpen-kostuekin kontrastatzeko.</w:t>
      </w:r>
      <w:r>
        <w:rPr>
          <w:sz w:val="22"/>
        </w:rPr>
        <w:t xml:space="preserve"> </w:t>
      </w:r>
      <w:r>
        <w:rPr>
          <w:sz w:val="22"/>
        </w:rPr>
        <w:t xml:space="preserve">Prozedura hori ezartzen da esnetarako behien eta esnetarako ardien sektorean katearen legea betetzen dela kontrolatzeko, ordaindutako prezioei eta ekoizpen-kostuei dagokienez.</w:t>
      </w:r>
      <w:r>
        <w:rPr>
          <w:sz w:val="22"/>
        </w:rPr>
        <w:t xml:space="preserve"> </w:t>
      </w:r>
    </w:p>
    <w:p w14:paraId="6775E8E1" w14:textId="77777777" w:rsidR="00751546" w:rsidRDefault="00BE72E0" w:rsidP="00CF5222">
      <w:pPr>
        <w:pStyle w:val="Default"/>
        <w:spacing w:line="360" w:lineRule="auto"/>
        <w:jc w:val="both"/>
        <w:rPr>
          <w:sz w:val="22"/>
          <w:szCs w:val="22"/>
          <w:u w:val="single"/>
        </w:rPr>
      </w:pPr>
      <w:r>
        <w:rPr>
          <w:sz w:val="22"/>
          <w:u w:val="single"/>
        </w:rPr>
        <w:t xml:space="preserve">4.- Zenbat ikuskapen egin ditu Departamentuak esnearen salmenta kontrolatzeko, betiere prezioa ekoizpen-kostua baino txikiagoa izan gabe?</w:t>
      </w:r>
    </w:p>
    <w:p w14:paraId="49E3EC96" w14:textId="77777777" w:rsidR="00751546" w:rsidRDefault="00BE72E0" w:rsidP="00CF5222">
      <w:pPr>
        <w:pStyle w:val="Default"/>
        <w:spacing w:line="360" w:lineRule="auto"/>
        <w:jc w:val="both"/>
        <w:rPr>
          <w:sz w:val="22"/>
          <w:szCs w:val="22"/>
        </w:rPr>
      </w:pPr>
      <w:r>
        <w:rPr>
          <w:sz w:val="22"/>
        </w:rPr>
        <w:t xml:space="preserve">Lehen adierazi bezala, esnegintzaren sektoreko prezioak/kostuak kontrolatzeko prozedura ez da ikuskapenetan oinarritzen, baizik eta esne-entregen eta ordainketen analisian.</w:t>
      </w:r>
      <w:r>
        <w:rPr>
          <w:sz w:val="22"/>
        </w:rPr>
        <w:t xml:space="preserve"> </w:t>
      </w:r>
    </w:p>
    <w:p w14:paraId="3994632F" w14:textId="77777777" w:rsidR="00751546" w:rsidRDefault="00BE72E0" w:rsidP="00CF5222">
      <w:pPr>
        <w:pStyle w:val="Default"/>
        <w:spacing w:line="360" w:lineRule="auto"/>
        <w:jc w:val="both"/>
        <w:rPr>
          <w:sz w:val="22"/>
          <w:szCs w:val="22"/>
        </w:rPr>
      </w:pPr>
      <w:r>
        <w:rPr>
          <w:sz w:val="22"/>
        </w:rPr>
        <w:t xml:space="preserve">2023ko urtarriletik azarora bitartean 124 ekoizleri ordaindutako zenbatekoak eta entregak aztertu dira.</w:t>
      </w:r>
      <w:r>
        <w:rPr>
          <w:sz w:val="22"/>
        </w:rPr>
        <w:t xml:space="preserve"> </w:t>
      </w:r>
      <w:r>
        <w:rPr>
          <w:sz w:val="22"/>
        </w:rPr>
        <w:t xml:space="preserve">Ekoizpen-kostuen azpiko ordainketei dagokienez, ez da arrisku-egoerarik identifikatu.</w:t>
      </w:r>
      <w:r>
        <w:rPr>
          <w:sz w:val="22"/>
        </w:rPr>
        <w:t xml:space="preserve"> </w:t>
      </w:r>
    </w:p>
    <w:p w14:paraId="403A8199" w14:textId="1C3BB4D0" w:rsidR="00751546" w:rsidRDefault="00A56CCF" w:rsidP="00CF5222">
      <w:pPr>
        <w:ind w:firstLine="540"/>
        <w:rPr>
          <w:color w:val="000000"/>
          <w:sz w:val="22"/>
          <w:szCs w:val="22"/>
          <w:rFonts w:cs="Arial"/>
        </w:rPr>
      </w:pPr>
      <w:r>
        <w:rPr>
          <w:color w:val="000000"/>
          <w:sz w:val="22"/>
        </w:rPr>
        <w:t xml:space="preserve">Hori guztia jakinarazten dut, Nafarroako Parlamentuko Erregelamenduaren 215. artikuluan ezarritakoa betez.</w:t>
      </w:r>
    </w:p>
    <w:p w14:paraId="29356AE0" w14:textId="16D68F0C" w:rsidR="00934199" w:rsidRPr="008E3406" w:rsidRDefault="00BE72E0" w:rsidP="00751546">
      <w:pPr>
        <w:jc w:val="center"/>
        <w:rPr>
          <w:sz w:val="22"/>
          <w:szCs w:val="22"/>
          <w:rFonts w:cs="Arial"/>
        </w:rPr>
      </w:pPr>
      <w:r>
        <w:rPr>
          <w:color w:val="000000"/>
          <w:sz w:val="22"/>
        </w:rPr>
        <w:t xml:space="preserve">Iruñean, 2024ko urtarrilaren 4an</w:t>
      </w:r>
    </w:p>
    <w:p w14:paraId="033104D3" w14:textId="77777777" w:rsidR="00751546" w:rsidRDefault="00751546" w:rsidP="00751546">
      <w:pPr>
        <w:pStyle w:val="Textoindependiente"/>
        <w:ind w:firstLine="284"/>
        <w:jc w:val="center"/>
        <w:rPr>
          <w:sz w:val="22"/>
          <w:szCs w:val="22"/>
          <w:rFonts w:cs="Arial"/>
        </w:rPr>
      </w:pPr>
      <w:r>
        <w:rPr>
          <w:sz w:val="22"/>
        </w:rPr>
        <w:t xml:space="preserve">Landa Garapeneko eta Ingurumeneko kontseilaria:</w:t>
      </w:r>
      <w:r>
        <w:rPr>
          <w:sz w:val="22"/>
        </w:rPr>
        <w:t xml:space="preserve"> </w:t>
      </w:r>
      <w:r>
        <w:rPr>
          <w:sz w:val="22"/>
        </w:rPr>
        <w:t xml:space="preserve">José María Aierdi Fernández de Barrena</w:t>
      </w:r>
    </w:p>
    <w:p w14:paraId="6F27EC88" w14:textId="0CADD0D4" w:rsidR="00D77C2F" w:rsidRPr="008E3406" w:rsidRDefault="00D77C2F" w:rsidP="00751546">
      <w:pPr>
        <w:rPr>
          <w:rFonts w:cs="Arial"/>
          <w:color w:val="000000"/>
          <w:sz w:val="22"/>
          <w:szCs w:val="22"/>
        </w:rPr>
      </w:pPr>
    </w:p>
    <w:sectPr w:rsidR="00D77C2F" w:rsidRPr="008E3406" w:rsidSect="00751546">
      <w:headerReference w:type="default" r:id="rId7"/>
      <w:footerReference w:type="even" r:id="rId8"/>
      <w:pgSz w:w="11906" w:h="16838" w:code="9"/>
      <w:pgMar w:top="1135"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62F5D" w14:textId="77777777" w:rsidR="00167662" w:rsidRDefault="00167662" w:rsidP="00381BB8">
      <w:pPr>
        <w:pStyle w:val="Encabezado"/>
      </w:pPr>
      <w:r>
        <w:separator/>
      </w:r>
    </w:p>
  </w:endnote>
  <w:endnote w:type="continuationSeparator" w:id="0">
    <w:p w14:paraId="21C30BA9" w14:textId="77777777" w:rsidR="00167662" w:rsidRDefault="00167662"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15E5"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26449" w14:textId="77777777" w:rsidR="00167662" w:rsidRDefault="00167662" w:rsidP="00381BB8">
      <w:pPr>
        <w:pStyle w:val="Encabezado"/>
      </w:pPr>
      <w:r>
        <w:separator/>
      </w:r>
    </w:p>
  </w:footnote>
  <w:footnote w:type="continuationSeparator" w:id="0">
    <w:p w14:paraId="61491976" w14:textId="77777777" w:rsidR="00167662" w:rsidRDefault="00167662"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61B6" w14:textId="0F842DC1"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21B2158"/>
    <w:multiLevelType w:val="hybridMultilevel"/>
    <w:tmpl w:val="D3449204"/>
    <w:lvl w:ilvl="0" w:tplc="6C50C3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8"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1"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392199592">
    <w:abstractNumId w:val="8"/>
  </w:num>
  <w:num w:numId="2" w16cid:durableId="1676688064">
    <w:abstractNumId w:val="3"/>
  </w:num>
  <w:num w:numId="3" w16cid:durableId="279143167">
    <w:abstractNumId w:val="9"/>
  </w:num>
  <w:num w:numId="4" w16cid:durableId="690650292">
    <w:abstractNumId w:val="15"/>
  </w:num>
  <w:num w:numId="5" w16cid:durableId="1220748703">
    <w:abstractNumId w:val="1"/>
  </w:num>
  <w:num w:numId="6" w16cid:durableId="191847598">
    <w:abstractNumId w:val="14"/>
  </w:num>
  <w:num w:numId="7" w16cid:durableId="1466780200">
    <w:abstractNumId w:val="5"/>
  </w:num>
  <w:num w:numId="8" w16cid:durableId="917445613">
    <w:abstractNumId w:val="4"/>
  </w:num>
  <w:num w:numId="9" w16cid:durableId="67659167">
    <w:abstractNumId w:val="7"/>
  </w:num>
  <w:num w:numId="10" w16cid:durableId="10855677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053427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9501194">
    <w:abstractNumId w:val="16"/>
  </w:num>
  <w:num w:numId="13" w16cid:durableId="1044870451">
    <w:abstractNumId w:val="2"/>
  </w:num>
  <w:num w:numId="14" w16cid:durableId="1772437199">
    <w:abstractNumId w:val="13"/>
  </w:num>
  <w:num w:numId="15" w16cid:durableId="1528638908">
    <w:abstractNumId w:val="0"/>
  </w:num>
  <w:num w:numId="16" w16cid:durableId="1283995239">
    <w:abstractNumId w:val="10"/>
  </w:num>
  <w:num w:numId="17" w16cid:durableId="1102071772">
    <w:abstractNumId w:val="12"/>
  </w:num>
  <w:num w:numId="18" w16cid:durableId="2710866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mirrorMargin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662"/>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546"/>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3406"/>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A76A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4B4"/>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2E0"/>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75AC4"/>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522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1A6"/>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1DD059D0"/>
  <w15:chartTrackingRefBased/>
  <w15:docId w15:val="{728550A2-88EF-487A-AF64-9C872848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link w:val="TextoindependienteCar"/>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2E0"/>
    <w:pPr>
      <w:autoSpaceDE w:val="0"/>
      <w:autoSpaceDN w:val="0"/>
      <w:adjustRightInd w:val="0"/>
    </w:pPr>
    <w:rPr>
      <w:rFonts w:ascii="Arial" w:hAnsi="Arial" w:cs="Arial"/>
      <w:color w:val="000000"/>
      <w:sz w:val="24"/>
      <w:szCs w:val="24"/>
    </w:rPr>
  </w:style>
  <w:style w:type="character" w:customStyle="1" w:styleId="TextoindependienteCar">
    <w:name w:val="Texto independiente Car"/>
    <w:link w:val="Textoindependiente"/>
    <w:rsid w:val="00751546"/>
    <w:rPr>
      <w:rFonts w:ascii="Arial" w:hAnsi="Arial"/>
      <w:sz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21145295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913</Words>
  <Characters>5022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N081438</dc:creator>
  <cp:keywords/>
  <cp:lastModifiedBy>Aranaz, Carlota</cp:lastModifiedBy>
  <cp:revision>3</cp:revision>
  <cp:lastPrinted>2018-10-15T10:28:00Z</cp:lastPrinted>
  <dcterms:created xsi:type="dcterms:W3CDTF">2024-01-11T11:06:00Z</dcterms:created>
  <dcterms:modified xsi:type="dcterms:W3CDTF">2024-01-11T11:55:00Z</dcterms:modified>
</cp:coreProperties>
</file>