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10304" w14:textId="64503525" w:rsidR="000C1CAC" w:rsidRPr="000C1CAC" w:rsidRDefault="000C1CAC" w:rsidP="000C1CAC">
      <w:pPr>
        <w:pStyle w:val="Style"/>
        <w:spacing w:before="100" w:beforeAutospacing="1" w:after="200" w:line="276" w:lineRule="auto"/>
        <w:rPr>
          <w:sz w:val="22"/>
          <w:szCs w:val="22"/>
          <w:rFonts w:ascii="Calibri" w:hAnsi="Calibri" w:cs="Calibri"/>
        </w:rPr>
      </w:pPr>
      <w:r>
        <w:rPr>
          <w:sz w:val="22"/>
          <w:rFonts w:ascii="Calibri" w:hAnsi="Calibri"/>
        </w:rPr>
        <w:t xml:space="preserve">24MOC-42</w:t>
      </w:r>
    </w:p>
    <w:p w14:paraId="3E5CE31F" w14:textId="77777777" w:rsidR="000C1CAC" w:rsidRDefault="000C1CAC" w:rsidP="000C1CAC">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Geroa Bai talde parlamentarioari atxikitako foru parlamentari Itxaso Soto Díaz de Cerio andreak, Legebiltzarreko Erregelamenduan ezarritakoaren babesean, honako mozio hau aurkezten du Osoko Bilkuran eztabaidatzeko. Mozioaren jarraipena egitearen ardura Kultura, Kirol eta Turismo Batzordearena izanen da.</w:t>
      </w:r>
      <w:r>
        <w:rPr>
          <w:sz w:val="22"/>
          <w:rFonts w:ascii="Calibri" w:hAnsi="Calibri"/>
        </w:rPr>
        <w:t xml:space="preserve"> </w:t>
      </w:r>
    </w:p>
    <w:p w14:paraId="1FFB8371" w14:textId="11E6395C" w:rsidR="0036763C" w:rsidRPr="000C1CAC" w:rsidRDefault="000C1CAC" w:rsidP="000C1CAC">
      <w:pPr>
        <w:pStyle w:val="Style"/>
        <w:spacing w:before="100" w:beforeAutospacing="1" w:after="200" w:line="276" w:lineRule="auto"/>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0EEE42E5" w14:textId="6EA3BB02" w:rsidR="0036763C" w:rsidRPr="000C1CAC" w:rsidRDefault="002B337C" w:rsidP="002B337C">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Nahiz eta Nafarroako Kirolaren eta Jarduera Fisikoaren Institutuak hainbat ekintza egin dituen gure erkidegoan emakumeen kirola sustatzeko, batez ere kirolean erreferente femeninoak ikustarazteko, badirudi lortutako emaitzak ez direla guztiz nahikoak Nafarroako kirol-jardueran ikusten den genero-arrakala murrizteko.</w:t>
      </w:r>
      <w:r>
        <w:rPr>
          <w:sz w:val="22"/>
          <w:rFonts w:ascii="Calibri" w:hAnsi="Calibri"/>
        </w:rPr>
        <w:t xml:space="preserve"> </w:t>
      </w:r>
    </w:p>
    <w:p w14:paraId="56731734" w14:textId="6E1B0F29" w:rsidR="0036763C" w:rsidRPr="000C1CAC" w:rsidRDefault="002B337C" w:rsidP="000C1CAC">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Izan ere, 2023an gizonezkoen 58.891 lizentzia eman ziren; hots, epe horretan foru-erkidegoan eman ziren emakumezkoen 27.186 lizentzien bikoitza baino gehiago.</w:t>
      </w:r>
      <w:r>
        <w:rPr>
          <w:sz w:val="22"/>
          <w:rFonts w:ascii="Calibri" w:hAnsi="Calibri"/>
        </w:rPr>
        <w:t xml:space="preserve"> </w:t>
      </w:r>
      <w:r>
        <w:rPr>
          <w:sz w:val="22"/>
          <w:rFonts w:ascii="Calibri" w:hAnsi="Calibri"/>
        </w:rPr>
        <w:t xml:space="preserve">Emakumezko kirolarien kolektiboan gertatzen da hori, baina baita beste esparru batzuetan ere.</w:t>
      </w:r>
      <w:r>
        <w:rPr>
          <w:sz w:val="22"/>
          <w:rFonts w:ascii="Calibri" w:hAnsi="Calibri"/>
        </w:rPr>
        <w:t xml:space="preserve"> </w:t>
      </w:r>
      <w:r>
        <w:rPr>
          <w:sz w:val="22"/>
          <w:rFonts w:ascii="Calibri" w:hAnsi="Calibri"/>
        </w:rPr>
        <w:t xml:space="preserve">2023ko datuen arabera, Nafarroan gizonezkoen 4.941 lizentzia eman ziren guztira epaile eta teknikari izateko; aldiz, emakumezkoen 1.854 lizentzia eman ziren postu horietarako.</w:t>
      </w:r>
      <w:r>
        <w:rPr>
          <w:sz w:val="22"/>
          <w:rFonts w:ascii="Calibri" w:hAnsi="Calibri"/>
        </w:rPr>
        <w:t xml:space="preserve"> </w:t>
      </w:r>
    </w:p>
    <w:p w14:paraId="184DFC96" w14:textId="26F26366" w:rsidR="0036763C" w:rsidRDefault="002B337C" w:rsidP="000C1CAC">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Datuak zorrotz aztertzen baditugu, berriz, ikus daiteke ezen, kirolean genero-arrakala umetan hasten bada ere, areagotu egiten dela senior mailan, hau da, helduaroan.</w:t>
      </w:r>
      <w:r>
        <w:rPr>
          <w:sz w:val="22"/>
          <w:rFonts w:ascii="Calibri" w:hAnsi="Calibri"/>
        </w:rPr>
        <w:t xml:space="preserve"> </w:t>
      </w:r>
      <w:r>
        <w:rPr>
          <w:sz w:val="22"/>
          <w:rFonts w:ascii="Calibri" w:hAnsi="Calibri"/>
        </w:rPr>
        <w:t xml:space="preserve">Horrek frogatzen du gizonezkoek baino sarriago uzten diotela emakumezkoek kirola egiteari eta horren atzean hainbat arrazoi egon daiteke, besteak beste, dudarik gabe, familia-kontziliazioa.</w:t>
      </w:r>
      <w:r>
        <w:rPr>
          <w:sz w:val="22"/>
          <w:rFonts w:ascii="Calibri" w:hAnsi="Calibri"/>
        </w:rPr>
        <w:t xml:space="preserve"> </w:t>
      </w:r>
    </w:p>
    <w:p w14:paraId="5CD7064A" w14:textId="05675C24" w:rsidR="0036763C" w:rsidRPr="000C1CAC" w:rsidRDefault="000C1CAC" w:rsidP="00204D54">
      <w:pPr>
        <w:pStyle w:val="Style"/>
        <w:spacing w:before="100" w:beforeAutospacing="1" w:after="200" w:line="276" w:lineRule="auto"/>
        <w:jc w:val="both"/>
        <w:rPr>
          <w:sz w:val="22"/>
          <w:szCs w:val="22"/>
          <w:rFonts w:ascii="Calibri" w:hAnsi="Calibri" w:cs="Calibri"/>
        </w:rPr>
      </w:pPr>
      <w:r>
        <w:rPr>
          <w:sz w:val="22"/>
          <w:rFonts w:ascii="Calibri" w:hAnsi="Calibri"/>
        </w:rPr>
        <w:t xml:space="preserve">Nafarroako Kirolaren eta Jarduera Fisikoaren Institutuak nafar guztiei bermatu behar die kirola egin ahal izatea, kirola ezinbesteko eskubidetzat jotzen baita nortasuna erabat garatzeko.</w:t>
      </w:r>
      <w:r>
        <w:rPr>
          <w:sz w:val="22"/>
          <w:rFonts w:ascii="Calibri" w:hAnsi="Calibri"/>
        </w:rPr>
        <w:t xml:space="preserve"> </w:t>
      </w:r>
    </w:p>
    <w:p w14:paraId="58696774" w14:textId="6D6C1E1E" w:rsidR="0036763C" w:rsidRPr="000C1CAC" w:rsidRDefault="002B337C" w:rsidP="000C1CAC">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Hori guztia dela-eta, honako erabaki proposamen hau aurkezten dugu:</w:t>
      </w:r>
      <w:r>
        <w:rPr>
          <w:sz w:val="22"/>
          <w:b/>
          <w:u w:val="single"/>
          <w:rFonts w:ascii="Calibri" w:hAnsi="Calibri"/>
        </w:rPr>
        <w:t xml:space="preserve"> </w:t>
      </w:r>
    </w:p>
    <w:p w14:paraId="0785F3CE" w14:textId="77777777" w:rsidR="0036763C" w:rsidRPr="000C1CAC" w:rsidRDefault="002B337C" w:rsidP="000C1CAC">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Nafarroako Parlamentuak Nafarroako Gobernua premiatzen du emakumeek kirola egitea sustatzeko ekintzak bultzatzen eta egiten jarrai dezan, familia eta kirola kontziliatu ahal izateko ekintzak egiteaz gain.</w:t>
      </w:r>
      <w:r>
        <w:rPr>
          <w:sz w:val="22"/>
          <w:rFonts w:ascii="Calibri" w:hAnsi="Calibri"/>
        </w:rPr>
        <w:t xml:space="preserve"> </w:t>
      </w:r>
    </w:p>
    <w:p w14:paraId="7C87F615" w14:textId="19914DC4" w:rsidR="000C1CAC" w:rsidRDefault="002B337C" w:rsidP="000C1CAC">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Iruñean, 2024ko martxoaren 15ean</w:t>
      </w:r>
    </w:p>
    <w:p w14:paraId="76E89D9C" w14:textId="2F428088" w:rsidR="0036763C" w:rsidRPr="000C1CAC" w:rsidRDefault="000C1CAC" w:rsidP="000C1CAC">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Itxaso Soto Díaz de Cerio</w:t>
      </w:r>
      <w:r>
        <w:rPr>
          <w:sz w:val="22"/>
          <w:rFonts w:ascii="Calibri" w:hAnsi="Calibri"/>
        </w:rPr>
        <w:t xml:space="preserve"> </w:t>
      </w:r>
    </w:p>
    <w:sectPr w:rsidR="0036763C" w:rsidRPr="000C1CAC">
      <w:type w:val="continuous"/>
      <w:pgSz w:w="11900" w:h="16840"/>
      <w:pgMar w:top="1032" w:right="983" w:bottom="360"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763C"/>
    <w:rsid w:val="000C1CAC"/>
    <w:rsid w:val="00204D54"/>
    <w:rsid w:val="00252A85"/>
    <w:rsid w:val="002B337C"/>
    <w:rsid w:val="0036312C"/>
    <w:rsid w:val="0036763C"/>
    <w:rsid w:val="009F44A1"/>
    <w:rsid w:val="00E15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CD23"/>
  <w15:docId w15:val="{D91ADCA7-9B68-40D6-92B9-0728C41B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354</Words>
  <Characters>1953</Characters>
  <Application>Microsoft Office Word</Application>
  <DocSecurity>0</DocSecurity>
  <Lines>16</Lines>
  <Paragraphs>4</Paragraphs>
  <ScaleCrop>false</ScaleCrop>
  <Company>HP Inc.</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24MOC-42</dc:title>
  <dc:creator>informatica</dc:creator>
  <cp:keywords>CreatedByIRIS_Readiris_17.0</cp:keywords>
  <cp:lastModifiedBy>Mauleón, Fernando</cp:lastModifiedBy>
  <cp:revision>8</cp:revision>
  <dcterms:created xsi:type="dcterms:W3CDTF">2024-03-18T13:38:00Z</dcterms:created>
  <dcterms:modified xsi:type="dcterms:W3CDTF">2024-03-22T06:49:00Z</dcterms:modified>
</cp:coreProperties>
</file>